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76" w:type="dxa"/>
        <w:tblBorders>
          <w:bottom w:val="single" w:sz="30" w:space="0" w:color="000000"/>
        </w:tblBorders>
        <w:tblLayout w:type="fixed"/>
        <w:tblLook w:val="0000" w:firstRow="0" w:lastRow="0" w:firstColumn="0" w:lastColumn="0" w:noHBand="0" w:noVBand="0"/>
      </w:tblPr>
      <w:tblGrid>
        <w:gridCol w:w="1363"/>
        <w:gridCol w:w="3097"/>
        <w:gridCol w:w="868"/>
        <w:gridCol w:w="4248"/>
      </w:tblGrid>
      <w:tr w:rsidR="00A876F3" w:rsidRPr="0088780C" w14:paraId="091A2BDA" w14:textId="77777777" w:rsidTr="00A876F3">
        <w:tc>
          <w:tcPr>
            <w:tcW w:w="1363" w:type="dxa"/>
            <w:tcBorders>
              <w:bottom w:val="single" w:sz="12" w:space="0" w:color="000000"/>
            </w:tcBorders>
          </w:tcPr>
          <w:p w14:paraId="555328BD" w14:textId="77777777" w:rsidR="00A876F3" w:rsidRPr="0088780C" w:rsidRDefault="00A876F3" w:rsidP="001013AF">
            <w:pPr>
              <w:suppressLineNumbers/>
              <w:suppressAutoHyphens/>
              <w:kinsoku w:val="0"/>
              <w:overflowPunct w:val="0"/>
              <w:autoSpaceDE w:val="0"/>
              <w:autoSpaceDN w:val="0"/>
              <w:rPr>
                <w:noProof/>
                <w:snapToGrid w:val="0"/>
                <w:kern w:val="22"/>
                <w:lang w:val="en-US" w:eastAsia="ko-KR"/>
              </w:rPr>
            </w:pPr>
            <w:r w:rsidRPr="0088780C">
              <w:rPr>
                <w:noProof/>
                <w:snapToGrid w:val="0"/>
                <w:kern w:val="22"/>
                <w:lang w:eastAsia="zh-CN"/>
              </w:rPr>
              <w:drawing>
                <wp:inline distT="0" distB="0" distL="0" distR="0" wp14:anchorId="4C11004B" wp14:editId="43451CA1">
                  <wp:extent cx="476494" cy="403200"/>
                  <wp:effectExtent l="0" t="0" r="6350" b="3810"/>
                  <wp:docPr id="64547" name="Picture 6454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097" w:type="dxa"/>
            <w:tcBorders>
              <w:bottom w:val="single" w:sz="12" w:space="0" w:color="000000"/>
            </w:tcBorders>
          </w:tcPr>
          <w:p w14:paraId="724ECB93" w14:textId="77777777" w:rsidR="00A876F3" w:rsidRPr="0088780C" w:rsidRDefault="00A876F3" w:rsidP="001013AF">
            <w:pPr>
              <w:suppressLineNumbers/>
              <w:suppressAutoHyphens/>
              <w:kinsoku w:val="0"/>
              <w:overflowPunct w:val="0"/>
              <w:autoSpaceDE w:val="0"/>
              <w:autoSpaceDN w:val="0"/>
              <w:rPr>
                <w:noProof/>
                <w:snapToGrid w:val="0"/>
                <w:kern w:val="22"/>
                <w:lang w:val="en-US" w:eastAsia="ko-KR"/>
              </w:rPr>
            </w:pPr>
            <w:r w:rsidRPr="0088780C">
              <w:rPr>
                <w:noProof/>
                <w:snapToGrid w:val="0"/>
                <w:kern w:val="22"/>
                <w:lang w:eastAsia="zh-CN"/>
              </w:rPr>
              <w:drawing>
                <wp:inline distT="0" distB="0" distL="0" distR="0" wp14:anchorId="4D682F18" wp14:editId="30E3870F">
                  <wp:extent cx="343700" cy="403200"/>
                  <wp:effectExtent l="0" t="0" r="12065" b="3810"/>
                  <wp:docPr id="64548" name="Picture 64548"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116" w:type="dxa"/>
            <w:gridSpan w:val="2"/>
            <w:tcBorders>
              <w:bottom w:val="single" w:sz="12" w:space="0" w:color="000000"/>
            </w:tcBorders>
          </w:tcPr>
          <w:p w14:paraId="53E4BC57" w14:textId="77777777" w:rsidR="00A876F3" w:rsidRPr="0088780C" w:rsidRDefault="00A876F3" w:rsidP="001013AF">
            <w:pPr>
              <w:suppressLineNumbers/>
              <w:suppressAutoHyphens/>
              <w:kinsoku w:val="0"/>
              <w:overflowPunct w:val="0"/>
              <w:autoSpaceDE w:val="0"/>
              <w:autoSpaceDN w:val="0"/>
              <w:jc w:val="right"/>
              <w:rPr>
                <w:rFonts w:ascii="Univers" w:hAnsi="Univers"/>
                <w:b/>
                <w:snapToGrid w:val="0"/>
                <w:kern w:val="22"/>
                <w:sz w:val="32"/>
              </w:rPr>
            </w:pPr>
            <w:r w:rsidRPr="0088780C">
              <w:rPr>
                <w:rFonts w:ascii="Univers" w:hAnsi="Univers"/>
                <w:b/>
                <w:snapToGrid w:val="0"/>
                <w:kern w:val="22"/>
                <w:sz w:val="32"/>
              </w:rPr>
              <w:t>CBD</w:t>
            </w:r>
          </w:p>
        </w:tc>
      </w:tr>
      <w:tr w:rsidR="00CC4345" w:rsidRPr="0088780C" w14:paraId="7EBD7DFB" w14:textId="77777777" w:rsidTr="00A876F3">
        <w:trPr>
          <w:cantSplit/>
          <w:trHeight w:val="1693"/>
        </w:trPr>
        <w:tc>
          <w:tcPr>
            <w:tcW w:w="5328" w:type="dxa"/>
            <w:gridSpan w:val="3"/>
            <w:tcBorders>
              <w:bottom w:val="single" w:sz="36" w:space="0" w:color="000000"/>
            </w:tcBorders>
          </w:tcPr>
          <w:p w14:paraId="61B60790" w14:textId="77777777" w:rsidR="00CC4345" w:rsidRPr="0088780C" w:rsidRDefault="005C0599" w:rsidP="001013AF">
            <w:pPr>
              <w:suppressLineNumbers/>
              <w:suppressAutoHyphens/>
              <w:kinsoku w:val="0"/>
              <w:overflowPunct w:val="0"/>
              <w:autoSpaceDE w:val="0"/>
              <w:autoSpaceDN w:val="0"/>
              <w:ind w:right="1962"/>
              <w:jc w:val="right"/>
              <w:rPr>
                <w:snapToGrid w:val="0"/>
                <w:kern w:val="22"/>
                <w:szCs w:val="22"/>
              </w:rPr>
            </w:pPr>
            <w:r w:rsidRPr="0088780C">
              <w:rPr>
                <w:noProof/>
                <w:snapToGrid w:val="0"/>
                <w:kern w:val="22"/>
                <w:szCs w:val="22"/>
                <w:lang w:eastAsia="zh-CN"/>
              </w:rPr>
              <w:drawing>
                <wp:inline distT="0" distB="0" distL="0" distR="0" wp14:anchorId="013F722D" wp14:editId="7A0BEA35">
                  <wp:extent cx="2833370" cy="1073785"/>
                  <wp:effectExtent l="0" t="0" r="508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3370" cy="1073785"/>
                          </a:xfrm>
                          <a:prstGeom prst="rect">
                            <a:avLst/>
                          </a:prstGeom>
                          <a:noFill/>
                          <a:ln>
                            <a:noFill/>
                          </a:ln>
                        </pic:spPr>
                      </pic:pic>
                    </a:graphicData>
                  </a:graphic>
                </wp:inline>
              </w:drawing>
            </w:r>
          </w:p>
        </w:tc>
        <w:tc>
          <w:tcPr>
            <w:tcW w:w="4248" w:type="dxa"/>
            <w:tcBorders>
              <w:bottom w:val="single" w:sz="36" w:space="0" w:color="000000"/>
            </w:tcBorders>
            <w:noWrap/>
          </w:tcPr>
          <w:p w14:paraId="1F4D1853" w14:textId="77777777" w:rsidR="00CC4345" w:rsidRPr="0088780C" w:rsidRDefault="00CC4345" w:rsidP="001013AF">
            <w:pPr>
              <w:suppressLineNumbers/>
              <w:suppressAutoHyphens/>
              <w:kinsoku w:val="0"/>
              <w:overflowPunct w:val="0"/>
              <w:autoSpaceDE w:val="0"/>
              <w:autoSpaceDN w:val="0"/>
              <w:ind w:left="626"/>
              <w:rPr>
                <w:snapToGrid w:val="0"/>
                <w:kern w:val="22"/>
                <w:szCs w:val="22"/>
              </w:rPr>
            </w:pPr>
            <w:r w:rsidRPr="0088780C">
              <w:rPr>
                <w:snapToGrid w:val="0"/>
                <w:kern w:val="22"/>
                <w:szCs w:val="22"/>
              </w:rPr>
              <w:t>Distr.</w:t>
            </w:r>
          </w:p>
          <w:p w14:paraId="6BAAE90A" w14:textId="56FF4311" w:rsidR="00CC4345" w:rsidRPr="0088780C" w:rsidRDefault="00CC4345" w:rsidP="001013AF">
            <w:pPr>
              <w:suppressLineNumbers/>
              <w:suppressAutoHyphens/>
              <w:kinsoku w:val="0"/>
              <w:overflowPunct w:val="0"/>
              <w:autoSpaceDE w:val="0"/>
              <w:autoSpaceDN w:val="0"/>
              <w:ind w:left="626"/>
              <w:rPr>
                <w:snapToGrid w:val="0"/>
                <w:kern w:val="22"/>
                <w:szCs w:val="22"/>
              </w:rPr>
            </w:pPr>
            <w:r w:rsidRPr="0088780C">
              <w:rPr>
                <w:snapToGrid w:val="0"/>
                <w:kern w:val="22"/>
                <w:szCs w:val="22"/>
              </w:rPr>
              <w:t>GENERAL</w:t>
            </w:r>
          </w:p>
          <w:p w14:paraId="16BB0A03" w14:textId="77777777" w:rsidR="00CC4345" w:rsidRPr="0088780C" w:rsidRDefault="00CC4345" w:rsidP="001013AF">
            <w:pPr>
              <w:suppressLineNumbers/>
              <w:suppressAutoHyphens/>
              <w:kinsoku w:val="0"/>
              <w:overflowPunct w:val="0"/>
              <w:autoSpaceDE w:val="0"/>
              <w:autoSpaceDN w:val="0"/>
              <w:ind w:left="626"/>
              <w:rPr>
                <w:snapToGrid w:val="0"/>
                <w:kern w:val="22"/>
                <w:szCs w:val="22"/>
              </w:rPr>
            </w:pPr>
          </w:p>
          <w:p w14:paraId="207BE5CA" w14:textId="2D1D76F4" w:rsidR="00BF6EBF" w:rsidRPr="0088780C" w:rsidRDefault="00E7219D" w:rsidP="001013AF">
            <w:pPr>
              <w:suppressLineNumbers/>
              <w:suppressAutoHyphens/>
              <w:kinsoku w:val="0"/>
              <w:overflowPunct w:val="0"/>
              <w:autoSpaceDE w:val="0"/>
              <w:autoSpaceDN w:val="0"/>
              <w:ind w:left="612"/>
              <w:rPr>
                <w:snapToGrid w:val="0"/>
                <w:kern w:val="22"/>
                <w:szCs w:val="22"/>
              </w:rPr>
            </w:pPr>
            <w:sdt>
              <w:sdtPr>
                <w:rPr>
                  <w:snapToGrid w:val="0"/>
                  <w:kern w:val="22"/>
                  <w:szCs w:val="22"/>
                </w:rPr>
                <w:alias w:val="Subject"/>
                <w:tag w:val=""/>
                <w:id w:val="104312419"/>
                <w:placeholder>
                  <w:docPart w:val="2D93E0A10DE6483A85EDBF6BE07F037F"/>
                </w:placeholder>
                <w:dataBinding w:prefixMappings="xmlns:ns0='http://purl.org/dc/elements/1.1/' xmlns:ns1='http://schemas.openxmlformats.org/package/2006/metadata/core-properties' " w:xpath="/ns1:coreProperties[1]/ns0:subject[1]" w:storeItemID="{6C3C8BC8-F283-45AE-878A-BAB7291924A1}"/>
                <w:text/>
              </w:sdtPr>
              <w:sdtEndPr/>
              <w:sdtContent>
                <w:r w:rsidR="00A876F3" w:rsidRPr="0088780C">
                  <w:rPr>
                    <w:snapToGrid w:val="0"/>
                    <w:kern w:val="22"/>
                    <w:szCs w:val="22"/>
                  </w:rPr>
                  <w:t>CBD/EBSA/WS/2017/1/4</w:t>
                </w:r>
              </w:sdtContent>
            </w:sdt>
          </w:p>
          <w:p w14:paraId="4C2B41E9" w14:textId="108FC9D3" w:rsidR="00BF6EBF" w:rsidRPr="0088780C" w:rsidRDefault="00A876F3" w:rsidP="001013AF">
            <w:pPr>
              <w:suppressLineNumbers/>
              <w:suppressAutoHyphens/>
              <w:kinsoku w:val="0"/>
              <w:overflowPunct w:val="0"/>
              <w:autoSpaceDE w:val="0"/>
              <w:autoSpaceDN w:val="0"/>
              <w:ind w:left="626"/>
              <w:rPr>
                <w:snapToGrid w:val="0"/>
                <w:kern w:val="22"/>
                <w:szCs w:val="22"/>
              </w:rPr>
            </w:pPr>
            <w:r w:rsidRPr="0088780C">
              <w:rPr>
                <w:snapToGrid w:val="0"/>
                <w:kern w:val="22"/>
                <w:szCs w:val="22"/>
              </w:rPr>
              <w:t>9 May 2018</w:t>
            </w:r>
          </w:p>
          <w:p w14:paraId="328C6515" w14:textId="398334EC" w:rsidR="00CC4345" w:rsidRPr="0088780C" w:rsidRDefault="00CC4345" w:rsidP="001013AF">
            <w:pPr>
              <w:suppressLineNumbers/>
              <w:suppressAutoHyphens/>
              <w:kinsoku w:val="0"/>
              <w:overflowPunct w:val="0"/>
              <w:autoSpaceDE w:val="0"/>
              <w:autoSpaceDN w:val="0"/>
              <w:ind w:left="626"/>
              <w:rPr>
                <w:snapToGrid w:val="0"/>
                <w:kern w:val="22"/>
                <w:szCs w:val="22"/>
              </w:rPr>
            </w:pPr>
          </w:p>
          <w:p w14:paraId="4F0E9D83" w14:textId="799212A7" w:rsidR="00CC4345" w:rsidRPr="0088780C" w:rsidRDefault="00CC4345" w:rsidP="001013AF">
            <w:pPr>
              <w:suppressLineNumbers/>
              <w:suppressAutoHyphens/>
              <w:kinsoku w:val="0"/>
              <w:overflowPunct w:val="0"/>
              <w:autoSpaceDE w:val="0"/>
              <w:autoSpaceDN w:val="0"/>
              <w:ind w:left="626"/>
              <w:jc w:val="left"/>
              <w:rPr>
                <w:snapToGrid w:val="0"/>
                <w:kern w:val="22"/>
                <w:szCs w:val="22"/>
              </w:rPr>
            </w:pPr>
            <w:r w:rsidRPr="0088780C">
              <w:rPr>
                <w:snapToGrid w:val="0"/>
                <w:kern w:val="22"/>
                <w:szCs w:val="22"/>
              </w:rPr>
              <w:t>ORIGINAL: ENGLISH</w:t>
            </w:r>
            <w:r w:rsidR="00E761EB" w:rsidRPr="0088780C">
              <w:rPr>
                <w:snapToGrid w:val="0"/>
                <w:kern w:val="22"/>
                <w:szCs w:val="22"/>
              </w:rPr>
              <w:t>/</w:t>
            </w:r>
            <w:r w:rsidR="00812072" w:rsidRPr="0088780C">
              <w:rPr>
                <w:snapToGrid w:val="0"/>
                <w:kern w:val="22"/>
                <w:szCs w:val="22"/>
              </w:rPr>
              <w:t>RUSSIAN</w:t>
            </w:r>
          </w:p>
        </w:tc>
      </w:tr>
    </w:tbl>
    <w:p w14:paraId="340D54C5" w14:textId="52B523DC" w:rsidR="006E566B" w:rsidRDefault="00E7219D" w:rsidP="001013AF">
      <w:pPr>
        <w:keepNext/>
        <w:suppressLineNumbers/>
        <w:suppressAutoHyphens/>
        <w:kinsoku w:val="0"/>
        <w:overflowPunct w:val="0"/>
        <w:autoSpaceDE w:val="0"/>
        <w:autoSpaceDN w:val="0"/>
        <w:spacing w:before="240" w:after="120"/>
        <w:jc w:val="center"/>
        <w:outlineLvl w:val="0"/>
        <w:rPr>
          <w:b/>
          <w:bCs/>
          <w:caps/>
          <w:snapToGrid w:val="0"/>
          <w:kern w:val="22"/>
          <w:szCs w:val="22"/>
        </w:rPr>
      </w:pPr>
      <w:sdt>
        <w:sdtPr>
          <w:rPr>
            <w:b/>
            <w:bCs/>
            <w:caps/>
            <w:snapToGrid w:val="0"/>
            <w:kern w:val="22"/>
            <w:szCs w:val="22"/>
          </w:rPr>
          <w:alias w:val="Title"/>
          <w:tag w:val=""/>
          <w:id w:val="888378883"/>
          <w:placeholder>
            <w:docPart w:val="30DB5A3B57D1474CA64230B075013402"/>
          </w:placeholder>
          <w:dataBinding w:prefixMappings="xmlns:ns0='http://purl.org/dc/elements/1.1/' xmlns:ns1='http://schemas.openxmlformats.org/package/2006/metadata/core-properties' " w:xpath="/ns1:coreProperties[1]/ns0:title[1]" w:storeItemID="{6C3C8BC8-F283-45AE-878A-BAB7291924A1}"/>
          <w:text/>
        </w:sdtPr>
        <w:sdtEndPr/>
        <w:sdtContent>
          <w:r w:rsidR="00FD18D4" w:rsidRPr="0088780C">
            <w:rPr>
              <w:b/>
              <w:bCs/>
              <w:caps/>
              <w:snapToGrid w:val="0"/>
              <w:kern w:val="22"/>
              <w:szCs w:val="22"/>
            </w:rPr>
            <w:t>Report of the Regional Workshop to Facilitate the Description of Ecologically or Biologically Significant Marine Areas in the Black Sea and Caspian Sea</w:t>
          </w:r>
        </w:sdtContent>
      </w:sdt>
      <w:r w:rsidR="00FD5B51" w:rsidRPr="0088780C">
        <w:rPr>
          <w:rStyle w:val="FootnoteReference"/>
          <w:b/>
          <w:snapToGrid w:val="0"/>
          <w:kern w:val="22"/>
          <w:sz w:val="22"/>
          <w:szCs w:val="22"/>
          <w:u w:val="none"/>
          <w:vertAlign w:val="superscript"/>
        </w:rPr>
        <w:footnoteReference w:id="1"/>
      </w:r>
    </w:p>
    <w:p w14:paraId="0A2D876A" w14:textId="4BBD92D5" w:rsidR="00E7219D" w:rsidRPr="0088780C" w:rsidRDefault="00E7219D" w:rsidP="001013AF">
      <w:pPr>
        <w:keepNext/>
        <w:suppressLineNumbers/>
        <w:suppressAutoHyphens/>
        <w:kinsoku w:val="0"/>
        <w:overflowPunct w:val="0"/>
        <w:autoSpaceDE w:val="0"/>
        <w:autoSpaceDN w:val="0"/>
        <w:spacing w:before="240" w:after="120"/>
        <w:jc w:val="center"/>
        <w:outlineLvl w:val="0"/>
        <w:rPr>
          <w:b/>
          <w:snapToGrid w:val="0"/>
          <w:kern w:val="22"/>
          <w:szCs w:val="22"/>
        </w:rPr>
      </w:pPr>
      <w:r>
        <w:rPr>
          <w:b/>
          <w:bCs/>
          <w:snapToGrid w:val="0"/>
          <w:kern w:val="22"/>
          <w:szCs w:val="22"/>
        </w:rPr>
        <w:t xml:space="preserve">Baku, </w:t>
      </w:r>
      <w:r>
        <w:rPr>
          <w:b/>
          <w:bCs/>
          <w:caps/>
          <w:snapToGrid w:val="0"/>
          <w:kern w:val="22"/>
          <w:szCs w:val="22"/>
        </w:rPr>
        <w:t>24-</w:t>
      </w:r>
      <w:r>
        <w:rPr>
          <w:b/>
          <w:bCs/>
          <w:snapToGrid w:val="0"/>
          <w:kern w:val="22"/>
          <w:szCs w:val="22"/>
        </w:rPr>
        <w:t>29 April 2017</w:t>
      </w:r>
    </w:p>
    <w:p w14:paraId="7E79DCE2" w14:textId="1261D01B" w:rsidR="004D21E2" w:rsidRPr="0088780C" w:rsidRDefault="00826E9D" w:rsidP="001013AF">
      <w:pPr>
        <w:keepNext/>
        <w:suppressLineNumbers/>
        <w:suppressAutoHyphens/>
        <w:kinsoku w:val="0"/>
        <w:overflowPunct w:val="0"/>
        <w:autoSpaceDE w:val="0"/>
        <w:autoSpaceDN w:val="0"/>
        <w:spacing w:afterLines="50" w:after="120"/>
        <w:jc w:val="center"/>
        <w:outlineLvl w:val="0"/>
        <w:rPr>
          <w:rFonts w:ascii="Times New Roman Bold" w:hAnsi="Times New Roman Bold" w:cs="Times New Roman Bold"/>
          <w:b/>
          <w:snapToGrid w:val="0"/>
          <w:kern w:val="22"/>
          <w:szCs w:val="22"/>
        </w:rPr>
      </w:pPr>
      <w:r w:rsidRPr="0088780C">
        <w:rPr>
          <w:rFonts w:ascii="Times New Roman Bold" w:hAnsi="Times New Roman Bold" w:cs="Times New Roman Bold"/>
          <w:b/>
          <w:snapToGrid w:val="0"/>
          <w:kern w:val="22"/>
          <w:szCs w:val="22"/>
        </w:rPr>
        <w:t>INTRODUCTION</w:t>
      </w:r>
    </w:p>
    <w:p w14:paraId="241BC9B5" w14:textId="41B0D64B" w:rsidR="007E0484" w:rsidRPr="0088780C" w:rsidRDefault="006B7486" w:rsidP="001013AF">
      <w:pPr>
        <w:numPr>
          <w:ilvl w:val="0"/>
          <w:numId w:val="5"/>
        </w:numPr>
        <w:suppressLineNumbers/>
        <w:suppressAutoHyphens/>
        <w:kinsoku w:val="0"/>
        <w:overflowPunct w:val="0"/>
        <w:autoSpaceDE w:val="0"/>
        <w:autoSpaceDN w:val="0"/>
        <w:spacing w:afterLines="50" w:after="120"/>
        <w:ind w:left="0" w:firstLine="0"/>
        <w:rPr>
          <w:iCs/>
          <w:snapToGrid w:val="0"/>
          <w:kern w:val="22"/>
          <w:szCs w:val="22"/>
          <w:lang w:eastAsia="ko-KR"/>
        </w:rPr>
      </w:pPr>
      <w:r w:rsidRPr="0088780C">
        <w:rPr>
          <w:iCs/>
          <w:snapToGrid w:val="0"/>
          <w:kern w:val="22"/>
          <w:szCs w:val="22"/>
          <w:lang w:eastAsia="ko-KR"/>
        </w:rPr>
        <w:t xml:space="preserve">At its tenth meeting, the Conference of the Parties to the Convention on Biological Diversity requested the Executive Secretary to work with Parties and other Governments as well as competent organizations and regional initiatives, such as the Food and Agriculture Organization of the United Nations, regional seas conventions and action plans, and, where appropriate, regional fisheries management organizations to organize, including the setting of terms of reference, a series of regional workshops, with a primary objective to facilitate the description of ecologically or biologically significant marine areas through the application of scientific criteria in annex I of decision </w:t>
      </w:r>
      <w:hyperlink r:id="rId11" w:history="1">
        <w:r w:rsidRPr="0088780C">
          <w:rPr>
            <w:rStyle w:val="Hyperlink"/>
            <w:snapToGrid w:val="0"/>
            <w:kern w:val="22"/>
            <w:szCs w:val="22"/>
            <w:lang w:eastAsia="ko-KR"/>
          </w:rPr>
          <w:t>IX/20</w:t>
        </w:r>
      </w:hyperlink>
      <w:r w:rsidRPr="0088780C">
        <w:rPr>
          <w:iCs/>
          <w:snapToGrid w:val="0"/>
          <w:kern w:val="22"/>
          <w:szCs w:val="22"/>
          <w:lang w:eastAsia="ko-KR"/>
        </w:rPr>
        <w:t xml:space="preserve"> as well as other relevant compatible and complementary nationally and intergovernmentally agreed scientific criteria, as well as the scientific guidance on the identification of marine areas beyond national jurisdiction, which meet the scientific criteria in anne</w:t>
      </w:r>
      <w:r w:rsidR="00E0583E" w:rsidRPr="0088780C">
        <w:rPr>
          <w:iCs/>
          <w:snapToGrid w:val="0"/>
          <w:kern w:val="22"/>
          <w:szCs w:val="22"/>
          <w:lang w:eastAsia="ko-KR"/>
        </w:rPr>
        <w:t>x I to decision IX/20 (para.</w:t>
      </w:r>
      <w:r w:rsidRPr="0088780C">
        <w:rPr>
          <w:iCs/>
          <w:snapToGrid w:val="0"/>
          <w:kern w:val="22"/>
          <w:szCs w:val="22"/>
          <w:lang w:eastAsia="ko-KR"/>
        </w:rPr>
        <w:t xml:space="preserve"> 36 of decis</w:t>
      </w:r>
      <w:bookmarkStart w:id="0" w:name="_GoBack"/>
      <w:bookmarkEnd w:id="0"/>
      <w:r w:rsidRPr="0088780C">
        <w:rPr>
          <w:iCs/>
          <w:snapToGrid w:val="0"/>
          <w:kern w:val="22"/>
          <w:szCs w:val="22"/>
          <w:lang w:eastAsia="ko-KR"/>
        </w:rPr>
        <w:t>ion X/29).</w:t>
      </w:r>
    </w:p>
    <w:p w14:paraId="5915E51E" w14:textId="515B6B1F" w:rsidR="00A252BC" w:rsidRPr="0088780C" w:rsidRDefault="006B7486" w:rsidP="001013AF">
      <w:pPr>
        <w:numPr>
          <w:ilvl w:val="0"/>
          <w:numId w:val="5"/>
        </w:numPr>
        <w:suppressLineNumbers/>
        <w:suppressAutoHyphens/>
        <w:kinsoku w:val="0"/>
        <w:overflowPunct w:val="0"/>
        <w:autoSpaceDE w:val="0"/>
        <w:autoSpaceDN w:val="0"/>
        <w:spacing w:afterLines="50" w:after="120"/>
        <w:ind w:left="0" w:firstLine="0"/>
        <w:rPr>
          <w:iCs/>
          <w:snapToGrid w:val="0"/>
          <w:kern w:val="22"/>
          <w:szCs w:val="22"/>
          <w:lang w:eastAsia="ko-KR"/>
        </w:rPr>
      </w:pPr>
      <w:r w:rsidRPr="0088780C">
        <w:rPr>
          <w:iCs/>
          <w:snapToGrid w:val="0"/>
          <w:kern w:val="22"/>
          <w:szCs w:val="22"/>
          <w:lang w:eastAsia="ko-KR"/>
        </w:rPr>
        <w:t>In the same decision, the Conference of the Parties requested that the Executive Secretary make available the scientific and technical data</w:t>
      </w:r>
      <w:r w:rsidR="00F01172" w:rsidRPr="0088780C">
        <w:rPr>
          <w:iCs/>
          <w:snapToGrid w:val="0"/>
          <w:kern w:val="22"/>
          <w:szCs w:val="22"/>
          <w:lang w:eastAsia="ko-KR"/>
        </w:rPr>
        <w:t>,</w:t>
      </w:r>
      <w:r w:rsidRPr="0088780C">
        <w:rPr>
          <w:iCs/>
          <w:snapToGrid w:val="0"/>
          <w:kern w:val="22"/>
          <w:szCs w:val="22"/>
          <w:lang w:eastAsia="ko-KR"/>
        </w:rPr>
        <w:t xml:space="preserve"> information and results collated through the workshops referred to above to participating Parties, other Governments, intergovernmental agencies and the Subsidiary Body on Scientific, Technical and Technological Advice (SBSTTA) for their use according to their competencies.</w:t>
      </w:r>
    </w:p>
    <w:p w14:paraId="38038ADD" w14:textId="6F2E77FB" w:rsidR="00062206" w:rsidRPr="0088780C" w:rsidRDefault="00A252BC" w:rsidP="001013AF">
      <w:pPr>
        <w:numPr>
          <w:ilvl w:val="0"/>
          <w:numId w:val="5"/>
        </w:numPr>
        <w:suppressLineNumbers/>
        <w:suppressAutoHyphens/>
        <w:kinsoku w:val="0"/>
        <w:overflowPunct w:val="0"/>
        <w:autoSpaceDE w:val="0"/>
        <w:autoSpaceDN w:val="0"/>
        <w:spacing w:afterLines="50" w:after="120"/>
        <w:ind w:left="0" w:firstLine="0"/>
        <w:rPr>
          <w:iCs/>
          <w:snapToGrid w:val="0"/>
          <w:kern w:val="22"/>
          <w:szCs w:val="22"/>
          <w:lang w:eastAsia="ko-KR"/>
        </w:rPr>
      </w:pPr>
      <w:r w:rsidRPr="0088780C">
        <w:rPr>
          <w:snapToGrid w:val="0"/>
          <w:kern w:val="22"/>
          <w:szCs w:val="22"/>
        </w:rPr>
        <w:t>Subsequently, at its eleventh</w:t>
      </w:r>
      <w:r w:rsidR="00371D82" w:rsidRPr="0088780C">
        <w:rPr>
          <w:snapToGrid w:val="0"/>
          <w:kern w:val="22"/>
          <w:szCs w:val="22"/>
        </w:rPr>
        <w:t>,</w:t>
      </w:r>
      <w:r w:rsidRPr="0088780C">
        <w:rPr>
          <w:snapToGrid w:val="0"/>
          <w:kern w:val="22"/>
          <w:szCs w:val="22"/>
        </w:rPr>
        <w:t xml:space="preserve"> twelfth</w:t>
      </w:r>
      <w:r w:rsidR="00371D82" w:rsidRPr="0088780C">
        <w:rPr>
          <w:snapToGrid w:val="0"/>
          <w:kern w:val="22"/>
          <w:szCs w:val="22"/>
        </w:rPr>
        <w:t xml:space="preserve"> and thirteenth</w:t>
      </w:r>
      <w:r w:rsidRPr="0088780C">
        <w:rPr>
          <w:snapToGrid w:val="0"/>
          <w:kern w:val="22"/>
          <w:szCs w:val="22"/>
        </w:rPr>
        <w:t xml:space="preserve"> meetings, the Conference of the Parties reviewed the outcomes, respectively, of the first</w:t>
      </w:r>
      <w:r w:rsidR="00371D82" w:rsidRPr="0088780C">
        <w:rPr>
          <w:snapToGrid w:val="0"/>
          <w:kern w:val="22"/>
          <w:szCs w:val="22"/>
        </w:rPr>
        <w:t xml:space="preserve">, </w:t>
      </w:r>
      <w:r w:rsidRPr="0088780C">
        <w:rPr>
          <w:snapToGrid w:val="0"/>
          <w:kern w:val="22"/>
          <w:szCs w:val="22"/>
        </w:rPr>
        <w:t>second</w:t>
      </w:r>
      <w:r w:rsidR="00371D82" w:rsidRPr="0088780C">
        <w:rPr>
          <w:snapToGrid w:val="0"/>
          <w:kern w:val="22"/>
          <w:szCs w:val="22"/>
        </w:rPr>
        <w:t xml:space="preserve"> and third</w:t>
      </w:r>
      <w:r w:rsidRPr="0088780C">
        <w:rPr>
          <w:snapToGrid w:val="0"/>
          <w:kern w:val="22"/>
          <w:szCs w:val="22"/>
        </w:rPr>
        <w:t xml:space="preserve"> set of regional workshops conducted and requested the Executive Secretary to further collaborate with Parties, other Governments, competent organizations, and global and regional initiatives,</w:t>
      </w:r>
      <w:r w:rsidRPr="0088780C">
        <w:rPr>
          <w:i/>
          <w:snapToGrid w:val="0"/>
          <w:kern w:val="22"/>
          <w:szCs w:val="22"/>
        </w:rPr>
        <w:t xml:space="preserve"> </w:t>
      </w:r>
      <w:r w:rsidRPr="0088780C">
        <w:rPr>
          <w:snapToGrid w:val="0"/>
          <w:kern w:val="22"/>
          <w:szCs w:val="22"/>
        </w:rPr>
        <w:t xml:space="preserve">such as </w:t>
      </w:r>
      <w:r w:rsidRPr="0088780C">
        <w:rPr>
          <w:snapToGrid w:val="0"/>
          <w:color w:val="000000"/>
          <w:kern w:val="22"/>
          <w:szCs w:val="22"/>
        </w:rPr>
        <w:t>the United Nations General Assembly Ad Hoc Working Group of the Whole on the Regular Process for Global Reporting and Assessment of the State of the Marine Environment, including Socio-economic Aspects</w:t>
      </w:r>
      <w:r w:rsidRPr="0088780C">
        <w:rPr>
          <w:snapToGrid w:val="0"/>
          <w:kern w:val="22"/>
          <w:szCs w:val="22"/>
        </w:rPr>
        <w:t>, the International Maritime Organization, the Food and Agriculture Organization of the United Nations, regional seas conventions and action plans, and, where appropriate, regional fisheries management organizations, with regard to fisheries management</w:t>
      </w:r>
      <w:r w:rsidRPr="0088780C">
        <w:rPr>
          <w:i/>
          <w:snapToGrid w:val="0"/>
          <w:kern w:val="22"/>
          <w:szCs w:val="22"/>
        </w:rPr>
        <w:t xml:space="preserve">, </w:t>
      </w:r>
      <w:r w:rsidRPr="0088780C">
        <w:rPr>
          <w:snapToGrid w:val="0"/>
          <w:kern w:val="22"/>
          <w:szCs w:val="22"/>
        </w:rPr>
        <w:t>and also including the participation of indigenous and local communities</w:t>
      </w:r>
      <w:r w:rsidRPr="0088780C">
        <w:rPr>
          <w:i/>
          <w:snapToGrid w:val="0"/>
          <w:kern w:val="22"/>
          <w:szCs w:val="22"/>
        </w:rPr>
        <w:t xml:space="preserve">, </w:t>
      </w:r>
      <w:r w:rsidRPr="0088780C">
        <w:rPr>
          <w:snapToGrid w:val="0"/>
          <w:kern w:val="22"/>
          <w:szCs w:val="22"/>
        </w:rPr>
        <w:t>to facilitate the description of areas that meet the criteria for EBSAs through the organization of additional regional or subregional workshops for the remaining regions or subregions where Parties wish workshops to be held, and for the further description of the areas already described where new information becomes available (decisions XI/17</w:t>
      </w:r>
      <w:r w:rsidR="00371D82" w:rsidRPr="0088780C">
        <w:rPr>
          <w:snapToGrid w:val="0"/>
          <w:kern w:val="22"/>
          <w:szCs w:val="22"/>
        </w:rPr>
        <w:t>,</w:t>
      </w:r>
      <w:r w:rsidRPr="0088780C">
        <w:rPr>
          <w:snapToGrid w:val="0"/>
          <w:kern w:val="22"/>
          <w:szCs w:val="22"/>
        </w:rPr>
        <w:t xml:space="preserve"> XII/22</w:t>
      </w:r>
      <w:r w:rsidR="00371D82" w:rsidRPr="0088780C">
        <w:rPr>
          <w:snapToGrid w:val="0"/>
          <w:kern w:val="22"/>
          <w:szCs w:val="22"/>
        </w:rPr>
        <w:t xml:space="preserve"> and XIII/12</w:t>
      </w:r>
      <w:r w:rsidRPr="0088780C">
        <w:rPr>
          <w:snapToGrid w:val="0"/>
          <w:kern w:val="22"/>
          <w:szCs w:val="22"/>
        </w:rPr>
        <w:t>).</w:t>
      </w:r>
    </w:p>
    <w:p w14:paraId="7AF30764" w14:textId="3819CD71" w:rsidR="00062206" w:rsidRPr="0088780C" w:rsidRDefault="00927C81" w:rsidP="001013AF">
      <w:pPr>
        <w:numPr>
          <w:ilvl w:val="0"/>
          <w:numId w:val="5"/>
        </w:numPr>
        <w:suppressLineNumbers/>
        <w:suppressAutoHyphens/>
        <w:kinsoku w:val="0"/>
        <w:overflowPunct w:val="0"/>
        <w:autoSpaceDE w:val="0"/>
        <w:autoSpaceDN w:val="0"/>
        <w:spacing w:afterLines="50" w:after="120"/>
        <w:ind w:left="0" w:firstLine="0"/>
        <w:rPr>
          <w:iCs/>
          <w:snapToGrid w:val="0"/>
          <w:kern w:val="22"/>
          <w:szCs w:val="22"/>
          <w:lang w:eastAsia="ko-KR"/>
        </w:rPr>
      </w:pPr>
      <w:r w:rsidRPr="0088780C">
        <w:rPr>
          <w:iCs/>
          <w:snapToGrid w:val="0"/>
          <w:kern w:val="22"/>
          <w:szCs w:val="22"/>
          <w:lang w:eastAsia="ko-KR"/>
        </w:rPr>
        <w:lastRenderedPageBreak/>
        <w:t>Pursuant to the above requests and with financial support from the Government of Japan, through the Japan Biodiversity Fund, the Secretariat of the Convention on Biological Diversity convened</w:t>
      </w:r>
      <w:r w:rsidR="00062206" w:rsidRPr="0088780C">
        <w:rPr>
          <w:iCs/>
          <w:snapToGrid w:val="0"/>
          <w:kern w:val="22"/>
          <w:szCs w:val="22"/>
          <w:lang w:eastAsia="ko-KR"/>
        </w:rPr>
        <w:t xml:space="preserve"> the </w:t>
      </w:r>
      <w:r w:rsidR="00062206" w:rsidRPr="0088780C">
        <w:rPr>
          <w:snapToGrid w:val="0"/>
          <w:kern w:val="22"/>
          <w:szCs w:val="22"/>
        </w:rPr>
        <w:t xml:space="preserve">Regional Workshop to Facilitate the Description of Ecologically or Biologically Significant Marine Areas (EBSAs) in the </w:t>
      </w:r>
      <w:r w:rsidR="008B1AC4" w:rsidRPr="0088780C">
        <w:rPr>
          <w:snapToGrid w:val="0"/>
          <w:kern w:val="22"/>
          <w:szCs w:val="22"/>
        </w:rPr>
        <w:t>Black Sea and Caspian Sea</w:t>
      </w:r>
      <w:r w:rsidR="00062206" w:rsidRPr="0088780C">
        <w:rPr>
          <w:snapToGrid w:val="0"/>
          <w:kern w:val="22"/>
          <w:szCs w:val="22"/>
        </w:rPr>
        <w:t xml:space="preserve">. </w:t>
      </w:r>
      <w:r w:rsidR="008B1AC4" w:rsidRPr="0088780C">
        <w:rPr>
          <w:snapToGrid w:val="0"/>
          <w:kern w:val="22"/>
          <w:szCs w:val="22"/>
        </w:rPr>
        <w:t>The workshop was organized in collaboration with the Commission on the Protection of the Black Sea against Pollution (BSC), the Tehran Convention Interim Secretariat (TCIS), the General Fisheries Commission for the Mediterranean (GFCM) and the Agreement on the Conservation of Cetaceans of the Black Sea, Mediterranean Sea and Contiguous Atlantic Area (ACCOBAMS). This workshop was hosted by the Government Azerbaijan in Baku, Azerbaijan, from 24 to 29 April 2017.</w:t>
      </w:r>
    </w:p>
    <w:p w14:paraId="2213C307" w14:textId="6DC9E84C" w:rsidR="00C17749" w:rsidRPr="0088780C" w:rsidRDefault="0072452C" w:rsidP="001013AF">
      <w:pPr>
        <w:numPr>
          <w:ilvl w:val="0"/>
          <w:numId w:val="5"/>
        </w:numPr>
        <w:suppressLineNumbers/>
        <w:suppressAutoHyphens/>
        <w:kinsoku w:val="0"/>
        <w:overflowPunct w:val="0"/>
        <w:autoSpaceDE w:val="0"/>
        <w:autoSpaceDN w:val="0"/>
        <w:spacing w:afterLines="50" w:after="120"/>
        <w:ind w:left="0" w:firstLine="0"/>
        <w:rPr>
          <w:bCs/>
          <w:snapToGrid w:val="0"/>
          <w:kern w:val="22"/>
          <w:szCs w:val="22"/>
        </w:rPr>
      </w:pPr>
      <w:r w:rsidRPr="0088780C">
        <w:rPr>
          <w:snapToGrid w:val="0"/>
          <w:kern w:val="22"/>
          <w:szCs w:val="22"/>
        </w:rPr>
        <w:t xml:space="preserve">Scientific and technical support for this workshop was provided by </w:t>
      </w:r>
      <w:r w:rsidR="008B1AC4" w:rsidRPr="0088780C">
        <w:rPr>
          <w:snapToGrid w:val="0"/>
          <w:kern w:val="22"/>
          <w:szCs w:val="22"/>
        </w:rPr>
        <w:t>Duke University</w:t>
      </w:r>
      <w:r w:rsidR="00371D82" w:rsidRPr="0088780C">
        <w:rPr>
          <w:snapToGrid w:val="0"/>
          <w:kern w:val="22"/>
          <w:szCs w:val="22"/>
        </w:rPr>
        <w:t xml:space="preserve"> with financial support from the European Union</w:t>
      </w:r>
      <w:r w:rsidR="00457FAD" w:rsidRPr="0088780C">
        <w:rPr>
          <w:snapToGrid w:val="0"/>
          <w:kern w:val="22"/>
          <w:szCs w:val="22"/>
        </w:rPr>
        <w:t xml:space="preserve">. </w:t>
      </w:r>
      <w:r w:rsidR="006B7486" w:rsidRPr="0088780C">
        <w:rPr>
          <w:iCs/>
          <w:snapToGrid w:val="0"/>
          <w:kern w:val="22"/>
          <w:szCs w:val="22"/>
        </w:rPr>
        <w:t>The results of technical preparation</w:t>
      </w:r>
      <w:r w:rsidR="00D54813" w:rsidRPr="0088780C">
        <w:rPr>
          <w:iCs/>
          <w:snapToGrid w:val="0"/>
          <w:kern w:val="22"/>
          <w:szCs w:val="22"/>
        </w:rPr>
        <w:t xml:space="preserve"> for the workshop</w:t>
      </w:r>
      <w:r w:rsidR="006B7486" w:rsidRPr="0088780C">
        <w:rPr>
          <w:iCs/>
          <w:snapToGrid w:val="0"/>
          <w:kern w:val="22"/>
          <w:szCs w:val="22"/>
        </w:rPr>
        <w:t xml:space="preserve"> were made available in the meeting document </w:t>
      </w:r>
      <w:r w:rsidR="00D54813" w:rsidRPr="0088780C">
        <w:rPr>
          <w:iCs/>
          <w:snapToGrid w:val="0"/>
          <w:kern w:val="22"/>
          <w:szCs w:val="22"/>
        </w:rPr>
        <w:t xml:space="preserve">entitled </w:t>
      </w:r>
      <w:r w:rsidR="00D8482D" w:rsidRPr="0088780C">
        <w:rPr>
          <w:iCs/>
          <w:snapToGrid w:val="0"/>
          <w:kern w:val="22"/>
          <w:szCs w:val="22"/>
        </w:rPr>
        <w:t>“</w:t>
      </w:r>
      <w:r w:rsidR="00C124B2" w:rsidRPr="0088780C">
        <w:rPr>
          <w:iCs/>
          <w:snapToGrid w:val="0"/>
          <w:kern w:val="22"/>
          <w:szCs w:val="22"/>
        </w:rPr>
        <w:t>Data t</w:t>
      </w:r>
      <w:r w:rsidR="00B925A1" w:rsidRPr="0088780C">
        <w:rPr>
          <w:iCs/>
          <w:snapToGrid w:val="0"/>
          <w:kern w:val="22"/>
          <w:szCs w:val="22"/>
        </w:rPr>
        <w:t xml:space="preserve">o Inform the CBD </w:t>
      </w:r>
      <w:r w:rsidR="006B7486" w:rsidRPr="0088780C">
        <w:rPr>
          <w:iCs/>
          <w:snapToGrid w:val="0"/>
          <w:kern w:val="22"/>
          <w:szCs w:val="22"/>
        </w:rPr>
        <w:t>Regional Workshop to Facilitate the Description of Ecologically or Biologically Significant Marine Areas</w:t>
      </w:r>
      <w:r w:rsidR="009335F2" w:rsidRPr="0088780C">
        <w:rPr>
          <w:iCs/>
          <w:snapToGrid w:val="0"/>
          <w:kern w:val="22"/>
          <w:szCs w:val="22"/>
        </w:rPr>
        <w:t xml:space="preserve"> in the Seas of the </w:t>
      </w:r>
      <w:r w:rsidR="008B1AC4" w:rsidRPr="0088780C">
        <w:rPr>
          <w:iCs/>
          <w:snapToGrid w:val="0"/>
          <w:kern w:val="22"/>
          <w:szCs w:val="22"/>
        </w:rPr>
        <w:t>Black Sea and Caspian Sea</w:t>
      </w:r>
      <w:r w:rsidR="00D8482D" w:rsidRPr="0088780C">
        <w:rPr>
          <w:iCs/>
          <w:snapToGrid w:val="0"/>
          <w:kern w:val="22"/>
          <w:szCs w:val="22"/>
        </w:rPr>
        <w:t>”</w:t>
      </w:r>
      <w:r w:rsidR="006B7486" w:rsidRPr="0088780C">
        <w:rPr>
          <w:iCs/>
          <w:snapToGrid w:val="0"/>
          <w:kern w:val="22"/>
          <w:szCs w:val="22"/>
        </w:rPr>
        <w:t xml:space="preserve"> (</w:t>
      </w:r>
      <w:r w:rsidR="008B1AC4" w:rsidRPr="0088780C">
        <w:rPr>
          <w:bCs/>
          <w:snapToGrid w:val="0"/>
          <w:kern w:val="22"/>
          <w:szCs w:val="22"/>
          <w:shd w:val="clear" w:color="auto" w:fill="FFFFFF"/>
        </w:rPr>
        <w:t>CBD/EBSA/WS/2017/1</w:t>
      </w:r>
      <w:r w:rsidR="00457FAD" w:rsidRPr="0088780C">
        <w:rPr>
          <w:bCs/>
          <w:snapToGrid w:val="0"/>
          <w:kern w:val="22"/>
          <w:szCs w:val="22"/>
          <w:shd w:val="clear" w:color="auto" w:fill="FFFFFF"/>
        </w:rPr>
        <w:t>/3</w:t>
      </w:r>
      <w:r w:rsidR="00D610B9" w:rsidRPr="0088780C">
        <w:rPr>
          <w:bCs/>
          <w:snapToGrid w:val="0"/>
          <w:kern w:val="22"/>
          <w:szCs w:val="22"/>
        </w:rPr>
        <w:t>).</w:t>
      </w:r>
    </w:p>
    <w:p w14:paraId="461A4755" w14:textId="75E1A058" w:rsidR="0072452C" w:rsidRPr="0088780C" w:rsidRDefault="00630056" w:rsidP="001013AF">
      <w:pPr>
        <w:numPr>
          <w:ilvl w:val="0"/>
          <w:numId w:val="5"/>
        </w:numPr>
        <w:suppressLineNumbers/>
        <w:suppressAutoHyphens/>
        <w:kinsoku w:val="0"/>
        <w:overflowPunct w:val="0"/>
        <w:autoSpaceDE w:val="0"/>
        <w:autoSpaceDN w:val="0"/>
        <w:spacing w:afterLines="50" w:after="120"/>
        <w:ind w:left="0" w:firstLine="0"/>
        <w:rPr>
          <w:bCs/>
          <w:snapToGrid w:val="0"/>
          <w:kern w:val="22"/>
          <w:szCs w:val="22"/>
        </w:rPr>
      </w:pPr>
      <w:r w:rsidRPr="0088780C">
        <w:rPr>
          <w:snapToGrid w:val="0"/>
          <w:kern w:val="22"/>
          <w:szCs w:val="22"/>
        </w:rPr>
        <w:t>The meeting was a</w:t>
      </w:r>
      <w:r w:rsidR="00C124B2" w:rsidRPr="0088780C">
        <w:rPr>
          <w:snapToGrid w:val="0"/>
          <w:kern w:val="22"/>
          <w:szCs w:val="22"/>
        </w:rPr>
        <w:t>ttended by experts from</w:t>
      </w:r>
      <w:r w:rsidR="00371D82" w:rsidRPr="0088780C">
        <w:rPr>
          <w:snapToGrid w:val="0"/>
          <w:kern w:val="22"/>
          <w:szCs w:val="22"/>
        </w:rPr>
        <w:t xml:space="preserve"> Azerbaijan, Bulgaria, Georgia, Iran, Kazakhstan, Romania, Russian Federation, Turkey, Turkmenistan, Ukrain</w:t>
      </w:r>
      <w:r w:rsidR="00610C79" w:rsidRPr="0088780C">
        <w:rPr>
          <w:snapToGrid w:val="0"/>
          <w:kern w:val="22"/>
          <w:szCs w:val="22"/>
        </w:rPr>
        <w:t>e</w:t>
      </w:r>
      <w:r w:rsidR="00371D82" w:rsidRPr="0088780C">
        <w:rPr>
          <w:snapToGrid w:val="0"/>
          <w:kern w:val="22"/>
          <w:szCs w:val="22"/>
        </w:rPr>
        <w:t xml:space="preserve">, BSC, TCIS, ACCOBAMS, Food and Agriculture Organization of the United Nations, </w:t>
      </w:r>
      <w:r w:rsidR="008D7BFA" w:rsidRPr="0088780C">
        <w:rPr>
          <w:snapToGrid w:val="0"/>
          <w:kern w:val="22"/>
          <w:szCs w:val="22"/>
        </w:rPr>
        <w:t>Ocean Biogeographic Information System (OBIS of the Intergovernmental Oceanographic Commission/United Nations Education, Science and Cultural Organization</w:t>
      </w:r>
      <w:r w:rsidR="00F95AD1" w:rsidRPr="0088780C">
        <w:rPr>
          <w:snapToGrid w:val="0"/>
          <w:kern w:val="22"/>
          <w:szCs w:val="22"/>
        </w:rPr>
        <w:t>)</w:t>
      </w:r>
      <w:r w:rsidR="008D7BFA" w:rsidRPr="0088780C">
        <w:rPr>
          <w:snapToGrid w:val="0"/>
          <w:kern w:val="22"/>
          <w:szCs w:val="22"/>
        </w:rPr>
        <w:t>, Global Ocean Biodiversity Initiative</w:t>
      </w:r>
      <w:r w:rsidR="0038543B" w:rsidRPr="0088780C">
        <w:rPr>
          <w:snapToGrid w:val="0"/>
          <w:kern w:val="22"/>
          <w:szCs w:val="22"/>
        </w:rPr>
        <w:t xml:space="preserve"> (GOBI)</w:t>
      </w:r>
      <w:r w:rsidR="008D7BFA" w:rsidRPr="0088780C">
        <w:rPr>
          <w:snapToGrid w:val="0"/>
          <w:kern w:val="22"/>
          <w:szCs w:val="22"/>
        </w:rPr>
        <w:t>, Bird</w:t>
      </w:r>
      <w:r w:rsidR="00F95AD1" w:rsidRPr="0088780C">
        <w:rPr>
          <w:snapToGrid w:val="0"/>
          <w:kern w:val="22"/>
          <w:szCs w:val="22"/>
        </w:rPr>
        <w:t>L</w:t>
      </w:r>
      <w:r w:rsidR="008D7BFA" w:rsidRPr="0088780C">
        <w:rPr>
          <w:snapToGrid w:val="0"/>
          <w:kern w:val="22"/>
          <w:szCs w:val="22"/>
        </w:rPr>
        <w:t>ife International and Centre for Sustainable Development/</w:t>
      </w:r>
      <w:r w:rsidR="00F95AD1" w:rsidRPr="0088780C">
        <w:rPr>
          <w:snapToGrid w:val="0"/>
          <w:kern w:val="22"/>
          <w:szCs w:val="22"/>
        </w:rPr>
        <w:t xml:space="preserve">Indigenous </w:t>
      </w:r>
      <w:r w:rsidR="00BA7A4C" w:rsidRPr="0088780C">
        <w:rPr>
          <w:snapToGrid w:val="0"/>
          <w:kern w:val="22"/>
          <w:szCs w:val="22"/>
        </w:rPr>
        <w:t>Peoples’ and Community C</w:t>
      </w:r>
      <w:r w:rsidR="00F95AD1" w:rsidRPr="0088780C">
        <w:rPr>
          <w:snapToGrid w:val="0"/>
          <w:kern w:val="22"/>
          <w:szCs w:val="22"/>
        </w:rPr>
        <w:t xml:space="preserve">onserved </w:t>
      </w:r>
      <w:r w:rsidR="00BA7A4C" w:rsidRPr="0088780C">
        <w:rPr>
          <w:snapToGrid w:val="0"/>
          <w:kern w:val="22"/>
          <w:szCs w:val="22"/>
        </w:rPr>
        <w:t xml:space="preserve">Territories and </w:t>
      </w:r>
      <w:r w:rsidR="00E42EA8" w:rsidRPr="0088780C">
        <w:rPr>
          <w:snapToGrid w:val="0"/>
          <w:kern w:val="22"/>
          <w:szCs w:val="22"/>
        </w:rPr>
        <w:t>A</w:t>
      </w:r>
      <w:r w:rsidR="00F95AD1" w:rsidRPr="0088780C">
        <w:rPr>
          <w:snapToGrid w:val="0"/>
          <w:kern w:val="22"/>
          <w:szCs w:val="22"/>
        </w:rPr>
        <w:t>reas (</w:t>
      </w:r>
      <w:r w:rsidR="008D7BFA" w:rsidRPr="0088780C">
        <w:rPr>
          <w:snapToGrid w:val="0"/>
          <w:kern w:val="22"/>
          <w:szCs w:val="22"/>
        </w:rPr>
        <w:t>ICCA</w:t>
      </w:r>
      <w:r w:rsidR="00F95AD1" w:rsidRPr="0088780C">
        <w:rPr>
          <w:snapToGrid w:val="0"/>
          <w:kern w:val="22"/>
          <w:szCs w:val="22"/>
        </w:rPr>
        <w:t>)</w:t>
      </w:r>
      <w:r w:rsidR="008D7BFA" w:rsidRPr="0088780C">
        <w:rPr>
          <w:snapToGrid w:val="0"/>
          <w:kern w:val="22"/>
          <w:szCs w:val="22"/>
        </w:rPr>
        <w:t xml:space="preserve"> Consortium for West and Central Asia.</w:t>
      </w:r>
      <w:r w:rsidR="00D5224A" w:rsidRPr="0088780C">
        <w:rPr>
          <w:snapToGrid w:val="0"/>
          <w:kern w:val="22"/>
          <w:szCs w:val="22"/>
        </w:rPr>
        <w:t xml:space="preserve"> </w:t>
      </w:r>
      <w:r w:rsidR="0072452C" w:rsidRPr="0088780C">
        <w:rPr>
          <w:snapToGrid w:val="0"/>
          <w:kern w:val="22"/>
          <w:szCs w:val="22"/>
        </w:rPr>
        <w:t>The full list of participants is attached as annex</w:t>
      </w:r>
      <w:r w:rsidR="009548EA" w:rsidRPr="0088780C">
        <w:rPr>
          <w:snapToGrid w:val="0"/>
          <w:kern w:val="22"/>
          <w:szCs w:val="22"/>
        </w:rPr>
        <w:t> </w:t>
      </w:r>
      <w:r w:rsidR="0072452C" w:rsidRPr="0088780C">
        <w:rPr>
          <w:snapToGrid w:val="0"/>
          <w:kern w:val="22"/>
          <w:szCs w:val="22"/>
        </w:rPr>
        <w:t>I.</w:t>
      </w:r>
    </w:p>
    <w:p w14:paraId="2B3D3093" w14:textId="57F7B9FD" w:rsidR="00DB3C52" w:rsidRPr="0088780C" w:rsidRDefault="00826E9D" w:rsidP="001013AF">
      <w:pPr>
        <w:pStyle w:val="Heading1"/>
        <w:suppressLineNumbers/>
        <w:tabs>
          <w:tab w:val="clear" w:pos="720"/>
          <w:tab w:val="left" w:pos="900"/>
        </w:tabs>
        <w:suppressAutoHyphens/>
        <w:kinsoku w:val="0"/>
        <w:overflowPunct w:val="0"/>
        <w:autoSpaceDE w:val="0"/>
        <w:autoSpaceDN w:val="0"/>
        <w:spacing w:before="0" w:afterLines="50"/>
        <w:rPr>
          <w:rFonts w:ascii="Times New Roman Bold" w:hAnsi="Times New Roman Bold" w:cs="Times New Roman Bold"/>
          <w:caps w:val="0"/>
          <w:snapToGrid w:val="0"/>
          <w:color w:val="FF0000"/>
          <w:kern w:val="22"/>
          <w:szCs w:val="22"/>
        </w:rPr>
      </w:pPr>
      <w:r w:rsidRPr="0088780C">
        <w:rPr>
          <w:rFonts w:ascii="Times New Roman Bold" w:hAnsi="Times New Roman Bold" w:cs="Times New Roman Bold"/>
          <w:caps w:val="0"/>
          <w:snapToGrid w:val="0"/>
          <w:kern w:val="22"/>
          <w:szCs w:val="22"/>
        </w:rPr>
        <w:t>ITEM 1.</w:t>
      </w:r>
      <w:r w:rsidRPr="0088780C">
        <w:rPr>
          <w:rFonts w:ascii="Times New Roman Bold" w:hAnsi="Times New Roman Bold" w:cs="Times New Roman Bold"/>
          <w:caps w:val="0"/>
          <w:snapToGrid w:val="0"/>
          <w:kern w:val="22"/>
          <w:szCs w:val="22"/>
        </w:rPr>
        <w:tab/>
        <w:t>OPENING OF THE MEETING</w:t>
      </w:r>
    </w:p>
    <w:p w14:paraId="4B6B119C" w14:textId="54213682" w:rsidR="00533467" w:rsidRPr="0088780C" w:rsidRDefault="00533467" w:rsidP="001013AF">
      <w:pPr>
        <w:pStyle w:val="ListParagraph"/>
        <w:numPr>
          <w:ilvl w:val="0"/>
          <w:numId w:val="5"/>
        </w:numPr>
        <w:suppressLineNumbers/>
        <w:suppressAutoHyphens/>
        <w:kinsoku w:val="0"/>
        <w:overflowPunct w:val="0"/>
        <w:autoSpaceDE w:val="0"/>
        <w:autoSpaceDN w:val="0"/>
        <w:spacing w:after="120"/>
        <w:ind w:leftChars="0" w:left="0" w:firstLine="0"/>
        <w:rPr>
          <w:snapToGrid w:val="0"/>
          <w:kern w:val="22"/>
          <w:szCs w:val="22"/>
        </w:rPr>
      </w:pPr>
      <w:r w:rsidRPr="0088780C">
        <w:rPr>
          <w:snapToGrid w:val="0"/>
          <w:kern w:val="22"/>
          <w:szCs w:val="22"/>
        </w:rPr>
        <w:t xml:space="preserve">On behalf of the Government of the Republic of Azerbaijan, Mr. Rauf Hajiyev, Deputy Minister of Ecology and Natural Resources, welcomed the representatives of the Secretariat of the Convention on Biological Diversity, as well as all workshop participants. He noted the significance of this workshop in terms of the problems associated with the decline in global biodiversity and the importance of the conservation of the unique marine biodiversity and ecosystems of the Black Sea and the Caspian Sea for the entire region.  He stressed the importance of the Sustainable Development Goals set out in the </w:t>
      </w:r>
      <w:r w:rsidR="00D368AC" w:rsidRPr="0088780C">
        <w:rPr>
          <w:snapToGrid w:val="0"/>
          <w:kern w:val="22"/>
          <w:szCs w:val="22"/>
        </w:rPr>
        <w:t xml:space="preserve">2030 Agenda for </w:t>
      </w:r>
      <w:r w:rsidRPr="0088780C">
        <w:rPr>
          <w:snapToGrid w:val="0"/>
          <w:kern w:val="22"/>
          <w:szCs w:val="22"/>
        </w:rPr>
        <w:t xml:space="preserve">Sustainable Development, especially </w:t>
      </w:r>
      <w:r w:rsidR="009E5BC5" w:rsidRPr="0088780C">
        <w:rPr>
          <w:snapToGrid w:val="0"/>
          <w:kern w:val="22"/>
          <w:szCs w:val="22"/>
        </w:rPr>
        <w:t>G</w:t>
      </w:r>
      <w:r w:rsidRPr="0088780C">
        <w:rPr>
          <w:snapToGrid w:val="0"/>
          <w:kern w:val="22"/>
          <w:szCs w:val="22"/>
        </w:rPr>
        <w:t xml:space="preserve">oal </w:t>
      </w:r>
      <w:r w:rsidR="00830589" w:rsidRPr="0088780C">
        <w:rPr>
          <w:snapToGrid w:val="0"/>
          <w:kern w:val="22"/>
          <w:szCs w:val="22"/>
        </w:rPr>
        <w:t>1</w:t>
      </w:r>
      <w:r w:rsidRPr="0088780C">
        <w:rPr>
          <w:snapToGrid w:val="0"/>
          <w:kern w:val="22"/>
          <w:szCs w:val="22"/>
        </w:rPr>
        <w:t xml:space="preserve">4, which calls upon </w:t>
      </w:r>
      <w:r w:rsidR="00830589" w:rsidRPr="0088780C">
        <w:rPr>
          <w:snapToGrid w:val="0"/>
          <w:kern w:val="22"/>
          <w:szCs w:val="22"/>
        </w:rPr>
        <w:t>S</w:t>
      </w:r>
      <w:r w:rsidRPr="0088780C">
        <w:rPr>
          <w:snapToGrid w:val="0"/>
          <w:kern w:val="22"/>
          <w:szCs w:val="22"/>
        </w:rPr>
        <w:t xml:space="preserve">tates to take measures aimed at the conservation and sustainable use of oceans, seas and marine resources. He stressed that Azerbaijan pays special attention to the protection of the marine environment and the unique biological diversity of the Caspian Sea. He emphasized that all </w:t>
      </w:r>
      <w:r w:rsidR="00830589" w:rsidRPr="0088780C">
        <w:rPr>
          <w:snapToGrid w:val="0"/>
          <w:kern w:val="22"/>
          <w:szCs w:val="22"/>
        </w:rPr>
        <w:t>national</w:t>
      </w:r>
      <w:r w:rsidRPr="0088780C">
        <w:rPr>
          <w:snapToGrid w:val="0"/>
          <w:kern w:val="22"/>
          <w:szCs w:val="22"/>
        </w:rPr>
        <w:t xml:space="preserve"> programmes being implemented in the country (e.g., </w:t>
      </w:r>
      <w:r w:rsidR="00D8482D" w:rsidRPr="0088780C">
        <w:rPr>
          <w:snapToGrid w:val="0"/>
          <w:kern w:val="22"/>
          <w:szCs w:val="22"/>
        </w:rPr>
        <w:t>“</w:t>
      </w:r>
      <w:r w:rsidRPr="0088780C">
        <w:rPr>
          <w:snapToGrid w:val="0"/>
          <w:kern w:val="22"/>
          <w:szCs w:val="22"/>
        </w:rPr>
        <w:t>Azerbaijan 2020: Looking to the future</w:t>
      </w:r>
      <w:r w:rsidR="00D8482D" w:rsidRPr="0088780C">
        <w:rPr>
          <w:snapToGrid w:val="0"/>
          <w:kern w:val="22"/>
          <w:szCs w:val="22"/>
        </w:rPr>
        <w:t>”</w:t>
      </w:r>
      <w:r w:rsidRPr="0088780C">
        <w:rPr>
          <w:snapToGrid w:val="0"/>
          <w:kern w:val="22"/>
          <w:szCs w:val="22"/>
        </w:rPr>
        <w:t>) are formed taking into acc</w:t>
      </w:r>
      <w:r w:rsidR="00830589" w:rsidRPr="0088780C">
        <w:rPr>
          <w:snapToGrid w:val="0"/>
          <w:kern w:val="22"/>
          <w:szCs w:val="22"/>
        </w:rPr>
        <w:t>ount the priorities of the national</w:t>
      </w:r>
      <w:r w:rsidRPr="0088780C">
        <w:rPr>
          <w:snapToGrid w:val="0"/>
          <w:kern w:val="22"/>
          <w:szCs w:val="22"/>
        </w:rPr>
        <w:t xml:space="preserve"> policy in the field of environmental protection and ensuring environmentally </w:t>
      </w:r>
      <w:r w:rsidR="00830589" w:rsidRPr="0088780C">
        <w:rPr>
          <w:snapToGrid w:val="0"/>
          <w:kern w:val="22"/>
          <w:szCs w:val="22"/>
        </w:rPr>
        <w:t>sustainable</w:t>
      </w:r>
      <w:r w:rsidRPr="0088780C">
        <w:rPr>
          <w:snapToGrid w:val="0"/>
          <w:kern w:val="22"/>
          <w:szCs w:val="22"/>
        </w:rPr>
        <w:t xml:space="preserve"> economic growth and the introduction of environmentally </w:t>
      </w:r>
      <w:r w:rsidR="00830589" w:rsidRPr="0088780C">
        <w:rPr>
          <w:snapToGrid w:val="0"/>
          <w:kern w:val="22"/>
          <w:szCs w:val="22"/>
        </w:rPr>
        <w:t>friendly</w:t>
      </w:r>
      <w:r w:rsidRPr="0088780C">
        <w:rPr>
          <w:snapToGrid w:val="0"/>
          <w:kern w:val="22"/>
          <w:szCs w:val="22"/>
        </w:rPr>
        <w:t xml:space="preserve"> innovative technologies. He also noted that the National Biodiversity Strategy and Action Plan for the period 2017-2020 </w:t>
      </w:r>
      <w:r w:rsidR="009E5BC5" w:rsidRPr="0088780C">
        <w:rPr>
          <w:snapToGrid w:val="0"/>
          <w:kern w:val="22"/>
          <w:szCs w:val="22"/>
        </w:rPr>
        <w:t xml:space="preserve">had been </w:t>
      </w:r>
      <w:r w:rsidRPr="0088780C">
        <w:rPr>
          <w:snapToGrid w:val="0"/>
          <w:kern w:val="22"/>
          <w:szCs w:val="22"/>
        </w:rPr>
        <w:t xml:space="preserve">adopted in 2016 with the aim of achieving the Aichi Biodiversity Targets. He enumerated </w:t>
      </w:r>
      <w:r w:rsidR="00830589" w:rsidRPr="0088780C">
        <w:rPr>
          <w:snapToGrid w:val="0"/>
          <w:kern w:val="22"/>
          <w:szCs w:val="22"/>
        </w:rPr>
        <w:t>progress</w:t>
      </w:r>
      <w:r w:rsidRPr="0088780C">
        <w:rPr>
          <w:snapToGrid w:val="0"/>
          <w:kern w:val="22"/>
          <w:szCs w:val="22"/>
        </w:rPr>
        <w:t xml:space="preserve"> </w:t>
      </w:r>
      <w:r w:rsidR="00830589" w:rsidRPr="0088780C">
        <w:rPr>
          <w:snapToGrid w:val="0"/>
          <w:kern w:val="22"/>
          <w:szCs w:val="22"/>
        </w:rPr>
        <w:t>in</w:t>
      </w:r>
      <w:r w:rsidRPr="0088780C">
        <w:rPr>
          <w:snapToGrid w:val="0"/>
          <w:kern w:val="22"/>
          <w:szCs w:val="22"/>
        </w:rPr>
        <w:t xml:space="preserve"> the implementation of the First National Strategy and Action Plan for Biodiversity Conservation, </w:t>
      </w:r>
      <w:r w:rsidR="00830589" w:rsidRPr="0088780C">
        <w:rPr>
          <w:snapToGrid w:val="0"/>
          <w:kern w:val="22"/>
          <w:szCs w:val="22"/>
        </w:rPr>
        <w:t>including</w:t>
      </w:r>
      <w:r w:rsidRPr="0088780C">
        <w:rPr>
          <w:snapToGrid w:val="0"/>
          <w:kern w:val="22"/>
          <w:szCs w:val="22"/>
        </w:rPr>
        <w:t>, among others, the increase in protected areas in Azerbaijan from 5</w:t>
      </w:r>
      <w:r w:rsidR="00F95AD1" w:rsidRPr="0088780C">
        <w:rPr>
          <w:snapToGrid w:val="0"/>
          <w:kern w:val="22"/>
          <w:szCs w:val="22"/>
        </w:rPr>
        <w:t xml:space="preserve"> per cent</w:t>
      </w:r>
      <w:r w:rsidRPr="0088780C">
        <w:rPr>
          <w:snapToGrid w:val="0"/>
          <w:kern w:val="22"/>
          <w:szCs w:val="22"/>
        </w:rPr>
        <w:t xml:space="preserve"> to 10.3</w:t>
      </w:r>
      <w:r w:rsidR="00F95AD1" w:rsidRPr="0088780C">
        <w:rPr>
          <w:snapToGrid w:val="0"/>
          <w:kern w:val="22"/>
          <w:szCs w:val="22"/>
        </w:rPr>
        <w:t xml:space="preserve"> per cent</w:t>
      </w:r>
      <w:r w:rsidRPr="0088780C">
        <w:rPr>
          <w:snapToGrid w:val="0"/>
          <w:kern w:val="22"/>
          <w:szCs w:val="22"/>
        </w:rPr>
        <w:t>, and the areas covered by forests from 11.4</w:t>
      </w:r>
      <w:r w:rsidR="00F95AD1" w:rsidRPr="0088780C">
        <w:rPr>
          <w:snapToGrid w:val="0"/>
          <w:kern w:val="22"/>
          <w:szCs w:val="22"/>
        </w:rPr>
        <w:t xml:space="preserve"> per cent</w:t>
      </w:r>
      <w:r w:rsidRPr="0088780C">
        <w:rPr>
          <w:snapToGrid w:val="0"/>
          <w:kern w:val="22"/>
          <w:szCs w:val="22"/>
        </w:rPr>
        <w:t xml:space="preserve"> to 11.8</w:t>
      </w:r>
      <w:r w:rsidR="00F95AD1" w:rsidRPr="0088780C">
        <w:rPr>
          <w:snapToGrid w:val="0"/>
          <w:kern w:val="22"/>
          <w:szCs w:val="22"/>
        </w:rPr>
        <w:t xml:space="preserve"> per cent</w:t>
      </w:r>
      <w:r w:rsidRPr="0088780C">
        <w:rPr>
          <w:snapToGrid w:val="0"/>
          <w:kern w:val="22"/>
          <w:szCs w:val="22"/>
        </w:rPr>
        <w:t>, respectively. He added that Azerbaijan has nine</w:t>
      </w:r>
      <w:r w:rsidR="00830589" w:rsidRPr="0088780C">
        <w:rPr>
          <w:snapToGrid w:val="0"/>
          <w:kern w:val="22"/>
          <w:szCs w:val="22"/>
        </w:rPr>
        <w:t xml:space="preserve"> national parks, 11 national</w:t>
      </w:r>
      <w:r w:rsidRPr="0088780C">
        <w:rPr>
          <w:snapToGrid w:val="0"/>
          <w:kern w:val="22"/>
          <w:szCs w:val="22"/>
        </w:rPr>
        <w:t xml:space="preserve"> nature reserves and</w:t>
      </w:r>
      <w:r w:rsidR="00830589" w:rsidRPr="0088780C">
        <w:rPr>
          <w:snapToGrid w:val="0"/>
          <w:kern w:val="22"/>
          <w:szCs w:val="22"/>
        </w:rPr>
        <w:t xml:space="preserve"> 24 national</w:t>
      </w:r>
      <w:r w:rsidRPr="0088780C">
        <w:rPr>
          <w:snapToGrid w:val="0"/>
          <w:kern w:val="22"/>
          <w:szCs w:val="22"/>
        </w:rPr>
        <w:t xml:space="preserve"> nature sanctuaries, with a total area of 893,000 hectares, while work is underway to create a new national marine park on the basis of the Gizilagach reserve complex. He also stressed the importance of the Framework Convention for the Protection of the Marine Environment of the Caspian Sea (Tehran Convention) and its Protocol on the Conservation of the Biological Diversity of the Caspian Sea in the context of protecti</w:t>
      </w:r>
      <w:r w:rsidR="00F95AD1" w:rsidRPr="0088780C">
        <w:rPr>
          <w:snapToGrid w:val="0"/>
          <w:kern w:val="22"/>
          <w:szCs w:val="22"/>
        </w:rPr>
        <w:t>ng</w:t>
      </w:r>
      <w:r w:rsidRPr="0088780C">
        <w:rPr>
          <w:snapToGrid w:val="0"/>
          <w:kern w:val="22"/>
          <w:szCs w:val="22"/>
        </w:rPr>
        <w:t xml:space="preserve"> the marine environment of the Caspian Sea from pollution, including the protection, conservation, sustainable and rational use of its biological resources. In this connection, he noted that Azerbaijan attaches great importance to cooperation with the Caspian countries and international organizations in the environmental field and shares the region's general concern with the current </w:t>
      </w:r>
      <w:r w:rsidR="00830589" w:rsidRPr="0088780C">
        <w:rPr>
          <w:snapToGrid w:val="0"/>
          <w:kern w:val="22"/>
          <w:szCs w:val="22"/>
        </w:rPr>
        <w:t xml:space="preserve">state of the environment and living </w:t>
      </w:r>
      <w:r w:rsidRPr="0088780C">
        <w:rPr>
          <w:snapToGrid w:val="0"/>
          <w:kern w:val="22"/>
          <w:szCs w:val="22"/>
        </w:rPr>
        <w:t xml:space="preserve">resources of the Caspian Sea. In conclusion, he noted his appreciation of the common desire of all Parties in the region to cooperate </w:t>
      </w:r>
      <w:r w:rsidRPr="0088780C">
        <w:rPr>
          <w:snapToGrid w:val="0"/>
          <w:kern w:val="22"/>
          <w:szCs w:val="22"/>
        </w:rPr>
        <w:lastRenderedPageBreak/>
        <w:t xml:space="preserve">more effectively and wished success to the workshop participants in the achievement of the </w:t>
      </w:r>
      <w:r w:rsidR="00830589" w:rsidRPr="0088780C">
        <w:rPr>
          <w:snapToGrid w:val="0"/>
          <w:kern w:val="22"/>
          <w:szCs w:val="22"/>
        </w:rPr>
        <w:t>workshop objectives</w:t>
      </w:r>
      <w:r w:rsidRPr="0088780C">
        <w:rPr>
          <w:snapToGrid w:val="0"/>
          <w:kern w:val="22"/>
          <w:szCs w:val="22"/>
        </w:rPr>
        <w:t>.</w:t>
      </w:r>
    </w:p>
    <w:p w14:paraId="53BD0F9F" w14:textId="158593EF" w:rsidR="00533467" w:rsidRPr="0088780C" w:rsidRDefault="00533467" w:rsidP="001013AF">
      <w:pPr>
        <w:pStyle w:val="Default"/>
        <w:widowControl/>
        <w:numPr>
          <w:ilvl w:val="0"/>
          <w:numId w:val="5"/>
        </w:numPr>
        <w:suppressLineNumbers/>
        <w:suppressAutoHyphens/>
        <w:kinsoku w:val="0"/>
        <w:overflowPunct w:val="0"/>
        <w:spacing w:after="120"/>
        <w:ind w:left="0" w:firstLine="0"/>
        <w:jc w:val="both"/>
        <w:rPr>
          <w:snapToGrid w:val="0"/>
          <w:kern w:val="22"/>
          <w:sz w:val="22"/>
          <w:szCs w:val="22"/>
          <w:lang w:val="en-GB"/>
        </w:rPr>
      </w:pPr>
      <w:r w:rsidRPr="0088780C">
        <w:rPr>
          <w:snapToGrid w:val="0"/>
          <w:kern w:val="22"/>
          <w:sz w:val="22"/>
          <w:szCs w:val="22"/>
          <w:lang w:val="en-GB"/>
        </w:rPr>
        <w:t>Ms. Cristiana Paşca Palmer, Executive Secretary of the Convention on Biological Diversity, delivered opening remarks via a video message. She welcomed all the experts from countries and organizations and thanked them for participating in this regional workshop. She thanked the Government of Azerbaijan, in particular the Ministry of Ecology and Natural Resources, for hosting this important workshop in the beautiful and historic city of Baku. She also thanked the</w:t>
      </w:r>
      <w:r w:rsidRPr="0088780C">
        <w:rPr>
          <w:snapToGrid w:val="0"/>
          <w:color w:val="FF0000"/>
          <w:kern w:val="22"/>
          <w:sz w:val="22"/>
          <w:szCs w:val="22"/>
          <w:lang w:val="en-GB"/>
        </w:rPr>
        <w:t xml:space="preserve"> </w:t>
      </w:r>
      <w:r w:rsidRPr="0088780C">
        <w:rPr>
          <w:snapToGrid w:val="0"/>
          <w:kern w:val="22"/>
          <w:sz w:val="22"/>
          <w:szCs w:val="22"/>
          <w:lang w:val="en-GB"/>
        </w:rPr>
        <w:t>Commission on the Protection of the Black Sea against Pollution, the Tehran Convention Interim Secretariat, the General Fisheries Commission for the Mediterranean, and the Agreement on the Conservation of Cetaceans of the Black Sea, Mediterranean Sea and Contiguous Atlantic Area, for providing valuable technical input to the workshop. She also extended her appreciation to the Government of Japan, for its financial contribution,</w:t>
      </w:r>
      <w:r w:rsidRPr="0088780C">
        <w:rPr>
          <w:snapToGrid w:val="0"/>
          <w:kern w:val="22"/>
          <w:sz w:val="22"/>
          <w:szCs w:val="22"/>
          <w:lang w:val="en-GB" w:eastAsia="ko-KR"/>
        </w:rPr>
        <w:t xml:space="preserve"> through the Japan Biodiversity Fund,</w:t>
      </w:r>
      <w:r w:rsidRPr="0088780C">
        <w:rPr>
          <w:snapToGrid w:val="0"/>
          <w:kern w:val="22"/>
          <w:sz w:val="22"/>
          <w:szCs w:val="22"/>
          <w:lang w:val="en-GB"/>
        </w:rPr>
        <w:t xml:space="preserve"> as well as the European Commission. She emphasized that biodiversity is not a hindrance, but a solution for sustainable economic growth and human well-being by supporting the functioning of the Earth’s life support system. She noted that the Convention’s 196 Parties have been collaborating closely for the implementation of the Strategic Plan for Biodiversity 2011-2020 and achieving its 20 Aichi Biodiversity Targets, since its adoption in 2010. She highlighted </w:t>
      </w:r>
      <w:r w:rsidR="004D2BBE" w:rsidRPr="0088780C">
        <w:rPr>
          <w:snapToGrid w:val="0"/>
          <w:kern w:val="22"/>
          <w:sz w:val="22"/>
          <w:szCs w:val="22"/>
          <w:lang w:val="en-GB"/>
        </w:rPr>
        <w:t xml:space="preserve">that </w:t>
      </w:r>
      <w:r w:rsidRPr="0088780C">
        <w:rPr>
          <w:snapToGrid w:val="0"/>
          <w:kern w:val="22"/>
          <w:sz w:val="22"/>
          <w:szCs w:val="22"/>
          <w:lang w:val="en-GB"/>
        </w:rPr>
        <w:t xml:space="preserve">Parties’ collective efforts to achieve the Aichi Targets will directly contribute to implementing the 2030 Agenda for Sustainable Development and achieving the Sustainable Development Goals, particularly Goal 14. She pointed out that a central theme of the </w:t>
      </w:r>
      <w:r w:rsidR="00AB4C30" w:rsidRPr="0088780C">
        <w:rPr>
          <w:snapToGrid w:val="0"/>
          <w:kern w:val="22"/>
          <w:sz w:val="22"/>
          <w:szCs w:val="22"/>
          <w:lang w:val="en-GB"/>
        </w:rPr>
        <w:t>United Nations</w:t>
      </w:r>
      <w:r w:rsidRPr="0088780C">
        <w:rPr>
          <w:snapToGrid w:val="0"/>
          <w:kern w:val="22"/>
          <w:sz w:val="22"/>
          <w:szCs w:val="22"/>
          <w:lang w:val="en-GB"/>
        </w:rPr>
        <w:t xml:space="preserve"> Biodiversity Conference in December 2016 was mainstreaming of biodiversity considerations into economic sectors that have an effect on, and rely on, healthy marine ecosystems for sustainable economic growth. She pointed out that the work of the CBD on EBSAs plays a key role in focusing our efforts to achieve global goals related to marine biodiversity conservation and sustainable use.  She explained that since 2011, the CBD Secretariat has organized a series of 12 regional EBSA workshops to describe the </w:t>
      </w:r>
      <w:r w:rsidR="00D8482D" w:rsidRPr="0088780C">
        <w:rPr>
          <w:snapToGrid w:val="0"/>
          <w:kern w:val="22"/>
          <w:sz w:val="22"/>
          <w:szCs w:val="22"/>
          <w:lang w:val="en-GB"/>
        </w:rPr>
        <w:t>“</w:t>
      </w:r>
      <w:r w:rsidRPr="0088780C">
        <w:rPr>
          <w:snapToGrid w:val="0"/>
          <w:kern w:val="22"/>
          <w:sz w:val="22"/>
          <w:szCs w:val="22"/>
          <w:lang w:val="en-GB"/>
        </w:rPr>
        <w:t>special places</w:t>
      </w:r>
      <w:r w:rsidR="00D8482D" w:rsidRPr="0088780C">
        <w:rPr>
          <w:snapToGrid w:val="0"/>
          <w:kern w:val="22"/>
          <w:sz w:val="22"/>
          <w:szCs w:val="22"/>
          <w:lang w:val="en-GB"/>
        </w:rPr>
        <w:t>”</w:t>
      </w:r>
      <w:r w:rsidRPr="0088780C">
        <w:rPr>
          <w:snapToGrid w:val="0"/>
          <w:kern w:val="22"/>
          <w:sz w:val="22"/>
          <w:szCs w:val="22"/>
          <w:lang w:val="en-GB"/>
        </w:rPr>
        <w:t xml:space="preserve"> of the ocean and seas that are crucial to the healthy functioning of the global marine ecosystem. These workshops have covered more than 74 per cent of the world’s ocean and involved about 153 countries and more than 100 organizations. The summary reports on the outputs of these regional EBSA workshops have been submitted to the United Nations General Assembly and its relevant processes. The process has also facilitated sharing of scientific information, networking of experts, and enhanced collaboration among regional initiatives. In conclusion, she expressed her confidence that the work to be conducted at the workshop would provide a sound basis for achieving the Aichi Biodiversity Targets in this region. </w:t>
      </w:r>
    </w:p>
    <w:p w14:paraId="1E547F7D" w14:textId="3FF468CE" w:rsidR="00533467" w:rsidRPr="0088780C" w:rsidRDefault="00533467" w:rsidP="001013AF">
      <w:pPr>
        <w:pStyle w:val="ListParagraph"/>
        <w:numPr>
          <w:ilvl w:val="0"/>
          <w:numId w:val="5"/>
        </w:numPr>
        <w:suppressLineNumbers/>
        <w:suppressAutoHyphens/>
        <w:kinsoku w:val="0"/>
        <w:overflowPunct w:val="0"/>
        <w:autoSpaceDE w:val="0"/>
        <w:autoSpaceDN w:val="0"/>
        <w:spacing w:after="120"/>
        <w:ind w:leftChars="0" w:left="0" w:firstLine="0"/>
        <w:rPr>
          <w:snapToGrid w:val="0"/>
          <w:kern w:val="22"/>
          <w:szCs w:val="22"/>
        </w:rPr>
      </w:pPr>
      <w:r w:rsidRPr="0088780C">
        <w:rPr>
          <w:snapToGrid w:val="0"/>
          <w:kern w:val="22"/>
          <w:szCs w:val="22"/>
        </w:rPr>
        <w:t xml:space="preserve">On behalf of </w:t>
      </w:r>
      <w:r w:rsidR="00C66AEB" w:rsidRPr="0088780C">
        <w:rPr>
          <w:snapToGrid w:val="0"/>
          <w:kern w:val="22"/>
          <w:szCs w:val="22"/>
        </w:rPr>
        <w:t>Mr.</w:t>
      </w:r>
      <w:r w:rsidRPr="0088780C">
        <w:rPr>
          <w:snapToGrid w:val="0"/>
          <w:kern w:val="22"/>
          <w:szCs w:val="22"/>
        </w:rPr>
        <w:t xml:space="preserve"> Halil Ibrahim Sur, Executive Director of the Permanent Secretariat of the Black Sea Commission, Ms. Iryna Makarenko delivered opening remarks. She thanked the Secretariat of the Convention on Biological Diversity and the Government of Azerbaijan for the invitation and for organiz</w:t>
      </w:r>
      <w:r w:rsidR="004D2BBE" w:rsidRPr="0088780C">
        <w:rPr>
          <w:snapToGrid w:val="0"/>
          <w:kern w:val="22"/>
          <w:szCs w:val="22"/>
        </w:rPr>
        <w:t>ing</w:t>
      </w:r>
      <w:r w:rsidRPr="0088780C">
        <w:rPr>
          <w:snapToGrid w:val="0"/>
          <w:kern w:val="22"/>
          <w:szCs w:val="22"/>
        </w:rPr>
        <w:t xml:space="preserve"> this workshop. She introduced the Black Sea Commission Permanent Secretariat, an executive body to the Convention on the Protection of the Black Sea against Pollution, also known as the </w:t>
      </w:r>
      <w:r w:rsidR="00D8482D" w:rsidRPr="0088780C">
        <w:rPr>
          <w:snapToGrid w:val="0"/>
          <w:kern w:val="22"/>
          <w:szCs w:val="22"/>
        </w:rPr>
        <w:t>“</w:t>
      </w:r>
      <w:r w:rsidRPr="0088780C">
        <w:rPr>
          <w:snapToGrid w:val="0"/>
          <w:kern w:val="22"/>
          <w:szCs w:val="22"/>
        </w:rPr>
        <w:t>Bucharest Convention</w:t>
      </w:r>
      <w:r w:rsidR="00D8482D" w:rsidRPr="0088780C">
        <w:rPr>
          <w:snapToGrid w:val="0"/>
          <w:kern w:val="22"/>
          <w:szCs w:val="22"/>
        </w:rPr>
        <w:t>”</w:t>
      </w:r>
      <w:r w:rsidRPr="0088780C">
        <w:rPr>
          <w:snapToGrid w:val="0"/>
          <w:kern w:val="22"/>
          <w:szCs w:val="22"/>
        </w:rPr>
        <w:t>, which was signed and ratified by all six riparian countries of the Black Sea in 1994. She noted that the Black Sea Commission has been working with the Convention on Biological Diversity since the year 2000, on efforts to conserve the biodiversity of the Black Sea. She noted that collaboration with the CBD Secretariat has been reinforced through the organization of the present workshop, which was welcomed by the Commission’s CBD Advisory Group in 2015. She also indicated that the Commission was pleased to have this opportunity to join efforts with their colleagues from the Caspian Sea, given their similar</w:t>
      </w:r>
      <w:r w:rsidR="007F7BBC" w:rsidRPr="0088780C">
        <w:rPr>
          <w:snapToGrid w:val="0"/>
          <w:kern w:val="22"/>
          <w:szCs w:val="22"/>
        </w:rPr>
        <w:t xml:space="preserve"> challenges in the conservation and sustainable use of marine biodiversity</w:t>
      </w:r>
      <w:r w:rsidRPr="0088780C">
        <w:rPr>
          <w:snapToGrid w:val="0"/>
          <w:kern w:val="22"/>
          <w:szCs w:val="22"/>
        </w:rPr>
        <w:t>. She pointed out that the two Secretariats recently exchanged letters of intent to cooperate and that this workshop provided an opportunity for further collaboration.</w:t>
      </w:r>
    </w:p>
    <w:p w14:paraId="67B03ED1" w14:textId="53B41ED0" w:rsidR="001A6E2D" w:rsidRPr="0088780C" w:rsidRDefault="00533467" w:rsidP="001013AF">
      <w:pPr>
        <w:pStyle w:val="Default"/>
        <w:widowControl/>
        <w:numPr>
          <w:ilvl w:val="0"/>
          <w:numId w:val="5"/>
        </w:numPr>
        <w:suppressLineNumbers/>
        <w:suppressAutoHyphens/>
        <w:kinsoku w:val="0"/>
        <w:overflowPunct w:val="0"/>
        <w:spacing w:after="120"/>
        <w:ind w:left="0" w:firstLine="0"/>
        <w:jc w:val="both"/>
        <w:rPr>
          <w:snapToGrid w:val="0"/>
          <w:kern w:val="22"/>
          <w:sz w:val="22"/>
          <w:szCs w:val="22"/>
          <w:lang w:val="en-GB"/>
        </w:rPr>
      </w:pPr>
      <w:r w:rsidRPr="0088780C">
        <w:rPr>
          <w:snapToGrid w:val="0"/>
          <w:kern w:val="22"/>
          <w:sz w:val="22"/>
          <w:szCs w:val="22"/>
          <w:lang w:val="en-GB"/>
        </w:rPr>
        <w:t>On behalf of Mr. Mahir Aliyev, Coordinator of the Tehran Conv</w:t>
      </w:r>
      <w:r w:rsidR="00A876F3" w:rsidRPr="0088780C">
        <w:rPr>
          <w:snapToGrid w:val="0"/>
          <w:kern w:val="22"/>
          <w:sz w:val="22"/>
          <w:szCs w:val="22"/>
          <w:lang w:val="en-GB"/>
        </w:rPr>
        <w:t>ention Interim Secretariat, Mr. </w:t>
      </w:r>
      <w:r w:rsidRPr="0088780C">
        <w:rPr>
          <w:snapToGrid w:val="0"/>
          <w:kern w:val="22"/>
          <w:sz w:val="22"/>
          <w:szCs w:val="22"/>
          <w:lang w:val="en-GB"/>
        </w:rPr>
        <w:t xml:space="preserve">Mateusz Benko delivered opening remarks. He thanked the Government of Azerbaijan for hosting and the CBD Secretariat for organizing this workshop, the first opportunity for the </w:t>
      </w:r>
      <w:r w:rsidR="00E42EA8" w:rsidRPr="0088780C">
        <w:rPr>
          <w:snapToGrid w:val="0"/>
          <w:kern w:val="22"/>
          <w:sz w:val="22"/>
          <w:szCs w:val="22"/>
          <w:lang w:val="en-GB"/>
        </w:rPr>
        <w:t xml:space="preserve">coastal countries of the </w:t>
      </w:r>
      <w:r w:rsidRPr="0088780C">
        <w:rPr>
          <w:snapToGrid w:val="0"/>
          <w:kern w:val="22"/>
          <w:sz w:val="22"/>
          <w:szCs w:val="22"/>
          <w:lang w:val="en-GB"/>
        </w:rPr>
        <w:t xml:space="preserve">Black Sea and the Caspian Sea to discuss ecologically or biologically significant marine areas in these two basins. He noted that the achievement of global goals, such as the ambitious Sustainable Development Goals, </w:t>
      </w:r>
      <w:r w:rsidR="00E42EA8" w:rsidRPr="0088780C">
        <w:rPr>
          <w:snapToGrid w:val="0"/>
          <w:kern w:val="22"/>
          <w:sz w:val="22"/>
          <w:szCs w:val="22"/>
          <w:lang w:val="en-GB"/>
        </w:rPr>
        <w:t>particularly</w:t>
      </w:r>
      <w:r w:rsidRPr="0088780C">
        <w:rPr>
          <w:snapToGrid w:val="0"/>
          <w:kern w:val="22"/>
          <w:sz w:val="22"/>
          <w:szCs w:val="22"/>
          <w:lang w:val="en-GB"/>
        </w:rPr>
        <w:t xml:space="preserve"> Goal 14, can only be </w:t>
      </w:r>
      <w:r w:rsidR="008A4010" w:rsidRPr="0088780C">
        <w:rPr>
          <w:snapToGrid w:val="0"/>
          <w:kern w:val="22"/>
          <w:sz w:val="22"/>
          <w:szCs w:val="22"/>
          <w:lang w:val="en-GB"/>
        </w:rPr>
        <w:t>possible</w:t>
      </w:r>
      <w:r w:rsidRPr="0088780C">
        <w:rPr>
          <w:snapToGrid w:val="0"/>
          <w:kern w:val="22"/>
          <w:sz w:val="22"/>
          <w:szCs w:val="22"/>
          <w:lang w:val="en-GB"/>
        </w:rPr>
        <w:t xml:space="preserve"> alongside regional cooperation </w:t>
      </w:r>
      <w:r w:rsidR="008A4010" w:rsidRPr="0088780C">
        <w:rPr>
          <w:snapToGrid w:val="0"/>
          <w:kern w:val="22"/>
          <w:sz w:val="22"/>
          <w:szCs w:val="22"/>
          <w:lang w:val="en-GB"/>
        </w:rPr>
        <w:t>among</w:t>
      </w:r>
      <w:r w:rsidRPr="0088780C">
        <w:rPr>
          <w:snapToGrid w:val="0"/>
          <w:kern w:val="22"/>
          <w:sz w:val="22"/>
          <w:szCs w:val="22"/>
          <w:lang w:val="en-GB"/>
        </w:rPr>
        <w:t xml:space="preserve"> neighbo</w:t>
      </w:r>
      <w:r w:rsidR="004D2BBE" w:rsidRPr="0088780C">
        <w:rPr>
          <w:snapToGrid w:val="0"/>
          <w:kern w:val="22"/>
          <w:sz w:val="22"/>
          <w:szCs w:val="22"/>
          <w:lang w:val="en-GB"/>
        </w:rPr>
        <w:t>u</w:t>
      </w:r>
      <w:r w:rsidRPr="0088780C">
        <w:rPr>
          <w:snapToGrid w:val="0"/>
          <w:kern w:val="22"/>
          <w:sz w:val="22"/>
          <w:szCs w:val="22"/>
          <w:lang w:val="en-GB"/>
        </w:rPr>
        <w:t xml:space="preserve">ring </w:t>
      </w:r>
      <w:r w:rsidR="008A4010" w:rsidRPr="0088780C">
        <w:rPr>
          <w:snapToGrid w:val="0"/>
          <w:kern w:val="22"/>
          <w:sz w:val="22"/>
          <w:szCs w:val="22"/>
          <w:lang w:val="en-GB"/>
        </w:rPr>
        <w:t>States</w:t>
      </w:r>
      <w:r w:rsidRPr="0088780C">
        <w:rPr>
          <w:snapToGrid w:val="0"/>
          <w:kern w:val="22"/>
          <w:sz w:val="22"/>
          <w:szCs w:val="22"/>
          <w:lang w:val="en-GB"/>
        </w:rPr>
        <w:t xml:space="preserve">. He pointed out that </w:t>
      </w:r>
      <w:r w:rsidR="008A4010" w:rsidRPr="0088780C">
        <w:rPr>
          <w:snapToGrid w:val="0"/>
          <w:kern w:val="22"/>
          <w:sz w:val="22"/>
          <w:szCs w:val="22"/>
          <w:lang w:val="en-GB"/>
        </w:rPr>
        <w:t xml:space="preserve">the present workshop would facilitate a new level of cooperation among the </w:t>
      </w:r>
      <w:r w:rsidRPr="0088780C">
        <w:rPr>
          <w:snapToGrid w:val="0"/>
          <w:kern w:val="22"/>
          <w:sz w:val="22"/>
          <w:szCs w:val="22"/>
          <w:lang w:val="en-GB"/>
        </w:rPr>
        <w:t>fi</w:t>
      </w:r>
      <w:r w:rsidR="008A4010" w:rsidRPr="0088780C">
        <w:rPr>
          <w:snapToGrid w:val="0"/>
          <w:kern w:val="22"/>
          <w:sz w:val="22"/>
          <w:szCs w:val="22"/>
          <w:lang w:val="en-GB"/>
        </w:rPr>
        <w:t>ve Caspian S</w:t>
      </w:r>
      <w:r w:rsidRPr="0088780C">
        <w:rPr>
          <w:snapToGrid w:val="0"/>
          <w:kern w:val="22"/>
          <w:sz w:val="22"/>
          <w:szCs w:val="22"/>
          <w:lang w:val="en-GB"/>
        </w:rPr>
        <w:t>tates</w:t>
      </w:r>
      <w:r w:rsidR="004D2BBE" w:rsidRPr="0088780C">
        <w:rPr>
          <w:snapToGrid w:val="0"/>
          <w:kern w:val="22"/>
          <w:sz w:val="22"/>
          <w:szCs w:val="22"/>
          <w:lang w:val="en-GB"/>
        </w:rPr>
        <w:t>,</w:t>
      </w:r>
      <w:r w:rsidRPr="0088780C">
        <w:rPr>
          <w:snapToGrid w:val="0"/>
          <w:kern w:val="22"/>
          <w:sz w:val="22"/>
          <w:szCs w:val="22"/>
          <w:lang w:val="en-GB"/>
        </w:rPr>
        <w:t xml:space="preserve"> </w:t>
      </w:r>
      <w:r w:rsidR="008A4010" w:rsidRPr="0088780C">
        <w:rPr>
          <w:snapToGrid w:val="0"/>
          <w:kern w:val="22"/>
          <w:sz w:val="22"/>
          <w:szCs w:val="22"/>
          <w:lang w:val="en-GB"/>
        </w:rPr>
        <w:t>building on their existing collective efforts to</w:t>
      </w:r>
      <w:r w:rsidRPr="0088780C">
        <w:rPr>
          <w:snapToGrid w:val="0"/>
          <w:kern w:val="22"/>
          <w:sz w:val="22"/>
          <w:szCs w:val="22"/>
          <w:lang w:val="en-GB"/>
        </w:rPr>
        <w:t xml:space="preserve"> keep the Caspian Sea healthy and prosperous</w:t>
      </w:r>
      <w:r w:rsidR="008A4010" w:rsidRPr="0088780C">
        <w:rPr>
          <w:snapToGrid w:val="0"/>
          <w:kern w:val="22"/>
          <w:sz w:val="22"/>
          <w:szCs w:val="22"/>
          <w:lang w:val="en-GB"/>
        </w:rPr>
        <w:t>.</w:t>
      </w:r>
      <w:r w:rsidRPr="0088780C">
        <w:rPr>
          <w:snapToGrid w:val="0"/>
          <w:kern w:val="22"/>
          <w:sz w:val="22"/>
          <w:szCs w:val="22"/>
          <w:lang w:val="en-GB"/>
        </w:rPr>
        <w:t xml:space="preserve"> </w:t>
      </w:r>
      <w:r w:rsidR="008A4010" w:rsidRPr="0088780C">
        <w:rPr>
          <w:snapToGrid w:val="0"/>
          <w:kern w:val="22"/>
          <w:sz w:val="22"/>
          <w:szCs w:val="22"/>
          <w:lang w:val="en-GB"/>
        </w:rPr>
        <w:t>He</w:t>
      </w:r>
      <w:r w:rsidRPr="0088780C">
        <w:rPr>
          <w:snapToGrid w:val="0"/>
          <w:kern w:val="22"/>
          <w:sz w:val="22"/>
          <w:szCs w:val="22"/>
          <w:lang w:val="en-GB"/>
        </w:rPr>
        <w:t xml:space="preserve"> introduced the Caspian Sea as the planet’s largest land-locked water body, whose isolation and climatic and salinity gradients have created a unique ecological system with some 400 species endemic to the Caspian waters. He pointed out that in recent decades, oil and gas activities, industrial pollution, overexploitation of biological resources, and destruction of natural habitats have jeopardized the environmental balance of the Caspian ecosystem. He emphasized that the 2003 Framework Convention for the Protection of the Marine Environment of the Caspian Sea was a historic breakthrough to </w:t>
      </w:r>
      <w:r w:rsidR="008A4010" w:rsidRPr="0088780C">
        <w:rPr>
          <w:snapToGrid w:val="0"/>
          <w:kern w:val="22"/>
          <w:sz w:val="22"/>
          <w:szCs w:val="22"/>
          <w:lang w:val="en-GB"/>
        </w:rPr>
        <w:t>avoid/mitigate</w:t>
      </w:r>
      <w:r w:rsidRPr="0088780C">
        <w:rPr>
          <w:snapToGrid w:val="0"/>
          <w:kern w:val="22"/>
          <w:sz w:val="22"/>
          <w:szCs w:val="22"/>
          <w:lang w:val="en-GB"/>
        </w:rPr>
        <w:t xml:space="preserve"> environmental degradation and preserve one of the world’s most precious ecosystems. </w:t>
      </w:r>
      <w:r w:rsidR="008A4010" w:rsidRPr="0088780C">
        <w:rPr>
          <w:snapToGrid w:val="0"/>
          <w:kern w:val="22"/>
          <w:sz w:val="22"/>
          <w:szCs w:val="22"/>
          <w:lang w:val="en-GB"/>
        </w:rPr>
        <w:t>As t</w:t>
      </w:r>
      <w:r w:rsidRPr="0088780C">
        <w:rPr>
          <w:snapToGrid w:val="0"/>
          <w:kern w:val="22"/>
          <w:sz w:val="22"/>
          <w:szCs w:val="22"/>
          <w:lang w:val="en-GB"/>
        </w:rPr>
        <w:t xml:space="preserve">he first legally binding agreement between the Caspian </w:t>
      </w:r>
      <w:r w:rsidR="008A4010" w:rsidRPr="0088780C">
        <w:rPr>
          <w:snapToGrid w:val="0"/>
          <w:kern w:val="22"/>
          <w:sz w:val="22"/>
          <w:szCs w:val="22"/>
          <w:lang w:val="en-GB"/>
        </w:rPr>
        <w:t>S</w:t>
      </w:r>
      <w:r w:rsidRPr="0088780C">
        <w:rPr>
          <w:snapToGrid w:val="0"/>
          <w:kern w:val="22"/>
          <w:sz w:val="22"/>
          <w:szCs w:val="22"/>
          <w:lang w:val="en-GB"/>
        </w:rPr>
        <w:t xml:space="preserve">tates, the Convention serves as </w:t>
      </w:r>
      <w:r w:rsidR="00917289" w:rsidRPr="0088780C">
        <w:rPr>
          <w:snapToGrid w:val="0"/>
          <w:kern w:val="22"/>
          <w:sz w:val="22"/>
          <w:szCs w:val="22"/>
          <w:lang w:val="en-GB"/>
        </w:rPr>
        <w:t>a mechanism of regional cooperation</w:t>
      </w:r>
      <w:r w:rsidRPr="0088780C">
        <w:rPr>
          <w:snapToGrid w:val="0"/>
          <w:kern w:val="22"/>
          <w:sz w:val="22"/>
          <w:szCs w:val="22"/>
          <w:lang w:val="en-GB"/>
        </w:rPr>
        <w:t xml:space="preserve"> to effectively protect livelihoods, health, and well-being for present and future generations around the Caspian Sea</w:t>
      </w:r>
      <w:r w:rsidR="00917289" w:rsidRPr="0088780C">
        <w:rPr>
          <w:snapToGrid w:val="0"/>
          <w:kern w:val="22"/>
          <w:sz w:val="22"/>
          <w:szCs w:val="22"/>
          <w:lang w:val="en-GB"/>
        </w:rPr>
        <w:t>. Three years ago, the Caspian S</w:t>
      </w:r>
      <w:r w:rsidRPr="0088780C">
        <w:rPr>
          <w:snapToGrid w:val="0"/>
          <w:kern w:val="22"/>
          <w:sz w:val="22"/>
          <w:szCs w:val="22"/>
          <w:lang w:val="en-GB"/>
        </w:rPr>
        <w:t xml:space="preserve">tates adopted the Biodiversity Protocol, which commits the littoral states to protect and preserve the Caspian ecosystem, safeguarding threatened species, preventing their decline and damage, and conserving those areas that best represent the high range of species, special habitats, ecosystems and natural and cultural heritage. These activities are essential not only for the marine environment itself, but also for the health and well-being of the communities that live by the Caspian shores. </w:t>
      </w:r>
      <w:r w:rsidR="00917289" w:rsidRPr="0088780C">
        <w:rPr>
          <w:snapToGrid w:val="0"/>
          <w:kern w:val="22"/>
          <w:sz w:val="22"/>
          <w:szCs w:val="22"/>
          <w:lang w:val="en-GB"/>
        </w:rPr>
        <w:t xml:space="preserve">He </w:t>
      </w:r>
      <w:r w:rsidRPr="0088780C">
        <w:rPr>
          <w:snapToGrid w:val="0"/>
          <w:kern w:val="22"/>
          <w:sz w:val="22"/>
          <w:szCs w:val="22"/>
          <w:lang w:val="en-GB"/>
        </w:rPr>
        <w:t>looked forward to continuing partnership between Caspian Sea states, as well as with those of the Black Sea with a view to securing healthy ecosystems for a sustainable future.</w:t>
      </w:r>
    </w:p>
    <w:p w14:paraId="6F66B954" w14:textId="400EEDBA" w:rsidR="00DB3C52" w:rsidRPr="0088780C" w:rsidRDefault="00DB3C52" w:rsidP="001013AF">
      <w:pPr>
        <w:keepNext/>
        <w:suppressLineNumbers/>
        <w:suppressAutoHyphens/>
        <w:kinsoku w:val="0"/>
        <w:overflowPunct w:val="0"/>
        <w:autoSpaceDE w:val="0"/>
        <w:autoSpaceDN w:val="0"/>
        <w:spacing w:afterLines="50" w:after="120"/>
        <w:ind w:left="1701" w:right="855" w:hanging="1134"/>
        <w:jc w:val="left"/>
        <w:outlineLvl w:val="0"/>
        <w:rPr>
          <w:b/>
          <w:caps/>
          <w:snapToGrid w:val="0"/>
          <w:color w:val="FF0000"/>
          <w:kern w:val="22"/>
          <w:szCs w:val="22"/>
          <w:lang w:eastAsia="ko-KR"/>
        </w:rPr>
      </w:pPr>
      <w:r w:rsidRPr="0088780C">
        <w:rPr>
          <w:b/>
          <w:snapToGrid w:val="0"/>
          <w:kern w:val="22"/>
          <w:szCs w:val="22"/>
        </w:rPr>
        <w:t>ITEM 2.</w:t>
      </w:r>
      <w:r w:rsidRPr="0088780C">
        <w:rPr>
          <w:b/>
          <w:snapToGrid w:val="0"/>
          <w:kern w:val="22"/>
          <w:szCs w:val="22"/>
        </w:rPr>
        <w:tab/>
        <w:t>ELECTION OF THE CHAIR, ADOPTION OF THE AGENDA AND ORGANIZATION OF WORK</w:t>
      </w:r>
    </w:p>
    <w:p w14:paraId="52E0D0D0" w14:textId="5F6754CC" w:rsidR="006A5B2D" w:rsidRPr="0088780C" w:rsidRDefault="006A5B2D" w:rsidP="001013AF">
      <w:pPr>
        <w:suppressLineNumbers/>
        <w:suppressAutoHyphens/>
        <w:kinsoku w:val="0"/>
        <w:overflowPunct w:val="0"/>
        <w:autoSpaceDE w:val="0"/>
        <w:autoSpaceDN w:val="0"/>
        <w:adjustRightInd w:val="0"/>
        <w:spacing w:afterLines="50" w:after="120"/>
        <w:rPr>
          <w:snapToGrid w:val="0"/>
          <w:kern w:val="22"/>
          <w:szCs w:val="22"/>
        </w:rPr>
      </w:pPr>
      <w:r w:rsidRPr="0088780C">
        <w:rPr>
          <w:snapToGrid w:val="0"/>
          <w:kern w:val="22"/>
          <w:szCs w:val="22"/>
        </w:rPr>
        <w:t>1</w:t>
      </w:r>
      <w:r w:rsidR="00CE038C" w:rsidRPr="0088780C">
        <w:rPr>
          <w:snapToGrid w:val="0"/>
          <w:kern w:val="22"/>
          <w:szCs w:val="22"/>
        </w:rPr>
        <w:t>1</w:t>
      </w:r>
      <w:r w:rsidR="00D66021" w:rsidRPr="0088780C">
        <w:rPr>
          <w:snapToGrid w:val="0"/>
          <w:kern w:val="22"/>
          <w:szCs w:val="22"/>
        </w:rPr>
        <w:t>.</w:t>
      </w:r>
      <w:r w:rsidR="00D66021" w:rsidRPr="0088780C">
        <w:rPr>
          <w:snapToGrid w:val="0"/>
          <w:kern w:val="22"/>
          <w:szCs w:val="22"/>
        </w:rPr>
        <w:tab/>
      </w:r>
      <w:r w:rsidR="001C2825" w:rsidRPr="0088780C">
        <w:rPr>
          <w:snapToGrid w:val="0"/>
          <w:kern w:val="22"/>
          <w:szCs w:val="22"/>
        </w:rPr>
        <w:t xml:space="preserve">After a brief explanation by the CBD Secretariat on procedures for electing the workshop </w:t>
      </w:r>
      <w:r w:rsidR="00697817" w:rsidRPr="0088780C">
        <w:rPr>
          <w:snapToGrid w:val="0"/>
          <w:kern w:val="22"/>
          <w:szCs w:val="22"/>
        </w:rPr>
        <w:t>co-</w:t>
      </w:r>
      <w:r w:rsidR="00853F5F" w:rsidRPr="0088780C">
        <w:rPr>
          <w:snapToGrid w:val="0"/>
          <w:kern w:val="22"/>
          <w:szCs w:val="22"/>
        </w:rPr>
        <w:t>chair</w:t>
      </w:r>
      <w:r w:rsidR="00697817" w:rsidRPr="0088780C">
        <w:rPr>
          <w:snapToGrid w:val="0"/>
          <w:kern w:val="22"/>
          <w:szCs w:val="22"/>
        </w:rPr>
        <w:t>s</w:t>
      </w:r>
      <w:r w:rsidR="001C2825" w:rsidRPr="0088780C">
        <w:rPr>
          <w:snapToGrid w:val="0"/>
          <w:kern w:val="22"/>
          <w:szCs w:val="22"/>
        </w:rPr>
        <w:t xml:space="preserve">, </w:t>
      </w:r>
      <w:r w:rsidR="008F74C7" w:rsidRPr="0088780C">
        <w:rPr>
          <w:snapToGrid w:val="0"/>
          <w:kern w:val="22"/>
          <w:szCs w:val="22"/>
        </w:rPr>
        <w:t>Ms. Jafarova Elnara Eldar</w:t>
      </w:r>
      <w:r w:rsidR="00D610B9" w:rsidRPr="0088780C">
        <w:rPr>
          <w:rFonts w:eastAsia="Times New Roman"/>
          <w:bCs/>
          <w:snapToGrid w:val="0"/>
          <w:kern w:val="22"/>
          <w:szCs w:val="22"/>
        </w:rPr>
        <w:t xml:space="preserve"> </w:t>
      </w:r>
      <w:r w:rsidR="00F2753C" w:rsidRPr="0088780C">
        <w:rPr>
          <w:snapToGrid w:val="0"/>
          <w:kern w:val="22"/>
          <w:szCs w:val="22"/>
        </w:rPr>
        <w:t>(</w:t>
      </w:r>
      <w:r w:rsidR="008F74C7" w:rsidRPr="0088780C">
        <w:rPr>
          <w:snapToGrid w:val="0"/>
          <w:kern w:val="22"/>
          <w:szCs w:val="22"/>
        </w:rPr>
        <w:t>Azerbaijan</w:t>
      </w:r>
      <w:r w:rsidR="00F2753C" w:rsidRPr="0088780C">
        <w:rPr>
          <w:snapToGrid w:val="0"/>
          <w:kern w:val="22"/>
          <w:szCs w:val="22"/>
        </w:rPr>
        <w:t>)</w:t>
      </w:r>
      <w:r w:rsidR="001C2825" w:rsidRPr="0088780C">
        <w:rPr>
          <w:snapToGrid w:val="0"/>
          <w:kern w:val="22"/>
          <w:szCs w:val="22"/>
        </w:rPr>
        <w:t>, as off</w:t>
      </w:r>
      <w:r w:rsidR="00853F5F" w:rsidRPr="0088780C">
        <w:rPr>
          <w:snapToGrid w:val="0"/>
          <w:kern w:val="22"/>
          <w:szCs w:val="22"/>
        </w:rPr>
        <w:t>ered by the host Government</w:t>
      </w:r>
      <w:r w:rsidR="008D7BFA" w:rsidRPr="0088780C">
        <w:rPr>
          <w:snapToGrid w:val="0"/>
          <w:kern w:val="22"/>
          <w:szCs w:val="22"/>
        </w:rPr>
        <w:t>,</w:t>
      </w:r>
      <w:r w:rsidR="00853F5F" w:rsidRPr="0088780C">
        <w:rPr>
          <w:snapToGrid w:val="0"/>
          <w:kern w:val="22"/>
          <w:szCs w:val="22"/>
        </w:rPr>
        <w:t xml:space="preserve"> and</w:t>
      </w:r>
      <w:r w:rsidRPr="0088780C">
        <w:rPr>
          <w:snapToGrid w:val="0"/>
          <w:kern w:val="22"/>
          <w:szCs w:val="22"/>
        </w:rPr>
        <w:t xml:space="preserve"> </w:t>
      </w:r>
      <w:r w:rsidR="008F74C7" w:rsidRPr="0088780C">
        <w:rPr>
          <w:snapToGrid w:val="0"/>
          <w:kern w:val="22"/>
          <w:szCs w:val="22"/>
        </w:rPr>
        <w:t>Ms. Shirin B. Karryyeva (Turkmenistan)</w:t>
      </w:r>
      <w:r w:rsidRPr="0088780C">
        <w:rPr>
          <w:snapToGrid w:val="0"/>
          <w:kern w:val="22"/>
          <w:szCs w:val="22"/>
        </w:rPr>
        <w:t xml:space="preserve">, proposed by an expert from </w:t>
      </w:r>
      <w:r w:rsidR="008D7BFA" w:rsidRPr="0088780C">
        <w:rPr>
          <w:snapToGrid w:val="0"/>
          <w:kern w:val="22"/>
          <w:szCs w:val="22"/>
        </w:rPr>
        <w:t>Azerbaijan</w:t>
      </w:r>
      <w:r w:rsidRPr="0088780C">
        <w:rPr>
          <w:snapToGrid w:val="0"/>
          <w:kern w:val="22"/>
          <w:szCs w:val="22"/>
        </w:rPr>
        <w:t xml:space="preserve"> and seconded </w:t>
      </w:r>
      <w:r w:rsidR="00BA7A4C" w:rsidRPr="0088780C">
        <w:rPr>
          <w:snapToGrid w:val="0"/>
          <w:kern w:val="22"/>
          <w:szCs w:val="22"/>
        </w:rPr>
        <w:t xml:space="preserve">unanimously </w:t>
      </w:r>
      <w:r w:rsidRPr="0088780C">
        <w:rPr>
          <w:snapToGrid w:val="0"/>
          <w:kern w:val="22"/>
          <w:szCs w:val="22"/>
        </w:rPr>
        <w:t xml:space="preserve">by </w:t>
      </w:r>
      <w:r w:rsidR="008D7BFA" w:rsidRPr="0088780C">
        <w:rPr>
          <w:snapToGrid w:val="0"/>
          <w:kern w:val="22"/>
          <w:szCs w:val="22"/>
        </w:rPr>
        <w:t>the floor</w:t>
      </w:r>
      <w:r w:rsidRPr="0088780C">
        <w:rPr>
          <w:snapToGrid w:val="0"/>
          <w:kern w:val="22"/>
          <w:szCs w:val="22"/>
        </w:rPr>
        <w:t>, were elected as the workshop co-chairs</w:t>
      </w:r>
      <w:r w:rsidR="008F74C7" w:rsidRPr="0088780C">
        <w:rPr>
          <w:snapToGrid w:val="0"/>
          <w:kern w:val="22"/>
          <w:szCs w:val="22"/>
        </w:rPr>
        <w:t>.</w:t>
      </w:r>
    </w:p>
    <w:p w14:paraId="15B79ACD" w14:textId="17C2BC15" w:rsidR="00ED1AF7" w:rsidRPr="0088780C" w:rsidRDefault="00D610B9" w:rsidP="001013AF">
      <w:pPr>
        <w:suppressLineNumbers/>
        <w:suppressAutoHyphens/>
        <w:kinsoku w:val="0"/>
        <w:overflowPunct w:val="0"/>
        <w:autoSpaceDE w:val="0"/>
        <w:autoSpaceDN w:val="0"/>
        <w:adjustRightInd w:val="0"/>
        <w:spacing w:afterLines="50" w:after="120"/>
        <w:rPr>
          <w:snapToGrid w:val="0"/>
          <w:kern w:val="22"/>
          <w:szCs w:val="22"/>
        </w:rPr>
      </w:pPr>
      <w:r w:rsidRPr="0088780C">
        <w:rPr>
          <w:snapToGrid w:val="0"/>
          <w:kern w:val="22"/>
          <w:szCs w:val="22"/>
        </w:rPr>
        <w:t>1</w:t>
      </w:r>
      <w:r w:rsidR="00CE038C" w:rsidRPr="0088780C">
        <w:rPr>
          <w:snapToGrid w:val="0"/>
          <w:kern w:val="22"/>
          <w:szCs w:val="22"/>
        </w:rPr>
        <w:t>2</w:t>
      </w:r>
      <w:r w:rsidRPr="0088780C">
        <w:rPr>
          <w:snapToGrid w:val="0"/>
          <w:kern w:val="22"/>
          <w:szCs w:val="22"/>
        </w:rPr>
        <w:t>.</w:t>
      </w:r>
      <w:r w:rsidR="0018798D" w:rsidRPr="0088780C">
        <w:rPr>
          <w:snapToGrid w:val="0"/>
          <w:kern w:val="22"/>
          <w:szCs w:val="22"/>
        </w:rPr>
        <w:tab/>
      </w:r>
      <w:r w:rsidR="00DB3C52" w:rsidRPr="0088780C">
        <w:rPr>
          <w:snapToGrid w:val="0"/>
          <w:kern w:val="22"/>
          <w:szCs w:val="22"/>
        </w:rPr>
        <w:t xml:space="preserve">Participants </w:t>
      </w:r>
      <w:r w:rsidR="00DB3C52" w:rsidRPr="0088780C">
        <w:rPr>
          <w:iCs/>
          <w:snapToGrid w:val="0"/>
          <w:kern w:val="22"/>
          <w:szCs w:val="22"/>
        </w:rPr>
        <w:t>were</w:t>
      </w:r>
      <w:r w:rsidR="00DB3C52" w:rsidRPr="0088780C">
        <w:rPr>
          <w:snapToGrid w:val="0"/>
          <w:kern w:val="22"/>
          <w:szCs w:val="22"/>
        </w:rPr>
        <w:t xml:space="preserve"> then </w:t>
      </w:r>
      <w:r w:rsidR="00DB3C52" w:rsidRPr="0088780C">
        <w:rPr>
          <w:snapToGrid w:val="0"/>
          <w:color w:val="000000"/>
          <w:kern w:val="22"/>
          <w:szCs w:val="22"/>
        </w:rPr>
        <w:t xml:space="preserve">invited to consider the </w:t>
      </w:r>
      <w:r w:rsidR="00DB3C52" w:rsidRPr="0088780C">
        <w:rPr>
          <w:snapToGrid w:val="0"/>
          <w:kern w:val="22"/>
          <w:szCs w:val="22"/>
        </w:rPr>
        <w:t>provisional agenda (</w:t>
      </w:r>
      <w:r w:rsidR="008B1AC4" w:rsidRPr="0088780C">
        <w:rPr>
          <w:bCs/>
          <w:snapToGrid w:val="0"/>
          <w:kern w:val="22"/>
          <w:szCs w:val="22"/>
          <w:shd w:val="clear" w:color="auto" w:fill="FFFFFF"/>
        </w:rPr>
        <w:t>CBD/EBSA/WS/2017/1</w:t>
      </w:r>
      <w:r w:rsidR="00457FAD" w:rsidRPr="0088780C">
        <w:rPr>
          <w:bCs/>
          <w:snapToGrid w:val="0"/>
          <w:kern w:val="22"/>
          <w:szCs w:val="22"/>
          <w:shd w:val="clear" w:color="auto" w:fill="FFFFFF"/>
        </w:rPr>
        <w:t>/1</w:t>
      </w:r>
      <w:r w:rsidR="00DB3C52" w:rsidRPr="0088780C">
        <w:rPr>
          <w:snapToGrid w:val="0"/>
          <w:kern w:val="22"/>
          <w:szCs w:val="22"/>
        </w:rPr>
        <w:t>) and the proposed organization of work</w:t>
      </w:r>
      <w:r w:rsidR="00973033" w:rsidRPr="0088780C">
        <w:rPr>
          <w:snapToGrid w:val="0"/>
          <w:kern w:val="22"/>
          <w:szCs w:val="22"/>
        </w:rPr>
        <w:t>,</w:t>
      </w:r>
      <w:r w:rsidR="00DB3C52" w:rsidRPr="0088780C">
        <w:rPr>
          <w:snapToGrid w:val="0"/>
          <w:kern w:val="22"/>
          <w:szCs w:val="22"/>
        </w:rPr>
        <w:t xml:space="preserve"> as contained in annex II to the annotations to the provisional agenda </w:t>
      </w:r>
      <w:r w:rsidR="006A5B2D" w:rsidRPr="0088780C">
        <w:rPr>
          <w:snapToGrid w:val="0"/>
          <w:kern w:val="22"/>
          <w:szCs w:val="22"/>
        </w:rPr>
        <w:t>(</w:t>
      </w:r>
      <w:r w:rsidR="008B1AC4" w:rsidRPr="0088780C">
        <w:rPr>
          <w:bCs/>
          <w:snapToGrid w:val="0"/>
          <w:kern w:val="22"/>
          <w:szCs w:val="22"/>
          <w:shd w:val="clear" w:color="auto" w:fill="FFFFFF"/>
        </w:rPr>
        <w:t>CBD/EBSA/WS/2017/1</w:t>
      </w:r>
      <w:r w:rsidR="001A6E2D" w:rsidRPr="0088780C">
        <w:rPr>
          <w:bCs/>
          <w:snapToGrid w:val="0"/>
          <w:kern w:val="22"/>
          <w:szCs w:val="22"/>
          <w:shd w:val="clear" w:color="auto" w:fill="FFFFFF"/>
        </w:rPr>
        <w:t>/1/Add.</w:t>
      </w:r>
      <w:r w:rsidR="00457FAD" w:rsidRPr="0088780C">
        <w:rPr>
          <w:bCs/>
          <w:snapToGrid w:val="0"/>
          <w:kern w:val="22"/>
          <w:szCs w:val="22"/>
          <w:shd w:val="clear" w:color="auto" w:fill="FFFFFF"/>
        </w:rPr>
        <w:t>1</w:t>
      </w:r>
      <w:r w:rsidR="00DB3C52" w:rsidRPr="0088780C">
        <w:rPr>
          <w:snapToGrid w:val="0"/>
          <w:kern w:val="22"/>
          <w:szCs w:val="22"/>
        </w:rPr>
        <w:t>) and adopted them without any amendments.</w:t>
      </w:r>
    </w:p>
    <w:p w14:paraId="3FBA58C7" w14:textId="1A2CFBCA" w:rsidR="00DB3C52" w:rsidRPr="0088780C" w:rsidRDefault="0018798D" w:rsidP="001013AF">
      <w:pPr>
        <w:suppressLineNumbers/>
        <w:suppressAutoHyphens/>
        <w:kinsoku w:val="0"/>
        <w:overflowPunct w:val="0"/>
        <w:autoSpaceDE w:val="0"/>
        <w:autoSpaceDN w:val="0"/>
        <w:adjustRightInd w:val="0"/>
        <w:spacing w:afterLines="50" w:after="120"/>
        <w:rPr>
          <w:snapToGrid w:val="0"/>
          <w:kern w:val="22"/>
          <w:szCs w:val="22"/>
          <w:lang w:eastAsia="ko-KR"/>
        </w:rPr>
      </w:pPr>
      <w:r w:rsidRPr="0088780C">
        <w:rPr>
          <w:snapToGrid w:val="0"/>
          <w:kern w:val="22"/>
          <w:szCs w:val="22"/>
        </w:rPr>
        <w:t>1</w:t>
      </w:r>
      <w:r w:rsidR="00CE038C" w:rsidRPr="0088780C">
        <w:rPr>
          <w:snapToGrid w:val="0"/>
          <w:kern w:val="22"/>
          <w:szCs w:val="22"/>
        </w:rPr>
        <w:t>3</w:t>
      </w:r>
      <w:r w:rsidRPr="0088780C">
        <w:rPr>
          <w:snapToGrid w:val="0"/>
          <w:kern w:val="22"/>
          <w:szCs w:val="22"/>
        </w:rPr>
        <w:t>.</w:t>
      </w:r>
      <w:r w:rsidRPr="0088780C">
        <w:rPr>
          <w:snapToGrid w:val="0"/>
          <w:kern w:val="22"/>
          <w:szCs w:val="22"/>
        </w:rPr>
        <w:tab/>
      </w:r>
      <w:r w:rsidR="00DB3C52" w:rsidRPr="0088780C">
        <w:rPr>
          <w:snapToGrid w:val="0"/>
          <w:kern w:val="22"/>
          <w:szCs w:val="22"/>
        </w:rPr>
        <w:t xml:space="preserve">The </w:t>
      </w:r>
      <w:r w:rsidR="0088711A" w:rsidRPr="0088780C">
        <w:rPr>
          <w:snapToGrid w:val="0"/>
          <w:kern w:val="22"/>
          <w:szCs w:val="22"/>
        </w:rPr>
        <w:t>workshop</w:t>
      </w:r>
      <w:r w:rsidR="00DB3C52" w:rsidRPr="0088780C">
        <w:rPr>
          <w:snapToGrid w:val="0"/>
          <w:kern w:val="22"/>
          <w:szCs w:val="22"/>
        </w:rPr>
        <w:t xml:space="preserve"> was organized in plenary session</w:t>
      </w:r>
      <w:r w:rsidR="00875801" w:rsidRPr="0088780C">
        <w:rPr>
          <w:snapToGrid w:val="0"/>
          <w:kern w:val="22"/>
          <w:szCs w:val="22"/>
        </w:rPr>
        <w:t>s</w:t>
      </w:r>
      <w:r w:rsidR="00DB3C52" w:rsidRPr="0088780C">
        <w:rPr>
          <w:snapToGrid w:val="0"/>
          <w:kern w:val="22"/>
          <w:szCs w:val="22"/>
        </w:rPr>
        <w:t xml:space="preserve"> and break-out group sessions</w:t>
      </w:r>
      <w:r w:rsidR="00DB3C52" w:rsidRPr="0088780C">
        <w:rPr>
          <w:snapToGrid w:val="0"/>
          <w:kern w:val="22"/>
          <w:szCs w:val="22"/>
          <w:lang w:eastAsia="ko-KR"/>
        </w:rPr>
        <w:t xml:space="preserve">. </w:t>
      </w:r>
      <w:r w:rsidR="00C124B2" w:rsidRPr="0088780C">
        <w:rPr>
          <w:snapToGrid w:val="0"/>
          <w:kern w:val="22"/>
          <w:szCs w:val="22"/>
          <w:lang w:eastAsia="ko-KR"/>
        </w:rPr>
        <w:t xml:space="preserve">The </w:t>
      </w:r>
      <w:r w:rsidR="00112909" w:rsidRPr="0088780C">
        <w:rPr>
          <w:snapToGrid w:val="0"/>
          <w:kern w:val="22"/>
          <w:szCs w:val="22"/>
          <w:lang w:eastAsia="ko-KR"/>
        </w:rPr>
        <w:t>co-</w:t>
      </w:r>
      <w:r w:rsidR="001C2825" w:rsidRPr="0088780C">
        <w:rPr>
          <w:snapToGrid w:val="0"/>
          <w:kern w:val="22"/>
          <w:szCs w:val="22"/>
          <w:lang w:eastAsia="ko-KR"/>
        </w:rPr>
        <w:t>c</w:t>
      </w:r>
      <w:r w:rsidR="00C124B2" w:rsidRPr="0088780C">
        <w:rPr>
          <w:snapToGrid w:val="0"/>
          <w:kern w:val="22"/>
          <w:szCs w:val="22"/>
          <w:lang w:eastAsia="ko-KR"/>
        </w:rPr>
        <w:t>hair</w:t>
      </w:r>
      <w:r w:rsidR="00112909" w:rsidRPr="0088780C">
        <w:rPr>
          <w:snapToGrid w:val="0"/>
          <w:kern w:val="22"/>
          <w:szCs w:val="22"/>
          <w:lang w:eastAsia="ko-KR"/>
        </w:rPr>
        <w:t>s</w:t>
      </w:r>
      <w:r w:rsidR="00DB3C52" w:rsidRPr="0088780C">
        <w:rPr>
          <w:snapToGrid w:val="0"/>
          <w:kern w:val="22"/>
          <w:szCs w:val="22"/>
          <w:lang w:eastAsia="ko-KR"/>
        </w:rPr>
        <w:t xml:space="preserve"> nominated </w:t>
      </w:r>
      <w:r w:rsidR="0088711A" w:rsidRPr="0088780C">
        <w:rPr>
          <w:snapToGrid w:val="0"/>
          <w:kern w:val="22"/>
          <w:szCs w:val="22"/>
          <w:lang w:eastAsia="ko-KR"/>
        </w:rPr>
        <w:t>the following</w:t>
      </w:r>
      <w:r w:rsidR="00DB3C52" w:rsidRPr="0088780C" w:rsidDel="00B97482">
        <w:rPr>
          <w:snapToGrid w:val="0"/>
          <w:kern w:val="22"/>
          <w:szCs w:val="22"/>
          <w:lang w:eastAsia="ko-KR"/>
        </w:rPr>
        <w:t xml:space="preserve"> </w:t>
      </w:r>
      <w:r w:rsidR="00DB3C52" w:rsidRPr="0088780C">
        <w:rPr>
          <w:snapToGrid w:val="0"/>
          <w:kern w:val="22"/>
          <w:szCs w:val="22"/>
          <w:lang w:eastAsia="ko-KR"/>
        </w:rPr>
        <w:t>rapporteurs</w:t>
      </w:r>
      <w:r w:rsidR="000559B2" w:rsidRPr="0088780C">
        <w:rPr>
          <w:snapToGrid w:val="0"/>
          <w:kern w:val="22"/>
          <w:szCs w:val="22"/>
          <w:lang w:eastAsia="ko-KR"/>
        </w:rPr>
        <w:t xml:space="preserve"> to assist the CBD Secretariat in preparing the draft workshop report on the discussions to be undertaken at</w:t>
      </w:r>
      <w:r w:rsidR="00DB3C52" w:rsidRPr="0088780C">
        <w:rPr>
          <w:snapToGrid w:val="0"/>
          <w:kern w:val="22"/>
          <w:szCs w:val="22"/>
          <w:lang w:eastAsia="ko-KR"/>
        </w:rPr>
        <w:t xml:space="preserve"> the plenary sessions, taking into </w:t>
      </w:r>
      <w:r w:rsidR="00DB3C52" w:rsidRPr="0088780C">
        <w:rPr>
          <w:iCs/>
          <w:snapToGrid w:val="0"/>
          <w:kern w:val="22"/>
          <w:szCs w:val="22"/>
        </w:rPr>
        <w:t>consideration</w:t>
      </w:r>
      <w:r w:rsidR="00DB3C52" w:rsidRPr="0088780C">
        <w:rPr>
          <w:snapToGrid w:val="0"/>
          <w:kern w:val="22"/>
          <w:szCs w:val="22"/>
          <w:lang w:eastAsia="ko-KR"/>
        </w:rPr>
        <w:t xml:space="preserve"> the expertise and experience of the </w:t>
      </w:r>
      <w:r w:rsidR="0088711A" w:rsidRPr="0088780C">
        <w:rPr>
          <w:snapToGrid w:val="0"/>
          <w:kern w:val="22"/>
          <w:szCs w:val="22"/>
          <w:lang w:eastAsia="ko-KR"/>
        </w:rPr>
        <w:t>workshop</w:t>
      </w:r>
      <w:r w:rsidR="00DB3C52" w:rsidRPr="0088780C">
        <w:rPr>
          <w:snapToGrid w:val="0"/>
          <w:kern w:val="22"/>
          <w:szCs w:val="22"/>
          <w:lang w:eastAsia="ko-KR"/>
        </w:rPr>
        <w:t xml:space="preserve"> participants and in consultation with the </w:t>
      </w:r>
      <w:r w:rsidR="00120AEE" w:rsidRPr="0088780C">
        <w:rPr>
          <w:snapToGrid w:val="0"/>
          <w:kern w:val="22"/>
          <w:szCs w:val="22"/>
          <w:lang w:eastAsia="ko-KR"/>
        </w:rPr>
        <w:t xml:space="preserve">CBD </w:t>
      </w:r>
      <w:r w:rsidR="001426B2" w:rsidRPr="0088780C">
        <w:rPr>
          <w:snapToGrid w:val="0"/>
          <w:kern w:val="22"/>
          <w:szCs w:val="22"/>
          <w:lang w:eastAsia="ko-KR"/>
        </w:rPr>
        <w:t>Secretariat</w:t>
      </w:r>
      <w:r w:rsidR="00DB3C52" w:rsidRPr="0088780C">
        <w:rPr>
          <w:snapToGrid w:val="0"/>
          <w:kern w:val="22"/>
          <w:szCs w:val="22"/>
          <w:lang w:eastAsia="ko-KR"/>
        </w:rPr>
        <w:t>:</w:t>
      </w:r>
    </w:p>
    <w:p w14:paraId="0E9F68BF" w14:textId="26E64363" w:rsidR="00112909" w:rsidRPr="0088780C" w:rsidRDefault="00112909" w:rsidP="001013AF">
      <w:pPr>
        <w:pStyle w:val="ListParagraph"/>
        <w:numPr>
          <w:ilvl w:val="0"/>
          <w:numId w:val="7"/>
        </w:numPr>
        <w:suppressLineNumbers/>
        <w:suppressAutoHyphens/>
        <w:kinsoku w:val="0"/>
        <w:overflowPunct w:val="0"/>
        <w:autoSpaceDE w:val="0"/>
        <w:autoSpaceDN w:val="0"/>
        <w:adjustRightInd w:val="0"/>
        <w:spacing w:afterLines="50" w:after="120"/>
        <w:ind w:leftChars="0"/>
        <w:rPr>
          <w:snapToGrid w:val="0"/>
          <w:kern w:val="22"/>
          <w:szCs w:val="22"/>
        </w:rPr>
      </w:pPr>
      <w:r w:rsidRPr="0088780C">
        <w:rPr>
          <w:snapToGrid w:val="0"/>
          <w:kern w:val="22"/>
          <w:szCs w:val="22"/>
        </w:rPr>
        <w:t xml:space="preserve">For </w:t>
      </w:r>
      <w:r w:rsidR="0029426A" w:rsidRPr="0088780C">
        <w:rPr>
          <w:snapToGrid w:val="0"/>
          <w:kern w:val="22"/>
          <w:szCs w:val="22"/>
        </w:rPr>
        <w:t xml:space="preserve">the </w:t>
      </w:r>
      <w:r w:rsidRPr="0088780C">
        <w:rPr>
          <w:snapToGrid w:val="0"/>
          <w:kern w:val="22"/>
          <w:szCs w:val="22"/>
        </w:rPr>
        <w:t>Black Sea: Ms. Iryna Makarenko (B</w:t>
      </w:r>
      <w:r w:rsidR="00C66AEB" w:rsidRPr="0088780C">
        <w:rPr>
          <w:snapToGrid w:val="0"/>
          <w:kern w:val="22"/>
          <w:szCs w:val="22"/>
        </w:rPr>
        <w:t>SC</w:t>
      </w:r>
      <w:r w:rsidRPr="0088780C">
        <w:rPr>
          <w:snapToGrid w:val="0"/>
          <w:kern w:val="22"/>
          <w:szCs w:val="22"/>
        </w:rPr>
        <w:t>) and Mr.</w:t>
      </w:r>
      <w:r w:rsidR="00697817" w:rsidRPr="0088780C">
        <w:rPr>
          <w:snapToGrid w:val="0"/>
          <w:kern w:val="22"/>
          <w:szCs w:val="22"/>
        </w:rPr>
        <w:t xml:space="preserve"> </w:t>
      </w:r>
      <w:r w:rsidRPr="0088780C">
        <w:rPr>
          <w:snapToGrid w:val="0"/>
          <w:kern w:val="22"/>
          <w:szCs w:val="22"/>
        </w:rPr>
        <w:t>Ahmet E. Kideys (G</w:t>
      </w:r>
      <w:r w:rsidR="00C66AEB" w:rsidRPr="0088780C">
        <w:rPr>
          <w:snapToGrid w:val="0"/>
          <w:kern w:val="22"/>
          <w:szCs w:val="22"/>
        </w:rPr>
        <w:t>OBI</w:t>
      </w:r>
      <w:r w:rsidRPr="0088780C">
        <w:rPr>
          <w:snapToGrid w:val="0"/>
          <w:kern w:val="22"/>
          <w:szCs w:val="22"/>
        </w:rPr>
        <w:t>)</w:t>
      </w:r>
    </w:p>
    <w:p w14:paraId="447D5A6D" w14:textId="24B63E5C" w:rsidR="00853F5F" w:rsidRPr="0088780C" w:rsidRDefault="00112909" w:rsidP="001013AF">
      <w:pPr>
        <w:pStyle w:val="ListParagraph"/>
        <w:numPr>
          <w:ilvl w:val="0"/>
          <w:numId w:val="7"/>
        </w:numPr>
        <w:suppressLineNumbers/>
        <w:suppressAutoHyphens/>
        <w:kinsoku w:val="0"/>
        <w:overflowPunct w:val="0"/>
        <w:autoSpaceDE w:val="0"/>
        <w:autoSpaceDN w:val="0"/>
        <w:adjustRightInd w:val="0"/>
        <w:spacing w:afterLines="50" w:after="120"/>
        <w:ind w:leftChars="0"/>
        <w:rPr>
          <w:snapToGrid w:val="0"/>
          <w:kern w:val="22"/>
          <w:szCs w:val="22"/>
        </w:rPr>
      </w:pPr>
      <w:r w:rsidRPr="0088780C">
        <w:rPr>
          <w:snapToGrid w:val="0"/>
          <w:kern w:val="22"/>
          <w:szCs w:val="22"/>
        </w:rPr>
        <w:t xml:space="preserve">For </w:t>
      </w:r>
      <w:r w:rsidR="0029426A" w:rsidRPr="0088780C">
        <w:rPr>
          <w:snapToGrid w:val="0"/>
          <w:kern w:val="22"/>
          <w:szCs w:val="22"/>
        </w:rPr>
        <w:t xml:space="preserve">the </w:t>
      </w:r>
      <w:r w:rsidRPr="0088780C">
        <w:rPr>
          <w:snapToGrid w:val="0"/>
          <w:kern w:val="22"/>
          <w:szCs w:val="22"/>
        </w:rPr>
        <w:t>Caspian Sea: Mr. Mateusz Benko (T</w:t>
      </w:r>
      <w:r w:rsidR="00C66AEB" w:rsidRPr="0088780C">
        <w:rPr>
          <w:snapToGrid w:val="0"/>
          <w:kern w:val="22"/>
          <w:szCs w:val="22"/>
        </w:rPr>
        <w:t>CIS</w:t>
      </w:r>
      <w:r w:rsidRPr="0088780C">
        <w:rPr>
          <w:snapToGrid w:val="0"/>
          <w:kern w:val="22"/>
          <w:szCs w:val="22"/>
        </w:rPr>
        <w:t>) and Mr. Vassily Spiridonov (</w:t>
      </w:r>
      <w:r w:rsidR="00697817" w:rsidRPr="0088780C">
        <w:rPr>
          <w:snapToGrid w:val="0"/>
          <w:kern w:val="22"/>
          <w:szCs w:val="22"/>
        </w:rPr>
        <w:t>r</w:t>
      </w:r>
      <w:r w:rsidRPr="0088780C">
        <w:rPr>
          <w:snapToGrid w:val="0"/>
          <w:kern w:val="22"/>
          <w:szCs w:val="22"/>
        </w:rPr>
        <w:t xml:space="preserve">esource </w:t>
      </w:r>
      <w:r w:rsidR="00697817" w:rsidRPr="0088780C">
        <w:rPr>
          <w:snapToGrid w:val="0"/>
          <w:kern w:val="22"/>
          <w:szCs w:val="22"/>
        </w:rPr>
        <w:t>s</w:t>
      </w:r>
      <w:r w:rsidRPr="0088780C">
        <w:rPr>
          <w:snapToGrid w:val="0"/>
          <w:kern w:val="22"/>
          <w:szCs w:val="22"/>
        </w:rPr>
        <w:t>peaker)</w:t>
      </w:r>
    </w:p>
    <w:p w14:paraId="1802DA52" w14:textId="7E8302E5" w:rsidR="00DB3C52" w:rsidRPr="0088780C" w:rsidRDefault="00DB3C52" w:rsidP="001013AF">
      <w:pPr>
        <w:pStyle w:val="Heading1"/>
        <w:suppressLineNumbers/>
        <w:suppressAutoHyphens/>
        <w:kinsoku w:val="0"/>
        <w:overflowPunct w:val="0"/>
        <w:autoSpaceDE w:val="0"/>
        <w:autoSpaceDN w:val="0"/>
        <w:spacing w:before="0" w:afterLines="50"/>
        <w:rPr>
          <w:snapToGrid w:val="0"/>
          <w:color w:val="FF0000"/>
          <w:kern w:val="22"/>
          <w:szCs w:val="22"/>
          <w:lang w:eastAsia="ko-KR"/>
        </w:rPr>
      </w:pPr>
      <w:r w:rsidRPr="0088780C">
        <w:rPr>
          <w:snapToGrid w:val="0"/>
          <w:kern w:val="22"/>
          <w:szCs w:val="22"/>
        </w:rPr>
        <w:t>ITEM 3.</w:t>
      </w:r>
      <w:r w:rsidRPr="0088780C">
        <w:rPr>
          <w:snapToGrid w:val="0"/>
          <w:kern w:val="22"/>
          <w:szCs w:val="22"/>
        </w:rPr>
        <w:tab/>
        <w:t>Workshop background, scope and output</w:t>
      </w:r>
    </w:p>
    <w:p w14:paraId="6EB1F57A" w14:textId="2B2CEF3D" w:rsidR="00441E26" w:rsidRPr="0088780C" w:rsidRDefault="0018798D" w:rsidP="001013AF">
      <w:pPr>
        <w:suppressLineNumbers/>
        <w:suppressAutoHyphens/>
        <w:kinsoku w:val="0"/>
        <w:overflowPunct w:val="0"/>
        <w:autoSpaceDE w:val="0"/>
        <w:autoSpaceDN w:val="0"/>
        <w:adjustRightInd w:val="0"/>
        <w:spacing w:afterLines="50" w:after="120"/>
        <w:rPr>
          <w:snapToGrid w:val="0"/>
          <w:kern w:val="22"/>
          <w:szCs w:val="22"/>
        </w:rPr>
      </w:pPr>
      <w:r w:rsidRPr="0088780C">
        <w:rPr>
          <w:snapToGrid w:val="0"/>
          <w:kern w:val="22"/>
          <w:szCs w:val="22"/>
          <w:lang w:eastAsia="ko-KR"/>
        </w:rPr>
        <w:t>1</w:t>
      </w:r>
      <w:r w:rsidR="008C0D15" w:rsidRPr="0088780C">
        <w:rPr>
          <w:snapToGrid w:val="0"/>
          <w:kern w:val="22"/>
          <w:szCs w:val="22"/>
          <w:lang w:eastAsia="ko-KR"/>
        </w:rPr>
        <w:t>4</w:t>
      </w:r>
      <w:r w:rsidRPr="0088780C">
        <w:rPr>
          <w:snapToGrid w:val="0"/>
          <w:kern w:val="22"/>
          <w:szCs w:val="22"/>
          <w:lang w:eastAsia="ko-KR"/>
        </w:rPr>
        <w:t>.</w:t>
      </w:r>
      <w:r w:rsidRPr="0088780C">
        <w:rPr>
          <w:snapToGrid w:val="0"/>
          <w:kern w:val="22"/>
          <w:szCs w:val="22"/>
          <w:lang w:eastAsia="ko-KR"/>
        </w:rPr>
        <w:tab/>
      </w:r>
      <w:r w:rsidR="00441E26" w:rsidRPr="0088780C">
        <w:rPr>
          <w:snapToGrid w:val="0"/>
          <w:kern w:val="22"/>
          <w:szCs w:val="22"/>
        </w:rPr>
        <w:t>Under this agenda item, participants were provided with a series of presentations, as below, during the training day</w:t>
      </w:r>
      <w:r w:rsidR="00CC3D66" w:rsidRPr="0088780C">
        <w:rPr>
          <w:snapToGrid w:val="0"/>
          <w:kern w:val="22"/>
          <w:szCs w:val="22"/>
        </w:rPr>
        <w:t>,</w:t>
      </w:r>
      <w:r w:rsidR="00AA4925" w:rsidRPr="0088780C">
        <w:rPr>
          <w:rStyle w:val="FootnoteReference"/>
          <w:snapToGrid w:val="0"/>
          <w:kern w:val="22"/>
          <w:sz w:val="22"/>
          <w:szCs w:val="22"/>
          <w:u w:val="none"/>
          <w:vertAlign w:val="superscript"/>
        </w:rPr>
        <w:footnoteReference w:id="2"/>
      </w:r>
      <w:r w:rsidR="00441E26" w:rsidRPr="0088780C">
        <w:rPr>
          <w:snapToGrid w:val="0"/>
          <w:kern w:val="22"/>
          <w:szCs w:val="22"/>
        </w:rPr>
        <w:t xml:space="preserve"> including presentations on the scientific aspects of the EBSA criteria, the application of the EBSA criteria, and potential use of the EBSA information to support implementation of the ecosystem approach:</w:t>
      </w:r>
    </w:p>
    <w:p w14:paraId="779BEC9A" w14:textId="1C9B131D" w:rsidR="00AA4925" w:rsidRPr="0088780C" w:rsidRDefault="00AA4925" w:rsidP="001013AF">
      <w:pPr>
        <w:pStyle w:val="ListParagraph"/>
        <w:numPr>
          <w:ilvl w:val="0"/>
          <w:numId w:val="34"/>
        </w:numPr>
        <w:suppressLineNumbers/>
        <w:suppressAutoHyphens/>
        <w:kinsoku w:val="0"/>
        <w:overflowPunct w:val="0"/>
        <w:autoSpaceDE w:val="0"/>
        <w:autoSpaceDN w:val="0"/>
        <w:adjustRightInd w:val="0"/>
        <w:spacing w:afterLines="50" w:after="120"/>
        <w:ind w:leftChars="0" w:left="0" w:firstLine="709"/>
        <w:rPr>
          <w:snapToGrid w:val="0"/>
          <w:kern w:val="22"/>
          <w:szCs w:val="22"/>
          <w:lang w:eastAsia="ko-KR"/>
        </w:rPr>
      </w:pPr>
      <w:r w:rsidRPr="0088780C">
        <w:rPr>
          <w:snapToGrid w:val="0"/>
          <w:kern w:val="22"/>
          <w:szCs w:val="22"/>
        </w:rPr>
        <w:t>Ms. Jihyun Lee (CBD Secretariat) and Mr. Joseph Appiott (CBD Secretariat) gave presentations on the work of the CBD on EBSAs and other relevant work on marine and coastal biodiversity and the global context for the workshop;</w:t>
      </w:r>
    </w:p>
    <w:p w14:paraId="577A538A" w14:textId="0438F184" w:rsidR="00AA4925" w:rsidRPr="0088780C" w:rsidRDefault="00AA4925" w:rsidP="001013AF">
      <w:pPr>
        <w:pStyle w:val="ListParagraph"/>
        <w:numPr>
          <w:ilvl w:val="0"/>
          <w:numId w:val="34"/>
        </w:numPr>
        <w:suppressLineNumbers/>
        <w:suppressAutoHyphens/>
        <w:kinsoku w:val="0"/>
        <w:overflowPunct w:val="0"/>
        <w:autoSpaceDE w:val="0"/>
        <w:autoSpaceDN w:val="0"/>
        <w:adjustRightInd w:val="0"/>
        <w:spacing w:afterLines="50" w:after="120"/>
        <w:ind w:leftChars="0" w:left="0" w:firstLine="709"/>
        <w:rPr>
          <w:snapToGrid w:val="0"/>
          <w:kern w:val="22"/>
          <w:szCs w:val="22"/>
          <w:lang w:eastAsia="ko-KR"/>
        </w:rPr>
      </w:pPr>
      <w:r w:rsidRPr="0088780C">
        <w:rPr>
          <w:snapToGrid w:val="0"/>
          <w:kern w:val="22"/>
          <w:szCs w:val="22"/>
        </w:rPr>
        <w:t>Mr. David Johnson (GOBI) discussed the work of the Global Ocean Biodiversity Initiative in supporting the description of EBSAs and focused in particular on the values and scientific challenges posed in the description of different types of ecosystem features in open-ocean and deep-sea areas;</w:t>
      </w:r>
    </w:p>
    <w:p w14:paraId="1F0A29F8" w14:textId="3093884F" w:rsidR="00AA4925" w:rsidRPr="0088780C" w:rsidRDefault="00AA4925" w:rsidP="001013AF">
      <w:pPr>
        <w:pStyle w:val="ListParagraph"/>
        <w:numPr>
          <w:ilvl w:val="0"/>
          <w:numId w:val="34"/>
        </w:numPr>
        <w:suppressLineNumbers/>
        <w:suppressAutoHyphens/>
        <w:kinsoku w:val="0"/>
        <w:overflowPunct w:val="0"/>
        <w:autoSpaceDE w:val="0"/>
        <w:autoSpaceDN w:val="0"/>
        <w:adjustRightInd w:val="0"/>
        <w:spacing w:afterLines="50" w:after="120"/>
        <w:ind w:leftChars="0" w:left="0" w:firstLine="709"/>
        <w:rPr>
          <w:snapToGrid w:val="0"/>
          <w:kern w:val="22"/>
          <w:szCs w:val="22"/>
          <w:lang w:eastAsia="ko-KR"/>
        </w:rPr>
      </w:pPr>
      <w:r w:rsidRPr="0088780C">
        <w:rPr>
          <w:bCs/>
          <w:snapToGrid w:val="0"/>
          <w:kern w:val="22"/>
          <w:szCs w:val="22"/>
          <w:lang w:eastAsia="ko-KR"/>
        </w:rPr>
        <w:t>Ms. Iryna Makarenko (B</w:t>
      </w:r>
      <w:r w:rsidR="00C66AEB" w:rsidRPr="0088780C">
        <w:rPr>
          <w:bCs/>
          <w:snapToGrid w:val="0"/>
          <w:kern w:val="22"/>
          <w:szCs w:val="22"/>
          <w:lang w:eastAsia="ko-KR"/>
        </w:rPr>
        <w:t>SC</w:t>
      </w:r>
      <w:r w:rsidRPr="0088780C">
        <w:rPr>
          <w:bCs/>
          <w:snapToGrid w:val="0"/>
          <w:kern w:val="22"/>
          <w:szCs w:val="22"/>
          <w:lang w:eastAsia="ko-KR"/>
        </w:rPr>
        <w:t xml:space="preserve">) discussed </w:t>
      </w:r>
      <w:r w:rsidR="0029426A" w:rsidRPr="0088780C">
        <w:rPr>
          <w:bCs/>
          <w:snapToGrid w:val="0"/>
          <w:kern w:val="22"/>
          <w:szCs w:val="22"/>
          <w:lang w:eastAsia="ko-KR"/>
        </w:rPr>
        <w:t xml:space="preserve">the </w:t>
      </w:r>
      <w:r w:rsidRPr="0088780C">
        <w:rPr>
          <w:bCs/>
          <w:snapToGrid w:val="0"/>
          <w:kern w:val="22"/>
          <w:szCs w:val="22"/>
          <w:lang w:eastAsia="ko-KR"/>
        </w:rPr>
        <w:t>relevant work of the Black Sea Commission</w:t>
      </w:r>
      <w:r w:rsidR="0029426A" w:rsidRPr="0088780C">
        <w:rPr>
          <w:bCs/>
          <w:snapToGrid w:val="0"/>
          <w:kern w:val="22"/>
          <w:szCs w:val="22"/>
          <w:lang w:eastAsia="ko-KR"/>
        </w:rPr>
        <w:t xml:space="preserve"> and its applicability to efforts to describe EBSAs in the Caspian Sea and the use of EBSA information to support conservation and management</w:t>
      </w:r>
      <w:r w:rsidRPr="0088780C">
        <w:rPr>
          <w:bCs/>
          <w:snapToGrid w:val="0"/>
          <w:kern w:val="22"/>
          <w:szCs w:val="22"/>
          <w:lang w:eastAsia="ko-KR"/>
        </w:rPr>
        <w:t>;</w:t>
      </w:r>
    </w:p>
    <w:p w14:paraId="61C53073" w14:textId="26E104F2" w:rsidR="00AA4925" w:rsidRPr="0088780C" w:rsidRDefault="00AA4925" w:rsidP="001013AF">
      <w:pPr>
        <w:pStyle w:val="ListParagraph"/>
        <w:numPr>
          <w:ilvl w:val="0"/>
          <w:numId w:val="34"/>
        </w:numPr>
        <w:suppressLineNumbers/>
        <w:suppressAutoHyphens/>
        <w:kinsoku w:val="0"/>
        <w:overflowPunct w:val="0"/>
        <w:autoSpaceDE w:val="0"/>
        <w:autoSpaceDN w:val="0"/>
        <w:adjustRightInd w:val="0"/>
        <w:spacing w:afterLines="50" w:after="120"/>
        <w:ind w:leftChars="0" w:left="0" w:firstLine="709"/>
        <w:rPr>
          <w:snapToGrid w:val="0"/>
          <w:kern w:val="22"/>
          <w:szCs w:val="22"/>
          <w:lang w:eastAsia="ko-KR"/>
        </w:rPr>
      </w:pPr>
      <w:r w:rsidRPr="0088780C">
        <w:rPr>
          <w:bCs/>
          <w:snapToGrid w:val="0"/>
          <w:kern w:val="22"/>
          <w:szCs w:val="22"/>
          <w:lang w:eastAsia="ko-KR"/>
        </w:rPr>
        <w:t>Mr. Mahir Aliyev (T</w:t>
      </w:r>
      <w:r w:rsidR="00697817" w:rsidRPr="0088780C">
        <w:rPr>
          <w:bCs/>
          <w:snapToGrid w:val="0"/>
          <w:kern w:val="22"/>
          <w:szCs w:val="22"/>
          <w:lang w:eastAsia="ko-KR"/>
        </w:rPr>
        <w:t>CIS</w:t>
      </w:r>
      <w:r w:rsidRPr="0088780C">
        <w:rPr>
          <w:bCs/>
          <w:snapToGrid w:val="0"/>
          <w:kern w:val="22"/>
          <w:szCs w:val="22"/>
          <w:lang w:eastAsia="ko-KR"/>
        </w:rPr>
        <w:t xml:space="preserve">) presented </w:t>
      </w:r>
      <w:r w:rsidR="0029426A" w:rsidRPr="0088780C">
        <w:rPr>
          <w:bCs/>
          <w:snapToGrid w:val="0"/>
          <w:kern w:val="22"/>
          <w:szCs w:val="22"/>
          <w:lang w:eastAsia="ko-KR"/>
        </w:rPr>
        <w:t xml:space="preserve">the </w:t>
      </w:r>
      <w:r w:rsidRPr="0088780C">
        <w:rPr>
          <w:bCs/>
          <w:snapToGrid w:val="0"/>
          <w:kern w:val="22"/>
          <w:szCs w:val="22"/>
          <w:lang w:eastAsia="ko-KR"/>
        </w:rPr>
        <w:t>relevant work under the Tehran Convention;</w:t>
      </w:r>
    </w:p>
    <w:p w14:paraId="375EECB4" w14:textId="016386BC" w:rsidR="00AA4925" w:rsidRPr="0088780C" w:rsidRDefault="00AA4925" w:rsidP="001013AF">
      <w:pPr>
        <w:pStyle w:val="ListParagraph"/>
        <w:numPr>
          <w:ilvl w:val="0"/>
          <w:numId w:val="34"/>
        </w:numPr>
        <w:suppressLineNumbers/>
        <w:suppressAutoHyphens/>
        <w:kinsoku w:val="0"/>
        <w:overflowPunct w:val="0"/>
        <w:autoSpaceDE w:val="0"/>
        <w:autoSpaceDN w:val="0"/>
        <w:adjustRightInd w:val="0"/>
        <w:spacing w:afterLines="50" w:after="120"/>
        <w:ind w:leftChars="0" w:left="0" w:firstLine="709"/>
        <w:rPr>
          <w:snapToGrid w:val="0"/>
          <w:kern w:val="22"/>
          <w:szCs w:val="22"/>
          <w:lang w:eastAsia="ko-KR"/>
        </w:rPr>
      </w:pPr>
      <w:r w:rsidRPr="0088780C">
        <w:rPr>
          <w:bCs/>
          <w:snapToGrid w:val="0"/>
          <w:kern w:val="22"/>
          <w:szCs w:val="22"/>
          <w:lang w:eastAsia="ko-KR"/>
        </w:rPr>
        <w:t xml:space="preserve">Ms. Ayaka Amaha Ozturk (ACCOBAMS) delivered a presentation on </w:t>
      </w:r>
      <w:r w:rsidR="0029426A" w:rsidRPr="0088780C">
        <w:rPr>
          <w:bCs/>
          <w:snapToGrid w:val="0"/>
          <w:kern w:val="22"/>
          <w:szCs w:val="22"/>
          <w:lang w:eastAsia="ko-KR"/>
        </w:rPr>
        <w:t xml:space="preserve">the </w:t>
      </w:r>
      <w:r w:rsidRPr="0088780C">
        <w:rPr>
          <w:bCs/>
          <w:snapToGrid w:val="0"/>
          <w:kern w:val="22"/>
          <w:szCs w:val="22"/>
          <w:lang w:eastAsia="ko-KR"/>
        </w:rPr>
        <w:t>relevant work under the Agreement on the Conservation of Cetaceans of the Black Sea, Mediterranean Sea and Contiguous Atlantic Area;</w:t>
      </w:r>
    </w:p>
    <w:p w14:paraId="5211639F" w14:textId="09A7D511" w:rsidR="00AA4925" w:rsidRPr="0088780C" w:rsidRDefault="00AA4925" w:rsidP="001013AF">
      <w:pPr>
        <w:pStyle w:val="ListParagraph"/>
        <w:numPr>
          <w:ilvl w:val="0"/>
          <w:numId w:val="34"/>
        </w:numPr>
        <w:suppressLineNumbers/>
        <w:suppressAutoHyphens/>
        <w:kinsoku w:val="0"/>
        <w:overflowPunct w:val="0"/>
        <w:autoSpaceDE w:val="0"/>
        <w:autoSpaceDN w:val="0"/>
        <w:adjustRightInd w:val="0"/>
        <w:spacing w:afterLines="50" w:after="120"/>
        <w:ind w:leftChars="0" w:left="0" w:firstLine="709"/>
        <w:rPr>
          <w:snapToGrid w:val="0"/>
          <w:kern w:val="22"/>
          <w:szCs w:val="22"/>
          <w:lang w:eastAsia="ko-KR"/>
        </w:rPr>
      </w:pPr>
      <w:r w:rsidRPr="0088780C">
        <w:rPr>
          <w:bCs/>
          <w:snapToGrid w:val="0"/>
          <w:kern w:val="22"/>
          <w:szCs w:val="22"/>
          <w:lang w:eastAsia="ko-KR"/>
        </w:rPr>
        <w:t>Mr. Oleksandr Neprokin</w:t>
      </w:r>
      <w:r w:rsidR="00057C33" w:rsidRPr="0088780C">
        <w:rPr>
          <w:bCs/>
          <w:snapToGrid w:val="0"/>
          <w:kern w:val="22"/>
          <w:szCs w:val="22"/>
          <w:lang w:eastAsia="ko-KR"/>
        </w:rPr>
        <w:t xml:space="preserve"> </w:t>
      </w:r>
      <w:r w:rsidRPr="0088780C">
        <w:rPr>
          <w:bCs/>
          <w:snapToGrid w:val="0"/>
          <w:kern w:val="22"/>
          <w:szCs w:val="22"/>
          <w:lang w:eastAsia="ko-KR"/>
        </w:rPr>
        <w:t>(OBIS)</w:t>
      </w:r>
      <w:r w:rsidR="00057C33" w:rsidRPr="0088780C">
        <w:rPr>
          <w:bCs/>
          <w:snapToGrid w:val="0"/>
          <w:kern w:val="22"/>
          <w:szCs w:val="22"/>
          <w:lang w:eastAsia="ko-KR"/>
        </w:rPr>
        <w:t xml:space="preserve"> presented </w:t>
      </w:r>
      <w:r w:rsidR="0029426A" w:rsidRPr="0088780C">
        <w:rPr>
          <w:bCs/>
          <w:snapToGrid w:val="0"/>
          <w:kern w:val="22"/>
          <w:szCs w:val="22"/>
          <w:lang w:eastAsia="ko-KR"/>
        </w:rPr>
        <w:t xml:space="preserve">on the </w:t>
      </w:r>
      <w:r w:rsidR="00057C33" w:rsidRPr="0088780C">
        <w:rPr>
          <w:bCs/>
          <w:snapToGrid w:val="0"/>
          <w:kern w:val="22"/>
          <w:szCs w:val="22"/>
          <w:lang w:eastAsia="ko-KR"/>
        </w:rPr>
        <w:t xml:space="preserve">relevant </w:t>
      </w:r>
      <w:r w:rsidR="0029426A" w:rsidRPr="0088780C">
        <w:rPr>
          <w:bCs/>
          <w:snapToGrid w:val="0"/>
          <w:kern w:val="22"/>
          <w:szCs w:val="22"/>
          <w:lang w:eastAsia="ko-KR"/>
        </w:rPr>
        <w:t xml:space="preserve">scientific </w:t>
      </w:r>
      <w:r w:rsidR="00057C33" w:rsidRPr="0088780C">
        <w:rPr>
          <w:bCs/>
          <w:snapToGrid w:val="0"/>
          <w:kern w:val="22"/>
          <w:szCs w:val="22"/>
          <w:lang w:eastAsia="ko-KR"/>
        </w:rPr>
        <w:t>work under the Black Sea Node of the Ocean Biogeographic Information System;</w:t>
      </w:r>
    </w:p>
    <w:p w14:paraId="4687D167" w14:textId="6FECDE68" w:rsidR="00AA4925" w:rsidRPr="0088780C" w:rsidRDefault="00AA4925" w:rsidP="001013AF">
      <w:pPr>
        <w:pStyle w:val="ListParagraph"/>
        <w:numPr>
          <w:ilvl w:val="0"/>
          <w:numId w:val="34"/>
        </w:numPr>
        <w:suppressLineNumbers/>
        <w:suppressAutoHyphens/>
        <w:kinsoku w:val="0"/>
        <w:overflowPunct w:val="0"/>
        <w:autoSpaceDE w:val="0"/>
        <w:autoSpaceDN w:val="0"/>
        <w:adjustRightInd w:val="0"/>
        <w:spacing w:afterLines="50" w:after="120"/>
        <w:ind w:leftChars="0" w:left="0" w:firstLine="709"/>
        <w:rPr>
          <w:snapToGrid w:val="0"/>
          <w:kern w:val="22"/>
          <w:szCs w:val="22"/>
          <w:lang w:eastAsia="ko-KR"/>
        </w:rPr>
      </w:pPr>
      <w:r w:rsidRPr="0088780C">
        <w:rPr>
          <w:snapToGrid w:val="0"/>
          <w:kern w:val="22"/>
          <w:szCs w:val="22"/>
        </w:rPr>
        <w:t>Mr. Patrick Halpin (</w:t>
      </w:r>
      <w:r w:rsidR="00481F95" w:rsidRPr="0088780C">
        <w:rPr>
          <w:snapToGrid w:val="0"/>
          <w:color w:val="000000"/>
          <w:kern w:val="22"/>
          <w:szCs w:val="22"/>
          <w:lang w:eastAsia="ko-KR"/>
        </w:rPr>
        <w:t>t</w:t>
      </w:r>
      <w:r w:rsidR="0071112E" w:rsidRPr="0088780C">
        <w:rPr>
          <w:snapToGrid w:val="0"/>
          <w:color w:val="000000"/>
          <w:kern w:val="22"/>
          <w:szCs w:val="22"/>
          <w:lang w:eastAsia="ko-KR"/>
        </w:rPr>
        <w:t>echnical support team</w:t>
      </w:r>
      <w:r w:rsidRPr="0088780C">
        <w:rPr>
          <w:snapToGrid w:val="0"/>
          <w:kern w:val="22"/>
          <w:szCs w:val="22"/>
        </w:rPr>
        <w:t xml:space="preserve">) gave a presentation on </w:t>
      </w:r>
      <w:r w:rsidR="0029426A" w:rsidRPr="0088780C">
        <w:rPr>
          <w:snapToGrid w:val="0"/>
          <w:kern w:val="22"/>
          <w:szCs w:val="22"/>
        </w:rPr>
        <w:t xml:space="preserve">the scientific criteria for EBSAs and the </w:t>
      </w:r>
      <w:r w:rsidRPr="0088780C">
        <w:rPr>
          <w:snapToGrid w:val="0"/>
          <w:kern w:val="22"/>
          <w:szCs w:val="22"/>
        </w:rPr>
        <w:t xml:space="preserve">approaches </w:t>
      </w:r>
      <w:r w:rsidR="00C66AEB" w:rsidRPr="0088780C">
        <w:rPr>
          <w:snapToGrid w:val="0"/>
          <w:kern w:val="22"/>
          <w:szCs w:val="22"/>
        </w:rPr>
        <w:t xml:space="preserve">to </w:t>
      </w:r>
      <w:r w:rsidRPr="0088780C">
        <w:rPr>
          <w:snapToGrid w:val="0"/>
          <w:kern w:val="22"/>
          <w:szCs w:val="22"/>
        </w:rPr>
        <w:t>and experience in descri</w:t>
      </w:r>
      <w:r w:rsidR="00C66AEB" w:rsidRPr="0088780C">
        <w:rPr>
          <w:snapToGrid w:val="0"/>
          <w:kern w:val="22"/>
          <w:szCs w:val="22"/>
        </w:rPr>
        <w:t>bing</w:t>
      </w:r>
      <w:r w:rsidRPr="0088780C">
        <w:rPr>
          <w:snapToGrid w:val="0"/>
          <w:kern w:val="22"/>
          <w:szCs w:val="22"/>
        </w:rPr>
        <w:t xml:space="preserve"> </w:t>
      </w:r>
      <w:r w:rsidR="0029426A" w:rsidRPr="0088780C">
        <w:rPr>
          <w:snapToGrid w:val="0"/>
          <w:kern w:val="22"/>
          <w:szCs w:val="22"/>
        </w:rPr>
        <w:t xml:space="preserve">areas meeting the </w:t>
      </w:r>
      <w:r w:rsidRPr="0088780C">
        <w:rPr>
          <w:snapToGrid w:val="0"/>
          <w:kern w:val="22"/>
          <w:szCs w:val="22"/>
        </w:rPr>
        <w:t>EBSA</w:t>
      </w:r>
      <w:r w:rsidR="0029426A" w:rsidRPr="0088780C">
        <w:rPr>
          <w:snapToGrid w:val="0"/>
          <w:kern w:val="22"/>
          <w:szCs w:val="22"/>
        </w:rPr>
        <w:t xml:space="preserve"> criteria</w:t>
      </w:r>
      <w:r w:rsidR="00057C33" w:rsidRPr="0088780C">
        <w:rPr>
          <w:snapToGrid w:val="0"/>
          <w:kern w:val="22"/>
          <w:szCs w:val="22"/>
        </w:rPr>
        <w:t>;</w:t>
      </w:r>
    </w:p>
    <w:p w14:paraId="0E5F80E6" w14:textId="6D1D1CA9" w:rsidR="008C0D15" w:rsidRPr="0088780C" w:rsidRDefault="00057C33" w:rsidP="001013AF">
      <w:pPr>
        <w:pStyle w:val="ListParagraph"/>
        <w:numPr>
          <w:ilvl w:val="0"/>
          <w:numId w:val="34"/>
        </w:numPr>
        <w:suppressLineNumbers/>
        <w:suppressAutoHyphens/>
        <w:kinsoku w:val="0"/>
        <w:overflowPunct w:val="0"/>
        <w:autoSpaceDE w:val="0"/>
        <w:autoSpaceDN w:val="0"/>
        <w:adjustRightInd w:val="0"/>
        <w:spacing w:afterLines="50" w:after="120"/>
        <w:ind w:leftChars="0" w:left="0" w:firstLine="709"/>
        <w:rPr>
          <w:snapToGrid w:val="0"/>
          <w:kern w:val="22"/>
          <w:szCs w:val="22"/>
          <w:lang w:eastAsia="ko-KR"/>
        </w:rPr>
      </w:pPr>
      <w:r w:rsidRPr="0088780C">
        <w:rPr>
          <w:snapToGrid w:val="0"/>
          <w:kern w:val="22"/>
          <w:szCs w:val="22"/>
        </w:rPr>
        <w:t>Mr. Patrick Halpin (</w:t>
      </w:r>
      <w:r w:rsidR="00481F95" w:rsidRPr="0088780C">
        <w:rPr>
          <w:snapToGrid w:val="0"/>
          <w:color w:val="000000"/>
          <w:kern w:val="22"/>
          <w:szCs w:val="22"/>
          <w:lang w:eastAsia="ko-KR"/>
        </w:rPr>
        <w:t>t</w:t>
      </w:r>
      <w:r w:rsidR="0071112E" w:rsidRPr="0088780C">
        <w:rPr>
          <w:snapToGrid w:val="0"/>
          <w:color w:val="000000"/>
          <w:kern w:val="22"/>
          <w:szCs w:val="22"/>
          <w:lang w:eastAsia="ko-KR"/>
        </w:rPr>
        <w:t>echnical support team</w:t>
      </w:r>
      <w:r w:rsidRPr="0088780C">
        <w:rPr>
          <w:snapToGrid w:val="0"/>
          <w:kern w:val="22"/>
          <w:szCs w:val="22"/>
        </w:rPr>
        <w:t>) gave a presentation on the scientific information compiled for the workshop;</w:t>
      </w:r>
    </w:p>
    <w:p w14:paraId="07AAA1B4" w14:textId="7F344D76" w:rsidR="00057C33" w:rsidRPr="0088780C" w:rsidRDefault="00057C33" w:rsidP="001013AF">
      <w:pPr>
        <w:pStyle w:val="ListParagraph"/>
        <w:numPr>
          <w:ilvl w:val="0"/>
          <w:numId w:val="34"/>
        </w:numPr>
        <w:suppressLineNumbers/>
        <w:suppressAutoHyphens/>
        <w:kinsoku w:val="0"/>
        <w:overflowPunct w:val="0"/>
        <w:autoSpaceDE w:val="0"/>
        <w:autoSpaceDN w:val="0"/>
        <w:adjustRightInd w:val="0"/>
        <w:spacing w:afterLines="50" w:after="120"/>
        <w:ind w:leftChars="0" w:left="0" w:firstLine="709"/>
        <w:rPr>
          <w:snapToGrid w:val="0"/>
          <w:kern w:val="22"/>
          <w:szCs w:val="22"/>
          <w:lang w:eastAsia="ko-KR"/>
        </w:rPr>
      </w:pPr>
      <w:r w:rsidRPr="0088780C">
        <w:rPr>
          <w:snapToGrid w:val="0"/>
          <w:kern w:val="22"/>
          <w:szCs w:val="22"/>
        </w:rPr>
        <w:t xml:space="preserve">Mr. Vassily Spiridonov (resource </w:t>
      </w:r>
      <w:r w:rsidR="00A25058" w:rsidRPr="0088780C">
        <w:rPr>
          <w:snapToGrid w:val="0"/>
          <w:kern w:val="22"/>
          <w:szCs w:val="22"/>
        </w:rPr>
        <w:t>speaker</w:t>
      </w:r>
      <w:r w:rsidRPr="0088780C">
        <w:rPr>
          <w:snapToGrid w:val="0"/>
          <w:kern w:val="22"/>
          <w:szCs w:val="22"/>
        </w:rPr>
        <w:t>)</w:t>
      </w:r>
      <w:r w:rsidR="00E94B55" w:rsidRPr="0088780C">
        <w:rPr>
          <w:snapToGrid w:val="0"/>
          <w:color w:val="000000"/>
          <w:kern w:val="22"/>
          <w:szCs w:val="22"/>
          <w:lang w:eastAsia="ko-KR"/>
        </w:rPr>
        <w:t xml:space="preserve"> discussed examples of outputs of previous EBSA workshops</w:t>
      </w:r>
      <w:r w:rsidR="0029426A" w:rsidRPr="0088780C">
        <w:rPr>
          <w:snapToGrid w:val="0"/>
          <w:color w:val="000000"/>
          <w:kern w:val="22"/>
          <w:szCs w:val="22"/>
          <w:lang w:eastAsia="ko-KR"/>
        </w:rPr>
        <w:t xml:space="preserve"> and how these outputs have been used for the application of conservation and management measures</w:t>
      </w:r>
      <w:r w:rsidRPr="0088780C">
        <w:rPr>
          <w:snapToGrid w:val="0"/>
          <w:kern w:val="22"/>
          <w:szCs w:val="22"/>
        </w:rPr>
        <w:t>;</w:t>
      </w:r>
    </w:p>
    <w:p w14:paraId="49E3C5D3" w14:textId="5CDEC71A" w:rsidR="00057C33" w:rsidRPr="0088780C" w:rsidRDefault="00057C33" w:rsidP="001013AF">
      <w:pPr>
        <w:pStyle w:val="ListParagraph"/>
        <w:numPr>
          <w:ilvl w:val="0"/>
          <w:numId w:val="34"/>
        </w:numPr>
        <w:suppressLineNumbers/>
        <w:suppressAutoHyphens/>
        <w:kinsoku w:val="0"/>
        <w:overflowPunct w:val="0"/>
        <w:autoSpaceDE w:val="0"/>
        <w:autoSpaceDN w:val="0"/>
        <w:adjustRightInd w:val="0"/>
        <w:spacing w:afterLines="50" w:after="120"/>
        <w:ind w:leftChars="0" w:left="0" w:firstLine="709"/>
        <w:rPr>
          <w:snapToGrid w:val="0"/>
          <w:kern w:val="22"/>
          <w:szCs w:val="22"/>
          <w:lang w:eastAsia="ko-KR"/>
        </w:rPr>
      </w:pPr>
      <w:r w:rsidRPr="0088780C">
        <w:rPr>
          <w:snapToGrid w:val="0"/>
          <w:kern w:val="22"/>
          <w:szCs w:val="22"/>
        </w:rPr>
        <w:t>Mr. Patrick Halpin (</w:t>
      </w:r>
      <w:r w:rsidR="00481F95" w:rsidRPr="0088780C">
        <w:rPr>
          <w:snapToGrid w:val="0"/>
          <w:color w:val="000000"/>
          <w:kern w:val="22"/>
          <w:szCs w:val="22"/>
          <w:lang w:eastAsia="ko-KR"/>
        </w:rPr>
        <w:t>t</w:t>
      </w:r>
      <w:r w:rsidR="0071112E" w:rsidRPr="0088780C">
        <w:rPr>
          <w:snapToGrid w:val="0"/>
          <w:color w:val="000000"/>
          <w:kern w:val="22"/>
          <w:szCs w:val="22"/>
          <w:lang w:eastAsia="ko-KR"/>
        </w:rPr>
        <w:t>echnical support team</w:t>
      </w:r>
      <w:r w:rsidRPr="0088780C">
        <w:rPr>
          <w:snapToGrid w:val="0"/>
          <w:kern w:val="22"/>
          <w:szCs w:val="22"/>
        </w:rPr>
        <w:t xml:space="preserve">) gave a presentation on the </w:t>
      </w:r>
      <w:r w:rsidR="00E94B55" w:rsidRPr="0088780C">
        <w:rPr>
          <w:snapToGrid w:val="0"/>
          <w:color w:val="000000"/>
          <w:kern w:val="22"/>
          <w:szCs w:val="22"/>
          <w:lang w:eastAsia="ko-KR"/>
        </w:rPr>
        <w:t>use of EBSA information for the application of the ecosystem approach and marine spatial planning</w:t>
      </w:r>
      <w:r w:rsidRPr="0088780C">
        <w:rPr>
          <w:snapToGrid w:val="0"/>
          <w:kern w:val="22"/>
          <w:szCs w:val="22"/>
        </w:rPr>
        <w:t>.</w:t>
      </w:r>
    </w:p>
    <w:p w14:paraId="407E43A5" w14:textId="148CA839" w:rsidR="00ED1AF7" w:rsidRPr="0088780C" w:rsidRDefault="008C0D15" w:rsidP="001013AF">
      <w:pPr>
        <w:suppressLineNumbers/>
        <w:suppressAutoHyphens/>
        <w:kinsoku w:val="0"/>
        <w:overflowPunct w:val="0"/>
        <w:autoSpaceDE w:val="0"/>
        <w:autoSpaceDN w:val="0"/>
        <w:adjustRightInd w:val="0"/>
        <w:spacing w:afterLines="50" w:after="120"/>
        <w:rPr>
          <w:snapToGrid w:val="0"/>
          <w:kern w:val="22"/>
          <w:szCs w:val="22"/>
          <w:lang w:eastAsia="ko-KR"/>
        </w:rPr>
      </w:pPr>
      <w:r w:rsidRPr="0088780C">
        <w:rPr>
          <w:snapToGrid w:val="0"/>
          <w:kern w:val="22"/>
          <w:szCs w:val="22"/>
          <w:lang w:eastAsia="ko-KR"/>
        </w:rPr>
        <w:t>15</w:t>
      </w:r>
      <w:r w:rsidR="00AA4925" w:rsidRPr="0088780C">
        <w:rPr>
          <w:snapToGrid w:val="0"/>
          <w:kern w:val="22"/>
          <w:szCs w:val="22"/>
          <w:lang w:eastAsia="ko-KR"/>
        </w:rPr>
        <w:t>.</w:t>
      </w:r>
      <w:r w:rsidR="00AA4925" w:rsidRPr="0088780C">
        <w:rPr>
          <w:snapToGrid w:val="0"/>
          <w:kern w:val="22"/>
          <w:szCs w:val="22"/>
          <w:lang w:eastAsia="ko-KR"/>
        </w:rPr>
        <w:tab/>
      </w:r>
      <w:r w:rsidR="00B24AA2" w:rsidRPr="0088780C">
        <w:rPr>
          <w:snapToGrid w:val="0"/>
          <w:kern w:val="22"/>
          <w:szCs w:val="22"/>
          <w:lang w:eastAsia="ko-KR"/>
        </w:rPr>
        <w:t xml:space="preserve">Ms. Jihyun Lee (CBD Secretariat) </w:t>
      </w:r>
      <w:r w:rsidR="004D2BA4" w:rsidRPr="0088780C">
        <w:rPr>
          <w:snapToGrid w:val="0"/>
          <w:kern w:val="22"/>
          <w:szCs w:val="22"/>
          <w:lang w:eastAsia="ko-KR"/>
        </w:rPr>
        <w:t xml:space="preserve">briefed </w:t>
      </w:r>
      <w:r w:rsidR="00C66AEB" w:rsidRPr="0088780C">
        <w:rPr>
          <w:snapToGrid w:val="0"/>
          <w:kern w:val="22"/>
          <w:szCs w:val="22"/>
          <w:lang w:eastAsia="ko-KR"/>
        </w:rPr>
        <w:t>participants</w:t>
      </w:r>
      <w:r w:rsidR="004D2BA4" w:rsidRPr="0088780C">
        <w:rPr>
          <w:snapToGrid w:val="0"/>
          <w:kern w:val="22"/>
          <w:szCs w:val="22"/>
          <w:lang w:eastAsia="ko-KR"/>
        </w:rPr>
        <w:t xml:space="preserve"> on the workshop obj</w:t>
      </w:r>
      <w:r w:rsidR="00441E26" w:rsidRPr="0088780C">
        <w:rPr>
          <w:snapToGrid w:val="0"/>
          <w:kern w:val="22"/>
          <w:szCs w:val="22"/>
          <w:lang w:eastAsia="ko-KR"/>
        </w:rPr>
        <w:t xml:space="preserve">ectives, </w:t>
      </w:r>
      <w:r w:rsidR="004D2BA4" w:rsidRPr="0088780C">
        <w:rPr>
          <w:snapToGrid w:val="0"/>
          <w:kern w:val="22"/>
          <w:szCs w:val="22"/>
          <w:lang w:eastAsia="ko-KR"/>
        </w:rPr>
        <w:t>expected outputs</w:t>
      </w:r>
      <w:r w:rsidR="00441E26" w:rsidRPr="0088780C">
        <w:rPr>
          <w:snapToGrid w:val="0"/>
          <w:kern w:val="22"/>
          <w:szCs w:val="22"/>
          <w:lang w:eastAsia="ko-KR"/>
        </w:rPr>
        <w:t xml:space="preserve"> and geographic scope</w:t>
      </w:r>
      <w:r w:rsidR="004D2BA4" w:rsidRPr="0088780C">
        <w:rPr>
          <w:snapToGrid w:val="0"/>
          <w:kern w:val="22"/>
          <w:szCs w:val="22"/>
          <w:lang w:eastAsia="ko-KR"/>
        </w:rPr>
        <w:t xml:space="preserve">, building on her presentation </w:t>
      </w:r>
      <w:r w:rsidR="00C748B5" w:rsidRPr="0088780C">
        <w:rPr>
          <w:snapToGrid w:val="0"/>
          <w:kern w:val="22"/>
          <w:szCs w:val="22"/>
          <w:lang w:eastAsia="ko-KR"/>
        </w:rPr>
        <w:t>on the C</w:t>
      </w:r>
      <w:r w:rsidR="00481F95" w:rsidRPr="0088780C">
        <w:rPr>
          <w:snapToGrid w:val="0"/>
          <w:kern w:val="22"/>
          <w:szCs w:val="22"/>
          <w:lang w:eastAsia="ko-KR"/>
        </w:rPr>
        <w:t>onvention</w:t>
      </w:r>
      <w:r w:rsidR="00C748B5" w:rsidRPr="0088780C">
        <w:rPr>
          <w:snapToGrid w:val="0"/>
          <w:kern w:val="22"/>
          <w:szCs w:val="22"/>
          <w:lang w:eastAsia="ko-KR"/>
        </w:rPr>
        <w:t xml:space="preserve">'s EBSA process, </w:t>
      </w:r>
      <w:r w:rsidR="004D2BA4" w:rsidRPr="0088780C">
        <w:rPr>
          <w:snapToGrid w:val="0"/>
          <w:kern w:val="22"/>
          <w:szCs w:val="22"/>
          <w:lang w:eastAsia="ko-KR"/>
        </w:rPr>
        <w:t>delivered on the training day.</w:t>
      </w:r>
    </w:p>
    <w:p w14:paraId="561B40FA" w14:textId="731E4C06" w:rsidR="000C547D" w:rsidRPr="0088780C" w:rsidRDefault="0018798D" w:rsidP="001013AF">
      <w:pPr>
        <w:suppressLineNumbers/>
        <w:suppressAutoHyphens/>
        <w:kinsoku w:val="0"/>
        <w:overflowPunct w:val="0"/>
        <w:autoSpaceDE w:val="0"/>
        <w:autoSpaceDN w:val="0"/>
        <w:adjustRightInd w:val="0"/>
        <w:spacing w:afterLines="50" w:after="120"/>
        <w:rPr>
          <w:snapToGrid w:val="0"/>
          <w:kern w:val="22"/>
          <w:szCs w:val="22"/>
          <w:lang w:eastAsia="ko-KR"/>
        </w:rPr>
      </w:pPr>
      <w:r w:rsidRPr="0088780C">
        <w:rPr>
          <w:snapToGrid w:val="0"/>
          <w:kern w:val="22"/>
          <w:szCs w:val="22"/>
          <w:lang w:eastAsia="ko-KR"/>
        </w:rPr>
        <w:t>1</w:t>
      </w:r>
      <w:r w:rsidR="008C0D15" w:rsidRPr="0088780C">
        <w:rPr>
          <w:snapToGrid w:val="0"/>
          <w:kern w:val="22"/>
          <w:szCs w:val="22"/>
          <w:lang w:eastAsia="ko-KR"/>
        </w:rPr>
        <w:t>6</w:t>
      </w:r>
      <w:r w:rsidRPr="0088780C">
        <w:rPr>
          <w:snapToGrid w:val="0"/>
          <w:kern w:val="22"/>
          <w:szCs w:val="22"/>
          <w:lang w:eastAsia="ko-KR"/>
        </w:rPr>
        <w:t>.</w:t>
      </w:r>
      <w:r w:rsidRPr="0088780C">
        <w:rPr>
          <w:snapToGrid w:val="0"/>
          <w:kern w:val="22"/>
          <w:szCs w:val="22"/>
          <w:lang w:eastAsia="ko-KR"/>
        </w:rPr>
        <w:tab/>
      </w:r>
      <w:r w:rsidR="000C547D" w:rsidRPr="0088780C">
        <w:rPr>
          <w:snapToGrid w:val="0"/>
          <w:kern w:val="22"/>
          <w:szCs w:val="22"/>
          <w:lang w:eastAsia="ko-KR"/>
        </w:rPr>
        <w:t xml:space="preserve">The workshop participants agreed that the workshop deliberation would focus on the Black Sea, as defined by the </w:t>
      </w:r>
      <w:r w:rsidR="000C547D" w:rsidRPr="0088780C">
        <w:rPr>
          <w:snapToGrid w:val="0"/>
          <w:kern w:val="22"/>
          <w:szCs w:val="22"/>
        </w:rPr>
        <w:t>BSC and its relevant protocol, and the Caspian Sea, as defined by the Tehran Convention.</w:t>
      </w:r>
    </w:p>
    <w:p w14:paraId="46F5F233" w14:textId="4F920095" w:rsidR="003D07E4" w:rsidRPr="0088780C" w:rsidRDefault="000C547D" w:rsidP="001013AF">
      <w:pPr>
        <w:suppressLineNumbers/>
        <w:suppressAutoHyphens/>
        <w:kinsoku w:val="0"/>
        <w:overflowPunct w:val="0"/>
        <w:autoSpaceDE w:val="0"/>
        <w:autoSpaceDN w:val="0"/>
        <w:adjustRightInd w:val="0"/>
        <w:spacing w:afterLines="50" w:after="120"/>
        <w:rPr>
          <w:snapToGrid w:val="0"/>
          <w:kern w:val="22"/>
          <w:szCs w:val="22"/>
          <w:lang w:eastAsia="ko-KR"/>
        </w:rPr>
      </w:pPr>
      <w:r w:rsidRPr="0088780C">
        <w:rPr>
          <w:snapToGrid w:val="0"/>
          <w:kern w:val="22"/>
          <w:szCs w:val="22"/>
          <w:lang w:eastAsia="ko-KR"/>
        </w:rPr>
        <w:t>17.</w:t>
      </w:r>
      <w:r w:rsidRPr="0088780C">
        <w:rPr>
          <w:snapToGrid w:val="0"/>
          <w:kern w:val="22"/>
          <w:szCs w:val="22"/>
          <w:lang w:eastAsia="ko-KR"/>
        </w:rPr>
        <w:tab/>
      </w:r>
      <w:r w:rsidR="003D07E4" w:rsidRPr="0088780C">
        <w:rPr>
          <w:snapToGrid w:val="0"/>
          <w:kern w:val="22"/>
          <w:szCs w:val="22"/>
          <w:lang w:eastAsia="ko-KR"/>
        </w:rPr>
        <w:t>The workshop participants noted the following</w:t>
      </w:r>
      <w:r w:rsidR="00EE1ABA" w:rsidRPr="0088780C">
        <w:rPr>
          <w:snapToGrid w:val="0"/>
          <w:kern w:val="22"/>
          <w:szCs w:val="22"/>
          <w:lang w:eastAsia="ko-KR"/>
        </w:rPr>
        <w:t xml:space="preserve"> points</w:t>
      </w:r>
      <w:r w:rsidR="00D610B9" w:rsidRPr="0088780C">
        <w:rPr>
          <w:snapToGrid w:val="0"/>
          <w:kern w:val="22"/>
          <w:szCs w:val="22"/>
          <w:lang w:eastAsia="ko-KR"/>
        </w:rPr>
        <w:t xml:space="preserve"> regarding the </w:t>
      </w:r>
      <w:r w:rsidR="003D07E4" w:rsidRPr="0088780C">
        <w:rPr>
          <w:snapToGrid w:val="0"/>
          <w:kern w:val="22"/>
          <w:szCs w:val="22"/>
          <w:lang w:eastAsia="ko-KR"/>
        </w:rPr>
        <w:t xml:space="preserve">guidance </w:t>
      </w:r>
      <w:r w:rsidR="00393504" w:rsidRPr="0088780C">
        <w:rPr>
          <w:snapToGrid w:val="0"/>
          <w:kern w:val="22"/>
          <w:szCs w:val="22"/>
          <w:lang w:eastAsia="ko-KR"/>
        </w:rPr>
        <w:t xml:space="preserve">of the Conference of the Parties </w:t>
      </w:r>
      <w:r w:rsidR="003D07E4" w:rsidRPr="0088780C">
        <w:rPr>
          <w:snapToGrid w:val="0"/>
          <w:kern w:val="22"/>
          <w:szCs w:val="22"/>
          <w:lang w:eastAsia="ko-KR"/>
        </w:rPr>
        <w:t xml:space="preserve">on the regional workshop </w:t>
      </w:r>
      <w:r w:rsidR="00EE1ABA" w:rsidRPr="0088780C">
        <w:rPr>
          <w:snapToGrid w:val="0"/>
          <w:kern w:val="22"/>
          <w:szCs w:val="22"/>
          <w:lang w:eastAsia="ko-KR"/>
        </w:rPr>
        <w:t xml:space="preserve">process </w:t>
      </w:r>
      <w:r w:rsidR="003D07E4" w:rsidRPr="0088780C">
        <w:rPr>
          <w:snapToGrid w:val="0"/>
          <w:kern w:val="22"/>
          <w:szCs w:val="22"/>
          <w:lang w:eastAsia="ko-KR"/>
        </w:rPr>
        <w:t xml:space="preserve">as well as the potential contribution of </w:t>
      </w:r>
      <w:r w:rsidR="00D5224A" w:rsidRPr="0088780C">
        <w:rPr>
          <w:snapToGrid w:val="0"/>
          <w:kern w:val="22"/>
          <w:szCs w:val="22"/>
          <w:lang w:eastAsia="ko-KR"/>
        </w:rPr>
        <w:t xml:space="preserve">the </w:t>
      </w:r>
      <w:r w:rsidR="003D07E4" w:rsidRPr="0088780C">
        <w:rPr>
          <w:snapToGrid w:val="0"/>
          <w:kern w:val="22"/>
          <w:szCs w:val="22"/>
          <w:lang w:eastAsia="ko-KR"/>
        </w:rPr>
        <w:t xml:space="preserve">scientific information produced by </w:t>
      </w:r>
      <w:r w:rsidR="003F6783" w:rsidRPr="0088780C">
        <w:rPr>
          <w:snapToGrid w:val="0"/>
          <w:kern w:val="22"/>
          <w:szCs w:val="22"/>
          <w:lang w:eastAsia="ko-KR"/>
        </w:rPr>
        <w:t xml:space="preserve">the </w:t>
      </w:r>
      <w:r w:rsidR="003D07E4" w:rsidRPr="0088780C">
        <w:rPr>
          <w:snapToGrid w:val="0"/>
          <w:kern w:val="22"/>
          <w:szCs w:val="22"/>
          <w:lang w:eastAsia="ko-KR"/>
        </w:rPr>
        <w:t>workshop</w:t>
      </w:r>
      <w:r w:rsidR="00EE1ABA" w:rsidRPr="0088780C">
        <w:rPr>
          <w:snapToGrid w:val="0"/>
          <w:kern w:val="22"/>
          <w:szCs w:val="22"/>
          <w:lang w:eastAsia="ko-KR"/>
        </w:rPr>
        <w:t>s</w:t>
      </w:r>
      <w:r w:rsidR="003D07E4" w:rsidRPr="0088780C">
        <w:rPr>
          <w:snapToGrid w:val="0"/>
          <w:kern w:val="22"/>
          <w:szCs w:val="22"/>
          <w:lang w:eastAsia="ko-KR"/>
        </w:rPr>
        <w:t>:</w:t>
      </w:r>
    </w:p>
    <w:p w14:paraId="64595F86" w14:textId="5E1FB4E6" w:rsidR="00D0332F" w:rsidRPr="0088780C" w:rsidRDefault="00D0332F" w:rsidP="001013AF">
      <w:pPr>
        <w:numPr>
          <w:ilvl w:val="0"/>
          <w:numId w:val="35"/>
        </w:numPr>
        <w:suppressLineNumbers/>
        <w:suppressAutoHyphens/>
        <w:kinsoku w:val="0"/>
        <w:overflowPunct w:val="0"/>
        <w:autoSpaceDE w:val="0"/>
        <w:autoSpaceDN w:val="0"/>
        <w:adjustRightInd w:val="0"/>
        <w:spacing w:afterLines="50" w:after="120"/>
        <w:ind w:left="0" w:firstLine="709"/>
        <w:rPr>
          <w:snapToGrid w:val="0"/>
          <w:kern w:val="22"/>
          <w:szCs w:val="22"/>
          <w:lang w:eastAsia="ko-KR"/>
        </w:rPr>
      </w:pPr>
      <w:r w:rsidRPr="0088780C">
        <w:rPr>
          <w:snapToGrid w:val="0"/>
          <w:kern w:val="22"/>
          <w:szCs w:val="22"/>
          <w:lang w:eastAsia="ko-KR"/>
        </w:rPr>
        <w:t>The Conference of the Parties to the Convention</w:t>
      </w:r>
      <w:r w:rsidR="00C748B5" w:rsidRPr="0088780C">
        <w:rPr>
          <w:snapToGrid w:val="0"/>
          <w:kern w:val="22"/>
          <w:szCs w:val="22"/>
          <w:lang w:eastAsia="ko-KR"/>
        </w:rPr>
        <w:t>,</w:t>
      </w:r>
      <w:r w:rsidRPr="0088780C">
        <w:rPr>
          <w:snapToGrid w:val="0"/>
          <w:kern w:val="22"/>
          <w:szCs w:val="22"/>
          <w:lang w:eastAsia="ko-KR"/>
        </w:rPr>
        <w:t xml:space="preserve"> at its tenth meeting</w:t>
      </w:r>
      <w:r w:rsidR="00C748B5" w:rsidRPr="0088780C">
        <w:rPr>
          <w:snapToGrid w:val="0"/>
          <w:kern w:val="22"/>
          <w:szCs w:val="22"/>
          <w:lang w:eastAsia="ko-KR"/>
        </w:rPr>
        <w:t>,</w:t>
      </w:r>
      <w:r w:rsidRPr="0088780C">
        <w:rPr>
          <w:snapToGrid w:val="0"/>
          <w:kern w:val="22"/>
          <w:szCs w:val="22"/>
          <w:lang w:eastAsia="ko-KR"/>
        </w:rPr>
        <w:t xml:space="preserve"> noted that the application of the scientific criteria in annex I of decision IX/20 for the identification of ecologically </w:t>
      </w:r>
      <w:r w:rsidR="00C748B5" w:rsidRPr="0088780C">
        <w:rPr>
          <w:snapToGrid w:val="0"/>
          <w:kern w:val="22"/>
          <w:szCs w:val="22"/>
          <w:lang w:eastAsia="ko-KR"/>
        </w:rPr>
        <w:t>or</w:t>
      </w:r>
      <w:r w:rsidRPr="0088780C">
        <w:rPr>
          <w:snapToGrid w:val="0"/>
          <w:kern w:val="22"/>
          <w:szCs w:val="22"/>
          <w:lang w:eastAsia="ko-KR"/>
        </w:rPr>
        <w:t xml:space="preserve"> biologically significant </w:t>
      </w:r>
      <w:r w:rsidR="00393504" w:rsidRPr="0088780C">
        <w:rPr>
          <w:snapToGrid w:val="0"/>
          <w:kern w:val="22"/>
          <w:szCs w:val="22"/>
          <w:lang w:eastAsia="ko-KR"/>
        </w:rPr>
        <w:t xml:space="preserve">marine </w:t>
      </w:r>
      <w:r w:rsidRPr="0088780C">
        <w:rPr>
          <w:snapToGrid w:val="0"/>
          <w:kern w:val="22"/>
          <w:szCs w:val="22"/>
          <w:lang w:eastAsia="ko-KR"/>
        </w:rPr>
        <w:t>areas presents a tool which Parties and competent  intergovernmental organizations may choose to use to progress towards the implementation of ecosystem approaches in relation to areas both within and beyond national jurisdiction, through the identification of areas and features of the marine environment that are important for conservation and sustainable use of marine and coastal biodiversity</w:t>
      </w:r>
      <w:r w:rsidR="00081AA3" w:rsidRPr="0088780C">
        <w:rPr>
          <w:snapToGrid w:val="0"/>
          <w:kern w:val="22"/>
          <w:szCs w:val="22"/>
          <w:lang w:eastAsia="ko-KR"/>
        </w:rPr>
        <w:t xml:space="preserve"> </w:t>
      </w:r>
      <w:r w:rsidR="00A876F3" w:rsidRPr="0088780C">
        <w:rPr>
          <w:snapToGrid w:val="0"/>
          <w:kern w:val="22"/>
          <w:szCs w:val="22"/>
          <w:lang w:eastAsia="ko-KR"/>
        </w:rPr>
        <w:t>(para.</w:t>
      </w:r>
      <w:r w:rsidR="001138A1" w:rsidRPr="0088780C">
        <w:rPr>
          <w:snapToGrid w:val="0"/>
          <w:kern w:val="22"/>
          <w:szCs w:val="22"/>
          <w:lang w:eastAsia="ko-KR"/>
        </w:rPr>
        <w:t xml:space="preserve"> 25, decision X/29)</w:t>
      </w:r>
      <w:r w:rsidRPr="0088780C">
        <w:rPr>
          <w:snapToGrid w:val="0"/>
          <w:kern w:val="22"/>
          <w:szCs w:val="22"/>
          <w:lang w:eastAsia="ko-KR"/>
        </w:rPr>
        <w:t>;</w:t>
      </w:r>
    </w:p>
    <w:p w14:paraId="53B27F14" w14:textId="6C5780A8" w:rsidR="001138A1" w:rsidRPr="0088780C" w:rsidRDefault="001138A1" w:rsidP="001013AF">
      <w:pPr>
        <w:numPr>
          <w:ilvl w:val="0"/>
          <w:numId w:val="35"/>
        </w:numPr>
        <w:suppressLineNumbers/>
        <w:suppressAutoHyphens/>
        <w:kinsoku w:val="0"/>
        <w:overflowPunct w:val="0"/>
        <w:autoSpaceDE w:val="0"/>
        <w:autoSpaceDN w:val="0"/>
        <w:adjustRightInd w:val="0"/>
        <w:spacing w:afterLines="50" w:after="120"/>
        <w:ind w:left="0" w:firstLine="709"/>
        <w:rPr>
          <w:snapToGrid w:val="0"/>
          <w:kern w:val="22"/>
          <w:szCs w:val="22"/>
          <w:lang w:eastAsia="ko-KR"/>
        </w:rPr>
      </w:pPr>
      <w:r w:rsidRPr="0088780C">
        <w:rPr>
          <w:snapToGrid w:val="0"/>
          <w:kern w:val="22"/>
          <w:szCs w:val="22"/>
          <w:lang w:eastAsia="ko-KR"/>
        </w:rPr>
        <w:t xml:space="preserve">The application of the EBSA criteria is a scientific and technical exercise, </w:t>
      </w:r>
      <w:r w:rsidRPr="0088780C">
        <w:rPr>
          <w:rFonts w:eastAsia="MS Mincho"/>
          <w:snapToGrid w:val="0"/>
          <w:kern w:val="22"/>
          <w:szCs w:val="22"/>
          <w:lang w:eastAsia="ja-JP"/>
        </w:rPr>
        <w:t>and t</w:t>
      </w:r>
      <w:r w:rsidRPr="0088780C">
        <w:rPr>
          <w:snapToGrid w:val="0"/>
          <w:kern w:val="22"/>
          <w:szCs w:val="22"/>
          <w:lang w:eastAsia="ko-KR"/>
        </w:rPr>
        <w:t>he identification of EBSAs and the selection of conservation and management measures is a matter for States and competent intergovernmental organizations, in accordance with international law, including the United Nations Convention on the Law of the Sea (</w:t>
      </w:r>
      <w:r w:rsidR="00A876F3" w:rsidRPr="0088780C">
        <w:rPr>
          <w:snapToGrid w:val="0"/>
          <w:kern w:val="22"/>
          <w:szCs w:val="22"/>
          <w:lang w:eastAsia="ko-KR"/>
        </w:rPr>
        <w:t>para.</w:t>
      </w:r>
      <w:r w:rsidRPr="0088780C">
        <w:rPr>
          <w:snapToGrid w:val="0"/>
          <w:kern w:val="22"/>
          <w:szCs w:val="22"/>
          <w:lang w:eastAsia="ko-KR"/>
        </w:rPr>
        <w:t xml:space="preserve"> 26, decision X/29);</w:t>
      </w:r>
    </w:p>
    <w:p w14:paraId="01C21596" w14:textId="73EF9E3F" w:rsidR="00D0332F" w:rsidRPr="0088780C" w:rsidRDefault="00EE1ABA" w:rsidP="001013AF">
      <w:pPr>
        <w:numPr>
          <w:ilvl w:val="0"/>
          <w:numId w:val="35"/>
        </w:numPr>
        <w:suppressLineNumbers/>
        <w:suppressAutoHyphens/>
        <w:kinsoku w:val="0"/>
        <w:overflowPunct w:val="0"/>
        <w:autoSpaceDE w:val="0"/>
        <w:autoSpaceDN w:val="0"/>
        <w:adjustRightInd w:val="0"/>
        <w:spacing w:afterLines="50" w:after="120"/>
        <w:ind w:left="0" w:firstLine="709"/>
        <w:rPr>
          <w:snapToGrid w:val="0"/>
          <w:kern w:val="22"/>
          <w:szCs w:val="22"/>
          <w:lang w:eastAsia="ko-KR"/>
        </w:rPr>
      </w:pPr>
      <w:r w:rsidRPr="0088780C">
        <w:rPr>
          <w:snapToGrid w:val="0"/>
          <w:kern w:val="22"/>
          <w:szCs w:val="22"/>
          <w:lang w:eastAsia="ko-KR"/>
        </w:rPr>
        <w:t xml:space="preserve">The </w:t>
      </w:r>
      <w:r w:rsidR="003D07E4" w:rsidRPr="0088780C">
        <w:rPr>
          <w:snapToGrid w:val="0"/>
          <w:kern w:val="22"/>
          <w:szCs w:val="22"/>
          <w:lang w:eastAsia="ko-KR"/>
        </w:rPr>
        <w:t xml:space="preserve">EBSA </w:t>
      </w:r>
      <w:r w:rsidRPr="0088780C">
        <w:rPr>
          <w:snapToGrid w:val="0"/>
          <w:kern w:val="22"/>
          <w:szCs w:val="22"/>
          <w:lang w:eastAsia="ko-KR"/>
        </w:rPr>
        <w:t xml:space="preserve">description </w:t>
      </w:r>
      <w:r w:rsidR="003D07E4" w:rsidRPr="0088780C">
        <w:rPr>
          <w:snapToGrid w:val="0"/>
          <w:kern w:val="22"/>
          <w:szCs w:val="22"/>
          <w:lang w:eastAsia="ko-KR"/>
        </w:rPr>
        <w:t>process is open-ended</w:t>
      </w:r>
      <w:r w:rsidR="00CD4B8E" w:rsidRPr="0088780C">
        <w:rPr>
          <w:snapToGrid w:val="0"/>
          <w:kern w:val="22"/>
          <w:szCs w:val="22"/>
          <w:lang w:eastAsia="ko-KR"/>
        </w:rPr>
        <w:t>,</w:t>
      </w:r>
      <w:r w:rsidR="003D07E4" w:rsidRPr="0088780C">
        <w:rPr>
          <w:snapToGrid w:val="0"/>
          <w:kern w:val="22"/>
          <w:szCs w:val="22"/>
          <w:lang w:eastAsia="ko-KR"/>
        </w:rPr>
        <w:t xml:space="preserve"> and additional regional or subregional workshops </w:t>
      </w:r>
      <w:r w:rsidR="000B222B" w:rsidRPr="0088780C">
        <w:rPr>
          <w:snapToGrid w:val="0"/>
          <w:kern w:val="22"/>
          <w:szCs w:val="22"/>
          <w:lang w:eastAsia="ko-KR"/>
        </w:rPr>
        <w:t xml:space="preserve">may be </w:t>
      </w:r>
      <w:r w:rsidR="003D07E4" w:rsidRPr="0088780C">
        <w:rPr>
          <w:snapToGrid w:val="0"/>
          <w:kern w:val="22"/>
          <w:szCs w:val="22"/>
          <w:lang w:eastAsia="ko-KR"/>
        </w:rPr>
        <w:t xml:space="preserve">organized </w:t>
      </w:r>
      <w:r w:rsidR="006411C1" w:rsidRPr="0088780C">
        <w:rPr>
          <w:snapToGrid w:val="0"/>
          <w:kern w:val="22"/>
          <w:szCs w:val="22"/>
          <w:lang w:eastAsia="ko-KR"/>
        </w:rPr>
        <w:t>when there is sufficient</w:t>
      </w:r>
      <w:r w:rsidR="003D07E4" w:rsidRPr="0088780C">
        <w:rPr>
          <w:snapToGrid w:val="0"/>
          <w:kern w:val="22"/>
          <w:szCs w:val="22"/>
          <w:lang w:eastAsia="ko-KR"/>
        </w:rPr>
        <w:t xml:space="preserve"> advancement in the availability of scientific information</w:t>
      </w:r>
      <w:r w:rsidR="00A876F3" w:rsidRPr="0088780C">
        <w:rPr>
          <w:snapToGrid w:val="0"/>
          <w:kern w:val="22"/>
          <w:szCs w:val="22"/>
          <w:lang w:eastAsia="ko-KR"/>
        </w:rPr>
        <w:t xml:space="preserve"> (para</w:t>
      </w:r>
      <w:r w:rsidR="0040583F" w:rsidRPr="0088780C">
        <w:rPr>
          <w:snapToGrid w:val="0"/>
          <w:kern w:val="22"/>
          <w:szCs w:val="22"/>
          <w:lang w:eastAsia="ko-KR"/>
        </w:rPr>
        <w:t>s</w:t>
      </w:r>
      <w:r w:rsidR="00A876F3" w:rsidRPr="0088780C">
        <w:rPr>
          <w:snapToGrid w:val="0"/>
          <w:kern w:val="22"/>
          <w:szCs w:val="22"/>
          <w:lang w:eastAsia="ko-KR"/>
        </w:rPr>
        <w:t>.</w:t>
      </w:r>
      <w:r w:rsidR="006F6776" w:rsidRPr="0088780C">
        <w:rPr>
          <w:snapToGrid w:val="0"/>
          <w:kern w:val="22"/>
          <w:szCs w:val="22"/>
          <w:lang w:eastAsia="ko-KR"/>
        </w:rPr>
        <w:t xml:space="preserve"> </w:t>
      </w:r>
      <w:r w:rsidR="0040583F" w:rsidRPr="0088780C">
        <w:rPr>
          <w:snapToGrid w:val="0"/>
          <w:kern w:val="22"/>
          <w:szCs w:val="22"/>
          <w:lang w:eastAsia="ko-KR"/>
        </w:rPr>
        <w:t xml:space="preserve">9 and </w:t>
      </w:r>
      <w:r w:rsidR="00F50335" w:rsidRPr="0088780C">
        <w:rPr>
          <w:snapToGrid w:val="0"/>
          <w:kern w:val="22"/>
          <w:szCs w:val="22"/>
          <w:lang w:eastAsia="ko-KR"/>
        </w:rPr>
        <w:t>12, decision XI/17);</w:t>
      </w:r>
    </w:p>
    <w:p w14:paraId="0DC2BD83" w14:textId="4A96C269" w:rsidR="0040583F" w:rsidRPr="0088780C" w:rsidRDefault="0040583F" w:rsidP="001013AF">
      <w:pPr>
        <w:numPr>
          <w:ilvl w:val="0"/>
          <w:numId w:val="35"/>
        </w:numPr>
        <w:suppressLineNumbers/>
        <w:suppressAutoHyphens/>
        <w:kinsoku w:val="0"/>
        <w:overflowPunct w:val="0"/>
        <w:autoSpaceDE w:val="0"/>
        <w:autoSpaceDN w:val="0"/>
        <w:adjustRightInd w:val="0"/>
        <w:spacing w:afterLines="50" w:after="120"/>
        <w:ind w:left="0" w:firstLine="709"/>
        <w:rPr>
          <w:snapToGrid w:val="0"/>
          <w:kern w:val="22"/>
          <w:szCs w:val="22"/>
          <w:lang w:eastAsia="ko-KR"/>
        </w:rPr>
      </w:pPr>
      <w:r w:rsidRPr="0088780C">
        <w:rPr>
          <w:snapToGrid w:val="0"/>
          <w:kern w:val="22"/>
          <w:szCs w:val="22"/>
          <w:lang w:eastAsia="ko-KR"/>
        </w:rPr>
        <w:t>Each workshop is tasked to describe areas meeting the scientific criteria for EBSAs or other relevant criteria based on best available scientific information. As such, experts at the workshops are not expected to discuss any management issues, including threats to the areas;</w:t>
      </w:r>
    </w:p>
    <w:p w14:paraId="02ED0FE8" w14:textId="14AD02CD" w:rsidR="00120AEE" w:rsidRPr="0088780C" w:rsidRDefault="0040583F" w:rsidP="001013AF">
      <w:pPr>
        <w:numPr>
          <w:ilvl w:val="0"/>
          <w:numId w:val="35"/>
        </w:numPr>
        <w:suppressLineNumbers/>
        <w:suppressAutoHyphens/>
        <w:kinsoku w:val="0"/>
        <w:overflowPunct w:val="0"/>
        <w:autoSpaceDE w:val="0"/>
        <w:autoSpaceDN w:val="0"/>
        <w:adjustRightInd w:val="0"/>
        <w:spacing w:afterLines="50" w:after="120"/>
        <w:ind w:left="0" w:firstLine="709"/>
        <w:rPr>
          <w:snapToGrid w:val="0"/>
          <w:kern w:val="22"/>
          <w:szCs w:val="22"/>
          <w:lang w:eastAsia="ko-KR"/>
        </w:rPr>
      </w:pPr>
      <w:r w:rsidRPr="0088780C">
        <w:rPr>
          <w:snapToGrid w:val="0"/>
          <w:kern w:val="22"/>
          <w:szCs w:val="22"/>
          <w:lang w:eastAsia="ko-KR"/>
        </w:rPr>
        <w:t xml:space="preserve">The EBSA description process facilitates scientific collaboration and information-sharing at national, </w:t>
      </w:r>
      <w:r w:rsidR="00A876F3" w:rsidRPr="0088780C">
        <w:rPr>
          <w:snapToGrid w:val="0"/>
          <w:kern w:val="22"/>
          <w:szCs w:val="22"/>
          <w:lang w:eastAsia="ko-KR"/>
        </w:rPr>
        <w:t>sub</w:t>
      </w:r>
      <w:r w:rsidR="00CE038C" w:rsidRPr="0088780C">
        <w:rPr>
          <w:snapToGrid w:val="0"/>
          <w:kern w:val="22"/>
          <w:szCs w:val="22"/>
          <w:lang w:eastAsia="ko-KR"/>
        </w:rPr>
        <w:t>regional and regional levels, as demonstrated by collective work by workshop participants with different expertise, contributing to each other’s description of areas meeting the EBSA criteria</w:t>
      </w:r>
      <w:r w:rsidR="00E56769" w:rsidRPr="0088780C">
        <w:rPr>
          <w:snapToGrid w:val="0"/>
          <w:kern w:val="22"/>
          <w:szCs w:val="22"/>
          <w:lang w:eastAsia="ko-KR"/>
        </w:rPr>
        <w:t>;</w:t>
      </w:r>
    </w:p>
    <w:p w14:paraId="7342C34C" w14:textId="4C511EFB" w:rsidR="00A6460D" w:rsidRPr="0088780C" w:rsidRDefault="00C66AEB" w:rsidP="001013AF">
      <w:pPr>
        <w:numPr>
          <w:ilvl w:val="0"/>
          <w:numId w:val="35"/>
        </w:numPr>
        <w:suppressLineNumbers/>
        <w:suppressAutoHyphens/>
        <w:kinsoku w:val="0"/>
        <w:overflowPunct w:val="0"/>
        <w:autoSpaceDE w:val="0"/>
        <w:autoSpaceDN w:val="0"/>
        <w:spacing w:after="120"/>
        <w:ind w:left="0" w:firstLine="709"/>
        <w:rPr>
          <w:snapToGrid w:val="0"/>
          <w:kern w:val="22"/>
          <w:szCs w:val="22"/>
        </w:rPr>
      </w:pPr>
      <w:r w:rsidRPr="0088780C">
        <w:rPr>
          <w:snapToGrid w:val="0"/>
          <w:kern w:val="22"/>
          <w:szCs w:val="22"/>
        </w:rPr>
        <w:t>E</w:t>
      </w:r>
      <w:r w:rsidR="0097278D" w:rsidRPr="0088780C">
        <w:rPr>
          <w:snapToGrid w:val="0"/>
          <w:kern w:val="22"/>
          <w:szCs w:val="22"/>
        </w:rPr>
        <w:t xml:space="preserve">xperts </w:t>
      </w:r>
      <w:r w:rsidRPr="0088780C">
        <w:rPr>
          <w:snapToGrid w:val="0"/>
          <w:kern w:val="22"/>
          <w:szCs w:val="22"/>
        </w:rPr>
        <w:t xml:space="preserve">were </w:t>
      </w:r>
      <w:r w:rsidR="00F07D7A" w:rsidRPr="0088780C">
        <w:rPr>
          <w:snapToGrid w:val="0"/>
          <w:kern w:val="22"/>
          <w:szCs w:val="22"/>
        </w:rPr>
        <w:t>nominat</w:t>
      </w:r>
      <w:r w:rsidRPr="0088780C">
        <w:rPr>
          <w:snapToGrid w:val="0"/>
          <w:kern w:val="22"/>
          <w:szCs w:val="22"/>
        </w:rPr>
        <w:t>ed</w:t>
      </w:r>
      <w:r w:rsidR="00F07D7A" w:rsidRPr="0088780C">
        <w:rPr>
          <w:snapToGrid w:val="0"/>
          <w:kern w:val="22"/>
          <w:szCs w:val="22"/>
        </w:rPr>
        <w:t xml:space="preserve"> by CBD National Focal Points</w:t>
      </w:r>
      <w:r w:rsidRPr="0088780C">
        <w:rPr>
          <w:snapToGrid w:val="0"/>
          <w:kern w:val="22"/>
          <w:szCs w:val="22"/>
        </w:rPr>
        <w:t xml:space="preserve"> and selected to participate based on the</w:t>
      </w:r>
      <w:r w:rsidR="00F07D7A" w:rsidRPr="0088780C">
        <w:rPr>
          <w:snapToGrid w:val="0"/>
          <w:kern w:val="22"/>
          <w:szCs w:val="22"/>
        </w:rPr>
        <w:t xml:space="preserve"> selection criteria provided in </w:t>
      </w:r>
      <w:r w:rsidR="00DD71F8" w:rsidRPr="0088780C">
        <w:rPr>
          <w:snapToGrid w:val="0"/>
          <w:kern w:val="22"/>
          <w:szCs w:val="22"/>
        </w:rPr>
        <w:t>the</w:t>
      </w:r>
      <w:r w:rsidR="00F07D7A" w:rsidRPr="0088780C">
        <w:rPr>
          <w:snapToGrid w:val="0"/>
          <w:kern w:val="22"/>
          <w:szCs w:val="22"/>
        </w:rPr>
        <w:t xml:space="preserve"> CBD notification </w:t>
      </w:r>
      <w:r w:rsidR="0097278D" w:rsidRPr="0088780C">
        <w:rPr>
          <w:snapToGrid w:val="0"/>
          <w:kern w:val="22"/>
          <w:szCs w:val="22"/>
        </w:rPr>
        <w:t xml:space="preserve">dated 12 December 2016 </w:t>
      </w:r>
      <w:r w:rsidR="00F07D7A" w:rsidRPr="0088780C">
        <w:rPr>
          <w:snapToGrid w:val="0"/>
          <w:kern w:val="22"/>
          <w:szCs w:val="22"/>
        </w:rPr>
        <w:t>(</w:t>
      </w:r>
      <w:r w:rsidR="0097278D" w:rsidRPr="0088780C">
        <w:rPr>
          <w:snapToGrid w:val="0"/>
          <w:kern w:val="22"/>
          <w:szCs w:val="22"/>
        </w:rPr>
        <w:t>reference number</w:t>
      </w:r>
      <w:r w:rsidR="00F07D7A" w:rsidRPr="0088780C">
        <w:rPr>
          <w:snapToGrid w:val="0"/>
          <w:kern w:val="22"/>
          <w:szCs w:val="22"/>
        </w:rPr>
        <w:t xml:space="preserve"> 2016-144). Prior to the workshop, selected experts </w:t>
      </w:r>
      <w:r w:rsidR="0097278D" w:rsidRPr="0088780C">
        <w:rPr>
          <w:snapToGrid w:val="0"/>
          <w:kern w:val="22"/>
          <w:szCs w:val="22"/>
        </w:rPr>
        <w:t>we</w:t>
      </w:r>
      <w:r w:rsidR="00F07D7A" w:rsidRPr="0088780C">
        <w:rPr>
          <w:snapToGrid w:val="0"/>
          <w:kern w:val="22"/>
          <w:szCs w:val="22"/>
        </w:rPr>
        <w:t>re asked to provide relevant scientific and technical information, in collaboration with relevant scientists within their respective countries, to support the workshop discussions, including by filling in the EBSA information template</w:t>
      </w:r>
      <w:r w:rsidR="0097278D" w:rsidRPr="0088780C">
        <w:rPr>
          <w:snapToGrid w:val="0"/>
          <w:kern w:val="22"/>
          <w:szCs w:val="22"/>
        </w:rPr>
        <w:t xml:space="preserve"> (appended to the notification above)</w:t>
      </w:r>
      <w:r w:rsidR="00F07D7A" w:rsidRPr="0088780C">
        <w:rPr>
          <w:snapToGrid w:val="0"/>
          <w:kern w:val="22"/>
          <w:szCs w:val="22"/>
        </w:rPr>
        <w:t>.</w:t>
      </w:r>
    </w:p>
    <w:p w14:paraId="32D15133" w14:textId="034ECE66" w:rsidR="00704955" w:rsidRPr="0088780C" w:rsidRDefault="006A5B2D" w:rsidP="001013AF">
      <w:pPr>
        <w:suppressLineNumbers/>
        <w:suppressAutoHyphens/>
        <w:kinsoku w:val="0"/>
        <w:overflowPunct w:val="0"/>
        <w:autoSpaceDE w:val="0"/>
        <w:autoSpaceDN w:val="0"/>
        <w:adjustRightInd w:val="0"/>
        <w:spacing w:after="120"/>
        <w:rPr>
          <w:snapToGrid w:val="0"/>
          <w:kern w:val="22"/>
          <w:szCs w:val="22"/>
          <w:lang w:eastAsia="ko-KR"/>
        </w:rPr>
      </w:pPr>
      <w:r w:rsidRPr="0088780C">
        <w:rPr>
          <w:snapToGrid w:val="0"/>
          <w:kern w:val="22"/>
          <w:szCs w:val="22"/>
          <w:lang w:eastAsia="ko-KR"/>
        </w:rPr>
        <w:t>1</w:t>
      </w:r>
      <w:r w:rsidR="00AA4925" w:rsidRPr="0088780C">
        <w:rPr>
          <w:snapToGrid w:val="0"/>
          <w:kern w:val="22"/>
          <w:szCs w:val="22"/>
          <w:lang w:eastAsia="ko-KR"/>
        </w:rPr>
        <w:t>8</w:t>
      </w:r>
      <w:r w:rsidR="0018798D" w:rsidRPr="0088780C">
        <w:rPr>
          <w:snapToGrid w:val="0"/>
          <w:kern w:val="22"/>
          <w:szCs w:val="22"/>
          <w:lang w:eastAsia="ko-KR"/>
        </w:rPr>
        <w:t>.</w:t>
      </w:r>
      <w:r w:rsidR="0018798D" w:rsidRPr="0088780C">
        <w:rPr>
          <w:snapToGrid w:val="0"/>
          <w:kern w:val="22"/>
          <w:szCs w:val="22"/>
          <w:lang w:eastAsia="ko-KR"/>
        </w:rPr>
        <w:tab/>
      </w:r>
      <w:r w:rsidR="00A76BD9" w:rsidRPr="0088780C">
        <w:rPr>
          <w:snapToGrid w:val="0"/>
          <w:kern w:val="22"/>
          <w:szCs w:val="22"/>
          <w:lang w:eastAsia="ko-KR"/>
        </w:rPr>
        <w:t>Summaries of the above presentations are provided in annex II.</w:t>
      </w:r>
    </w:p>
    <w:p w14:paraId="2324E3CD" w14:textId="5F1E58FA" w:rsidR="00DB3C52" w:rsidRPr="0088780C" w:rsidRDefault="00DB3C52" w:rsidP="001013AF">
      <w:pPr>
        <w:pStyle w:val="Heading1"/>
        <w:suppressLineNumbers/>
        <w:suppressAutoHyphens/>
        <w:kinsoku w:val="0"/>
        <w:overflowPunct w:val="0"/>
        <w:autoSpaceDE w:val="0"/>
        <w:autoSpaceDN w:val="0"/>
        <w:spacing w:before="0" w:afterLines="50"/>
        <w:ind w:left="1843" w:hanging="1276"/>
        <w:jc w:val="left"/>
        <w:rPr>
          <w:snapToGrid w:val="0"/>
          <w:color w:val="FF0000"/>
          <w:kern w:val="22"/>
          <w:szCs w:val="22"/>
          <w:lang w:eastAsia="ko-KR"/>
        </w:rPr>
      </w:pPr>
      <w:r w:rsidRPr="0088780C">
        <w:rPr>
          <w:snapToGrid w:val="0"/>
          <w:kern w:val="22"/>
          <w:szCs w:val="22"/>
        </w:rPr>
        <w:t>ITEM 4.</w:t>
      </w:r>
      <w:r w:rsidRPr="0088780C">
        <w:rPr>
          <w:snapToGrid w:val="0"/>
          <w:kern w:val="22"/>
          <w:szCs w:val="22"/>
        </w:rPr>
        <w:tab/>
      </w:r>
      <w:r w:rsidR="00704955" w:rsidRPr="0088780C">
        <w:rPr>
          <w:snapToGrid w:val="0"/>
          <w:kern w:val="22"/>
          <w:szCs w:val="22"/>
        </w:rPr>
        <w:t>Review of relevant scientific data/information/maps compiled and submitted for the workshop</w:t>
      </w:r>
    </w:p>
    <w:p w14:paraId="5943F3E2" w14:textId="57B603F2" w:rsidR="00724F1E" w:rsidRPr="0088780C" w:rsidRDefault="008C0D15" w:rsidP="001013AF">
      <w:pPr>
        <w:suppressLineNumbers/>
        <w:suppressAutoHyphens/>
        <w:kinsoku w:val="0"/>
        <w:overflowPunct w:val="0"/>
        <w:autoSpaceDE w:val="0"/>
        <w:autoSpaceDN w:val="0"/>
        <w:adjustRightInd w:val="0"/>
        <w:spacing w:afterLines="50" w:after="120"/>
        <w:rPr>
          <w:snapToGrid w:val="0"/>
          <w:kern w:val="22"/>
          <w:szCs w:val="22"/>
          <w:lang w:eastAsia="ko-KR"/>
        </w:rPr>
      </w:pPr>
      <w:r w:rsidRPr="0088780C">
        <w:rPr>
          <w:snapToGrid w:val="0"/>
          <w:kern w:val="22"/>
          <w:szCs w:val="22"/>
          <w:lang w:eastAsia="ko-KR"/>
        </w:rPr>
        <w:t>19</w:t>
      </w:r>
      <w:r w:rsidR="0018798D" w:rsidRPr="0088780C">
        <w:rPr>
          <w:snapToGrid w:val="0"/>
          <w:kern w:val="22"/>
          <w:szCs w:val="22"/>
          <w:lang w:eastAsia="ko-KR"/>
        </w:rPr>
        <w:t>.</w:t>
      </w:r>
      <w:r w:rsidR="0018798D" w:rsidRPr="0088780C">
        <w:rPr>
          <w:snapToGrid w:val="0"/>
          <w:kern w:val="22"/>
          <w:szCs w:val="22"/>
          <w:lang w:eastAsia="ko-KR"/>
        </w:rPr>
        <w:tab/>
      </w:r>
      <w:r w:rsidR="00DB3C52" w:rsidRPr="0088780C">
        <w:rPr>
          <w:snapToGrid w:val="0"/>
          <w:kern w:val="22"/>
          <w:szCs w:val="22"/>
          <w:lang w:eastAsia="ko-KR"/>
        </w:rPr>
        <w:t xml:space="preserve">For the consideration of this item, workshop </w:t>
      </w:r>
      <w:r w:rsidR="00C66AEB" w:rsidRPr="0088780C">
        <w:rPr>
          <w:snapToGrid w:val="0"/>
          <w:kern w:val="22"/>
          <w:szCs w:val="22"/>
          <w:lang w:eastAsia="ko-KR"/>
        </w:rPr>
        <w:t xml:space="preserve">participants </w:t>
      </w:r>
      <w:r w:rsidR="00DB3C52" w:rsidRPr="0088780C">
        <w:rPr>
          <w:snapToGrid w:val="0"/>
          <w:kern w:val="22"/>
          <w:szCs w:val="22"/>
          <w:lang w:eastAsia="ko-KR"/>
        </w:rPr>
        <w:t xml:space="preserve">had before </w:t>
      </w:r>
      <w:r w:rsidR="00C66AEB" w:rsidRPr="0088780C">
        <w:rPr>
          <w:snapToGrid w:val="0"/>
          <w:kern w:val="22"/>
          <w:szCs w:val="22"/>
          <w:lang w:eastAsia="ko-KR"/>
        </w:rPr>
        <w:t>them</w:t>
      </w:r>
      <w:r w:rsidR="00704955" w:rsidRPr="0088780C">
        <w:rPr>
          <w:snapToGrid w:val="0"/>
          <w:kern w:val="22"/>
          <w:szCs w:val="22"/>
          <w:lang w:eastAsia="ko-KR"/>
        </w:rPr>
        <w:t xml:space="preserve"> two information notes</w:t>
      </w:r>
      <w:r w:rsidR="00DB3C52" w:rsidRPr="0088780C">
        <w:rPr>
          <w:snapToGrid w:val="0"/>
          <w:kern w:val="22"/>
          <w:szCs w:val="22"/>
          <w:lang w:eastAsia="ko-KR"/>
        </w:rPr>
        <w:t xml:space="preserve"> by the Executive Secretary</w:t>
      </w:r>
      <w:r w:rsidR="00E06129" w:rsidRPr="0088780C">
        <w:rPr>
          <w:snapToGrid w:val="0"/>
          <w:kern w:val="22"/>
          <w:szCs w:val="22"/>
          <w:lang w:eastAsia="ko-KR"/>
        </w:rPr>
        <w:t>:</w:t>
      </w:r>
      <w:r w:rsidR="00DB3C52" w:rsidRPr="0088780C">
        <w:rPr>
          <w:snapToGrid w:val="0"/>
          <w:kern w:val="22"/>
          <w:szCs w:val="22"/>
          <w:lang w:eastAsia="ko-KR"/>
        </w:rPr>
        <w:t xml:space="preserve"> </w:t>
      </w:r>
      <w:r w:rsidR="009E5BC5" w:rsidRPr="0088780C">
        <w:rPr>
          <w:snapToGrid w:val="0"/>
          <w:kern w:val="22"/>
          <w:szCs w:val="22"/>
          <w:lang w:eastAsia="ko-KR"/>
        </w:rPr>
        <w:t>“</w:t>
      </w:r>
      <w:r w:rsidR="00CC428D" w:rsidRPr="0088780C">
        <w:rPr>
          <w:iCs/>
          <w:snapToGrid w:val="0"/>
          <w:kern w:val="22"/>
          <w:szCs w:val="22"/>
        </w:rPr>
        <w:t xml:space="preserve">Data to </w:t>
      </w:r>
      <w:r w:rsidR="009A7082" w:rsidRPr="0088780C">
        <w:rPr>
          <w:iCs/>
          <w:snapToGrid w:val="0"/>
          <w:kern w:val="22"/>
          <w:szCs w:val="22"/>
        </w:rPr>
        <w:t>i</w:t>
      </w:r>
      <w:r w:rsidR="00CC428D" w:rsidRPr="0088780C">
        <w:rPr>
          <w:iCs/>
          <w:snapToGrid w:val="0"/>
          <w:kern w:val="22"/>
          <w:szCs w:val="22"/>
        </w:rPr>
        <w:t>nform the CBD</w:t>
      </w:r>
      <w:r w:rsidR="006A5B2D" w:rsidRPr="0088780C">
        <w:rPr>
          <w:iCs/>
          <w:snapToGrid w:val="0"/>
          <w:kern w:val="22"/>
          <w:szCs w:val="22"/>
        </w:rPr>
        <w:t xml:space="preserve"> </w:t>
      </w:r>
      <w:r w:rsidR="00CC428D" w:rsidRPr="0088780C">
        <w:rPr>
          <w:iCs/>
          <w:snapToGrid w:val="0"/>
          <w:kern w:val="22"/>
          <w:szCs w:val="22"/>
        </w:rPr>
        <w:t>Regional Workshop to Facilitate the Description o</w:t>
      </w:r>
      <w:r w:rsidR="00D5224A" w:rsidRPr="0088780C">
        <w:rPr>
          <w:iCs/>
          <w:snapToGrid w:val="0"/>
          <w:kern w:val="22"/>
          <w:szCs w:val="22"/>
        </w:rPr>
        <w:t>f Ecologically or Biologically S</w:t>
      </w:r>
      <w:r w:rsidR="00CC428D" w:rsidRPr="0088780C">
        <w:rPr>
          <w:iCs/>
          <w:snapToGrid w:val="0"/>
          <w:kern w:val="22"/>
          <w:szCs w:val="22"/>
        </w:rPr>
        <w:t>ignificant Marine Areas</w:t>
      </w:r>
      <w:r w:rsidR="00D5224A" w:rsidRPr="0088780C">
        <w:rPr>
          <w:iCs/>
          <w:snapToGrid w:val="0"/>
          <w:kern w:val="22"/>
          <w:szCs w:val="22"/>
        </w:rPr>
        <w:t xml:space="preserve"> in the </w:t>
      </w:r>
      <w:r w:rsidR="008B1AC4" w:rsidRPr="0088780C">
        <w:rPr>
          <w:iCs/>
          <w:snapToGrid w:val="0"/>
          <w:kern w:val="22"/>
          <w:szCs w:val="22"/>
        </w:rPr>
        <w:t>Black Sea and Caspian Sea</w:t>
      </w:r>
      <w:r w:rsidR="009E5BC5" w:rsidRPr="0088780C">
        <w:rPr>
          <w:iCs/>
          <w:snapToGrid w:val="0"/>
          <w:kern w:val="22"/>
          <w:szCs w:val="22"/>
        </w:rPr>
        <w:t>”</w:t>
      </w:r>
      <w:r w:rsidR="001C67BD" w:rsidRPr="0088780C">
        <w:rPr>
          <w:iCs/>
          <w:snapToGrid w:val="0"/>
          <w:kern w:val="22"/>
          <w:szCs w:val="22"/>
          <w:lang w:eastAsia="ko-KR"/>
        </w:rPr>
        <w:t xml:space="preserve"> </w:t>
      </w:r>
      <w:r w:rsidR="001C67BD" w:rsidRPr="0088780C">
        <w:rPr>
          <w:snapToGrid w:val="0"/>
          <w:kern w:val="22"/>
          <w:szCs w:val="22"/>
          <w:lang w:eastAsia="ko-KR"/>
        </w:rPr>
        <w:t>(</w:t>
      </w:r>
      <w:r w:rsidR="001C67BD" w:rsidRPr="0088780C">
        <w:rPr>
          <w:bCs/>
          <w:snapToGrid w:val="0"/>
          <w:kern w:val="22"/>
          <w:szCs w:val="22"/>
          <w:shd w:val="clear" w:color="auto" w:fill="FFFFFF"/>
        </w:rPr>
        <w:t>UNEP/CBD/EBSA/WS/2017/1/3)</w:t>
      </w:r>
      <w:r w:rsidR="00CC428D" w:rsidRPr="0088780C">
        <w:rPr>
          <w:snapToGrid w:val="0"/>
          <w:kern w:val="22"/>
          <w:szCs w:val="22"/>
        </w:rPr>
        <w:t xml:space="preserve">, which </w:t>
      </w:r>
      <w:r w:rsidR="009E5BC5" w:rsidRPr="0088780C">
        <w:rPr>
          <w:snapToGrid w:val="0"/>
          <w:kern w:val="22"/>
          <w:szCs w:val="22"/>
        </w:rPr>
        <w:t>had been issued to</w:t>
      </w:r>
      <w:r w:rsidR="00CC428D" w:rsidRPr="0088780C">
        <w:rPr>
          <w:snapToGrid w:val="0"/>
          <w:kern w:val="22"/>
          <w:szCs w:val="22"/>
        </w:rPr>
        <w:t xml:space="preserve"> support </w:t>
      </w:r>
      <w:r w:rsidR="009E5BC5" w:rsidRPr="0088780C">
        <w:rPr>
          <w:snapToGrid w:val="0"/>
          <w:kern w:val="22"/>
          <w:szCs w:val="22"/>
        </w:rPr>
        <w:t xml:space="preserve">the deliberations </w:t>
      </w:r>
      <w:r w:rsidR="00CC428D" w:rsidRPr="0088780C">
        <w:rPr>
          <w:snapToGrid w:val="0"/>
          <w:kern w:val="22"/>
          <w:szCs w:val="22"/>
        </w:rPr>
        <w:t xml:space="preserve">of the workshop, and </w:t>
      </w:r>
      <w:r w:rsidR="009E5BC5" w:rsidRPr="0088780C">
        <w:rPr>
          <w:snapToGrid w:val="0"/>
          <w:kern w:val="22"/>
          <w:szCs w:val="22"/>
        </w:rPr>
        <w:t>“</w:t>
      </w:r>
      <w:r w:rsidR="001C67BD" w:rsidRPr="0088780C">
        <w:rPr>
          <w:iCs/>
          <w:snapToGrid w:val="0"/>
          <w:color w:val="333333"/>
          <w:kern w:val="22"/>
          <w:szCs w:val="22"/>
        </w:rPr>
        <w:t xml:space="preserve">Compilation of </w:t>
      </w:r>
      <w:r w:rsidR="009E5BC5" w:rsidRPr="0088780C">
        <w:rPr>
          <w:iCs/>
          <w:snapToGrid w:val="0"/>
          <w:color w:val="333333"/>
          <w:kern w:val="22"/>
          <w:szCs w:val="22"/>
        </w:rPr>
        <w:t>r</w:t>
      </w:r>
      <w:r w:rsidR="001C67BD" w:rsidRPr="0088780C">
        <w:rPr>
          <w:iCs/>
          <w:snapToGrid w:val="0"/>
          <w:color w:val="333333"/>
          <w:kern w:val="22"/>
          <w:szCs w:val="22"/>
        </w:rPr>
        <w:t xml:space="preserve">elevant </w:t>
      </w:r>
      <w:r w:rsidR="009E5BC5" w:rsidRPr="0088780C">
        <w:rPr>
          <w:iCs/>
          <w:snapToGrid w:val="0"/>
          <w:color w:val="333333"/>
          <w:kern w:val="22"/>
          <w:szCs w:val="22"/>
        </w:rPr>
        <w:t>s</w:t>
      </w:r>
      <w:r w:rsidR="001C67BD" w:rsidRPr="0088780C">
        <w:rPr>
          <w:iCs/>
          <w:snapToGrid w:val="0"/>
          <w:color w:val="333333"/>
          <w:kern w:val="22"/>
          <w:szCs w:val="22"/>
        </w:rPr>
        <w:t xml:space="preserve">cientific </w:t>
      </w:r>
      <w:r w:rsidR="009E5BC5" w:rsidRPr="0088780C">
        <w:rPr>
          <w:iCs/>
          <w:snapToGrid w:val="0"/>
          <w:color w:val="333333"/>
          <w:kern w:val="22"/>
          <w:szCs w:val="22"/>
        </w:rPr>
        <w:t>i</w:t>
      </w:r>
      <w:r w:rsidR="001C67BD" w:rsidRPr="0088780C">
        <w:rPr>
          <w:iCs/>
          <w:snapToGrid w:val="0"/>
          <w:color w:val="333333"/>
          <w:kern w:val="22"/>
          <w:szCs w:val="22"/>
        </w:rPr>
        <w:t xml:space="preserve">nformation </w:t>
      </w:r>
      <w:r w:rsidR="009E5BC5" w:rsidRPr="0088780C">
        <w:rPr>
          <w:iCs/>
          <w:snapToGrid w:val="0"/>
          <w:color w:val="333333"/>
          <w:kern w:val="22"/>
          <w:szCs w:val="22"/>
        </w:rPr>
        <w:t>s</w:t>
      </w:r>
      <w:r w:rsidR="001C67BD" w:rsidRPr="0088780C">
        <w:rPr>
          <w:iCs/>
          <w:snapToGrid w:val="0"/>
          <w:color w:val="333333"/>
          <w:kern w:val="22"/>
          <w:szCs w:val="22"/>
        </w:rPr>
        <w:t xml:space="preserve">ubmitted by Parties, </w:t>
      </w:r>
      <w:r w:rsidR="009E5BC5" w:rsidRPr="0088780C">
        <w:rPr>
          <w:iCs/>
          <w:snapToGrid w:val="0"/>
          <w:color w:val="333333"/>
          <w:kern w:val="22"/>
          <w:szCs w:val="22"/>
        </w:rPr>
        <w:t>o</w:t>
      </w:r>
      <w:r w:rsidR="001C67BD" w:rsidRPr="0088780C">
        <w:rPr>
          <w:iCs/>
          <w:snapToGrid w:val="0"/>
          <w:color w:val="333333"/>
          <w:kern w:val="22"/>
          <w:szCs w:val="22"/>
        </w:rPr>
        <w:t xml:space="preserve">ther Governments and </w:t>
      </w:r>
      <w:r w:rsidR="009E5BC5" w:rsidRPr="0088780C">
        <w:rPr>
          <w:iCs/>
          <w:snapToGrid w:val="0"/>
          <w:color w:val="333333"/>
          <w:kern w:val="22"/>
          <w:szCs w:val="22"/>
        </w:rPr>
        <w:t>r</w:t>
      </w:r>
      <w:r w:rsidR="001C67BD" w:rsidRPr="0088780C">
        <w:rPr>
          <w:iCs/>
          <w:snapToGrid w:val="0"/>
          <w:color w:val="333333"/>
          <w:kern w:val="22"/>
          <w:szCs w:val="22"/>
        </w:rPr>
        <w:t xml:space="preserve">elevant </w:t>
      </w:r>
      <w:r w:rsidR="009E5BC5" w:rsidRPr="0088780C">
        <w:rPr>
          <w:iCs/>
          <w:snapToGrid w:val="0"/>
          <w:color w:val="333333"/>
          <w:kern w:val="22"/>
          <w:szCs w:val="22"/>
        </w:rPr>
        <w:t>o</w:t>
      </w:r>
      <w:r w:rsidR="001C67BD" w:rsidRPr="0088780C">
        <w:rPr>
          <w:iCs/>
          <w:snapToGrid w:val="0"/>
          <w:color w:val="333333"/>
          <w:kern w:val="22"/>
          <w:szCs w:val="22"/>
        </w:rPr>
        <w:t xml:space="preserve">rganizations in </w:t>
      </w:r>
      <w:r w:rsidR="009E5BC5" w:rsidRPr="0088780C">
        <w:rPr>
          <w:iCs/>
          <w:snapToGrid w:val="0"/>
          <w:color w:val="333333"/>
          <w:kern w:val="22"/>
          <w:szCs w:val="22"/>
        </w:rPr>
        <w:t>s</w:t>
      </w:r>
      <w:r w:rsidR="001C67BD" w:rsidRPr="0088780C">
        <w:rPr>
          <w:iCs/>
          <w:snapToGrid w:val="0"/>
          <w:color w:val="333333"/>
          <w:kern w:val="22"/>
          <w:szCs w:val="22"/>
        </w:rPr>
        <w:t xml:space="preserve">upport of the </w:t>
      </w:r>
      <w:r w:rsidR="009E5BC5" w:rsidRPr="0088780C">
        <w:rPr>
          <w:iCs/>
          <w:snapToGrid w:val="0"/>
          <w:color w:val="333333"/>
          <w:kern w:val="22"/>
          <w:szCs w:val="22"/>
        </w:rPr>
        <w:t>w</w:t>
      </w:r>
      <w:r w:rsidR="001C67BD" w:rsidRPr="0088780C">
        <w:rPr>
          <w:iCs/>
          <w:snapToGrid w:val="0"/>
          <w:color w:val="333333"/>
          <w:kern w:val="22"/>
          <w:szCs w:val="22"/>
        </w:rPr>
        <w:t xml:space="preserve">orkshop </w:t>
      </w:r>
      <w:r w:rsidR="009E5BC5" w:rsidRPr="0088780C">
        <w:rPr>
          <w:iCs/>
          <w:snapToGrid w:val="0"/>
          <w:color w:val="333333"/>
          <w:kern w:val="22"/>
          <w:szCs w:val="22"/>
        </w:rPr>
        <w:t>o</w:t>
      </w:r>
      <w:r w:rsidR="001C67BD" w:rsidRPr="0088780C">
        <w:rPr>
          <w:iCs/>
          <w:snapToGrid w:val="0"/>
          <w:color w:val="333333"/>
          <w:kern w:val="22"/>
          <w:szCs w:val="22"/>
        </w:rPr>
        <w:t>bjectives</w:t>
      </w:r>
      <w:r w:rsidR="009E5BC5" w:rsidRPr="0088780C">
        <w:rPr>
          <w:iCs/>
          <w:snapToGrid w:val="0"/>
          <w:color w:val="333333"/>
          <w:kern w:val="22"/>
          <w:szCs w:val="22"/>
        </w:rPr>
        <w:t>”</w:t>
      </w:r>
      <w:r w:rsidR="001C67BD" w:rsidRPr="0088780C">
        <w:rPr>
          <w:snapToGrid w:val="0"/>
          <w:kern w:val="22"/>
          <w:szCs w:val="22"/>
          <w:lang w:eastAsia="ko-KR"/>
        </w:rPr>
        <w:t xml:space="preserve"> (</w:t>
      </w:r>
      <w:r w:rsidR="001C67BD" w:rsidRPr="0088780C">
        <w:rPr>
          <w:bCs/>
          <w:snapToGrid w:val="0"/>
          <w:kern w:val="22"/>
          <w:szCs w:val="22"/>
          <w:shd w:val="clear" w:color="auto" w:fill="FFFFFF"/>
        </w:rPr>
        <w:t>UNEP/CBD/EBSA/WS/2017/1/2)</w:t>
      </w:r>
      <w:r w:rsidR="001C67BD" w:rsidRPr="0088780C">
        <w:rPr>
          <w:bCs/>
          <w:snapToGrid w:val="0"/>
          <w:kern w:val="22"/>
          <w:szCs w:val="22"/>
        </w:rPr>
        <w:t>,</w:t>
      </w:r>
      <w:r w:rsidR="001C67BD" w:rsidRPr="0088780C">
        <w:rPr>
          <w:snapToGrid w:val="0"/>
          <w:kern w:val="22"/>
          <w:szCs w:val="22"/>
          <w:lang w:eastAsia="ko-KR"/>
        </w:rPr>
        <w:t xml:space="preserve"> </w:t>
      </w:r>
      <w:r w:rsidR="00D5224A" w:rsidRPr="0088780C">
        <w:rPr>
          <w:snapToGrid w:val="0"/>
          <w:kern w:val="22"/>
          <w:szCs w:val="22"/>
          <w:lang w:eastAsia="ko-KR"/>
        </w:rPr>
        <w:t>compil</w:t>
      </w:r>
      <w:r w:rsidR="00100F57" w:rsidRPr="0088780C">
        <w:rPr>
          <w:snapToGrid w:val="0"/>
          <w:kern w:val="22"/>
          <w:szCs w:val="22"/>
          <w:lang w:eastAsia="ko-KR"/>
        </w:rPr>
        <w:t xml:space="preserve">ed based on submissions </w:t>
      </w:r>
      <w:r w:rsidR="00DB3C52" w:rsidRPr="0088780C">
        <w:rPr>
          <w:snapToGrid w:val="0"/>
          <w:kern w:val="22"/>
          <w:szCs w:val="22"/>
          <w:lang w:eastAsia="ko-KR"/>
        </w:rPr>
        <w:t>in response to the Secretariat’s notification</w:t>
      </w:r>
      <w:r w:rsidR="002F4B29" w:rsidRPr="0088780C">
        <w:rPr>
          <w:snapToGrid w:val="0"/>
          <w:kern w:val="22"/>
          <w:szCs w:val="22"/>
          <w:lang w:eastAsia="ko-KR"/>
        </w:rPr>
        <w:t xml:space="preserve"> </w:t>
      </w:r>
      <w:r w:rsidR="003B4129" w:rsidRPr="0088780C">
        <w:rPr>
          <w:snapToGrid w:val="0"/>
          <w:kern w:val="22"/>
          <w:szCs w:val="22"/>
        </w:rPr>
        <w:t>(</w:t>
      </w:r>
      <w:r w:rsidR="00D5224A" w:rsidRPr="0088780C">
        <w:rPr>
          <w:snapToGrid w:val="0"/>
          <w:color w:val="262626"/>
          <w:kern w:val="22"/>
          <w:szCs w:val="22"/>
        </w:rPr>
        <w:t>201</w:t>
      </w:r>
      <w:r w:rsidR="00A058EC" w:rsidRPr="0088780C">
        <w:rPr>
          <w:snapToGrid w:val="0"/>
          <w:color w:val="262626"/>
          <w:kern w:val="22"/>
          <w:szCs w:val="22"/>
        </w:rPr>
        <w:t>7</w:t>
      </w:r>
      <w:r w:rsidR="00D5224A" w:rsidRPr="0088780C">
        <w:rPr>
          <w:snapToGrid w:val="0"/>
          <w:color w:val="262626"/>
          <w:kern w:val="22"/>
          <w:szCs w:val="22"/>
        </w:rPr>
        <w:t>-0</w:t>
      </w:r>
      <w:r w:rsidR="00A058EC" w:rsidRPr="0088780C">
        <w:rPr>
          <w:snapToGrid w:val="0"/>
          <w:color w:val="262626"/>
          <w:kern w:val="22"/>
          <w:szCs w:val="22"/>
        </w:rPr>
        <w:t>02</w:t>
      </w:r>
      <w:r w:rsidR="00D5224A" w:rsidRPr="0088780C">
        <w:rPr>
          <w:snapToGrid w:val="0"/>
          <w:color w:val="262626"/>
          <w:kern w:val="22"/>
          <w:szCs w:val="22"/>
        </w:rPr>
        <w:t xml:space="preserve">, </w:t>
      </w:r>
      <w:r w:rsidR="00537C8A" w:rsidRPr="0088780C">
        <w:rPr>
          <w:snapToGrid w:val="0"/>
          <w:kern w:val="22"/>
          <w:szCs w:val="22"/>
          <w:lang w:eastAsia="ko-KR"/>
        </w:rPr>
        <w:t>dated</w:t>
      </w:r>
      <w:r w:rsidR="00A058EC" w:rsidRPr="0088780C">
        <w:rPr>
          <w:snapToGrid w:val="0"/>
          <w:kern w:val="22"/>
          <w:szCs w:val="22"/>
          <w:lang w:eastAsia="ko-KR"/>
        </w:rPr>
        <w:t xml:space="preserve"> 17 January</w:t>
      </w:r>
      <w:r w:rsidR="002F4B29" w:rsidRPr="0088780C">
        <w:rPr>
          <w:snapToGrid w:val="0"/>
          <w:kern w:val="22"/>
          <w:szCs w:val="22"/>
          <w:lang w:eastAsia="ko-KR"/>
        </w:rPr>
        <w:t xml:space="preserve"> </w:t>
      </w:r>
      <w:r w:rsidR="00D5224A" w:rsidRPr="0088780C">
        <w:rPr>
          <w:snapToGrid w:val="0"/>
          <w:kern w:val="22"/>
          <w:szCs w:val="22"/>
          <w:lang w:eastAsia="ko-KR"/>
        </w:rPr>
        <w:t>201</w:t>
      </w:r>
      <w:r w:rsidR="00A058EC" w:rsidRPr="0088780C">
        <w:rPr>
          <w:snapToGrid w:val="0"/>
          <w:kern w:val="22"/>
          <w:szCs w:val="22"/>
          <w:lang w:eastAsia="ko-KR"/>
        </w:rPr>
        <w:t>7</w:t>
      </w:r>
      <w:r w:rsidR="00DB3C52" w:rsidRPr="0088780C">
        <w:rPr>
          <w:snapToGrid w:val="0"/>
          <w:kern w:val="22"/>
          <w:szCs w:val="22"/>
          <w:lang w:eastAsia="ko-KR"/>
        </w:rPr>
        <w:t>). The documents/references submitted prior to the workshop were made available for the information of workshop participants on the meeting website (</w:t>
      </w:r>
      <w:hyperlink r:id="rId12" w:history="1">
        <w:r w:rsidR="008B1AC4" w:rsidRPr="0088780C">
          <w:rPr>
            <w:rStyle w:val="Hyperlink"/>
            <w:snapToGrid w:val="0"/>
            <w:kern w:val="22"/>
            <w:szCs w:val="22"/>
          </w:rPr>
          <w:t>https://www.cbd.int/doc/?meeting=EBSAWS-2017-01</w:t>
        </w:r>
      </w:hyperlink>
      <w:r w:rsidR="003B4129" w:rsidRPr="0088780C">
        <w:rPr>
          <w:snapToGrid w:val="0"/>
          <w:kern w:val="22"/>
          <w:szCs w:val="22"/>
          <w:lang w:eastAsia="ko-KR"/>
        </w:rPr>
        <w:t>)</w:t>
      </w:r>
      <w:r w:rsidR="00D5224A" w:rsidRPr="0088780C">
        <w:rPr>
          <w:snapToGrid w:val="0"/>
          <w:kern w:val="22"/>
          <w:szCs w:val="22"/>
          <w:lang w:eastAsia="ko-KR"/>
        </w:rPr>
        <w:t>.</w:t>
      </w:r>
    </w:p>
    <w:p w14:paraId="77259FF4" w14:textId="4584F2B6" w:rsidR="00E228FA" w:rsidRPr="0088780C" w:rsidRDefault="00AA4925" w:rsidP="001013AF">
      <w:pPr>
        <w:suppressLineNumbers/>
        <w:suppressAutoHyphens/>
        <w:kinsoku w:val="0"/>
        <w:overflowPunct w:val="0"/>
        <w:autoSpaceDE w:val="0"/>
        <w:autoSpaceDN w:val="0"/>
        <w:adjustRightInd w:val="0"/>
        <w:spacing w:afterLines="50" w:after="120"/>
        <w:rPr>
          <w:snapToGrid w:val="0"/>
          <w:kern w:val="22"/>
          <w:szCs w:val="22"/>
          <w:lang w:eastAsia="ko-KR"/>
        </w:rPr>
      </w:pPr>
      <w:r w:rsidRPr="0088780C">
        <w:rPr>
          <w:snapToGrid w:val="0"/>
          <w:kern w:val="22"/>
          <w:szCs w:val="22"/>
          <w:lang w:eastAsia="ko-KR"/>
        </w:rPr>
        <w:t>2</w:t>
      </w:r>
      <w:r w:rsidR="008C0D15" w:rsidRPr="0088780C">
        <w:rPr>
          <w:snapToGrid w:val="0"/>
          <w:kern w:val="22"/>
          <w:szCs w:val="22"/>
          <w:lang w:eastAsia="ko-KR"/>
        </w:rPr>
        <w:t>0</w:t>
      </w:r>
      <w:r w:rsidR="0018798D" w:rsidRPr="0088780C">
        <w:rPr>
          <w:snapToGrid w:val="0"/>
          <w:kern w:val="22"/>
          <w:szCs w:val="22"/>
          <w:lang w:eastAsia="ko-KR"/>
        </w:rPr>
        <w:t>.</w:t>
      </w:r>
      <w:r w:rsidR="0018798D" w:rsidRPr="0088780C">
        <w:rPr>
          <w:snapToGrid w:val="0"/>
          <w:kern w:val="22"/>
          <w:szCs w:val="22"/>
          <w:lang w:eastAsia="ko-KR"/>
        </w:rPr>
        <w:tab/>
      </w:r>
      <w:r w:rsidR="00E17341" w:rsidRPr="0088780C">
        <w:rPr>
          <w:snapToGrid w:val="0"/>
          <w:kern w:val="22"/>
          <w:szCs w:val="22"/>
          <w:lang w:eastAsia="ko-KR"/>
        </w:rPr>
        <w:t xml:space="preserve">Mr. </w:t>
      </w:r>
      <w:r w:rsidR="00A058EC" w:rsidRPr="0088780C">
        <w:rPr>
          <w:snapToGrid w:val="0"/>
          <w:color w:val="000000"/>
          <w:kern w:val="22"/>
          <w:szCs w:val="22"/>
          <w:lang w:eastAsia="ko-KR"/>
        </w:rPr>
        <w:t>Patrick Halpin (</w:t>
      </w:r>
      <w:r w:rsidR="00100F57" w:rsidRPr="0088780C">
        <w:rPr>
          <w:snapToGrid w:val="0"/>
          <w:color w:val="000000"/>
          <w:kern w:val="22"/>
          <w:szCs w:val="22"/>
          <w:lang w:eastAsia="ko-KR"/>
        </w:rPr>
        <w:t>t</w:t>
      </w:r>
      <w:r w:rsidR="0071112E" w:rsidRPr="0088780C">
        <w:rPr>
          <w:snapToGrid w:val="0"/>
          <w:color w:val="000000"/>
          <w:kern w:val="22"/>
          <w:szCs w:val="22"/>
          <w:lang w:eastAsia="ko-KR"/>
        </w:rPr>
        <w:t>echnical support team</w:t>
      </w:r>
      <w:r w:rsidR="00A058EC" w:rsidRPr="0088780C">
        <w:rPr>
          <w:snapToGrid w:val="0"/>
          <w:color w:val="000000"/>
          <w:kern w:val="22"/>
          <w:szCs w:val="22"/>
          <w:lang w:eastAsia="ko-KR"/>
        </w:rPr>
        <w:t>)</w:t>
      </w:r>
      <w:r w:rsidR="00DB3C52" w:rsidRPr="0088780C">
        <w:rPr>
          <w:snapToGrid w:val="0"/>
          <w:color w:val="000000"/>
          <w:kern w:val="22"/>
          <w:szCs w:val="22"/>
          <w:lang w:eastAsia="ko-KR"/>
        </w:rPr>
        <w:t xml:space="preserve"> provided</w:t>
      </w:r>
      <w:r w:rsidR="00E17341" w:rsidRPr="0088780C">
        <w:rPr>
          <w:snapToGrid w:val="0"/>
          <w:color w:val="000000"/>
          <w:kern w:val="22"/>
          <w:szCs w:val="22"/>
          <w:lang w:eastAsia="ko-KR"/>
        </w:rPr>
        <w:t xml:space="preserve"> </w:t>
      </w:r>
      <w:r w:rsidR="00DB3C52" w:rsidRPr="0088780C">
        <w:rPr>
          <w:snapToGrid w:val="0"/>
          <w:color w:val="000000"/>
          <w:kern w:val="22"/>
          <w:szCs w:val="22"/>
          <w:lang w:eastAsia="ko-KR"/>
        </w:rPr>
        <w:t xml:space="preserve">a presentation </w:t>
      </w:r>
      <w:r w:rsidR="00135975" w:rsidRPr="0088780C">
        <w:rPr>
          <w:snapToGrid w:val="0"/>
          <w:color w:val="000000"/>
          <w:kern w:val="22"/>
          <w:szCs w:val="22"/>
          <w:lang w:eastAsia="ko-KR"/>
        </w:rPr>
        <w:t>entitled</w:t>
      </w:r>
      <w:r w:rsidR="00DB3C52" w:rsidRPr="0088780C">
        <w:rPr>
          <w:snapToGrid w:val="0"/>
          <w:color w:val="000000"/>
          <w:kern w:val="22"/>
          <w:szCs w:val="22"/>
          <w:lang w:eastAsia="ko-KR"/>
        </w:rPr>
        <w:t xml:space="preserve"> </w:t>
      </w:r>
      <w:r w:rsidR="00D8482D" w:rsidRPr="0088780C">
        <w:rPr>
          <w:snapToGrid w:val="0"/>
          <w:color w:val="000000"/>
          <w:kern w:val="22"/>
          <w:szCs w:val="22"/>
        </w:rPr>
        <w:t>“</w:t>
      </w:r>
      <w:r w:rsidR="00DB3C52" w:rsidRPr="0088780C">
        <w:rPr>
          <w:snapToGrid w:val="0"/>
          <w:color w:val="000000"/>
          <w:kern w:val="22"/>
          <w:szCs w:val="22"/>
        </w:rPr>
        <w:t xml:space="preserve">Review of relevant scientific data/information/maps </w:t>
      </w:r>
      <w:r w:rsidR="00DB3C52" w:rsidRPr="0088780C">
        <w:rPr>
          <w:snapToGrid w:val="0"/>
          <w:kern w:val="22"/>
          <w:szCs w:val="22"/>
        </w:rPr>
        <w:t xml:space="preserve">compiled to facilitate the description of EBSAs in the </w:t>
      </w:r>
      <w:r w:rsidR="00A058EC" w:rsidRPr="0088780C">
        <w:rPr>
          <w:snapToGrid w:val="0"/>
          <w:kern w:val="22"/>
          <w:szCs w:val="22"/>
        </w:rPr>
        <w:t xml:space="preserve">Black Sea and </w:t>
      </w:r>
      <w:r w:rsidR="0071112E" w:rsidRPr="0088780C">
        <w:rPr>
          <w:snapToGrid w:val="0"/>
          <w:kern w:val="22"/>
          <w:szCs w:val="22"/>
        </w:rPr>
        <w:t xml:space="preserve">the </w:t>
      </w:r>
      <w:r w:rsidR="00A058EC" w:rsidRPr="0088780C">
        <w:rPr>
          <w:snapToGrid w:val="0"/>
          <w:kern w:val="22"/>
          <w:szCs w:val="22"/>
        </w:rPr>
        <w:t>Caspian Sea</w:t>
      </w:r>
      <w:r w:rsidR="00E228FA" w:rsidRPr="0088780C">
        <w:rPr>
          <w:snapToGrid w:val="0"/>
          <w:kern w:val="22"/>
          <w:szCs w:val="22"/>
        </w:rPr>
        <w:t>,</w:t>
      </w:r>
      <w:r w:rsidR="00D8482D" w:rsidRPr="0088780C">
        <w:rPr>
          <w:snapToGrid w:val="0"/>
          <w:kern w:val="22"/>
          <w:szCs w:val="22"/>
        </w:rPr>
        <w:t>”</w:t>
      </w:r>
      <w:r w:rsidR="001D2379" w:rsidRPr="0088780C">
        <w:rPr>
          <w:snapToGrid w:val="0"/>
          <w:kern w:val="22"/>
          <w:szCs w:val="22"/>
          <w:lang w:eastAsia="ko-KR"/>
        </w:rPr>
        <w:t xml:space="preserve"> based on document</w:t>
      </w:r>
      <w:r w:rsidR="00A81B9F" w:rsidRPr="0088780C">
        <w:rPr>
          <w:bCs/>
          <w:snapToGrid w:val="0"/>
          <w:kern w:val="22"/>
          <w:szCs w:val="22"/>
        </w:rPr>
        <w:t xml:space="preserve"> </w:t>
      </w:r>
      <w:r w:rsidR="00A058EC" w:rsidRPr="0088780C">
        <w:rPr>
          <w:bCs/>
          <w:snapToGrid w:val="0"/>
          <w:kern w:val="22"/>
          <w:szCs w:val="22"/>
        </w:rPr>
        <w:t>UNEP/CBD/EBSA/WS/2017/1</w:t>
      </w:r>
      <w:r w:rsidR="00724F1E" w:rsidRPr="0088780C">
        <w:rPr>
          <w:bCs/>
          <w:snapToGrid w:val="0"/>
          <w:kern w:val="22"/>
          <w:szCs w:val="22"/>
        </w:rPr>
        <w:t>/3</w:t>
      </w:r>
      <w:r w:rsidR="00E228FA" w:rsidRPr="0088780C">
        <w:rPr>
          <w:snapToGrid w:val="0"/>
          <w:color w:val="000000"/>
          <w:kern w:val="22"/>
          <w:szCs w:val="22"/>
        </w:rPr>
        <w:t>.</w:t>
      </w:r>
      <w:r w:rsidR="00E228FA" w:rsidRPr="0088780C">
        <w:rPr>
          <w:snapToGrid w:val="0"/>
          <w:kern w:val="22"/>
          <w:szCs w:val="22"/>
        </w:rPr>
        <w:t xml:space="preserve"> </w:t>
      </w:r>
      <w:r w:rsidR="00D5224A" w:rsidRPr="0088780C">
        <w:rPr>
          <w:snapToGrid w:val="0"/>
          <w:kern w:val="22"/>
          <w:szCs w:val="22"/>
          <w:lang w:eastAsia="ko-KR"/>
        </w:rPr>
        <w:t xml:space="preserve">The information provided in this presentation was considered in the description of areas meeting the EBSA criteria by the break-out groups. </w:t>
      </w:r>
      <w:r w:rsidR="00E228FA" w:rsidRPr="0088780C">
        <w:rPr>
          <w:snapToGrid w:val="0"/>
          <w:kern w:val="22"/>
          <w:szCs w:val="22"/>
        </w:rPr>
        <w:t xml:space="preserve">A </w:t>
      </w:r>
      <w:r w:rsidR="00E228FA" w:rsidRPr="0088780C">
        <w:rPr>
          <w:snapToGrid w:val="0"/>
          <w:kern w:val="22"/>
          <w:szCs w:val="22"/>
          <w:lang w:eastAsia="ko-KR"/>
        </w:rPr>
        <w:t>summary</w:t>
      </w:r>
      <w:r w:rsidR="00F22916" w:rsidRPr="0088780C">
        <w:rPr>
          <w:snapToGrid w:val="0"/>
          <w:kern w:val="22"/>
          <w:szCs w:val="22"/>
          <w:lang w:eastAsia="ko-KR"/>
        </w:rPr>
        <w:t xml:space="preserve"> of </w:t>
      </w:r>
      <w:r w:rsidR="00135975" w:rsidRPr="0088780C">
        <w:rPr>
          <w:snapToGrid w:val="0"/>
          <w:kern w:val="22"/>
          <w:szCs w:val="22"/>
          <w:lang w:eastAsia="ko-KR"/>
        </w:rPr>
        <w:t>t</w:t>
      </w:r>
      <w:r w:rsidR="00E228FA" w:rsidRPr="0088780C">
        <w:rPr>
          <w:snapToGrid w:val="0"/>
          <w:kern w:val="22"/>
          <w:szCs w:val="22"/>
          <w:lang w:eastAsia="ko-KR"/>
        </w:rPr>
        <w:t>his presentation is</w:t>
      </w:r>
      <w:r w:rsidR="00F22916" w:rsidRPr="0088780C">
        <w:rPr>
          <w:snapToGrid w:val="0"/>
          <w:kern w:val="22"/>
          <w:szCs w:val="22"/>
          <w:lang w:eastAsia="ko-KR"/>
        </w:rPr>
        <w:t xml:space="preserve"> provided in annex II.</w:t>
      </w:r>
    </w:p>
    <w:p w14:paraId="188F8E51" w14:textId="1860059D" w:rsidR="00513DA8" w:rsidRPr="0088780C" w:rsidRDefault="008C0D15" w:rsidP="001013AF">
      <w:pPr>
        <w:suppressLineNumbers/>
        <w:suppressAutoHyphens/>
        <w:kinsoku w:val="0"/>
        <w:overflowPunct w:val="0"/>
        <w:autoSpaceDE w:val="0"/>
        <w:autoSpaceDN w:val="0"/>
        <w:adjustRightInd w:val="0"/>
        <w:spacing w:afterLines="50" w:after="120"/>
        <w:rPr>
          <w:snapToGrid w:val="0"/>
          <w:kern w:val="22"/>
          <w:szCs w:val="22"/>
          <w:lang w:eastAsia="ko-KR"/>
        </w:rPr>
      </w:pPr>
      <w:r w:rsidRPr="0088780C">
        <w:rPr>
          <w:snapToGrid w:val="0"/>
          <w:kern w:val="22"/>
          <w:szCs w:val="22"/>
          <w:lang w:eastAsia="ko-KR"/>
        </w:rPr>
        <w:t>21</w:t>
      </w:r>
      <w:r w:rsidR="00513DA8" w:rsidRPr="0088780C">
        <w:rPr>
          <w:snapToGrid w:val="0"/>
          <w:kern w:val="22"/>
          <w:szCs w:val="22"/>
          <w:lang w:eastAsia="ko-KR"/>
        </w:rPr>
        <w:t>.</w:t>
      </w:r>
      <w:r w:rsidR="00513DA8" w:rsidRPr="0088780C">
        <w:rPr>
          <w:snapToGrid w:val="0"/>
          <w:kern w:val="22"/>
          <w:szCs w:val="22"/>
          <w:lang w:eastAsia="ko-KR"/>
        </w:rPr>
        <w:tab/>
      </w:r>
      <w:r w:rsidR="0025316C" w:rsidRPr="0088780C">
        <w:rPr>
          <w:snapToGrid w:val="0"/>
          <w:kern w:val="22"/>
          <w:szCs w:val="22"/>
          <w:lang w:eastAsia="ko-KR"/>
        </w:rPr>
        <w:t>Workshop participants</w:t>
      </w:r>
      <w:r w:rsidR="00BB0C45" w:rsidRPr="0088780C">
        <w:rPr>
          <w:snapToGrid w:val="0"/>
          <w:kern w:val="22"/>
          <w:szCs w:val="22"/>
          <w:lang w:eastAsia="ko-KR"/>
        </w:rPr>
        <w:t>, including experts from Parties as well as ACCOBAMS, OBIS, Bird</w:t>
      </w:r>
      <w:r w:rsidR="00135975" w:rsidRPr="0088780C">
        <w:rPr>
          <w:snapToGrid w:val="0"/>
          <w:kern w:val="22"/>
          <w:szCs w:val="22"/>
          <w:lang w:eastAsia="ko-KR"/>
        </w:rPr>
        <w:t>L</w:t>
      </w:r>
      <w:r w:rsidR="00BB0C45" w:rsidRPr="0088780C">
        <w:rPr>
          <w:snapToGrid w:val="0"/>
          <w:kern w:val="22"/>
          <w:szCs w:val="22"/>
          <w:lang w:eastAsia="ko-KR"/>
        </w:rPr>
        <w:t>ife International, and CENESTA,</w:t>
      </w:r>
      <w:r w:rsidR="0025316C" w:rsidRPr="0088780C">
        <w:rPr>
          <w:snapToGrid w:val="0"/>
          <w:kern w:val="22"/>
          <w:szCs w:val="22"/>
          <w:lang w:eastAsia="ko-KR"/>
        </w:rPr>
        <w:t xml:space="preserve"> who ha</w:t>
      </w:r>
      <w:r w:rsidR="00135975" w:rsidRPr="0088780C">
        <w:rPr>
          <w:snapToGrid w:val="0"/>
          <w:kern w:val="22"/>
          <w:szCs w:val="22"/>
          <w:lang w:eastAsia="ko-KR"/>
        </w:rPr>
        <w:t>d</w:t>
      </w:r>
      <w:r w:rsidR="0025316C" w:rsidRPr="0088780C">
        <w:rPr>
          <w:snapToGrid w:val="0"/>
          <w:kern w:val="22"/>
          <w:szCs w:val="22"/>
          <w:lang w:eastAsia="ko-KR"/>
        </w:rPr>
        <w:t xml:space="preserve"> submitted relevant scientific information using the EBSA templates prior to the workshop, as contained in document </w:t>
      </w:r>
      <w:r w:rsidR="0025316C" w:rsidRPr="0088780C">
        <w:rPr>
          <w:bCs/>
          <w:snapToGrid w:val="0"/>
          <w:kern w:val="22"/>
          <w:szCs w:val="22"/>
          <w:shd w:val="clear" w:color="auto" w:fill="FFFFFF"/>
        </w:rPr>
        <w:t>UNEP/CBD/EBSA/WS/2017/1/2</w:t>
      </w:r>
      <w:r w:rsidR="0025316C" w:rsidRPr="0088780C">
        <w:rPr>
          <w:bCs/>
          <w:snapToGrid w:val="0"/>
          <w:kern w:val="22"/>
          <w:szCs w:val="22"/>
        </w:rPr>
        <w:t>,</w:t>
      </w:r>
      <w:r w:rsidR="0025316C" w:rsidRPr="0088780C">
        <w:rPr>
          <w:snapToGrid w:val="0"/>
          <w:kern w:val="22"/>
          <w:szCs w:val="22"/>
          <w:lang w:eastAsia="ko-KR"/>
        </w:rPr>
        <w:t xml:space="preserve"> were invited to present their draft description</w:t>
      </w:r>
      <w:r w:rsidR="00135975" w:rsidRPr="0088780C">
        <w:rPr>
          <w:snapToGrid w:val="0"/>
          <w:kern w:val="22"/>
          <w:szCs w:val="22"/>
          <w:lang w:eastAsia="ko-KR"/>
        </w:rPr>
        <w:t>s</w:t>
      </w:r>
      <w:r w:rsidR="0025316C" w:rsidRPr="0088780C">
        <w:rPr>
          <w:snapToGrid w:val="0"/>
          <w:kern w:val="22"/>
          <w:szCs w:val="22"/>
          <w:lang w:eastAsia="ko-KR"/>
        </w:rPr>
        <w:t xml:space="preserve"> of areas </w:t>
      </w:r>
      <w:r w:rsidR="00135975" w:rsidRPr="0088780C">
        <w:rPr>
          <w:snapToGrid w:val="0"/>
          <w:kern w:val="22"/>
          <w:szCs w:val="22"/>
          <w:lang w:eastAsia="ko-KR"/>
        </w:rPr>
        <w:t xml:space="preserve">potentially </w:t>
      </w:r>
      <w:r w:rsidR="0025316C" w:rsidRPr="0088780C">
        <w:rPr>
          <w:snapToGrid w:val="0"/>
          <w:kern w:val="22"/>
          <w:szCs w:val="22"/>
          <w:lang w:eastAsia="ko-KR"/>
        </w:rPr>
        <w:t>meeting the EBSA criteria.</w:t>
      </w:r>
    </w:p>
    <w:p w14:paraId="51869037" w14:textId="25BF51AA" w:rsidR="00BB0C45" w:rsidRPr="0088780C" w:rsidRDefault="00AA4925" w:rsidP="001013AF">
      <w:pPr>
        <w:suppressLineNumbers/>
        <w:suppressAutoHyphens/>
        <w:kinsoku w:val="0"/>
        <w:overflowPunct w:val="0"/>
        <w:autoSpaceDE w:val="0"/>
        <w:autoSpaceDN w:val="0"/>
        <w:adjustRightInd w:val="0"/>
        <w:spacing w:afterLines="50" w:after="120"/>
        <w:rPr>
          <w:bCs/>
          <w:snapToGrid w:val="0"/>
          <w:kern w:val="22"/>
          <w:szCs w:val="22"/>
        </w:rPr>
      </w:pPr>
      <w:r w:rsidRPr="0088780C">
        <w:rPr>
          <w:bCs/>
          <w:snapToGrid w:val="0"/>
          <w:kern w:val="22"/>
          <w:szCs w:val="22"/>
        </w:rPr>
        <w:t>22</w:t>
      </w:r>
      <w:r w:rsidR="00061D17" w:rsidRPr="0088780C">
        <w:rPr>
          <w:bCs/>
          <w:snapToGrid w:val="0"/>
          <w:kern w:val="22"/>
          <w:szCs w:val="22"/>
        </w:rPr>
        <w:t>.</w:t>
      </w:r>
      <w:r w:rsidR="00061D17" w:rsidRPr="0088780C">
        <w:rPr>
          <w:bCs/>
          <w:snapToGrid w:val="0"/>
          <w:kern w:val="22"/>
          <w:szCs w:val="22"/>
        </w:rPr>
        <w:tab/>
      </w:r>
      <w:r w:rsidR="00C9089E" w:rsidRPr="0088780C">
        <w:rPr>
          <w:bCs/>
          <w:snapToGrid w:val="0"/>
          <w:kern w:val="22"/>
          <w:szCs w:val="22"/>
        </w:rPr>
        <w:t>Spatial</w:t>
      </w:r>
      <w:r w:rsidR="004644BE" w:rsidRPr="0088780C">
        <w:rPr>
          <w:bCs/>
          <w:snapToGrid w:val="0"/>
          <w:kern w:val="22"/>
          <w:szCs w:val="22"/>
        </w:rPr>
        <w:t xml:space="preserve"> da</w:t>
      </w:r>
      <w:r w:rsidR="00CC180B" w:rsidRPr="0088780C">
        <w:rPr>
          <w:bCs/>
          <w:snapToGrid w:val="0"/>
          <w:kern w:val="22"/>
          <w:szCs w:val="22"/>
        </w:rPr>
        <w:t>ta compiled for this workshop was</w:t>
      </w:r>
      <w:r w:rsidR="004644BE" w:rsidRPr="0088780C">
        <w:rPr>
          <w:bCs/>
          <w:snapToGrid w:val="0"/>
          <w:kern w:val="22"/>
          <w:szCs w:val="22"/>
        </w:rPr>
        <w:t xml:space="preserve"> available</w:t>
      </w:r>
      <w:r w:rsidR="00CC180B" w:rsidRPr="0088780C">
        <w:rPr>
          <w:bCs/>
          <w:snapToGrid w:val="0"/>
          <w:kern w:val="22"/>
          <w:szCs w:val="22"/>
        </w:rPr>
        <w:t xml:space="preserve"> to workshop participants</w:t>
      </w:r>
      <w:r w:rsidR="00C9089E" w:rsidRPr="0088780C">
        <w:rPr>
          <w:bCs/>
          <w:snapToGrid w:val="0"/>
          <w:kern w:val="22"/>
          <w:szCs w:val="22"/>
        </w:rPr>
        <w:t xml:space="preserve"> both</w:t>
      </w:r>
      <w:r w:rsidR="004644BE" w:rsidRPr="0088780C">
        <w:rPr>
          <w:bCs/>
          <w:snapToGrid w:val="0"/>
          <w:kern w:val="22"/>
          <w:szCs w:val="22"/>
        </w:rPr>
        <w:t xml:space="preserve"> in hard-copy maps as well as in </w:t>
      </w:r>
      <w:r w:rsidR="00C9089E" w:rsidRPr="0088780C">
        <w:rPr>
          <w:bCs/>
          <w:snapToGrid w:val="0"/>
          <w:kern w:val="22"/>
          <w:szCs w:val="22"/>
        </w:rPr>
        <w:t>a Geographic Information System (</w:t>
      </w:r>
      <w:r w:rsidR="004644BE" w:rsidRPr="0088780C">
        <w:rPr>
          <w:bCs/>
          <w:snapToGrid w:val="0"/>
          <w:kern w:val="22"/>
          <w:szCs w:val="22"/>
        </w:rPr>
        <w:t>GIS</w:t>
      </w:r>
      <w:r w:rsidR="00C9089E" w:rsidRPr="0088780C">
        <w:rPr>
          <w:bCs/>
          <w:snapToGrid w:val="0"/>
          <w:kern w:val="22"/>
          <w:szCs w:val="22"/>
        </w:rPr>
        <w:t>)</w:t>
      </w:r>
      <w:r w:rsidR="004644BE" w:rsidRPr="0088780C">
        <w:rPr>
          <w:bCs/>
          <w:snapToGrid w:val="0"/>
          <w:kern w:val="22"/>
          <w:szCs w:val="22"/>
        </w:rPr>
        <w:t xml:space="preserve"> database with open-source GIS software, for their use</w:t>
      </w:r>
      <w:r w:rsidR="0071112E" w:rsidRPr="0088780C">
        <w:rPr>
          <w:bCs/>
          <w:snapToGrid w:val="0"/>
          <w:kern w:val="22"/>
          <w:szCs w:val="22"/>
        </w:rPr>
        <w:t>,</w:t>
      </w:r>
      <w:r w:rsidR="004644BE" w:rsidRPr="0088780C">
        <w:rPr>
          <w:bCs/>
          <w:snapToGrid w:val="0"/>
          <w:kern w:val="22"/>
          <w:szCs w:val="22"/>
        </w:rPr>
        <w:t xml:space="preserve"> analysis</w:t>
      </w:r>
      <w:r w:rsidR="0071112E" w:rsidRPr="0088780C">
        <w:rPr>
          <w:bCs/>
          <w:snapToGrid w:val="0"/>
          <w:kern w:val="22"/>
          <w:szCs w:val="22"/>
        </w:rPr>
        <w:t xml:space="preserve"> and interpretation in the application of the EBSA criteria</w:t>
      </w:r>
      <w:r w:rsidR="004644BE" w:rsidRPr="0088780C">
        <w:rPr>
          <w:bCs/>
          <w:snapToGrid w:val="0"/>
          <w:kern w:val="22"/>
          <w:szCs w:val="22"/>
        </w:rPr>
        <w:t>.</w:t>
      </w:r>
    </w:p>
    <w:p w14:paraId="3A5654A4" w14:textId="36C4152D" w:rsidR="00724F1E" w:rsidRPr="0088780C" w:rsidRDefault="00BB0C45" w:rsidP="001013AF">
      <w:pPr>
        <w:suppressLineNumbers/>
        <w:suppressAutoHyphens/>
        <w:kinsoku w:val="0"/>
        <w:overflowPunct w:val="0"/>
        <w:autoSpaceDE w:val="0"/>
        <w:autoSpaceDN w:val="0"/>
        <w:adjustRightInd w:val="0"/>
        <w:spacing w:afterLines="50" w:after="120"/>
        <w:rPr>
          <w:bCs/>
          <w:snapToGrid w:val="0"/>
          <w:kern w:val="22"/>
          <w:szCs w:val="22"/>
        </w:rPr>
      </w:pPr>
      <w:r w:rsidRPr="0088780C">
        <w:rPr>
          <w:bCs/>
          <w:snapToGrid w:val="0"/>
          <w:kern w:val="22"/>
          <w:szCs w:val="22"/>
        </w:rPr>
        <w:t>23.</w:t>
      </w:r>
      <w:r w:rsidRPr="0088780C">
        <w:rPr>
          <w:bCs/>
          <w:snapToGrid w:val="0"/>
          <w:kern w:val="22"/>
          <w:szCs w:val="22"/>
        </w:rPr>
        <w:tab/>
        <w:t xml:space="preserve">Workshop </w:t>
      </w:r>
      <w:r w:rsidRPr="0088780C">
        <w:rPr>
          <w:snapToGrid w:val="0"/>
          <w:kern w:val="22"/>
          <w:szCs w:val="22"/>
        </w:rPr>
        <w:t xml:space="preserve">participants noted with appreciation the considerable amount of data/information gathered, including GIS data, for the workshop deliberation and highlighted the importance of making </w:t>
      </w:r>
      <w:r w:rsidR="00C9089E" w:rsidRPr="0088780C">
        <w:rPr>
          <w:snapToGrid w:val="0"/>
          <w:kern w:val="22"/>
          <w:szCs w:val="22"/>
        </w:rPr>
        <w:t xml:space="preserve">it </w:t>
      </w:r>
      <w:r w:rsidRPr="0088780C">
        <w:rPr>
          <w:snapToGrid w:val="0"/>
          <w:kern w:val="22"/>
          <w:szCs w:val="22"/>
        </w:rPr>
        <w:t xml:space="preserve">available through </w:t>
      </w:r>
      <w:r w:rsidR="005E27A1" w:rsidRPr="0088780C">
        <w:rPr>
          <w:snapToGrid w:val="0"/>
          <w:kern w:val="22"/>
          <w:szCs w:val="22"/>
        </w:rPr>
        <w:t xml:space="preserve">the development of relevant </w:t>
      </w:r>
      <w:r w:rsidRPr="0088780C">
        <w:rPr>
          <w:snapToGrid w:val="0"/>
          <w:kern w:val="22"/>
          <w:szCs w:val="22"/>
        </w:rPr>
        <w:t>information platform</w:t>
      </w:r>
      <w:r w:rsidR="005E27A1" w:rsidRPr="0088780C">
        <w:rPr>
          <w:snapToGrid w:val="0"/>
          <w:kern w:val="22"/>
          <w:szCs w:val="22"/>
        </w:rPr>
        <w:t>s</w:t>
      </w:r>
      <w:r w:rsidRPr="0088780C">
        <w:rPr>
          <w:snapToGrid w:val="0"/>
          <w:kern w:val="22"/>
          <w:szCs w:val="22"/>
        </w:rPr>
        <w:t xml:space="preserve"> (e.g., EBSA regional repository) at national and regional scales.</w:t>
      </w:r>
    </w:p>
    <w:p w14:paraId="1CF9F88A" w14:textId="1B6D4195" w:rsidR="00DB3C52" w:rsidRPr="0088780C" w:rsidRDefault="00DB3C52" w:rsidP="001013AF">
      <w:pPr>
        <w:pStyle w:val="Heading1longmultiline"/>
        <w:suppressLineNumbers/>
        <w:suppressAutoHyphens/>
        <w:kinsoku w:val="0"/>
        <w:overflowPunct w:val="0"/>
        <w:autoSpaceDE w:val="0"/>
        <w:autoSpaceDN w:val="0"/>
        <w:spacing w:before="0" w:afterLines="50"/>
        <w:rPr>
          <w:snapToGrid w:val="0"/>
          <w:kern w:val="22"/>
          <w:szCs w:val="22"/>
        </w:rPr>
      </w:pPr>
      <w:r w:rsidRPr="0088780C">
        <w:rPr>
          <w:snapToGrid w:val="0"/>
          <w:kern w:val="22"/>
          <w:szCs w:val="22"/>
        </w:rPr>
        <w:t>ITEM 5.</w:t>
      </w:r>
      <w:r w:rsidRPr="0088780C">
        <w:rPr>
          <w:snapToGrid w:val="0"/>
          <w:kern w:val="22"/>
          <w:szCs w:val="22"/>
        </w:rPr>
        <w:tab/>
      </w:r>
      <w:r w:rsidR="00704955" w:rsidRPr="0088780C">
        <w:rPr>
          <w:snapToGrid w:val="0"/>
          <w:kern w:val="22"/>
          <w:szCs w:val="22"/>
        </w:rPr>
        <w:t xml:space="preserve">description of areas meeting </w:t>
      </w:r>
      <w:r w:rsidR="0071112E" w:rsidRPr="0088780C">
        <w:rPr>
          <w:snapToGrid w:val="0"/>
          <w:kern w:val="22"/>
          <w:szCs w:val="22"/>
        </w:rPr>
        <w:t xml:space="preserve">the </w:t>
      </w:r>
      <w:r w:rsidR="00704955" w:rsidRPr="0088780C">
        <w:rPr>
          <w:snapToGrid w:val="0"/>
          <w:kern w:val="22"/>
          <w:szCs w:val="22"/>
        </w:rPr>
        <w:t>ebsa criteria through application of the scientific criteria and other relevant compatible and complementary nationally and intergovernmentally agreed scientific criteria</w:t>
      </w:r>
    </w:p>
    <w:p w14:paraId="0C162EC8" w14:textId="4979A9A0" w:rsidR="007068A6" w:rsidRPr="0088780C" w:rsidRDefault="00AA4925" w:rsidP="001013AF">
      <w:pPr>
        <w:suppressLineNumbers/>
        <w:suppressAutoHyphens/>
        <w:kinsoku w:val="0"/>
        <w:overflowPunct w:val="0"/>
        <w:autoSpaceDE w:val="0"/>
        <w:autoSpaceDN w:val="0"/>
        <w:spacing w:afterLines="50" w:after="120"/>
        <w:rPr>
          <w:snapToGrid w:val="0"/>
          <w:kern w:val="22"/>
          <w:szCs w:val="22"/>
        </w:rPr>
      </w:pPr>
      <w:r w:rsidRPr="0088780C">
        <w:rPr>
          <w:snapToGrid w:val="0"/>
          <w:kern w:val="22"/>
          <w:szCs w:val="22"/>
        </w:rPr>
        <w:t>2</w:t>
      </w:r>
      <w:r w:rsidR="00FD4ECB" w:rsidRPr="0088780C">
        <w:rPr>
          <w:snapToGrid w:val="0"/>
          <w:kern w:val="22"/>
          <w:szCs w:val="22"/>
        </w:rPr>
        <w:t>4</w:t>
      </w:r>
      <w:r w:rsidR="0050196B" w:rsidRPr="0088780C">
        <w:rPr>
          <w:snapToGrid w:val="0"/>
          <w:kern w:val="22"/>
          <w:szCs w:val="22"/>
        </w:rPr>
        <w:t>.</w:t>
      </w:r>
      <w:r w:rsidR="0050196B" w:rsidRPr="0088780C">
        <w:rPr>
          <w:snapToGrid w:val="0"/>
          <w:kern w:val="22"/>
          <w:szCs w:val="22"/>
        </w:rPr>
        <w:tab/>
      </w:r>
      <w:r w:rsidR="00001DD8" w:rsidRPr="0088780C">
        <w:rPr>
          <w:snapToGrid w:val="0"/>
          <w:kern w:val="22"/>
          <w:szCs w:val="22"/>
        </w:rPr>
        <w:t xml:space="preserve">Building upon </w:t>
      </w:r>
      <w:r w:rsidR="002E07E7" w:rsidRPr="0088780C">
        <w:rPr>
          <w:snapToGrid w:val="0"/>
          <w:kern w:val="22"/>
          <w:szCs w:val="22"/>
        </w:rPr>
        <w:t xml:space="preserve">the </w:t>
      </w:r>
      <w:r w:rsidR="00D5224A" w:rsidRPr="0088780C">
        <w:rPr>
          <w:snapToGrid w:val="0"/>
          <w:kern w:val="22"/>
          <w:szCs w:val="22"/>
        </w:rPr>
        <w:t>theme presentations</w:t>
      </w:r>
      <w:r w:rsidR="00001DD8" w:rsidRPr="0088780C">
        <w:rPr>
          <w:snapToGrid w:val="0"/>
          <w:kern w:val="22"/>
          <w:szCs w:val="22"/>
        </w:rPr>
        <w:t xml:space="preserve"> provided in </w:t>
      </w:r>
      <w:r w:rsidR="002E07E7" w:rsidRPr="0088780C">
        <w:rPr>
          <w:snapToGrid w:val="0"/>
          <w:kern w:val="22"/>
          <w:szCs w:val="22"/>
        </w:rPr>
        <w:t xml:space="preserve">the </w:t>
      </w:r>
      <w:r w:rsidR="00001DD8" w:rsidRPr="0088780C">
        <w:rPr>
          <w:snapToGrid w:val="0"/>
          <w:kern w:val="22"/>
          <w:szCs w:val="22"/>
        </w:rPr>
        <w:t xml:space="preserve">previous agenda items, </w:t>
      </w:r>
      <w:r w:rsidR="008F6E85" w:rsidRPr="0088780C">
        <w:rPr>
          <w:snapToGrid w:val="0"/>
          <w:kern w:val="22"/>
          <w:szCs w:val="22"/>
        </w:rPr>
        <w:t>the workshop participants</w:t>
      </w:r>
      <w:r w:rsidR="00B12A71" w:rsidRPr="0088780C">
        <w:rPr>
          <w:snapToGrid w:val="0"/>
          <w:kern w:val="22"/>
          <w:szCs w:val="22"/>
        </w:rPr>
        <w:t xml:space="preserve"> </w:t>
      </w:r>
      <w:r w:rsidR="00001DD8" w:rsidRPr="0088780C">
        <w:rPr>
          <w:snapToGrid w:val="0"/>
          <w:kern w:val="22"/>
          <w:szCs w:val="22"/>
        </w:rPr>
        <w:t xml:space="preserve">exchanged their views on possible ways </w:t>
      </w:r>
      <w:r w:rsidR="002E07E7" w:rsidRPr="0088780C">
        <w:rPr>
          <w:snapToGrid w:val="0"/>
          <w:kern w:val="22"/>
          <w:szCs w:val="22"/>
        </w:rPr>
        <w:t>of</w:t>
      </w:r>
      <w:r w:rsidR="00001DD8" w:rsidRPr="0088780C">
        <w:rPr>
          <w:snapToGrid w:val="0"/>
          <w:kern w:val="22"/>
          <w:szCs w:val="22"/>
        </w:rPr>
        <w:t xml:space="preserve"> organizing their work on assessing the scientific information compiled and submitted for the</w:t>
      </w:r>
      <w:r w:rsidR="002E07E7" w:rsidRPr="0088780C">
        <w:rPr>
          <w:snapToGrid w:val="0"/>
          <w:kern w:val="22"/>
          <w:szCs w:val="22"/>
        </w:rPr>
        <w:t xml:space="preserve"> consideration of the</w:t>
      </w:r>
      <w:r w:rsidR="00001DD8" w:rsidRPr="0088780C">
        <w:rPr>
          <w:snapToGrid w:val="0"/>
          <w:kern w:val="22"/>
          <w:szCs w:val="22"/>
        </w:rPr>
        <w:t xml:space="preserve"> workshop.</w:t>
      </w:r>
      <w:r w:rsidR="007A7D71" w:rsidRPr="0088780C">
        <w:rPr>
          <w:snapToGrid w:val="0"/>
          <w:kern w:val="22"/>
          <w:szCs w:val="22"/>
        </w:rPr>
        <w:t xml:space="preserve"> </w:t>
      </w:r>
      <w:r w:rsidR="007068A6" w:rsidRPr="0088780C">
        <w:rPr>
          <w:snapToGrid w:val="0"/>
          <w:kern w:val="22"/>
          <w:szCs w:val="22"/>
        </w:rPr>
        <w:t>In this regard, participants noted the following points with regard to the description of areas meeting the EBSA criteria:</w:t>
      </w:r>
    </w:p>
    <w:p w14:paraId="7FDEF3FC" w14:textId="66F8AF3B" w:rsidR="007068A6" w:rsidRPr="0088780C" w:rsidRDefault="007068A6" w:rsidP="001013AF">
      <w:pPr>
        <w:pStyle w:val="ListParagraph"/>
        <w:numPr>
          <w:ilvl w:val="0"/>
          <w:numId w:val="37"/>
        </w:numPr>
        <w:suppressLineNumbers/>
        <w:suppressAutoHyphens/>
        <w:kinsoku w:val="0"/>
        <w:overflowPunct w:val="0"/>
        <w:autoSpaceDE w:val="0"/>
        <w:autoSpaceDN w:val="0"/>
        <w:adjustRightInd w:val="0"/>
        <w:spacing w:afterLines="50" w:after="120"/>
        <w:ind w:leftChars="0" w:left="0" w:firstLine="720"/>
        <w:rPr>
          <w:snapToGrid w:val="0"/>
          <w:kern w:val="22"/>
          <w:szCs w:val="22"/>
        </w:rPr>
      </w:pPr>
      <w:r w:rsidRPr="0088780C">
        <w:rPr>
          <w:snapToGrid w:val="0"/>
          <w:kern w:val="22"/>
          <w:szCs w:val="22"/>
        </w:rPr>
        <w:t xml:space="preserve">The description of EBSAs is based on the scientific information and expert knowledge available at the time of the workshop, and, as the EBSA process is iterative and ongoing, there may be additional areas </w:t>
      </w:r>
      <w:r w:rsidR="00C17749" w:rsidRPr="0088780C">
        <w:rPr>
          <w:snapToGrid w:val="0"/>
          <w:kern w:val="22"/>
          <w:szCs w:val="22"/>
        </w:rPr>
        <w:t xml:space="preserve">to be </w:t>
      </w:r>
      <w:r w:rsidRPr="0088780C">
        <w:rPr>
          <w:snapToGrid w:val="0"/>
          <w:kern w:val="22"/>
          <w:szCs w:val="22"/>
        </w:rPr>
        <w:t>described as meeting the EBSA criteria in future regional or subregional workshops;</w:t>
      </w:r>
    </w:p>
    <w:p w14:paraId="3B5A93A7" w14:textId="25A13670" w:rsidR="007E4800" w:rsidRPr="0088780C" w:rsidRDefault="007068A6" w:rsidP="001013AF">
      <w:pPr>
        <w:pStyle w:val="ListParagraph"/>
        <w:numPr>
          <w:ilvl w:val="0"/>
          <w:numId w:val="37"/>
        </w:numPr>
        <w:suppressLineNumbers/>
        <w:suppressAutoHyphens/>
        <w:kinsoku w:val="0"/>
        <w:overflowPunct w:val="0"/>
        <w:autoSpaceDE w:val="0"/>
        <w:autoSpaceDN w:val="0"/>
        <w:adjustRightInd w:val="0"/>
        <w:spacing w:afterLines="50" w:after="120"/>
        <w:ind w:leftChars="0" w:left="0" w:firstLine="720"/>
        <w:rPr>
          <w:snapToGrid w:val="0"/>
          <w:kern w:val="22"/>
          <w:szCs w:val="22"/>
        </w:rPr>
      </w:pPr>
      <w:r w:rsidRPr="0088780C">
        <w:rPr>
          <w:snapToGrid w:val="0"/>
          <w:kern w:val="22"/>
          <w:szCs w:val="22"/>
        </w:rPr>
        <w:t>In describing multiple ecological and/or biological components of a given area, participants should consider how these components may be interconnected as part of a system, and that, if separate components cannot be described as part of a coherent system approach, these components should be described separately</w:t>
      </w:r>
      <w:r w:rsidR="0071112E" w:rsidRPr="0088780C">
        <w:rPr>
          <w:snapToGrid w:val="0"/>
          <w:kern w:val="22"/>
          <w:szCs w:val="22"/>
        </w:rPr>
        <w:t>;</w:t>
      </w:r>
    </w:p>
    <w:p w14:paraId="32FC56FF" w14:textId="77777777" w:rsidR="00EB1AC4" w:rsidRPr="0088780C" w:rsidRDefault="00EB1AC4" w:rsidP="001013AF">
      <w:pPr>
        <w:numPr>
          <w:ilvl w:val="0"/>
          <w:numId w:val="37"/>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88780C">
        <w:rPr>
          <w:snapToGrid w:val="0"/>
          <w:kern w:val="22"/>
          <w:szCs w:val="22"/>
        </w:rPr>
        <w:t xml:space="preserve">The EBSA criteria can be applied on all scales from global to local. Once a scale has been selected, however, the criteria are intended to be used to evaluate areas and ecosystem features in a context </w:t>
      </w:r>
      <w:r w:rsidRPr="0088780C">
        <w:rPr>
          <w:i/>
          <w:snapToGrid w:val="0"/>
          <w:kern w:val="22"/>
          <w:szCs w:val="22"/>
        </w:rPr>
        <w:t xml:space="preserve">relative to </w:t>
      </w:r>
      <w:r w:rsidRPr="0088780C">
        <w:rPr>
          <w:snapToGrid w:val="0"/>
          <w:kern w:val="22"/>
          <w:szCs w:val="22"/>
        </w:rPr>
        <w:t>other areas and features at the given scale;</w:t>
      </w:r>
    </w:p>
    <w:p w14:paraId="15A239B9" w14:textId="34B22015" w:rsidR="00EB1AC4" w:rsidRPr="0088780C" w:rsidRDefault="00EB1AC4" w:rsidP="001013AF">
      <w:pPr>
        <w:numPr>
          <w:ilvl w:val="0"/>
          <w:numId w:val="37"/>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88780C">
        <w:rPr>
          <w:snapToGrid w:val="0"/>
          <w:kern w:val="22"/>
          <w:szCs w:val="22"/>
          <w:lang w:eastAsia="ko-KR"/>
        </w:rPr>
        <w:t xml:space="preserve">There are no thresholds that </w:t>
      </w:r>
      <w:r w:rsidRPr="0088780C">
        <w:rPr>
          <w:iCs/>
          <w:snapToGrid w:val="0"/>
          <w:kern w:val="22"/>
          <w:szCs w:val="22"/>
          <w:lang w:eastAsia="ko-KR"/>
        </w:rPr>
        <w:t xml:space="preserve">must be </w:t>
      </w:r>
      <w:r w:rsidRPr="0088780C">
        <w:rPr>
          <w:snapToGrid w:val="0"/>
          <w:kern w:val="22"/>
          <w:szCs w:val="22"/>
          <w:lang w:eastAsia="ko-KR"/>
        </w:rPr>
        <w:t>met</w:t>
      </w:r>
      <w:r w:rsidR="0066600D" w:rsidRPr="0088780C">
        <w:rPr>
          <w:snapToGrid w:val="0"/>
          <w:kern w:val="22"/>
          <w:szCs w:val="22"/>
          <w:lang w:eastAsia="ko-KR"/>
        </w:rPr>
        <w:t>,</w:t>
      </w:r>
      <w:r w:rsidRPr="0088780C">
        <w:rPr>
          <w:snapToGrid w:val="0"/>
          <w:kern w:val="22"/>
          <w:szCs w:val="22"/>
          <w:lang w:eastAsia="ko-KR"/>
        </w:rPr>
        <w:t xml:space="preserve"> judgements are comparative to adjacent areas, and the current ranking system (e.g., high, medium, low, no information) for assessing the areas meeting each EBSA criteri</w:t>
      </w:r>
      <w:r w:rsidR="007D0C98" w:rsidRPr="0088780C">
        <w:rPr>
          <w:snapToGrid w:val="0"/>
          <w:kern w:val="22"/>
          <w:szCs w:val="22"/>
          <w:lang w:eastAsia="ko-KR"/>
        </w:rPr>
        <w:t>on</w:t>
      </w:r>
      <w:r w:rsidRPr="0088780C">
        <w:rPr>
          <w:snapToGrid w:val="0"/>
          <w:kern w:val="22"/>
          <w:szCs w:val="22"/>
          <w:lang w:eastAsia="ko-KR"/>
        </w:rPr>
        <w:t xml:space="preserve"> is devised to facilitate better understanding of available scientific information in describing the areas with regard to the extent to which they meet different criteria. The current ranking system, however, does not intend to compare the importance of each criterion;</w:t>
      </w:r>
    </w:p>
    <w:p w14:paraId="0B8D33D2" w14:textId="120CC737" w:rsidR="00EB1AC4" w:rsidRPr="0088780C" w:rsidRDefault="00EB1AC4" w:rsidP="001013AF">
      <w:pPr>
        <w:numPr>
          <w:ilvl w:val="0"/>
          <w:numId w:val="37"/>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88780C">
        <w:rPr>
          <w:snapToGrid w:val="0"/>
          <w:kern w:val="22"/>
          <w:szCs w:val="22"/>
          <w:lang w:eastAsia="ko-KR"/>
        </w:rPr>
        <w:t>Relative assessments are necessarily scale dependent. Relative significance of areas has generally been viewed from regional or large subregional scales;</w:t>
      </w:r>
    </w:p>
    <w:p w14:paraId="4309A8F3" w14:textId="77777777" w:rsidR="00EB1AC4" w:rsidRPr="0088780C" w:rsidRDefault="00EB1AC4" w:rsidP="001013AF">
      <w:pPr>
        <w:numPr>
          <w:ilvl w:val="0"/>
          <w:numId w:val="37"/>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88780C">
        <w:rPr>
          <w:snapToGrid w:val="0"/>
          <w:kern w:val="22"/>
          <w:szCs w:val="22"/>
          <w:lang w:eastAsia="ko-KR"/>
        </w:rPr>
        <w:t>Areas may meet multiple criteria, and that is important, but meeting just one strongly is also important;</w:t>
      </w:r>
    </w:p>
    <w:p w14:paraId="64A34BD1" w14:textId="0F434E71" w:rsidR="00EB1AC4" w:rsidRPr="0088780C" w:rsidRDefault="00EB1AC4" w:rsidP="001013AF">
      <w:pPr>
        <w:numPr>
          <w:ilvl w:val="0"/>
          <w:numId w:val="37"/>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88780C">
        <w:rPr>
          <w:snapToGrid w:val="0"/>
          <w:kern w:val="22"/>
          <w:szCs w:val="22"/>
          <w:lang w:eastAsia="ko-KR"/>
        </w:rPr>
        <w:t>Areas described to meet the EBSA criteria have ranged from relatively small sites to very extensive oceanographic features</w:t>
      </w:r>
      <w:r w:rsidR="00B32CA3" w:rsidRPr="0088780C">
        <w:rPr>
          <w:snapToGrid w:val="0"/>
          <w:kern w:val="22"/>
          <w:szCs w:val="22"/>
          <w:lang w:eastAsia="ko-KR"/>
        </w:rPr>
        <w:t>;</w:t>
      </w:r>
    </w:p>
    <w:p w14:paraId="67A06D16" w14:textId="24250724" w:rsidR="00EB1AC4" w:rsidRPr="0088780C" w:rsidRDefault="00EB1AC4" w:rsidP="001013AF">
      <w:pPr>
        <w:numPr>
          <w:ilvl w:val="0"/>
          <w:numId w:val="37"/>
        </w:numPr>
        <w:suppressLineNumbers/>
        <w:suppressAutoHyphens/>
        <w:kinsoku w:val="0"/>
        <w:overflowPunct w:val="0"/>
        <w:autoSpaceDE w:val="0"/>
        <w:autoSpaceDN w:val="0"/>
        <w:adjustRightInd w:val="0"/>
        <w:spacing w:afterLines="50" w:after="120"/>
        <w:ind w:left="0" w:firstLine="720"/>
        <w:rPr>
          <w:snapToGrid w:val="0"/>
          <w:kern w:val="22"/>
          <w:szCs w:val="22"/>
          <w:lang w:eastAsia="ko-KR"/>
        </w:rPr>
      </w:pPr>
      <w:r w:rsidRPr="0088780C">
        <w:rPr>
          <w:snapToGrid w:val="0"/>
          <w:kern w:val="22"/>
          <w:szCs w:val="22"/>
          <w:lang w:eastAsia="ko-KR"/>
        </w:rPr>
        <w:t>Areas described to meet the EBSA criteria can be overlapped or nested</w:t>
      </w:r>
      <w:r w:rsidR="00B32CA3" w:rsidRPr="0088780C">
        <w:rPr>
          <w:snapToGrid w:val="0"/>
          <w:kern w:val="22"/>
          <w:szCs w:val="22"/>
          <w:lang w:eastAsia="ko-KR"/>
        </w:rPr>
        <w:t>;</w:t>
      </w:r>
    </w:p>
    <w:p w14:paraId="64B8494C" w14:textId="6560F11E" w:rsidR="00AE3BD3" w:rsidRPr="0088780C" w:rsidRDefault="00AE3BD3" w:rsidP="001013AF">
      <w:pPr>
        <w:pStyle w:val="ListParagraph"/>
        <w:numPr>
          <w:ilvl w:val="0"/>
          <w:numId w:val="37"/>
        </w:numPr>
        <w:suppressLineNumbers/>
        <w:suppressAutoHyphens/>
        <w:kinsoku w:val="0"/>
        <w:overflowPunct w:val="0"/>
        <w:autoSpaceDE w:val="0"/>
        <w:autoSpaceDN w:val="0"/>
        <w:adjustRightInd w:val="0"/>
        <w:spacing w:afterLines="50" w:after="120"/>
        <w:ind w:leftChars="0" w:left="0" w:firstLine="720"/>
        <w:rPr>
          <w:rFonts w:eastAsia="Batang"/>
          <w:snapToGrid w:val="0"/>
          <w:kern w:val="22"/>
          <w:szCs w:val="22"/>
        </w:rPr>
      </w:pPr>
      <w:r w:rsidRPr="0088780C">
        <w:rPr>
          <w:bCs/>
          <w:snapToGrid w:val="0"/>
          <w:kern w:val="22"/>
          <w:szCs w:val="22"/>
        </w:rPr>
        <w:t>Diffi</w:t>
      </w:r>
      <w:r w:rsidR="00B32CA3" w:rsidRPr="0088780C">
        <w:rPr>
          <w:bCs/>
          <w:snapToGrid w:val="0"/>
          <w:kern w:val="22"/>
          <w:szCs w:val="22"/>
        </w:rPr>
        <w:t>culties are often encountered in</w:t>
      </w:r>
      <w:r w:rsidRPr="0088780C">
        <w:rPr>
          <w:bCs/>
          <w:snapToGrid w:val="0"/>
          <w:kern w:val="22"/>
          <w:szCs w:val="22"/>
        </w:rPr>
        <w:t xml:space="preserve"> apply</w:t>
      </w:r>
      <w:r w:rsidR="00B32CA3" w:rsidRPr="0088780C">
        <w:rPr>
          <w:bCs/>
          <w:snapToGrid w:val="0"/>
          <w:kern w:val="22"/>
          <w:szCs w:val="22"/>
        </w:rPr>
        <w:t>ing</w:t>
      </w:r>
      <w:r w:rsidRPr="0088780C">
        <w:rPr>
          <w:bCs/>
          <w:snapToGrid w:val="0"/>
          <w:kern w:val="22"/>
          <w:szCs w:val="22"/>
        </w:rPr>
        <w:t xml:space="preserve"> </w:t>
      </w:r>
      <w:r w:rsidR="0066600D" w:rsidRPr="0088780C">
        <w:rPr>
          <w:bCs/>
          <w:snapToGrid w:val="0"/>
          <w:kern w:val="22"/>
          <w:szCs w:val="22"/>
        </w:rPr>
        <w:t xml:space="preserve">two of the </w:t>
      </w:r>
      <w:r w:rsidR="007E4800" w:rsidRPr="0088780C">
        <w:rPr>
          <w:bCs/>
          <w:snapToGrid w:val="0"/>
          <w:kern w:val="22"/>
          <w:szCs w:val="22"/>
        </w:rPr>
        <w:t xml:space="preserve">EBSA </w:t>
      </w:r>
      <w:r w:rsidR="00B32CA3" w:rsidRPr="0088780C">
        <w:rPr>
          <w:bCs/>
          <w:snapToGrid w:val="0"/>
          <w:kern w:val="22"/>
          <w:szCs w:val="22"/>
        </w:rPr>
        <w:t>criteri</w:t>
      </w:r>
      <w:r w:rsidR="0066600D" w:rsidRPr="0088780C">
        <w:rPr>
          <w:bCs/>
          <w:snapToGrid w:val="0"/>
          <w:kern w:val="22"/>
          <w:szCs w:val="22"/>
        </w:rPr>
        <w:t xml:space="preserve">a in particular: </w:t>
      </w:r>
      <w:r w:rsidR="00B2063D" w:rsidRPr="0088780C">
        <w:rPr>
          <w:bCs/>
          <w:snapToGrid w:val="0"/>
          <w:kern w:val="22"/>
          <w:szCs w:val="22"/>
        </w:rPr>
        <w:t>criterion 4 (</w:t>
      </w:r>
      <w:r w:rsidR="007E4800" w:rsidRPr="0088780C">
        <w:rPr>
          <w:bCs/>
          <w:snapToGrid w:val="0"/>
          <w:kern w:val="22"/>
          <w:szCs w:val="22"/>
        </w:rPr>
        <w:t>vulnerability, fragility, sensitivity, and/or slow recovery</w:t>
      </w:r>
      <w:r w:rsidR="00B2063D" w:rsidRPr="0088780C">
        <w:rPr>
          <w:bCs/>
          <w:snapToGrid w:val="0"/>
          <w:kern w:val="22"/>
          <w:szCs w:val="22"/>
        </w:rPr>
        <w:t>) and</w:t>
      </w:r>
      <w:r w:rsidRPr="0088780C">
        <w:rPr>
          <w:bCs/>
          <w:snapToGrid w:val="0"/>
          <w:kern w:val="22"/>
          <w:szCs w:val="22"/>
        </w:rPr>
        <w:t xml:space="preserve"> criteri</w:t>
      </w:r>
      <w:r w:rsidR="00B32CA3" w:rsidRPr="0088780C">
        <w:rPr>
          <w:bCs/>
          <w:snapToGrid w:val="0"/>
          <w:kern w:val="22"/>
          <w:szCs w:val="22"/>
        </w:rPr>
        <w:t>on</w:t>
      </w:r>
      <w:r w:rsidRPr="0088780C">
        <w:rPr>
          <w:bCs/>
          <w:snapToGrid w:val="0"/>
          <w:kern w:val="22"/>
          <w:szCs w:val="22"/>
        </w:rPr>
        <w:t xml:space="preserve"> </w:t>
      </w:r>
      <w:r w:rsidR="00B2063D" w:rsidRPr="0088780C">
        <w:rPr>
          <w:bCs/>
          <w:snapToGrid w:val="0"/>
          <w:kern w:val="22"/>
          <w:szCs w:val="22"/>
        </w:rPr>
        <w:t xml:space="preserve">5 (biological </w:t>
      </w:r>
      <w:r w:rsidRPr="0088780C">
        <w:rPr>
          <w:bCs/>
          <w:snapToGrid w:val="0"/>
          <w:kern w:val="22"/>
          <w:szCs w:val="22"/>
        </w:rPr>
        <w:t>productivity</w:t>
      </w:r>
      <w:r w:rsidR="00B2063D" w:rsidRPr="0088780C">
        <w:rPr>
          <w:bCs/>
          <w:snapToGrid w:val="0"/>
          <w:kern w:val="22"/>
          <w:szCs w:val="22"/>
        </w:rPr>
        <w:t>)</w:t>
      </w:r>
      <w:r w:rsidRPr="0088780C">
        <w:rPr>
          <w:bCs/>
          <w:snapToGrid w:val="0"/>
          <w:kern w:val="22"/>
          <w:szCs w:val="22"/>
        </w:rPr>
        <w:t>:</w:t>
      </w:r>
    </w:p>
    <w:p w14:paraId="234385BA" w14:textId="52C024BD" w:rsidR="00EB1AC4" w:rsidRPr="0088780C" w:rsidRDefault="00E84FF9" w:rsidP="001013AF">
      <w:pPr>
        <w:pStyle w:val="ListParagraph"/>
        <w:numPr>
          <w:ilvl w:val="1"/>
          <w:numId w:val="39"/>
        </w:numPr>
        <w:suppressLineNumbers/>
        <w:suppressAutoHyphens/>
        <w:kinsoku w:val="0"/>
        <w:overflowPunct w:val="0"/>
        <w:autoSpaceDE w:val="0"/>
        <w:autoSpaceDN w:val="0"/>
        <w:spacing w:afterLines="50" w:after="120"/>
        <w:ind w:leftChars="0" w:left="1454" w:hanging="547"/>
        <w:rPr>
          <w:rFonts w:eastAsia="Batang"/>
          <w:snapToGrid w:val="0"/>
          <w:kern w:val="22"/>
          <w:szCs w:val="22"/>
        </w:rPr>
      </w:pPr>
      <w:r w:rsidRPr="0088780C">
        <w:rPr>
          <w:bCs/>
          <w:snapToGrid w:val="0"/>
          <w:kern w:val="22"/>
          <w:szCs w:val="22"/>
        </w:rPr>
        <w:t>C</w:t>
      </w:r>
      <w:r w:rsidR="00B32CA3" w:rsidRPr="0088780C">
        <w:rPr>
          <w:bCs/>
          <w:snapToGrid w:val="0"/>
          <w:kern w:val="22"/>
          <w:szCs w:val="22"/>
        </w:rPr>
        <w:t>riterion</w:t>
      </w:r>
      <w:r w:rsidR="00EB1AC4" w:rsidRPr="0088780C">
        <w:rPr>
          <w:bCs/>
          <w:snapToGrid w:val="0"/>
          <w:kern w:val="22"/>
          <w:szCs w:val="22"/>
        </w:rPr>
        <w:t xml:space="preserve"> </w:t>
      </w:r>
      <w:r w:rsidR="00497AF1" w:rsidRPr="0088780C">
        <w:rPr>
          <w:bCs/>
          <w:snapToGrid w:val="0"/>
          <w:kern w:val="22"/>
          <w:szCs w:val="22"/>
        </w:rPr>
        <w:t>4</w:t>
      </w:r>
      <w:r w:rsidR="00EB1AC4" w:rsidRPr="0088780C">
        <w:rPr>
          <w:bCs/>
          <w:snapToGrid w:val="0"/>
          <w:kern w:val="22"/>
          <w:szCs w:val="22"/>
        </w:rPr>
        <w:t xml:space="preserve"> </w:t>
      </w:r>
      <w:r w:rsidR="00B32CA3" w:rsidRPr="0088780C">
        <w:rPr>
          <w:bCs/>
          <w:snapToGrid w:val="0"/>
          <w:kern w:val="22"/>
          <w:szCs w:val="22"/>
        </w:rPr>
        <w:t xml:space="preserve">applies to an </w:t>
      </w:r>
      <w:r w:rsidR="007E4800" w:rsidRPr="0088780C">
        <w:rPr>
          <w:bCs/>
          <w:snapToGrid w:val="0"/>
          <w:kern w:val="22"/>
          <w:szCs w:val="22"/>
        </w:rPr>
        <w:t>a</w:t>
      </w:r>
      <w:r w:rsidR="007E4800" w:rsidRPr="0088780C">
        <w:rPr>
          <w:rFonts w:eastAsia="Batang"/>
          <w:snapToGrid w:val="0"/>
          <w:kern w:val="22"/>
          <w:szCs w:val="22"/>
        </w:rPr>
        <w:t>rea that contain a relatively high proportion of sensitive habitats, biotopes or species that are functionally fragile (highly susceptible to degradation or depletion by human activity or by natural events) or with slow recovery</w:t>
      </w:r>
      <w:r w:rsidR="00B32CA3" w:rsidRPr="0088780C">
        <w:rPr>
          <w:snapToGrid w:val="0"/>
          <w:kern w:val="22"/>
          <w:szCs w:val="22"/>
        </w:rPr>
        <w:t>, not directly describing</w:t>
      </w:r>
      <w:r w:rsidR="007E4800" w:rsidRPr="0088780C">
        <w:rPr>
          <w:snapToGrid w:val="0"/>
          <w:kern w:val="22"/>
          <w:szCs w:val="22"/>
        </w:rPr>
        <w:t xml:space="preserve"> the anthrophogenic threats o</w:t>
      </w:r>
      <w:r w:rsidR="00AE3BD3" w:rsidRPr="0088780C">
        <w:rPr>
          <w:snapToGrid w:val="0"/>
          <w:kern w:val="22"/>
          <w:szCs w:val="22"/>
        </w:rPr>
        <w:t>r pressures affecting the areas;</w:t>
      </w:r>
    </w:p>
    <w:p w14:paraId="0CC912BE" w14:textId="304E5B8D" w:rsidR="00CE74D4" w:rsidRPr="0088780C" w:rsidRDefault="00E84FF9" w:rsidP="001013AF">
      <w:pPr>
        <w:pStyle w:val="ListParagraph"/>
        <w:numPr>
          <w:ilvl w:val="1"/>
          <w:numId w:val="39"/>
        </w:numPr>
        <w:suppressLineNumbers/>
        <w:suppressAutoHyphens/>
        <w:kinsoku w:val="0"/>
        <w:overflowPunct w:val="0"/>
        <w:autoSpaceDE w:val="0"/>
        <w:autoSpaceDN w:val="0"/>
        <w:spacing w:afterLines="50" w:after="120"/>
        <w:ind w:leftChars="0" w:left="1454" w:hanging="547"/>
        <w:rPr>
          <w:bCs/>
          <w:snapToGrid w:val="0"/>
          <w:kern w:val="22"/>
          <w:szCs w:val="22"/>
        </w:rPr>
      </w:pPr>
      <w:r w:rsidRPr="0088780C">
        <w:rPr>
          <w:bCs/>
          <w:snapToGrid w:val="0"/>
          <w:kern w:val="22"/>
          <w:szCs w:val="22"/>
        </w:rPr>
        <w:t>C</w:t>
      </w:r>
      <w:r w:rsidR="008D5CFC" w:rsidRPr="0088780C">
        <w:rPr>
          <w:bCs/>
          <w:snapToGrid w:val="0"/>
          <w:kern w:val="22"/>
          <w:szCs w:val="22"/>
        </w:rPr>
        <w:t>riteri</w:t>
      </w:r>
      <w:r w:rsidR="00B32CA3" w:rsidRPr="0088780C">
        <w:rPr>
          <w:bCs/>
          <w:snapToGrid w:val="0"/>
          <w:kern w:val="22"/>
          <w:szCs w:val="22"/>
        </w:rPr>
        <w:t>on</w:t>
      </w:r>
      <w:r w:rsidR="008D5CFC" w:rsidRPr="0088780C">
        <w:rPr>
          <w:bCs/>
          <w:snapToGrid w:val="0"/>
          <w:kern w:val="22"/>
          <w:szCs w:val="22"/>
        </w:rPr>
        <w:t xml:space="preserve"> </w:t>
      </w:r>
      <w:r w:rsidR="00497AF1" w:rsidRPr="0088780C">
        <w:rPr>
          <w:bCs/>
          <w:snapToGrid w:val="0"/>
          <w:kern w:val="22"/>
          <w:szCs w:val="22"/>
        </w:rPr>
        <w:t>5</w:t>
      </w:r>
      <w:r w:rsidR="008D5CFC" w:rsidRPr="0088780C">
        <w:rPr>
          <w:bCs/>
          <w:snapToGrid w:val="0"/>
          <w:kern w:val="22"/>
          <w:szCs w:val="22"/>
        </w:rPr>
        <w:t xml:space="preserve"> appl</w:t>
      </w:r>
      <w:r w:rsidR="00B32CA3" w:rsidRPr="0088780C">
        <w:rPr>
          <w:bCs/>
          <w:snapToGrid w:val="0"/>
          <w:kern w:val="22"/>
          <w:szCs w:val="22"/>
        </w:rPr>
        <w:t>ies</w:t>
      </w:r>
      <w:r w:rsidR="00AE3BD3" w:rsidRPr="0088780C">
        <w:rPr>
          <w:bCs/>
          <w:snapToGrid w:val="0"/>
          <w:kern w:val="22"/>
          <w:szCs w:val="22"/>
        </w:rPr>
        <w:t xml:space="preserve"> to </w:t>
      </w:r>
      <w:r w:rsidR="00B32CA3" w:rsidRPr="0088780C">
        <w:rPr>
          <w:bCs/>
          <w:snapToGrid w:val="0"/>
          <w:kern w:val="22"/>
          <w:szCs w:val="22"/>
        </w:rPr>
        <w:t xml:space="preserve">an </w:t>
      </w:r>
      <w:r w:rsidR="00AE3BD3" w:rsidRPr="0088780C">
        <w:rPr>
          <w:bCs/>
          <w:snapToGrid w:val="0"/>
          <w:kern w:val="22"/>
          <w:szCs w:val="22"/>
        </w:rPr>
        <w:t xml:space="preserve">area containing species, populations or communities with comparatively higher natural biological productivity. The productivity can be measured </w:t>
      </w:r>
      <w:r w:rsidR="005E1D23" w:rsidRPr="0088780C">
        <w:rPr>
          <w:bCs/>
          <w:snapToGrid w:val="0"/>
          <w:kern w:val="22"/>
          <w:szCs w:val="22"/>
        </w:rPr>
        <w:t xml:space="preserve">as the rate of growth of marine </w:t>
      </w:r>
      <w:r w:rsidR="00AE3BD3" w:rsidRPr="0088780C">
        <w:rPr>
          <w:bCs/>
          <w:snapToGrid w:val="0"/>
          <w:kern w:val="22"/>
          <w:szCs w:val="22"/>
        </w:rPr>
        <w:t>organisms and their populations or c</w:t>
      </w:r>
      <w:r w:rsidR="005E1D23" w:rsidRPr="0088780C">
        <w:rPr>
          <w:bCs/>
          <w:snapToGrid w:val="0"/>
          <w:kern w:val="22"/>
          <w:szCs w:val="22"/>
        </w:rPr>
        <w:t>an be inferr</w:t>
      </w:r>
      <w:r w:rsidR="00AE3BD3" w:rsidRPr="0088780C">
        <w:rPr>
          <w:bCs/>
          <w:snapToGrid w:val="0"/>
          <w:kern w:val="22"/>
          <w:szCs w:val="22"/>
        </w:rPr>
        <w:t>ed from remote-sensed products.</w:t>
      </w:r>
      <w:r w:rsidR="00EB1AC4" w:rsidRPr="0088780C">
        <w:rPr>
          <w:bCs/>
          <w:snapToGrid w:val="0"/>
          <w:kern w:val="22"/>
          <w:szCs w:val="22"/>
        </w:rPr>
        <w:t xml:space="preserve"> It is u</w:t>
      </w:r>
      <w:r w:rsidR="005E1D23" w:rsidRPr="0088780C">
        <w:rPr>
          <w:bCs/>
          <w:snapToGrid w:val="0"/>
          <w:kern w:val="22"/>
          <w:szCs w:val="22"/>
        </w:rPr>
        <w:t>sually assessed by considering primary or secondary productivity, though it can be evaluated by data such as fisheries catches.</w:t>
      </w:r>
      <w:r w:rsidR="008D5CFC" w:rsidRPr="0088780C">
        <w:rPr>
          <w:bCs/>
          <w:snapToGrid w:val="0"/>
          <w:kern w:val="22"/>
          <w:szCs w:val="22"/>
        </w:rPr>
        <w:t xml:space="preserve"> </w:t>
      </w:r>
      <w:r w:rsidR="005E1D23" w:rsidRPr="0088780C">
        <w:rPr>
          <w:bCs/>
          <w:snapToGrid w:val="0"/>
          <w:kern w:val="22"/>
          <w:szCs w:val="22"/>
        </w:rPr>
        <w:t>Time-series fisheries data can be used, but caution is required</w:t>
      </w:r>
      <w:r w:rsidR="00B32CA3" w:rsidRPr="0088780C">
        <w:rPr>
          <w:bCs/>
          <w:snapToGrid w:val="0"/>
          <w:kern w:val="22"/>
          <w:szCs w:val="22"/>
        </w:rPr>
        <w:t>;</w:t>
      </w:r>
    </w:p>
    <w:p w14:paraId="34DB0426" w14:textId="2903BEE3" w:rsidR="00B32CA3" w:rsidRPr="0088780C" w:rsidRDefault="00B32CA3" w:rsidP="001013AF">
      <w:pPr>
        <w:pStyle w:val="ListParagraph"/>
        <w:numPr>
          <w:ilvl w:val="0"/>
          <w:numId w:val="37"/>
        </w:numPr>
        <w:suppressLineNumbers/>
        <w:suppressAutoHyphens/>
        <w:kinsoku w:val="0"/>
        <w:overflowPunct w:val="0"/>
        <w:autoSpaceDE w:val="0"/>
        <w:autoSpaceDN w:val="0"/>
        <w:adjustRightInd w:val="0"/>
        <w:spacing w:afterLines="50" w:after="120"/>
        <w:ind w:leftChars="0" w:left="0" w:firstLine="720"/>
        <w:rPr>
          <w:bCs/>
          <w:snapToGrid w:val="0"/>
          <w:kern w:val="22"/>
          <w:szCs w:val="22"/>
        </w:rPr>
      </w:pPr>
      <w:r w:rsidRPr="0088780C">
        <w:rPr>
          <w:bCs/>
          <w:snapToGrid w:val="0"/>
          <w:kern w:val="22"/>
          <w:szCs w:val="22"/>
        </w:rPr>
        <w:t xml:space="preserve">When birds or terrestrial species are referred </w:t>
      </w:r>
      <w:r w:rsidR="00BB0C45" w:rsidRPr="0088780C">
        <w:rPr>
          <w:bCs/>
          <w:snapToGrid w:val="0"/>
          <w:kern w:val="22"/>
          <w:szCs w:val="22"/>
        </w:rPr>
        <w:t xml:space="preserve">to </w:t>
      </w:r>
      <w:r w:rsidRPr="0088780C">
        <w:rPr>
          <w:bCs/>
          <w:snapToGrid w:val="0"/>
          <w:kern w:val="22"/>
          <w:szCs w:val="22"/>
        </w:rPr>
        <w:t>in the description of areas meeting the EBSA criteria, the</w:t>
      </w:r>
      <w:r w:rsidR="00BB0C45" w:rsidRPr="0088780C">
        <w:rPr>
          <w:bCs/>
          <w:snapToGrid w:val="0"/>
          <w:kern w:val="22"/>
          <w:szCs w:val="22"/>
        </w:rPr>
        <w:t>ir</w:t>
      </w:r>
      <w:r w:rsidRPr="0088780C">
        <w:rPr>
          <w:bCs/>
          <w:snapToGrid w:val="0"/>
          <w:kern w:val="22"/>
          <w:szCs w:val="22"/>
        </w:rPr>
        <w:t xml:space="preserve"> interconnections with marine species and ecosystems need to be clearly described;</w:t>
      </w:r>
    </w:p>
    <w:p w14:paraId="3CC07B42" w14:textId="29AF03E8" w:rsidR="00F46B5E" w:rsidRPr="0088780C" w:rsidRDefault="00A6460D" w:rsidP="001013AF">
      <w:pPr>
        <w:pStyle w:val="ListParagraph"/>
        <w:numPr>
          <w:ilvl w:val="0"/>
          <w:numId w:val="37"/>
        </w:numPr>
        <w:suppressLineNumbers/>
        <w:suppressAutoHyphens/>
        <w:kinsoku w:val="0"/>
        <w:overflowPunct w:val="0"/>
        <w:autoSpaceDE w:val="0"/>
        <w:autoSpaceDN w:val="0"/>
        <w:adjustRightInd w:val="0"/>
        <w:spacing w:afterLines="50" w:after="120"/>
        <w:ind w:leftChars="0" w:left="0" w:firstLine="720"/>
        <w:rPr>
          <w:bCs/>
          <w:snapToGrid w:val="0"/>
          <w:kern w:val="22"/>
          <w:szCs w:val="22"/>
        </w:rPr>
      </w:pPr>
      <w:r w:rsidRPr="0088780C">
        <w:rPr>
          <w:bCs/>
          <w:snapToGrid w:val="0"/>
          <w:kern w:val="22"/>
          <w:szCs w:val="22"/>
        </w:rPr>
        <w:t xml:space="preserve">In addition to ecological or biological significance, connectivity is one of the five required network properties and components outlined in the </w:t>
      </w:r>
      <w:r w:rsidR="00D8482D" w:rsidRPr="0088780C">
        <w:rPr>
          <w:bCs/>
          <w:snapToGrid w:val="0"/>
          <w:kern w:val="22"/>
          <w:szCs w:val="22"/>
        </w:rPr>
        <w:t>“</w:t>
      </w:r>
      <w:r w:rsidRPr="0088780C">
        <w:rPr>
          <w:bCs/>
          <w:snapToGrid w:val="0"/>
          <w:kern w:val="22"/>
          <w:szCs w:val="22"/>
        </w:rPr>
        <w:t>Scientific guidance for selecting areas to establish a representative network of marine protected areas, including in open ocean waters and deep-sea habitats</w:t>
      </w:r>
      <w:r w:rsidR="00D8482D" w:rsidRPr="0088780C">
        <w:rPr>
          <w:bCs/>
          <w:snapToGrid w:val="0"/>
          <w:kern w:val="22"/>
          <w:szCs w:val="22"/>
        </w:rPr>
        <w:t>”</w:t>
      </w:r>
      <w:r w:rsidRPr="0088780C">
        <w:rPr>
          <w:bCs/>
          <w:snapToGrid w:val="0"/>
          <w:kern w:val="22"/>
          <w:szCs w:val="22"/>
        </w:rPr>
        <w:t xml:space="preserve"> (annex II to decision IX/20).</w:t>
      </w:r>
    </w:p>
    <w:p w14:paraId="738A5207" w14:textId="4EBFBA66" w:rsidR="007068A6" w:rsidRPr="0088780C" w:rsidRDefault="00A058EC" w:rsidP="001013AF">
      <w:pPr>
        <w:suppressLineNumbers/>
        <w:suppressAutoHyphens/>
        <w:kinsoku w:val="0"/>
        <w:overflowPunct w:val="0"/>
        <w:autoSpaceDE w:val="0"/>
        <w:autoSpaceDN w:val="0"/>
        <w:spacing w:afterLines="50" w:after="120"/>
        <w:rPr>
          <w:snapToGrid w:val="0"/>
          <w:kern w:val="22"/>
          <w:szCs w:val="22"/>
        </w:rPr>
      </w:pPr>
      <w:r w:rsidRPr="0088780C">
        <w:rPr>
          <w:snapToGrid w:val="0"/>
          <w:kern w:val="22"/>
          <w:szCs w:val="22"/>
        </w:rPr>
        <w:t>2</w:t>
      </w:r>
      <w:r w:rsidR="00FD4ECB" w:rsidRPr="0088780C">
        <w:rPr>
          <w:snapToGrid w:val="0"/>
          <w:kern w:val="22"/>
          <w:szCs w:val="22"/>
        </w:rPr>
        <w:t>5</w:t>
      </w:r>
      <w:r w:rsidR="00001DD8" w:rsidRPr="0088780C">
        <w:rPr>
          <w:snapToGrid w:val="0"/>
          <w:kern w:val="22"/>
          <w:szCs w:val="22"/>
        </w:rPr>
        <w:t>.</w:t>
      </w:r>
      <w:r w:rsidR="00001DD8" w:rsidRPr="0088780C">
        <w:rPr>
          <w:snapToGrid w:val="0"/>
          <w:kern w:val="22"/>
          <w:szCs w:val="22"/>
        </w:rPr>
        <w:tab/>
      </w:r>
      <w:r w:rsidR="007068A6" w:rsidRPr="0088780C">
        <w:rPr>
          <w:snapToGrid w:val="0"/>
          <w:kern w:val="22"/>
          <w:szCs w:val="22"/>
        </w:rPr>
        <w:t xml:space="preserve">This workshop was mandated to evaluate areas at a regional scale within the </w:t>
      </w:r>
      <w:r w:rsidRPr="0088780C">
        <w:rPr>
          <w:snapToGrid w:val="0"/>
          <w:kern w:val="22"/>
          <w:szCs w:val="22"/>
        </w:rPr>
        <w:t>Black Sea and Caspian Sea</w:t>
      </w:r>
      <w:r w:rsidR="007068A6" w:rsidRPr="0088780C">
        <w:rPr>
          <w:snapToGrid w:val="0"/>
          <w:kern w:val="22"/>
          <w:szCs w:val="22"/>
        </w:rPr>
        <w:t xml:space="preserve">. However, the workshop considered that the entire region has </w:t>
      </w:r>
      <w:r w:rsidR="00397FEC" w:rsidRPr="0088780C">
        <w:rPr>
          <w:snapToGrid w:val="0"/>
          <w:kern w:val="22"/>
          <w:szCs w:val="22"/>
        </w:rPr>
        <w:t xml:space="preserve">unique </w:t>
      </w:r>
      <w:r w:rsidR="009D7FD6" w:rsidRPr="0088780C">
        <w:rPr>
          <w:snapToGrid w:val="0"/>
          <w:kern w:val="22"/>
          <w:szCs w:val="22"/>
        </w:rPr>
        <w:t xml:space="preserve">and vulnerable </w:t>
      </w:r>
      <w:r w:rsidR="0043686A" w:rsidRPr="0088780C">
        <w:rPr>
          <w:snapToGrid w:val="0"/>
          <w:kern w:val="22"/>
          <w:szCs w:val="22"/>
        </w:rPr>
        <w:t xml:space="preserve">ecological or biological </w:t>
      </w:r>
      <w:r w:rsidR="007068A6" w:rsidRPr="0088780C">
        <w:rPr>
          <w:snapToGrid w:val="0"/>
          <w:kern w:val="22"/>
          <w:szCs w:val="22"/>
        </w:rPr>
        <w:t>features</w:t>
      </w:r>
      <w:r w:rsidR="00397FEC" w:rsidRPr="0088780C">
        <w:rPr>
          <w:snapToGrid w:val="0"/>
          <w:kern w:val="22"/>
          <w:szCs w:val="22"/>
        </w:rPr>
        <w:t>, as enclosed marine ecosystems,</w:t>
      </w:r>
      <w:r w:rsidR="007068A6" w:rsidRPr="0088780C">
        <w:rPr>
          <w:snapToGrid w:val="0"/>
          <w:kern w:val="22"/>
          <w:szCs w:val="22"/>
        </w:rPr>
        <w:t xml:space="preserve"> </w:t>
      </w:r>
      <w:r w:rsidR="00397FEC" w:rsidRPr="0088780C">
        <w:rPr>
          <w:snapToGrid w:val="0"/>
          <w:kern w:val="22"/>
          <w:szCs w:val="22"/>
        </w:rPr>
        <w:t>which</w:t>
      </w:r>
      <w:r w:rsidR="007068A6" w:rsidRPr="0088780C">
        <w:rPr>
          <w:snapToGrid w:val="0"/>
          <w:kern w:val="22"/>
          <w:szCs w:val="22"/>
        </w:rPr>
        <w:t xml:space="preserve"> need to be viewed on a global scale. This perspective is presented in annex I</w:t>
      </w:r>
      <w:r w:rsidR="00513DA8" w:rsidRPr="0088780C">
        <w:rPr>
          <w:snapToGrid w:val="0"/>
          <w:kern w:val="22"/>
          <w:szCs w:val="22"/>
        </w:rPr>
        <w:t>II</w:t>
      </w:r>
      <w:r w:rsidR="007068A6" w:rsidRPr="0088780C">
        <w:rPr>
          <w:snapToGrid w:val="0"/>
          <w:kern w:val="22"/>
          <w:szCs w:val="22"/>
        </w:rPr>
        <w:t xml:space="preserve"> of this report.</w:t>
      </w:r>
    </w:p>
    <w:p w14:paraId="14BB98C6" w14:textId="39335077" w:rsidR="007068A6" w:rsidRPr="0088780C" w:rsidRDefault="00AA4925" w:rsidP="001013AF">
      <w:pPr>
        <w:suppressLineNumbers/>
        <w:suppressAutoHyphens/>
        <w:kinsoku w:val="0"/>
        <w:overflowPunct w:val="0"/>
        <w:autoSpaceDE w:val="0"/>
        <w:autoSpaceDN w:val="0"/>
        <w:spacing w:afterLines="50" w:after="120"/>
        <w:rPr>
          <w:snapToGrid w:val="0"/>
          <w:kern w:val="22"/>
          <w:szCs w:val="22"/>
        </w:rPr>
      </w:pPr>
      <w:r w:rsidRPr="0088780C">
        <w:rPr>
          <w:snapToGrid w:val="0"/>
          <w:kern w:val="22"/>
          <w:szCs w:val="22"/>
        </w:rPr>
        <w:t>2</w:t>
      </w:r>
      <w:r w:rsidR="00FD4ECB" w:rsidRPr="0088780C">
        <w:rPr>
          <w:snapToGrid w:val="0"/>
          <w:kern w:val="22"/>
          <w:szCs w:val="22"/>
        </w:rPr>
        <w:t>6</w:t>
      </w:r>
      <w:r w:rsidR="007068A6" w:rsidRPr="0088780C">
        <w:rPr>
          <w:snapToGrid w:val="0"/>
          <w:kern w:val="22"/>
          <w:szCs w:val="22"/>
        </w:rPr>
        <w:t>.</w:t>
      </w:r>
      <w:r w:rsidR="007068A6" w:rsidRPr="0088780C">
        <w:rPr>
          <w:snapToGrid w:val="0"/>
          <w:kern w:val="22"/>
          <w:szCs w:val="22"/>
        </w:rPr>
        <w:tab/>
      </w:r>
      <w:r w:rsidR="002354A0" w:rsidRPr="0088780C">
        <w:rPr>
          <w:snapToGrid w:val="0"/>
          <w:kern w:val="22"/>
          <w:szCs w:val="22"/>
        </w:rPr>
        <w:t xml:space="preserve">For effective review of available scientific information and assessment of potential areas meeting </w:t>
      </w:r>
      <w:r w:rsidR="00F542BC" w:rsidRPr="0088780C">
        <w:rPr>
          <w:snapToGrid w:val="0"/>
          <w:kern w:val="22"/>
          <w:szCs w:val="22"/>
        </w:rPr>
        <w:t xml:space="preserve">the </w:t>
      </w:r>
      <w:r w:rsidR="002354A0" w:rsidRPr="0088780C">
        <w:rPr>
          <w:snapToGrid w:val="0"/>
          <w:kern w:val="22"/>
          <w:szCs w:val="22"/>
        </w:rPr>
        <w:t>EBSA criteria, t</w:t>
      </w:r>
      <w:r w:rsidR="00001DD8" w:rsidRPr="0088780C">
        <w:rPr>
          <w:snapToGrid w:val="0"/>
          <w:kern w:val="22"/>
          <w:szCs w:val="22"/>
        </w:rPr>
        <w:t xml:space="preserve">he workshop participants </w:t>
      </w:r>
      <w:r w:rsidR="008F6E85" w:rsidRPr="0088780C">
        <w:rPr>
          <w:snapToGrid w:val="0"/>
          <w:kern w:val="22"/>
          <w:szCs w:val="22"/>
        </w:rPr>
        <w:t xml:space="preserve">were </w:t>
      </w:r>
      <w:r w:rsidR="00192D29" w:rsidRPr="0088780C">
        <w:rPr>
          <w:snapToGrid w:val="0"/>
          <w:kern w:val="22"/>
          <w:szCs w:val="22"/>
        </w:rPr>
        <w:t xml:space="preserve">split into </w:t>
      </w:r>
      <w:r w:rsidR="00C967A3" w:rsidRPr="0088780C">
        <w:rPr>
          <w:snapToGrid w:val="0"/>
          <w:kern w:val="22"/>
          <w:szCs w:val="22"/>
        </w:rPr>
        <w:t xml:space="preserve">two </w:t>
      </w:r>
      <w:r w:rsidR="00192D29" w:rsidRPr="0088780C">
        <w:rPr>
          <w:snapToGrid w:val="0"/>
          <w:kern w:val="22"/>
          <w:szCs w:val="22"/>
        </w:rPr>
        <w:t>break-out groups</w:t>
      </w:r>
      <w:r w:rsidR="00C967A3" w:rsidRPr="0088780C">
        <w:rPr>
          <w:snapToGrid w:val="0"/>
          <w:kern w:val="22"/>
          <w:szCs w:val="22"/>
        </w:rPr>
        <w:t>:</w:t>
      </w:r>
      <w:r w:rsidR="00192D29" w:rsidRPr="0088780C">
        <w:rPr>
          <w:snapToGrid w:val="0"/>
          <w:kern w:val="22"/>
          <w:szCs w:val="22"/>
        </w:rPr>
        <w:t xml:space="preserve"> </w:t>
      </w:r>
      <w:r w:rsidR="0043686A" w:rsidRPr="0088780C">
        <w:rPr>
          <w:snapToGrid w:val="0"/>
          <w:kern w:val="22"/>
          <w:szCs w:val="22"/>
        </w:rPr>
        <w:t>(</w:t>
      </w:r>
      <w:r w:rsidR="00A876F3" w:rsidRPr="0088780C">
        <w:rPr>
          <w:snapToGrid w:val="0"/>
          <w:kern w:val="22"/>
          <w:szCs w:val="22"/>
        </w:rPr>
        <w:t>a) Black Sea group and (b</w:t>
      </w:r>
      <w:r w:rsidR="0043686A" w:rsidRPr="0088780C">
        <w:rPr>
          <w:snapToGrid w:val="0"/>
          <w:kern w:val="22"/>
          <w:szCs w:val="22"/>
        </w:rPr>
        <w:t xml:space="preserve">) Caspian Sea </w:t>
      </w:r>
      <w:r w:rsidR="00C967A3" w:rsidRPr="0088780C">
        <w:rPr>
          <w:snapToGrid w:val="0"/>
          <w:kern w:val="22"/>
          <w:szCs w:val="22"/>
        </w:rPr>
        <w:t>g</w:t>
      </w:r>
      <w:r w:rsidR="0043686A" w:rsidRPr="0088780C">
        <w:rPr>
          <w:snapToGrid w:val="0"/>
          <w:kern w:val="22"/>
          <w:szCs w:val="22"/>
        </w:rPr>
        <w:t>roup.</w:t>
      </w:r>
      <w:r w:rsidR="007068A6" w:rsidRPr="0088780C">
        <w:rPr>
          <w:snapToGrid w:val="0"/>
          <w:kern w:val="22"/>
          <w:szCs w:val="22"/>
        </w:rPr>
        <w:t xml:space="preserve"> </w:t>
      </w:r>
    </w:p>
    <w:p w14:paraId="7278BB6A" w14:textId="356EA731" w:rsidR="00D45153" w:rsidRPr="0088780C" w:rsidRDefault="00D45153" w:rsidP="001013AF">
      <w:pPr>
        <w:suppressLineNumbers/>
        <w:suppressAutoHyphens/>
        <w:kinsoku w:val="0"/>
        <w:overflowPunct w:val="0"/>
        <w:autoSpaceDE w:val="0"/>
        <w:autoSpaceDN w:val="0"/>
        <w:rPr>
          <w:rFonts w:eastAsia="Times New Roman"/>
          <w:snapToGrid w:val="0"/>
          <w:kern w:val="22"/>
          <w:szCs w:val="22"/>
        </w:rPr>
      </w:pPr>
      <w:r w:rsidRPr="0088780C">
        <w:rPr>
          <w:rFonts w:eastAsia="Times New Roman"/>
          <w:snapToGrid w:val="0"/>
          <w:kern w:val="22"/>
          <w:szCs w:val="22"/>
        </w:rPr>
        <w:t>2</w:t>
      </w:r>
      <w:r w:rsidR="00FD4ECB" w:rsidRPr="0088780C">
        <w:rPr>
          <w:rFonts w:eastAsia="Times New Roman"/>
          <w:snapToGrid w:val="0"/>
          <w:kern w:val="22"/>
          <w:szCs w:val="22"/>
        </w:rPr>
        <w:t>7</w:t>
      </w:r>
      <w:r w:rsidRPr="0088780C">
        <w:rPr>
          <w:rFonts w:eastAsia="Times New Roman"/>
          <w:snapToGrid w:val="0"/>
          <w:kern w:val="22"/>
          <w:szCs w:val="22"/>
        </w:rPr>
        <w:t>.</w:t>
      </w:r>
      <w:r w:rsidRPr="0088780C">
        <w:rPr>
          <w:rFonts w:eastAsia="Times New Roman"/>
          <w:snapToGrid w:val="0"/>
          <w:kern w:val="22"/>
          <w:szCs w:val="22"/>
        </w:rPr>
        <w:tab/>
        <w:t>Each break-out group was advised to focus on the following in their discussion: </w:t>
      </w:r>
    </w:p>
    <w:p w14:paraId="1CBACECA" w14:textId="4E0D1388" w:rsidR="00D45153" w:rsidRPr="0088780C" w:rsidRDefault="00D45153" w:rsidP="001013AF">
      <w:pPr>
        <w:numPr>
          <w:ilvl w:val="0"/>
          <w:numId w:val="36"/>
        </w:numPr>
        <w:suppressLineNumbers/>
        <w:suppressAutoHyphens/>
        <w:kinsoku w:val="0"/>
        <w:overflowPunct w:val="0"/>
        <w:autoSpaceDE w:val="0"/>
        <w:autoSpaceDN w:val="0"/>
        <w:spacing w:before="120" w:after="120"/>
        <w:ind w:left="0" w:firstLine="709"/>
        <w:rPr>
          <w:rFonts w:eastAsia="Times New Roman"/>
          <w:snapToGrid w:val="0"/>
          <w:kern w:val="22"/>
          <w:szCs w:val="22"/>
        </w:rPr>
      </w:pPr>
      <w:r w:rsidRPr="0088780C">
        <w:rPr>
          <w:rFonts w:eastAsia="Times New Roman"/>
          <w:snapToGrid w:val="0"/>
          <w:kern w:val="22"/>
          <w:szCs w:val="22"/>
        </w:rPr>
        <w:t>Review the layers of information available, including GIS maps of ocean features, other types of data sets, primary and other scientific and technical reports and publications, and expert knowledge, relative to each of the CBD EBSA criteria;</w:t>
      </w:r>
    </w:p>
    <w:p w14:paraId="459BE9D5" w14:textId="5C3F2F99" w:rsidR="00D45153" w:rsidRPr="0088780C" w:rsidRDefault="00D45153" w:rsidP="001013AF">
      <w:pPr>
        <w:numPr>
          <w:ilvl w:val="0"/>
          <w:numId w:val="36"/>
        </w:numPr>
        <w:suppressLineNumbers/>
        <w:suppressAutoHyphens/>
        <w:kinsoku w:val="0"/>
        <w:overflowPunct w:val="0"/>
        <w:autoSpaceDE w:val="0"/>
        <w:autoSpaceDN w:val="0"/>
        <w:spacing w:before="120" w:after="120"/>
        <w:ind w:left="0" w:firstLine="709"/>
        <w:rPr>
          <w:rFonts w:eastAsia="Times New Roman"/>
          <w:snapToGrid w:val="0"/>
          <w:kern w:val="22"/>
          <w:szCs w:val="22"/>
        </w:rPr>
      </w:pPr>
      <w:r w:rsidRPr="0088780C">
        <w:rPr>
          <w:rFonts w:eastAsia="Times New Roman"/>
          <w:snapToGrid w:val="0"/>
          <w:kern w:val="22"/>
          <w:szCs w:val="22"/>
        </w:rPr>
        <w:t>Based on the review of available scientific information, describe areas that may be considered to be relatively ecologically or biologically significant, based on their relative importance on one or more of the criteria;</w:t>
      </w:r>
    </w:p>
    <w:p w14:paraId="0966710A" w14:textId="089DF5B7" w:rsidR="00D45153" w:rsidRPr="0088780C" w:rsidRDefault="00D45153" w:rsidP="001013AF">
      <w:pPr>
        <w:numPr>
          <w:ilvl w:val="0"/>
          <w:numId w:val="36"/>
        </w:numPr>
        <w:suppressLineNumbers/>
        <w:suppressAutoHyphens/>
        <w:kinsoku w:val="0"/>
        <w:overflowPunct w:val="0"/>
        <w:autoSpaceDE w:val="0"/>
        <w:autoSpaceDN w:val="0"/>
        <w:spacing w:before="120" w:after="120"/>
        <w:ind w:left="0" w:firstLine="709"/>
        <w:rPr>
          <w:rFonts w:eastAsia="Times New Roman"/>
          <w:snapToGrid w:val="0"/>
          <w:kern w:val="22"/>
          <w:szCs w:val="22"/>
        </w:rPr>
      </w:pPr>
      <w:r w:rsidRPr="0088780C">
        <w:rPr>
          <w:rFonts w:eastAsia="Times New Roman"/>
          <w:snapToGrid w:val="0"/>
          <w:kern w:val="22"/>
          <w:szCs w:val="22"/>
        </w:rPr>
        <w:t>Document the description of each area considered to be ecologically or biologically significant, using the EBSA template and augmenting the template with narrative text and maps considered necessary to reflect the rationales of the group. Where appropriate, the narrative text may report on strengths and weaknesses in the information used in description of the area, and key uncertainties;</w:t>
      </w:r>
    </w:p>
    <w:p w14:paraId="51F0290C" w14:textId="77777777" w:rsidR="00D45153" w:rsidRPr="0088780C" w:rsidRDefault="00D45153" w:rsidP="001013AF">
      <w:pPr>
        <w:numPr>
          <w:ilvl w:val="0"/>
          <w:numId w:val="36"/>
        </w:numPr>
        <w:suppressLineNumbers/>
        <w:suppressAutoHyphens/>
        <w:kinsoku w:val="0"/>
        <w:overflowPunct w:val="0"/>
        <w:autoSpaceDE w:val="0"/>
        <w:autoSpaceDN w:val="0"/>
        <w:spacing w:before="120" w:after="120"/>
        <w:ind w:left="0" w:firstLine="709"/>
        <w:rPr>
          <w:rFonts w:eastAsia="Times New Roman"/>
          <w:snapToGrid w:val="0"/>
          <w:kern w:val="22"/>
          <w:szCs w:val="22"/>
        </w:rPr>
      </w:pPr>
      <w:r w:rsidRPr="0088780C">
        <w:rPr>
          <w:rFonts w:eastAsia="Times New Roman"/>
          <w:snapToGrid w:val="0"/>
          <w:kern w:val="22"/>
          <w:szCs w:val="22"/>
        </w:rPr>
        <w:t>Review existing compilation of templates</w:t>
      </w:r>
      <w:r w:rsidRPr="0088780C">
        <w:rPr>
          <w:snapToGrid w:val="0"/>
          <w:kern w:val="22"/>
          <w:szCs w:val="22"/>
        </w:rPr>
        <w:t xml:space="preserve"> </w:t>
      </w:r>
      <w:r w:rsidRPr="0088780C">
        <w:rPr>
          <w:rFonts w:eastAsia="Times New Roman"/>
          <w:snapToGrid w:val="0"/>
          <w:kern w:val="22"/>
          <w:szCs w:val="22"/>
        </w:rPr>
        <w:t xml:space="preserve">and as necessary refine them, considering comments provided by the Secretariat and the workshop plenary, in terms of scientific data/information; and polygon boundaries of areas to be mapped; </w:t>
      </w:r>
    </w:p>
    <w:p w14:paraId="3A0B4C3F" w14:textId="2184823F" w:rsidR="00D45153" w:rsidRPr="0088780C" w:rsidRDefault="00D45153" w:rsidP="001013AF">
      <w:pPr>
        <w:numPr>
          <w:ilvl w:val="0"/>
          <w:numId w:val="36"/>
        </w:numPr>
        <w:suppressLineNumbers/>
        <w:suppressAutoHyphens/>
        <w:kinsoku w:val="0"/>
        <w:overflowPunct w:val="0"/>
        <w:autoSpaceDE w:val="0"/>
        <w:autoSpaceDN w:val="0"/>
        <w:spacing w:before="120" w:after="120"/>
        <w:ind w:left="0" w:firstLine="709"/>
        <w:rPr>
          <w:rFonts w:eastAsia="Times New Roman"/>
          <w:snapToGrid w:val="0"/>
          <w:kern w:val="22"/>
          <w:szCs w:val="22"/>
        </w:rPr>
      </w:pPr>
      <w:r w:rsidRPr="0088780C">
        <w:rPr>
          <w:rFonts w:eastAsia="Times New Roman"/>
          <w:snapToGrid w:val="0"/>
          <w:kern w:val="22"/>
          <w:szCs w:val="22"/>
        </w:rPr>
        <w:t>Where appropriate consider merging areas described in draft descriptions with other areas</w:t>
      </w:r>
      <w:r w:rsidRPr="0088780C">
        <w:rPr>
          <w:snapToGrid w:val="0"/>
          <w:kern w:val="22"/>
          <w:szCs w:val="22"/>
        </w:rPr>
        <w:t xml:space="preserve"> or </w:t>
      </w:r>
      <w:r w:rsidRPr="0088780C">
        <w:rPr>
          <w:rFonts w:eastAsia="Times New Roman"/>
          <w:snapToGrid w:val="0"/>
          <w:kern w:val="22"/>
          <w:szCs w:val="22"/>
        </w:rPr>
        <w:t>refining them into small areas so that the description can accurately cover the ecosystem features under consideration;</w:t>
      </w:r>
    </w:p>
    <w:p w14:paraId="5E78EEE4" w14:textId="65CD27A5" w:rsidR="00D45153" w:rsidRPr="0088780C" w:rsidRDefault="00D45153" w:rsidP="001013AF">
      <w:pPr>
        <w:numPr>
          <w:ilvl w:val="0"/>
          <w:numId w:val="36"/>
        </w:numPr>
        <w:suppressLineNumbers/>
        <w:suppressAutoHyphens/>
        <w:kinsoku w:val="0"/>
        <w:overflowPunct w:val="0"/>
        <w:autoSpaceDE w:val="0"/>
        <w:autoSpaceDN w:val="0"/>
        <w:spacing w:before="120" w:after="120"/>
        <w:ind w:left="0" w:firstLine="709"/>
        <w:rPr>
          <w:rFonts w:eastAsia="Times New Roman"/>
          <w:snapToGrid w:val="0"/>
          <w:kern w:val="22"/>
          <w:szCs w:val="22"/>
        </w:rPr>
      </w:pPr>
      <w:r w:rsidRPr="0088780C">
        <w:rPr>
          <w:rFonts w:eastAsia="Times New Roman"/>
          <w:snapToGrid w:val="0"/>
          <w:kern w:val="22"/>
          <w:szCs w:val="22"/>
        </w:rPr>
        <w:t xml:space="preserve">Identify the needs for future scientific research, scientific collaboration, data/information sharing, and capacity building to further enable application of the EBSA criteria in the region, particularly for areas or types of information for which there is a lack of scientific information or expert knowledge at this workshop, as inputs to </w:t>
      </w:r>
      <w:r w:rsidR="00DB2C16" w:rsidRPr="0088780C">
        <w:rPr>
          <w:rFonts w:eastAsia="Times New Roman"/>
          <w:snapToGrid w:val="0"/>
          <w:kern w:val="22"/>
          <w:szCs w:val="22"/>
        </w:rPr>
        <w:t>a</w:t>
      </w:r>
      <w:r w:rsidRPr="0088780C">
        <w:rPr>
          <w:rFonts w:eastAsia="Times New Roman"/>
          <w:snapToGrid w:val="0"/>
          <w:kern w:val="22"/>
          <w:szCs w:val="22"/>
        </w:rPr>
        <w:t xml:space="preserve">genda </w:t>
      </w:r>
      <w:r w:rsidR="00DB2C16" w:rsidRPr="0088780C">
        <w:rPr>
          <w:rFonts w:eastAsia="Times New Roman"/>
          <w:snapToGrid w:val="0"/>
          <w:kern w:val="22"/>
          <w:szCs w:val="22"/>
        </w:rPr>
        <w:t>i</w:t>
      </w:r>
      <w:r w:rsidRPr="0088780C">
        <w:rPr>
          <w:rFonts w:eastAsia="Times New Roman"/>
          <w:snapToGrid w:val="0"/>
          <w:kern w:val="22"/>
          <w:szCs w:val="22"/>
        </w:rPr>
        <w:t>tem 6;</w:t>
      </w:r>
    </w:p>
    <w:p w14:paraId="60719125" w14:textId="005F7501" w:rsidR="00D45153" w:rsidRPr="0088780C" w:rsidRDefault="00D45153" w:rsidP="001013AF">
      <w:pPr>
        <w:numPr>
          <w:ilvl w:val="0"/>
          <w:numId w:val="36"/>
        </w:numPr>
        <w:suppressLineNumbers/>
        <w:suppressAutoHyphens/>
        <w:kinsoku w:val="0"/>
        <w:overflowPunct w:val="0"/>
        <w:autoSpaceDE w:val="0"/>
        <w:autoSpaceDN w:val="0"/>
        <w:spacing w:before="120" w:after="120"/>
        <w:ind w:left="0" w:firstLine="709"/>
        <w:rPr>
          <w:rFonts w:eastAsia="Times New Roman"/>
          <w:snapToGrid w:val="0"/>
          <w:kern w:val="22"/>
          <w:szCs w:val="22"/>
        </w:rPr>
      </w:pPr>
      <w:r w:rsidRPr="0088780C">
        <w:rPr>
          <w:rFonts w:eastAsia="Times New Roman"/>
          <w:snapToGrid w:val="0"/>
          <w:kern w:val="22"/>
          <w:szCs w:val="22"/>
        </w:rPr>
        <w:t>Work with technical support team to define the polygon boundary of areas of your EBSA description on the GIS map; and</w:t>
      </w:r>
    </w:p>
    <w:p w14:paraId="6D973355" w14:textId="5F07B74F" w:rsidR="00D45153" w:rsidRPr="0088780C" w:rsidRDefault="00D45153" w:rsidP="001013AF">
      <w:pPr>
        <w:numPr>
          <w:ilvl w:val="0"/>
          <w:numId w:val="36"/>
        </w:numPr>
        <w:suppressLineNumbers/>
        <w:suppressAutoHyphens/>
        <w:kinsoku w:val="0"/>
        <w:overflowPunct w:val="0"/>
        <w:autoSpaceDE w:val="0"/>
        <w:autoSpaceDN w:val="0"/>
        <w:spacing w:before="120" w:after="120"/>
        <w:ind w:left="0" w:firstLine="709"/>
        <w:rPr>
          <w:rFonts w:eastAsia="Times New Roman"/>
          <w:snapToGrid w:val="0"/>
          <w:kern w:val="22"/>
          <w:szCs w:val="22"/>
        </w:rPr>
      </w:pPr>
      <w:r w:rsidRPr="0088780C">
        <w:rPr>
          <w:rFonts w:eastAsia="Times New Roman"/>
          <w:snapToGrid w:val="0"/>
          <w:kern w:val="22"/>
          <w:szCs w:val="22"/>
        </w:rPr>
        <w:t>Invite relevant international/regional experts available at the meeting for their expert opinions</w:t>
      </w:r>
      <w:r w:rsidR="00DB2C16" w:rsidRPr="0088780C">
        <w:rPr>
          <w:rFonts w:eastAsia="Times New Roman"/>
          <w:snapToGrid w:val="0"/>
          <w:kern w:val="22"/>
          <w:szCs w:val="22"/>
        </w:rPr>
        <w:t>.</w:t>
      </w:r>
    </w:p>
    <w:p w14:paraId="642D4DF3" w14:textId="7AFEC230" w:rsidR="00924305" w:rsidRPr="0088780C" w:rsidRDefault="00A058EC" w:rsidP="001013AF">
      <w:pPr>
        <w:suppressLineNumbers/>
        <w:suppressAutoHyphens/>
        <w:kinsoku w:val="0"/>
        <w:overflowPunct w:val="0"/>
        <w:autoSpaceDE w:val="0"/>
        <w:autoSpaceDN w:val="0"/>
        <w:spacing w:afterLines="50" w:after="120"/>
        <w:rPr>
          <w:snapToGrid w:val="0"/>
          <w:kern w:val="22"/>
          <w:szCs w:val="22"/>
        </w:rPr>
      </w:pPr>
      <w:r w:rsidRPr="0088780C">
        <w:rPr>
          <w:snapToGrid w:val="0"/>
          <w:kern w:val="22"/>
          <w:szCs w:val="22"/>
        </w:rPr>
        <w:t>2</w:t>
      </w:r>
      <w:r w:rsidR="00FD4ECB" w:rsidRPr="0088780C">
        <w:rPr>
          <w:snapToGrid w:val="0"/>
          <w:kern w:val="22"/>
          <w:szCs w:val="22"/>
        </w:rPr>
        <w:t>8</w:t>
      </w:r>
      <w:r w:rsidR="00924305" w:rsidRPr="0088780C">
        <w:rPr>
          <w:snapToGrid w:val="0"/>
          <w:kern w:val="22"/>
          <w:szCs w:val="22"/>
        </w:rPr>
        <w:t>.</w:t>
      </w:r>
      <w:r w:rsidR="00924305" w:rsidRPr="0088780C">
        <w:rPr>
          <w:snapToGrid w:val="0"/>
          <w:kern w:val="22"/>
          <w:szCs w:val="22"/>
        </w:rPr>
        <w:tab/>
      </w:r>
      <w:r w:rsidR="00DB3C52" w:rsidRPr="0088780C">
        <w:rPr>
          <w:snapToGrid w:val="0"/>
          <w:kern w:val="22"/>
          <w:szCs w:val="22"/>
        </w:rPr>
        <w:t>Participants were assisted by the technical support team, including GIS operators, who made hard/electronic copies of the maps available for the deliberation of the break-out group discussion</w:t>
      </w:r>
      <w:r w:rsidR="002354A0" w:rsidRPr="0088780C">
        <w:rPr>
          <w:snapToGrid w:val="0"/>
          <w:kern w:val="22"/>
          <w:szCs w:val="22"/>
        </w:rPr>
        <w:t xml:space="preserve">, provided </w:t>
      </w:r>
      <w:r w:rsidR="00C5231D" w:rsidRPr="0088780C">
        <w:rPr>
          <w:snapToGrid w:val="0"/>
          <w:kern w:val="22"/>
          <w:szCs w:val="22"/>
        </w:rPr>
        <w:t xml:space="preserve">data in </w:t>
      </w:r>
      <w:r w:rsidR="00DB2C16" w:rsidRPr="0088780C">
        <w:rPr>
          <w:snapToGrid w:val="0"/>
          <w:kern w:val="22"/>
          <w:szCs w:val="22"/>
        </w:rPr>
        <w:t xml:space="preserve">a </w:t>
      </w:r>
      <w:r w:rsidR="00C5231D" w:rsidRPr="0088780C">
        <w:rPr>
          <w:snapToGrid w:val="0"/>
          <w:kern w:val="22"/>
          <w:szCs w:val="22"/>
        </w:rPr>
        <w:t xml:space="preserve">GIS database, and </w:t>
      </w:r>
      <w:r w:rsidR="002354A0" w:rsidRPr="0088780C">
        <w:rPr>
          <w:snapToGrid w:val="0"/>
          <w:kern w:val="22"/>
          <w:szCs w:val="22"/>
        </w:rPr>
        <w:t>support</w:t>
      </w:r>
      <w:r w:rsidR="00C5231D" w:rsidRPr="0088780C">
        <w:rPr>
          <w:snapToGrid w:val="0"/>
          <w:kern w:val="22"/>
          <w:szCs w:val="22"/>
        </w:rPr>
        <w:t>ed</w:t>
      </w:r>
      <w:r w:rsidR="002354A0" w:rsidRPr="0088780C">
        <w:rPr>
          <w:snapToGrid w:val="0"/>
          <w:kern w:val="22"/>
          <w:szCs w:val="22"/>
        </w:rPr>
        <w:t xml:space="preserve"> data analysis and interpretation as well as mapping of potential areas meeting </w:t>
      </w:r>
      <w:r w:rsidR="00F542BC" w:rsidRPr="0088780C">
        <w:rPr>
          <w:snapToGrid w:val="0"/>
          <w:kern w:val="22"/>
          <w:szCs w:val="22"/>
        </w:rPr>
        <w:t xml:space="preserve">the </w:t>
      </w:r>
      <w:r w:rsidR="002354A0" w:rsidRPr="0088780C">
        <w:rPr>
          <w:snapToGrid w:val="0"/>
          <w:kern w:val="22"/>
          <w:szCs w:val="22"/>
        </w:rPr>
        <w:t>EBSA criteria.</w:t>
      </w:r>
      <w:r w:rsidR="00924305" w:rsidRPr="0088780C">
        <w:rPr>
          <w:snapToGrid w:val="0"/>
          <w:kern w:val="22"/>
          <w:szCs w:val="22"/>
        </w:rPr>
        <w:t xml:space="preserve"> </w:t>
      </w:r>
    </w:p>
    <w:p w14:paraId="3914601C" w14:textId="32C1F647" w:rsidR="00195B74" w:rsidRPr="0088780C" w:rsidRDefault="00A058EC" w:rsidP="001013AF">
      <w:pPr>
        <w:suppressLineNumbers/>
        <w:suppressAutoHyphens/>
        <w:kinsoku w:val="0"/>
        <w:overflowPunct w:val="0"/>
        <w:autoSpaceDE w:val="0"/>
        <w:autoSpaceDN w:val="0"/>
        <w:spacing w:afterLines="50" w:after="120"/>
        <w:rPr>
          <w:snapToGrid w:val="0"/>
          <w:kern w:val="22"/>
          <w:szCs w:val="22"/>
        </w:rPr>
      </w:pPr>
      <w:r w:rsidRPr="0088780C">
        <w:rPr>
          <w:snapToGrid w:val="0"/>
          <w:kern w:val="22"/>
          <w:szCs w:val="22"/>
          <w:lang w:eastAsia="ko-KR"/>
        </w:rPr>
        <w:t>2</w:t>
      </w:r>
      <w:r w:rsidR="00FD4ECB" w:rsidRPr="0088780C">
        <w:rPr>
          <w:snapToGrid w:val="0"/>
          <w:kern w:val="22"/>
          <w:szCs w:val="22"/>
          <w:lang w:eastAsia="ko-KR"/>
        </w:rPr>
        <w:t>9</w:t>
      </w:r>
      <w:r w:rsidR="0050196B" w:rsidRPr="0088780C">
        <w:rPr>
          <w:snapToGrid w:val="0"/>
          <w:kern w:val="22"/>
          <w:szCs w:val="22"/>
          <w:lang w:eastAsia="ko-KR"/>
        </w:rPr>
        <w:t>.</w:t>
      </w:r>
      <w:r w:rsidR="0050196B" w:rsidRPr="0088780C">
        <w:rPr>
          <w:snapToGrid w:val="0"/>
          <w:kern w:val="22"/>
          <w:szCs w:val="22"/>
          <w:lang w:eastAsia="ko-KR"/>
        </w:rPr>
        <w:tab/>
      </w:r>
      <w:r w:rsidR="00DB3C52" w:rsidRPr="0088780C">
        <w:rPr>
          <w:snapToGrid w:val="0"/>
          <w:kern w:val="22"/>
          <w:szCs w:val="22"/>
          <w:lang w:eastAsia="ko-KR"/>
        </w:rPr>
        <w:t xml:space="preserve">During </w:t>
      </w:r>
      <w:r w:rsidR="00393482" w:rsidRPr="0088780C">
        <w:rPr>
          <w:snapToGrid w:val="0"/>
          <w:kern w:val="22"/>
          <w:szCs w:val="22"/>
          <w:lang w:eastAsia="ko-KR"/>
        </w:rPr>
        <w:t>the</w:t>
      </w:r>
      <w:r w:rsidR="00DB3C52" w:rsidRPr="0088780C">
        <w:rPr>
          <w:snapToGrid w:val="0"/>
          <w:kern w:val="22"/>
          <w:szCs w:val="22"/>
          <w:lang w:eastAsia="ko-KR"/>
        </w:rPr>
        <w:t xml:space="preserve"> break-out group discussion</w:t>
      </w:r>
      <w:r w:rsidR="00393482" w:rsidRPr="0088780C">
        <w:rPr>
          <w:snapToGrid w:val="0"/>
          <w:kern w:val="22"/>
          <w:szCs w:val="22"/>
          <w:lang w:eastAsia="ko-KR"/>
        </w:rPr>
        <w:t>s</w:t>
      </w:r>
      <w:r w:rsidR="00DB3C52" w:rsidRPr="0088780C">
        <w:rPr>
          <w:snapToGrid w:val="0"/>
          <w:kern w:val="22"/>
          <w:szCs w:val="22"/>
          <w:lang w:eastAsia="ko-KR"/>
        </w:rPr>
        <w:t>, p</w:t>
      </w:r>
      <w:r w:rsidR="00DB3C52" w:rsidRPr="0088780C">
        <w:rPr>
          <w:snapToGrid w:val="0"/>
          <w:kern w:val="22"/>
          <w:szCs w:val="22"/>
        </w:rPr>
        <w:t>articipants</w:t>
      </w:r>
      <w:r w:rsidR="004B6C30" w:rsidRPr="0088780C">
        <w:rPr>
          <w:snapToGrid w:val="0"/>
          <w:kern w:val="22"/>
          <w:szCs w:val="22"/>
        </w:rPr>
        <w:t xml:space="preserve"> who were </w:t>
      </w:r>
      <w:r w:rsidR="000377C2" w:rsidRPr="0088780C">
        <w:rPr>
          <w:snapToGrid w:val="0"/>
          <w:kern w:val="22"/>
          <w:szCs w:val="22"/>
        </w:rPr>
        <w:t>preparing</w:t>
      </w:r>
      <w:r w:rsidR="004B6C30" w:rsidRPr="0088780C">
        <w:rPr>
          <w:snapToGrid w:val="0"/>
          <w:kern w:val="22"/>
          <w:szCs w:val="22"/>
        </w:rPr>
        <w:t xml:space="preserve"> description</w:t>
      </w:r>
      <w:r w:rsidR="000377C2" w:rsidRPr="0088780C">
        <w:rPr>
          <w:snapToGrid w:val="0"/>
          <w:kern w:val="22"/>
          <w:szCs w:val="22"/>
        </w:rPr>
        <w:t>s</w:t>
      </w:r>
      <w:r w:rsidR="004B6C30" w:rsidRPr="0088780C">
        <w:rPr>
          <w:snapToGrid w:val="0"/>
          <w:kern w:val="22"/>
          <w:szCs w:val="22"/>
        </w:rPr>
        <w:t xml:space="preserve"> of areas meeting EBSA criteria, </w:t>
      </w:r>
      <w:r w:rsidR="00CC180B" w:rsidRPr="0088780C">
        <w:rPr>
          <w:snapToGrid w:val="0"/>
          <w:kern w:val="22"/>
          <w:szCs w:val="22"/>
        </w:rPr>
        <w:t>drew approximate polygons</w:t>
      </w:r>
      <w:r w:rsidR="00DB3C52" w:rsidRPr="0088780C">
        <w:rPr>
          <w:snapToGrid w:val="0"/>
          <w:kern w:val="22"/>
          <w:szCs w:val="22"/>
        </w:rPr>
        <w:t xml:space="preserve"> of </w:t>
      </w:r>
      <w:r w:rsidR="000377C2" w:rsidRPr="0088780C">
        <w:rPr>
          <w:snapToGrid w:val="0"/>
          <w:kern w:val="22"/>
          <w:szCs w:val="22"/>
        </w:rPr>
        <w:t xml:space="preserve">these </w:t>
      </w:r>
      <w:r w:rsidR="00DB3C52" w:rsidRPr="0088780C">
        <w:rPr>
          <w:snapToGrid w:val="0"/>
          <w:kern w:val="22"/>
          <w:szCs w:val="22"/>
        </w:rPr>
        <w:t xml:space="preserve">areas on a map </w:t>
      </w:r>
      <w:r w:rsidR="008B6B84" w:rsidRPr="0088780C">
        <w:rPr>
          <w:snapToGrid w:val="0"/>
          <w:kern w:val="22"/>
          <w:szCs w:val="22"/>
        </w:rPr>
        <w:t xml:space="preserve">provided by the technical support team </w:t>
      </w:r>
      <w:r w:rsidR="00DB3C52" w:rsidRPr="0088780C">
        <w:rPr>
          <w:snapToGrid w:val="0"/>
          <w:kern w:val="22"/>
          <w:szCs w:val="22"/>
        </w:rPr>
        <w:t xml:space="preserve">as they were completed to keep track of opportunities to extend or merge areas </w:t>
      </w:r>
      <w:r w:rsidR="000377C2" w:rsidRPr="0088780C">
        <w:rPr>
          <w:snapToGrid w:val="0"/>
          <w:kern w:val="22"/>
          <w:szCs w:val="22"/>
        </w:rPr>
        <w:t>being described</w:t>
      </w:r>
      <w:r w:rsidR="00DB3C52" w:rsidRPr="0088780C">
        <w:rPr>
          <w:snapToGrid w:val="0"/>
          <w:kern w:val="22"/>
          <w:szCs w:val="22"/>
        </w:rPr>
        <w:t xml:space="preserve"> and to identify areas that had yet to be considered. </w:t>
      </w:r>
    </w:p>
    <w:p w14:paraId="5DB7DD2C" w14:textId="7D02BF00" w:rsidR="00195B74" w:rsidRPr="0088780C" w:rsidRDefault="00FD4ECB" w:rsidP="001013AF">
      <w:pPr>
        <w:suppressLineNumbers/>
        <w:suppressAutoHyphens/>
        <w:kinsoku w:val="0"/>
        <w:overflowPunct w:val="0"/>
        <w:autoSpaceDE w:val="0"/>
        <w:autoSpaceDN w:val="0"/>
        <w:spacing w:afterLines="50" w:after="120"/>
        <w:rPr>
          <w:snapToGrid w:val="0"/>
          <w:kern w:val="22"/>
          <w:szCs w:val="22"/>
        </w:rPr>
      </w:pPr>
      <w:r w:rsidRPr="0088780C">
        <w:rPr>
          <w:snapToGrid w:val="0"/>
          <w:kern w:val="22"/>
          <w:szCs w:val="22"/>
        </w:rPr>
        <w:t>30</w:t>
      </w:r>
      <w:r w:rsidR="0050196B" w:rsidRPr="0088780C">
        <w:rPr>
          <w:snapToGrid w:val="0"/>
          <w:kern w:val="22"/>
          <w:szCs w:val="22"/>
        </w:rPr>
        <w:t>.</w:t>
      </w:r>
      <w:r w:rsidR="0050196B" w:rsidRPr="0088780C">
        <w:rPr>
          <w:snapToGrid w:val="0"/>
          <w:kern w:val="22"/>
          <w:szCs w:val="22"/>
        </w:rPr>
        <w:tab/>
      </w:r>
      <w:r w:rsidR="00DB3C52" w:rsidRPr="0088780C">
        <w:rPr>
          <w:snapToGrid w:val="0"/>
          <w:kern w:val="22"/>
          <w:szCs w:val="22"/>
        </w:rPr>
        <w:t xml:space="preserve">The results of the break-out groups were reported at plenary </w:t>
      </w:r>
      <w:r w:rsidR="000377C2" w:rsidRPr="0088780C">
        <w:rPr>
          <w:snapToGrid w:val="0"/>
          <w:kern w:val="22"/>
          <w:szCs w:val="22"/>
        </w:rPr>
        <w:t xml:space="preserve">sessions </w:t>
      </w:r>
      <w:r w:rsidR="00DB3C52" w:rsidRPr="0088780C">
        <w:rPr>
          <w:snapToGrid w:val="0"/>
          <w:kern w:val="22"/>
          <w:szCs w:val="22"/>
        </w:rPr>
        <w:t xml:space="preserve">for </w:t>
      </w:r>
      <w:r w:rsidR="000377C2" w:rsidRPr="0088780C">
        <w:rPr>
          <w:snapToGrid w:val="0"/>
          <w:kern w:val="22"/>
          <w:szCs w:val="22"/>
        </w:rPr>
        <w:t xml:space="preserve">the </w:t>
      </w:r>
      <w:r w:rsidR="00DB3C52" w:rsidRPr="0088780C">
        <w:rPr>
          <w:snapToGrid w:val="0"/>
          <w:kern w:val="22"/>
          <w:szCs w:val="22"/>
        </w:rPr>
        <w:t>consideration</w:t>
      </w:r>
      <w:r w:rsidR="000377C2" w:rsidRPr="0088780C">
        <w:rPr>
          <w:snapToGrid w:val="0"/>
          <w:kern w:val="22"/>
          <w:szCs w:val="22"/>
        </w:rPr>
        <w:t xml:space="preserve"> of all workshop participants</w:t>
      </w:r>
      <w:r w:rsidR="00DB3C52" w:rsidRPr="0088780C">
        <w:rPr>
          <w:snapToGrid w:val="0"/>
          <w:kern w:val="22"/>
          <w:szCs w:val="22"/>
        </w:rPr>
        <w:t xml:space="preserve">. </w:t>
      </w:r>
      <w:r w:rsidR="0050710E" w:rsidRPr="0088780C">
        <w:rPr>
          <w:snapToGrid w:val="0"/>
          <w:kern w:val="22"/>
          <w:szCs w:val="22"/>
        </w:rPr>
        <w:t>A</w:t>
      </w:r>
      <w:r w:rsidR="0050710E" w:rsidRPr="0088780C">
        <w:rPr>
          <w:snapToGrid w:val="0"/>
          <w:kern w:val="22"/>
          <w:szCs w:val="22"/>
          <w:lang w:eastAsia="ko-KR"/>
        </w:rPr>
        <w:t>t</w:t>
      </w:r>
      <w:r w:rsidR="0050710E" w:rsidRPr="0088780C">
        <w:rPr>
          <w:snapToGrid w:val="0"/>
          <w:kern w:val="22"/>
          <w:szCs w:val="22"/>
        </w:rPr>
        <w:t xml:space="preserve"> the</w:t>
      </w:r>
      <w:r w:rsidR="000377C2" w:rsidRPr="0088780C">
        <w:rPr>
          <w:snapToGrid w:val="0"/>
          <w:kern w:val="22"/>
          <w:szCs w:val="22"/>
        </w:rPr>
        <w:t>se</w:t>
      </w:r>
      <w:r w:rsidR="0050710E" w:rsidRPr="0088780C">
        <w:rPr>
          <w:snapToGrid w:val="0"/>
          <w:kern w:val="22"/>
          <w:szCs w:val="22"/>
        </w:rPr>
        <w:t xml:space="preserve"> plenary session</w:t>
      </w:r>
      <w:r w:rsidR="000377C2" w:rsidRPr="0088780C">
        <w:rPr>
          <w:snapToGrid w:val="0"/>
          <w:kern w:val="22"/>
          <w:szCs w:val="22"/>
        </w:rPr>
        <w:t>s</w:t>
      </w:r>
      <w:r w:rsidR="0050710E" w:rsidRPr="0088780C">
        <w:rPr>
          <w:snapToGrid w:val="0"/>
          <w:kern w:val="22"/>
          <w:szCs w:val="22"/>
        </w:rPr>
        <w:t>, w</w:t>
      </w:r>
      <w:r w:rsidR="00DB3C52" w:rsidRPr="0088780C">
        <w:rPr>
          <w:snapToGrid w:val="0"/>
          <w:kern w:val="22"/>
          <w:szCs w:val="22"/>
        </w:rPr>
        <w:t xml:space="preserve">orkshop participants reviewed the </w:t>
      </w:r>
      <w:r w:rsidR="000377C2" w:rsidRPr="0088780C">
        <w:rPr>
          <w:snapToGrid w:val="0"/>
          <w:kern w:val="22"/>
          <w:szCs w:val="22"/>
        </w:rPr>
        <w:t xml:space="preserve">draft </w:t>
      </w:r>
      <w:r w:rsidR="00DB3C52" w:rsidRPr="0088780C">
        <w:rPr>
          <w:snapToGrid w:val="0"/>
          <w:kern w:val="22"/>
          <w:szCs w:val="22"/>
        </w:rPr>
        <w:t>description</w:t>
      </w:r>
      <w:r w:rsidR="000377C2" w:rsidRPr="0088780C">
        <w:rPr>
          <w:snapToGrid w:val="0"/>
          <w:kern w:val="22"/>
          <w:szCs w:val="22"/>
        </w:rPr>
        <w:t>s</w:t>
      </w:r>
      <w:r w:rsidR="00DB3C52" w:rsidRPr="0088780C">
        <w:rPr>
          <w:snapToGrid w:val="0"/>
          <w:kern w:val="22"/>
          <w:szCs w:val="22"/>
        </w:rPr>
        <w:t xml:space="preserve"> of areas meeting </w:t>
      </w:r>
      <w:r w:rsidR="002E07E7" w:rsidRPr="0088780C">
        <w:rPr>
          <w:snapToGrid w:val="0"/>
          <w:kern w:val="22"/>
          <w:szCs w:val="22"/>
        </w:rPr>
        <w:t xml:space="preserve">the </w:t>
      </w:r>
      <w:r w:rsidR="00DB3C52" w:rsidRPr="0088780C">
        <w:rPr>
          <w:snapToGrid w:val="0"/>
          <w:kern w:val="22"/>
          <w:szCs w:val="22"/>
        </w:rPr>
        <w:t>EBSA criteria proposed by the break-out group sessions</w:t>
      </w:r>
      <w:r w:rsidR="0050710E" w:rsidRPr="0088780C">
        <w:rPr>
          <w:snapToGrid w:val="0"/>
          <w:kern w:val="22"/>
          <w:szCs w:val="22"/>
        </w:rPr>
        <w:t>,</w:t>
      </w:r>
      <w:r w:rsidR="000E5B6F" w:rsidRPr="0088780C">
        <w:rPr>
          <w:snapToGrid w:val="0"/>
          <w:kern w:val="22"/>
          <w:szCs w:val="22"/>
        </w:rPr>
        <w:t xml:space="preserve"> using </w:t>
      </w:r>
      <w:r w:rsidR="0046362F" w:rsidRPr="0088780C">
        <w:rPr>
          <w:snapToGrid w:val="0"/>
          <w:kern w:val="22"/>
          <w:szCs w:val="22"/>
        </w:rPr>
        <w:t>templates</w:t>
      </w:r>
      <w:r w:rsidR="000E5B6F" w:rsidRPr="0088780C">
        <w:rPr>
          <w:snapToGrid w:val="0"/>
          <w:kern w:val="22"/>
          <w:szCs w:val="22"/>
        </w:rPr>
        <w:t xml:space="preserve"> provided by the CBD Secretariat</w:t>
      </w:r>
      <w:r w:rsidR="0046362F" w:rsidRPr="0088780C">
        <w:rPr>
          <w:snapToGrid w:val="0"/>
          <w:kern w:val="22"/>
          <w:szCs w:val="22"/>
        </w:rPr>
        <w:t>,</w:t>
      </w:r>
      <w:r w:rsidR="00DB3C52" w:rsidRPr="0088780C">
        <w:rPr>
          <w:snapToGrid w:val="0"/>
          <w:kern w:val="22"/>
          <w:szCs w:val="22"/>
        </w:rPr>
        <w:t xml:space="preserve"> and considered them for inclusion </w:t>
      </w:r>
      <w:r w:rsidR="000377C2" w:rsidRPr="0088780C">
        <w:rPr>
          <w:snapToGrid w:val="0"/>
          <w:kern w:val="22"/>
          <w:szCs w:val="22"/>
        </w:rPr>
        <w:t>o</w:t>
      </w:r>
      <w:r w:rsidR="00DB3C52" w:rsidRPr="0088780C">
        <w:rPr>
          <w:snapToGrid w:val="0"/>
          <w:kern w:val="22"/>
          <w:szCs w:val="22"/>
        </w:rPr>
        <w:t xml:space="preserve">n the final list </w:t>
      </w:r>
      <w:r w:rsidR="009D246B" w:rsidRPr="0088780C">
        <w:rPr>
          <w:snapToGrid w:val="0"/>
          <w:kern w:val="22"/>
          <w:szCs w:val="22"/>
        </w:rPr>
        <w:t>of</w:t>
      </w:r>
      <w:r w:rsidR="00DB3C52" w:rsidRPr="0088780C">
        <w:rPr>
          <w:snapToGrid w:val="0"/>
          <w:kern w:val="22"/>
          <w:szCs w:val="22"/>
        </w:rPr>
        <w:t xml:space="preserve"> areas meeting EBSA criteria. </w:t>
      </w:r>
    </w:p>
    <w:p w14:paraId="0F422BE2" w14:textId="15C01268" w:rsidR="003217F7" w:rsidRPr="0088780C" w:rsidRDefault="00FD4ECB" w:rsidP="001013AF">
      <w:pPr>
        <w:suppressLineNumbers/>
        <w:suppressAutoHyphens/>
        <w:kinsoku w:val="0"/>
        <w:overflowPunct w:val="0"/>
        <w:autoSpaceDE w:val="0"/>
        <w:autoSpaceDN w:val="0"/>
        <w:spacing w:afterLines="50" w:after="120"/>
        <w:rPr>
          <w:snapToGrid w:val="0"/>
          <w:kern w:val="22"/>
          <w:szCs w:val="22"/>
        </w:rPr>
      </w:pPr>
      <w:r w:rsidRPr="0088780C">
        <w:rPr>
          <w:snapToGrid w:val="0"/>
          <w:kern w:val="22"/>
          <w:szCs w:val="22"/>
          <w:lang w:eastAsia="ko-KR"/>
        </w:rPr>
        <w:t>31</w:t>
      </w:r>
      <w:r w:rsidR="0050196B" w:rsidRPr="0088780C">
        <w:rPr>
          <w:snapToGrid w:val="0"/>
          <w:kern w:val="22"/>
          <w:szCs w:val="22"/>
          <w:lang w:eastAsia="ko-KR"/>
        </w:rPr>
        <w:t>.</w:t>
      </w:r>
      <w:r w:rsidR="0050196B" w:rsidRPr="0088780C">
        <w:rPr>
          <w:snapToGrid w:val="0"/>
          <w:kern w:val="22"/>
          <w:szCs w:val="22"/>
          <w:lang w:eastAsia="ko-KR"/>
        </w:rPr>
        <w:tab/>
      </w:r>
      <w:r w:rsidR="00DB3C52" w:rsidRPr="0088780C">
        <w:rPr>
          <w:snapToGrid w:val="0"/>
          <w:kern w:val="22"/>
          <w:szCs w:val="22"/>
          <w:lang w:eastAsia="ko-KR"/>
        </w:rPr>
        <w:t xml:space="preserve">The workshop participants agreed on descriptions of </w:t>
      </w:r>
      <w:r w:rsidR="00D45153" w:rsidRPr="0088780C">
        <w:rPr>
          <w:snapToGrid w:val="0"/>
          <w:kern w:val="22"/>
          <w:szCs w:val="22"/>
          <w:lang w:eastAsia="ko-KR"/>
        </w:rPr>
        <w:t>33</w:t>
      </w:r>
      <w:r w:rsidR="002F37C6" w:rsidRPr="0088780C">
        <w:rPr>
          <w:snapToGrid w:val="0"/>
          <w:kern w:val="22"/>
          <w:szCs w:val="22"/>
          <w:lang w:eastAsia="ko-KR"/>
        </w:rPr>
        <w:t xml:space="preserve"> </w:t>
      </w:r>
      <w:r w:rsidR="00DB3C52" w:rsidRPr="0088780C">
        <w:rPr>
          <w:snapToGrid w:val="0"/>
          <w:kern w:val="22"/>
          <w:szCs w:val="22"/>
          <w:lang w:eastAsia="ko-KR"/>
        </w:rPr>
        <w:t xml:space="preserve">areas meeting </w:t>
      </w:r>
      <w:r w:rsidR="00F542BC" w:rsidRPr="0088780C">
        <w:rPr>
          <w:snapToGrid w:val="0"/>
          <w:kern w:val="22"/>
          <w:szCs w:val="22"/>
          <w:lang w:eastAsia="ko-KR"/>
        </w:rPr>
        <w:t xml:space="preserve">the </w:t>
      </w:r>
      <w:r w:rsidR="00DB3C52" w:rsidRPr="0088780C">
        <w:rPr>
          <w:snapToGrid w:val="0"/>
          <w:kern w:val="22"/>
          <w:szCs w:val="22"/>
          <w:lang w:eastAsia="ko-KR"/>
        </w:rPr>
        <w:t xml:space="preserve">EBSA criteria. </w:t>
      </w:r>
      <w:r w:rsidR="002414EE" w:rsidRPr="0088780C">
        <w:rPr>
          <w:snapToGrid w:val="0"/>
          <w:kern w:val="22"/>
          <w:szCs w:val="22"/>
          <w:lang w:eastAsia="ko-KR"/>
        </w:rPr>
        <w:t xml:space="preserve">The map of described areas is contained in annex IV. </w:t>
      </w:r>
      <w:r w:rsidR="00DB3C52" w:rsidRPr="0088780C">
        <w:rPr>
          <w:snapToGrid w:val="0"/>
          <w:kern w:val="22"/>
          <w:szCs w:val="22"/>
          <w:lang w:eastAsia="ko-KR"/>
        </w:rPr>
        <w:t>The</w:t>
      </w:r>
      <w:r w:rsidR="009D246B" w:rsidRPr="0088780C">
        <w:rPr>
          <w:snapToGrid w:val="0"/>
          <w:kern w:val="22"/>
          <w:szCs w:val="22"/>
          <w:lang w:eastAsia="ko-KR"/>
        </w:rPr>
        <w:t xml:space="preserve">y </w:t>
      </w:r>
      <w:r w:rsidR="00DB3C52" w:rsidRPr="0088780C">
        <w:rPr>
          <w:snapToGrid w:val="0"/>
          <w:kern w:val="22"/>
          <w:szCs w:val="22"/>
          <w:lang w:eastAsia="ko-KR"/>
        </w:rPr>
        <w:t>are listed</w:t>
      </w:r>
      <w:r w:rsidR="008A0AD6" w:rsidRPr="0088780C">
        <w:rPr>
          <w:snapToGrid w:val="0"/>
          <w:kern w:val="22"/>
          <w:szCs w:val="22"/>
          <w:lang w:eastAsia="ko-KR"/>
        </w:rPr>
        <w:t xml:space="preserve"> in annex </w:t>
      </w:r>
      <w:r w:rsidR="006A5004" w:rsidRPr="0088780C">
        <w:rPr>
          <w:snapToGrid w:val="0"/>
          <w:kern w:val="22"/>
          <w:szCs w:val="22"/>
          <w:lang w:eastAsia="ko-KR"/>
        </w:rPr>
        <w:t>V</w:t>
      </w:r>
      <w:r w:rsidR="00DB3C52" w:rsidRPr="0088780C">
        <w:rPr>
          <w:snapToGrid w:val="0"/>
          <w:kern w:val="22"/>
          <w:szCs w:val="22"/>
          <w:lang w:eastAsia="ko-KR"/>
        </w:rPr>
        <w:t xml:space="preserve"> and described in its appendix.  </w:t>
      </w:r>
    </w:p>
    <w:p w14:paraId="789A2795" w14:textId="6562D168" w:rsidR="00DB3C52" w:rsidRPr="0088780C" w:rsidRDefault="00DB3C52" w:rsidP="001013AF">
      <w:pPr>
        <w:pStyle w:val="Heading1longmultiline"/>
        <w:keepLines/>
        <w:suppressLineNumbers/>
        <w:suppressAutoHyphens/>
        <w:kinsoku w:val="0"/>
        <w:overflowPunct w:val="0"/>
        <w:autoSpaceDE w:val="0"/>
        <w:autoSpaceDN w:val="0"/>
        <w:spacing w:before="0" w:afterLines="50"/>
        <w:rPr>
          <w:snapToGrid w:val="0"/>
          <w:kern w:val="22"/>
          <w:szCs w:val="22"/>
        </w:rPr>
      </w:pPr>
      <w:r w:rsidRPr="0088780C">
        <w:rPr>
          <w:snapToGrid w:val="0"/>
          <w:kern w:val="22"/>
          <w:szCs w:val="22"/>
        </w:rPr>
        <w:t>ITEM 6.</w:t>
      </w:r>
      <w:r w:rsidRPr="0088780C">
        <w:rPr>
          <w:snapToGrid w:val="0"/>
          <w:kern w:val="22"/>
          <w:szCs w:val="22"/>
        </w:rPr>
        <w:tab/>
      </w:r>
      <w:r w:rsidR="00704955" w:rsidRPr="0088780C">
        <w:rPr>
          <w:snapToGrid w:val="0"/>
          <w:kern w:val="22"/>
          <w:szCs w:val="22"/>
        </w:rPr>
        <w:t>Identification of gaps and needs for further elaboration in describing AREAS MEETING ebsa</w:t>
      </w:r>
      <w:r w:rsidR="00704955" w:rsidRPr="0088780C">
        <w:rPr>
          <w:caps w:val="0"/>
          <w:smallCaps/>
          <w:snapToGrid w:val="0"/>
          <w:kern w:val="22"/>
          <w:szCs w:val="22"/>
        </w:rPr>
        <w:t xml:space="preserve"> CRITERIA</w:t>
      </w:r>
      <w:r w:rsidR="00704955" w:rsidRPr="0088780C">
        <w:rPr>
          <w:snapToGrid w:val="0"/>
          <w:kern w:val="22"/>
          <w:szCs w:val="22"/>
        </w:rPr>
        <w:t xml:space="preserve">, including the need for </w:t>
      </w:r>
      <w:r w:rsidR="002414EE" w:rsidRPr="0088780C">
        <w:rPr>
          <w:snapToGrid w:val="0"/>
          <w:kern w:val="22"/>
          <w:szCs w:val="22"/>
        </w:rPr>
        <w:t xml:space="preserve">scientific information, </w:t>
      </w:r>
      <w:r w:rsidR="00704955" w:rsidRPr="0088780C">
        <w:rPr>
          <w:snapToGrid w:val="0"/>
          <w:kern w:val="22"/>
          <w:szCs w:val="22"/>
        </w:rPr>
        <w:t xml:space="preserve"> development of scientific capacity and scientific collaboration </w:t>
      </w:r>
    </w:p>
    <w:p w14:paraId="4CED7EF5" w14:textId="353D736E" w:rsidR="00195B74" w:rsidRPr="0088780C" w:rsidRDefault="00AA4925" w:rsidP="001013AF">
      <w:pPr>
        <w:suppressLineNumbers/>
        <w:suppressAutoHyphens/>
        <w:kinsoku w:val="0"/>
        <w:overflowPunct w:val="0"/>
        <w:autoSpaceDE w:val="0"/>
        <w:autoSpaceDN w:val="0"/>
        <w:spacing w:afterLines="50" w:after="120"/>
        <w:rPr>
          <w:snapToGrid w:val="0"/>
          <w:kern w:val="22"/>
          <w:szCs w:val="22"/>
        </w:rPr>
      </w:pPr>
      <w:r w:rsidRPr="0088780C">
        <w:rPr>
          <w:snapToGrid w:val="0"/>
          <w:kern w:val="22"/>
          <w:szCs w:val="22"/>
          <w:lang w:eastAsia="ko-KR"/>
        </w:rPr>
        <w:t>3</w:t>
      </w:r>
      <w:r w:rsidR="00FD4ECB" w:rsidRPr="0088780C">
        <w:rPr>
          <w:snapToGrid w:val="0"/>
          <w:kern w:val="22"/>
          <w:szCs w:val="22"/>
          <w:lang w:eastAsia="ko-KR"/>
        </w:rPr>
        <w:t>2</w:t>
      </w:r>
      <w:r w:rsidR="0050196B" w:rsidRPr="0088780C">
        <w:rPr>
          <w:snapToGrid w:val="0"/>
          <w:kern w:val="22"/>
          <w:szCs w:val="22"/>
          <w:lang w:eastAsia="ko-KR"/>
        </w:rPr>
        <w:t>.</w:t>
      </w:r>
      <w:r w:rsidR="0050196B" w:rsidRPr="0088780C">
        <w:rPr>
          <w:snapToGrid w:val="0"/>
          <w:kern w:val="22"/>
          <w:szCs w:val="22"/>
          <w:lang w:eastAsia="ko-KR"/>
        </w:rPr>
        <w:tab/>
      </w:r>
      <w:r w:rsidR="00DB3C52" w:rsidRPr="0088780C">
        <w:rPr>
          <w:snapToGrid w:val="0"/>
          <w:kern w:val="22"/>
          <w:szCs w:val="22"/>
          <w:lang w:eastAsia="ko-KR"/>
        </w:rPr>
        <w:t xml:space="preserve">Building on the workshop deliberation, the workshop participants were invited to identify, through break-out group sessions and plenary discussion, gaps and needs for further elaboration in describing areas meeting </w:t>
      </w:r>
      <w:r w:rsidR="00EE388D" w:rsidRPr="0088780C">
        <w:rPr>
          <w:snapToGrid w:val="0"/>
          <w:kern w:val="22"/>
          <w:szCs w:val="22"/>
          <w:lang w:eastAsia="ko-KR"/>
        </w:rPr>
        <w:t xml:space="preserve">the </w:t>
      </w:r>
      <w:r w:rsidR="00DB3C52" w:rsidRPr="0088780C">
        <w:rPr>
          <w:snapToGrid w:val="0"/>
          <w:kern w:val="22"/>
          <w:szCs w:val="22"/>
          <w:lang w:eastAsia="ko-KR"/>
        </w:rPr>
        <w:t xml:space="preserve">EBSA criteria, including the need </w:t>
      </w:r>
      <w:r w:rsidR="002414EE" w:rsidRPr="0088780C">
        <w:rPr>
          <w:snapToGrid w:val="0"/>
          <w:kern w:val="22"/>
          <w:szCs w:val="22"/>
          <w:lang w:eastAsia="ko-KR"/>
        </w:rPr>
        <w:t xml:space="preserve">for scientific information, </w:t>
      </w:r>
      <w:r w:rsidR="00DB3C52" w:rsidRPr="0088780C">
        <w:rPr>
          <w:snapToGrid w:val="0"/>
          <w:kern w:val="22"/>
          <w:szCs w:val="22"/>
          <w:lang w:eastAsia="ko-KR"/>
        </w:rPr>
        <w:t>scientific capacity</w:t>
      </w:r>
      <w:r w:rsidR="002414EE" w:rsidRPr="0088780C">
        <w:rPr>
          <w:snapToGrid w:val="0"/>
          <w:kern w:val="22"/>
          <w:szCs w:val="22"/>
          <w:lang w:eastAsia="ko-KR"/>
        </w:rPr>
        <w:t xml:space="preserve"> development</w:t>
      </w:r>
      <w:r w:rsidR="00DB3C52" w:rsidRPr="0088780C">
        <w:rPr>
          <w:snapToGrid w:val="0"/>
          <w:kern w:val="22"/>
          <w:szCs w:val="22"/>
          <w:lang w:eastAsia="ko-KR"/>
        </w:rPr>
        <w:t xml:space="preserve"> and scientific collaboration. </w:t>
      </w:r>
      <w:r w:rsidR="00587969" w:rsidRPr="0088780C">
        <w:rPr>
          <w:snapToGrid w:val="0"/>
          <w:kern w:val="22"/>
          <w:szCs w:val="22"/>
          <w:lang w:eastAsia="ko-KR"/>
        </w:rPr>
        <w:t>The results of the plenary and subgroup discussions are compiled in annex</w:t>
      </w:r>
      <w:r w:rsidR="00457FAD" w:rsidRPr="0088780C">
        <w:rPr>
          <w:snapToGrid w:val="0"/>
          <w:kern w:val="22"/>
          <w:szCs w:val="22"/>
          <w:lang w:eastAsia="ko-KR"/>
        </w:rPr>
        <w:t xml:space="preserve"> V</w:t>
      </w:r>
      <w:r w:rsidR="002414EE" w:rsidRPr="0088780C">
        <w:rPr>
          <w:snapToGrid w:val="0"/>
          <w:kern w:val="22"/>
          <w:szCs w:val="22"/>
          <w:lang w:eastAsia="ko-KR"/>
        </w:rPr>
        <w:t>I</w:t>
      </w:r>
      <w:r w:rsidR="00587969" w:rsidRPr="0088780C">
        <w:rPr>
          <w:snapToGrid w:val="0"/>
          <w:kern w:val="22"/>
          <w:szCs w:val="22"/>
          <w:lang w:eastAsia="ko-KR"/>
        </w:rPr>
        <w:t>.</w:t>
      </w:r>
    </w:p>
    <w:p w14:paraId="155FF5E7" w14:textId="5E35E539" w:rsidR="00D66CDD" w:rsidRPr="0088780C" w:rsidRDefault="003C07DF" w:rsidP="001013AF">
      <w:pPr>
        <w:suppressLineNumbers/>
        <w:suppressAutoHyphens/>
        <w:kinsoku w:val="0"/>
        <w:overflowPunct w:val="0"/>
        <w:autoSpaceDE w:val="0"/>
        <w:autoSpaceDN w:val="0"/>
        <w:spacing w:afterLines="50" w:after="120"/>
        <w:rPr>
          <w:snapToGrid w:val="0"/>
          <w:kern w:val="22"/>
          <w:szCs w:val="22"/>
          <w:lang w:eastAsia="ko-KR"/>
        </w:rPr>
      </w:pPr>
      <w:r w:rsidRPr="0088780C">
        <w:rPr>
          <w:snapToGrid w:val="0"/>
          <w:kern w:val="22"/>
          <w:szCs w:val="22"/>
          <w:lang w:eastAsia="ko-KR"/>
        </w:rPr>
        <w:t>3</w:t>
      </w:r>
      <w:r w:rsidR="00FD4ECB" w:rsidRPr="0088780C">
        <w:rPr>
          <w:snapToGrid w:val="0"/>
          <w:kern w:val="22"/>
          <w:szCs w:val="22"/>
          <w:lang w:eastAsia="ko-KR"/>
        </w:rPr>
        <w:t>3</w:t>
      </w:r>
      <w:r w:rsidR="0050196B" w:rsidRPr="0088780C">
        <w:rPr>
          <w:snapToGrid w:val="0"/>
          <w:kern w:val="22"/>
          <w:szCs w:val="22"/>
          <w:lang w:eastAsia="ko-KR"/>
        </w:rPr>
        <w:t>.</w:t>
      </w:r>
      <w:r w:rsidR="0050196B" w:rsidRPr="0088780C">
        <w:rPr>
          <w:snapToGrid w:val="0"/>
          <w:kern w:val="22"/>
          <w:szCs w:val="22"/>
          <w:lang w:eastAsia="ko-KR"/>
        </w:rPr>
        <w:tab/>
      </w:r>
      <w:r w:rsidR="00587969" w:rsidRPr="0088780C">
        <w:rPr>
          <w:snapToGrid w:val="0"/>
          <w:kern w:val="22"/>
          <w:szCs w:val="22"/>
          <w:lang w:eastAsia="ko-KR"/>
        </w:rPr>
        <w:t xml:space="preserve">The workshop participants also noted some areas that have potential to meet the EBSA criteria, but could not be described at this workshop due to data paucity and lack of analysis. These areas are </w:t>
      </w:r>
      <w:r w:rsidR="00762C17" w:rsidRPr="0088780C">
        <w:rPr>
          <w:snapToGrid w:val="0"/>
          <w:kern w:val="22"/>
          <w:szCs w:val="22"/>
          <w:lang w:eastAsia="ko-KR"/>
        </w:rPr>
        <w:t>discussed</w:t>
      </w:r>
      <w:r w:rsidR="00587969" w:rsidRPr="0088780C">
        <w:rPr>
          <w:snapToGrid w:val="0"/>
          <w:kern w:val="22"/>
          <w:szCs w:val="22"/>
          <w:lang w:eastAsia="ko-KR"/>
        </w:rPr>
        <w:t xml:space="preserve"> in annex VI</w:t>
      </w:r>
      <w:r w:rsidR="00762C17" w:rsidRPr="0088780C">
        <w:rPr>
          <w:snapToGrid w:val="0"/>
          <w:kern w:val="22"/>
          <w:szCs w:val="22"/>
          <w:lang w:eastAsia="ko-KR"/>
        </w:rPr>
        <w:t>.</w:t>
      </w:r>
      <w:r w:rsidR="00CC180B" w:rsidRPr="0088780C">
        <w:rPr>
          <w:snapToGrid w:val="0"/>
          <w:kern w:val="22"/>
          <w:szCs w:val="22"/>
          <w:lang w:eastAsia="ko-KR"/>
        </w:rPr>
        <w:t xml:space="preserve"> </w:t>
      </w:r>
    </w:p>
    <w:p w14:paraId="1D696308" w14:textId="77777777" w:rsidR="00DB3C52" w:rsidRPr="0088780C" w:rsidRDefault="00DB3C52" w:rsidP="001013AF">
      <w:pPr>
        <w:keepNext/>
        <w:suppressLineNumbers/>
        <w:suppressAutoHyphens/>
        <w:kinsoku w:val="0"/>
        <w:overflowPunct w:val="0"/>
        <w:autoSpaceDE w:val="0"/>
        <w:autoSpaceDN w:val="0"/>
        <w:spacing w:afterLines="50" w:after="120"/>
        <w:jc w:val="center"/>
        <w:outlineLvl w:val="0"/>
        <w:rPr>
          <w:b/>
          <w:caps/>
          <w:snapToGrid w:val="0"/>
          <w:color w:val="FF0000"/>
          <w:kern w:val="22"/>
          <w:szCs w:val="22"/>
        </w:rPr>
      </w:pPr>
      <w:r w:rsidRPr="0088780C">
        <w:rPr>
          <w:b/>
          <w:snapToGrid w:val="0"/>
          <w:kern w:val="22"/>
          <w:szCs w:val="22"/>
        </w:rPr>
        <w:t>ITEM 7.</w:t>
      </w:r>
      <w:r w:rsidRPr="0088780C">
        <w:rPr>
          <w:b/>
          <w:snapToGrid w:val="0"/>
          <w:kern w:val="22"/>
          <w:szCs w:val="22"/>
        </w:rPr>
        <w:tab/>
        <w:t>OTHER MATTERS</w:t>
      </w:r>
    </w:p>
    <w:p w14:paraId="27D2169A" w14:textId="76E83033" w:rsidR="00D66CDD" w:rsidRPr="0088780C" w:rsidRDefault="00AA4925" w:rsidP="001013AF">
      <w:pPr>
        <w:suppressLineNumbers/>
        <w:suppressAutoHyphens/>
        <w:kinsoku w:val="0"/>
        <w:overflowPunct w:val="0"/>
        <w:autoSpaceDE w:val="0"/>
        <w:autoSpaceDN w:val="0"/>
        <w:spacing w:before="120" w:after="120"/>
        <w:rPr>
          <w:snapToGrid w:val="0"/>
          <w:kern w:val="22"/>
          <w:szCs w:val="22"/>
        </w:rPr>
      </w:pPr>
      <w:r w:rsidRPr="0088780C">
        <w:rPr>
          <w:snapToGrid w:val="0"/>
          <w:kern w:val="22"/>
          <w:szCs w:val="22"/>
        </w:rPr>
        <w:t>3</w:t>
      </w:r>
      <w:r w:rsidR="00FD4ECB" w:rsidRPr="0088780C">
        <w:rPr>
          <w:snapToGrid w:val="0"/>
          <w:kern w:val="22"/>
          <w:szCs w:val="22"/>
        </w:rPr>
        <w:t>4</w:t>
      </w:r>
      <w:r w:rsidR="0050196B" w:rsidRPr="0088780C">
        <w:rPr>
          <w:snapToGrid w:val="0"/>
          <w:kern w:val="22"/>
          <w:szCs w:val="22"/>
        </w:rPr>
        <w:t>.</w:t>
      </w:r>
      <w:r w:rsidR="0050196B" w:rsidRPr="0088780C">
        <w:rPr>
          <w:snapToGrid w:val="0"/>
          <w:kern w:val="22"/>
          <w:szCs w:val="22"/>
        </w:rPr>
        <w:tab/>
      </w:r>
      <w:r w:rsidR="008E0532" w:rsidRPr="0088780C">
        <w:rPr>
          <w:snapToGrid w:val="0"/>
          <w:kern w:val="22"/>
          <w:szCs w:val="22"/>
        </w:rPr>
        <w:t>Participants noted the importance of facilitating joint scientific collaboration between the Black Sea and the Caspian Sea.</w:t>
      </w:r>
    </w:p>
    <w:p w14:paraId="41B9E6FD" w14:textId="77777777" w:rsidR="00DB3C52" w:rsidRPr="0088780C" w:rsidRDefault="00DB3C52" w:rsidP="001013AF">
      <w:pPr>
        <w:keepNext/>
        <w:suppressLineNumbers/>
        <w:suppressAutoHyphens/>
        <w:kinsoku w:val="0"/>
        <w:overflowPunct w:val="0"/>
        <w:autoSpaceDE w:val="0"/>
        <w:autoSpaceDN w:val="0"/>
        <w:spacing w:afterLines="50" w:after="120"/>
        <w:jc w:val="center"/>
        <w:outlineLvl w:val="0"/>
        <w:rPr>
          <w:b/>
          <w:caps/>
          <w:snapToGrid w:val="0"/>
          <w:color w:val="FF0000"/>
          <w:kern w:val="22"/>
          <w:szCs w:val="22"/>
        </w:rPr>
      </w:pPr>
      <w:r w:rsidRPr="0088780C">
        <w:rPr>
          <w:b/>
          <w:snapToGrid w:val="0"/>
          <w:kern w:val="22"/>
          <w:szCs w:val="22"/>
        </w:rPr>
        <w:t>ITEM 8.</w:t>
      </w:r>
      <w:r w:rsidRPr="0088780C">
        <w:rPr>
          <w:b/>
          <w:snapToGrid w:val="0"/>
          <w:kern w:val="22"/>
          <w:szCs w:val="22"/>
        </w:rPr>
        <w:tab/>
        <w:t xml:space="preserve">ADOPTION OF THE REPORT </w:t>
      </w:r>
    </w:p>
    <w:p w14:paraId="13DF57F9" w14:textId="480DBA14" w:rsidR="00A81B9F" w:rsidRPr="0088780C" w:rsidRDefault="00AA4925" w:rsidP="001013AF">
      <w:pPr>
        <w:suppressLineNumbers/>
        <w:suppressAutoHyphens/>
        <w:kinsoku w:val="0"/>
        <w:overflowPunct w:val="0"/>
        <w:autoSpaceDE w:val="0"/>
        <w:autoSpaceDN w:val="0"/>
        <w:spacing w:afterLines="50" w:after="120"/>
        <w:rPr>
          <w:snapToGrid w:val="0"/>
          <w:kern w:val="22"/>
          <w:szCs w:val="22"/>
        </w:rPr>
      </w:pPr>
      <w:r w:rsidRPr="0088780C">
        <w:rPr>
          <w:snapToGrid w:val="0"/>
          <w:kern w:val="22"/>
          <w:szCs w:val="22"/>
        </w:rPr>
        <w:t>3</w:t>
      </w:r>
      <w:r w:rsidR="00FD4ECB" w:rsidRPr="0088780C">
        <w:rPr>
          <w:snapToGrid w:val="0"/>
          <w:kern w:val="22"/>
          <w:szCs w:val="22"/>
        </w:rPr>
        <w:t>5</w:t>
      </w:r>
      <w:r w:rsidR="0050196B" w:rsidRPr="0088780C">
        <w:rPr>
          <w:snapToGrid w:val="0"/>
          <w:kern w:val="22"/>
          <w:szCs w:val="22"/>
        </w:rPr>
        <w:t>.</w:t>
      </w:r>
      <w:r w:rsidR="0050196B" w:rsidRPr="0088780C">
        <w:rPr>
          <w:snapToGrid w:val="0"/>
          <w:kern w:val="22"/>
          <w:szCs w:val="22"/>
        </w:rPr>
        <w:tab/>
      </w:r>
      <w:r w:rsidR="00D5224A" w:rsidRPr="0088780C">
        <w:rPr>
          <w:snapToGrid w:val="0"/>
          <w:kern w:val="22"/>
          <w:szCs w:val="22"/>
        </w:rPr>
        <w:t>The p</w:t>
      </w:r>
      <w:r w:rsidR="00A62434" w:rsidRPr="0088780C">
        <w:rPr>
          <w:snapToGrid w:val="0"/>
          <w:kern w:val="22"/>
          <w:szCs w:val="22"/>
        </w:rPr>
        <w:t xml:space="preserve">articipants considered and adopted the workshop report on the basis of a draft report prepared and presented by the </w:t>
      </w:r>
      <w:r w:rsidR="002414EE" w:rsidRPr="0088780C">
        <w:rPr>
          <w:snapToGrid w:val="0"/>
          <w:kern w:val="22"/>
          <w:szCs w:val="22"/>
        </w:rPr>
        <w:t>co-c</w:t>
      </w:r>
      <w:r w:rsidR="00A62434" w:rsidRPr="0088780C">
        <w:rPr>
          <w:snapToGrid w:val="0"/>
          <w:kern w:val="22"/>
          <w:szCs w:val="22"/>
        </w:rPr>
        <w:t>hair</w:t>
      </w:r>
      <w:r w:rsidR="002414EE" w:rsidRPr="0088780C">
        <w:rPr>
          <w:snapToGrid w:val="0"/>
          <w:kern w:val="22"/>
          <w:szCs w:val="22"/>
        </w:rPr>
        <w:t>s</w:t>
      </w:r>
      <w:r w:rsidR="00A62434" w:rsidRPr="0088780C">
        <w:rPr>
          <w:snapToGrid w:val="0"/>
          <w:kern w:val="22"/>
          <w:szCs w:val="22"/>
        </w:rPr>
        <w:t xml:space="preserve"> with some changes. </w:t>
      </w:r>
    </w:p>
    <w:p w14:paraId="4E9AD18C" w14:textId="36F3B666" w:rsidR="006A7A0B" w:rsidRPr="0088780C" w:rsidRDefault="00AA4925" w:rsidP="001013AF">
      <w:pPr>
        <w:suppressLineNumbers/>
        <w:suppressAutoHyphens/>
        <w:kinsoku w:val="0"/>
        <w:overflowPunct w:val="0"/>
        <w:autoSpaceDE w:val="0"/>
        <w:autoSpaceDN w:val="0"/>
        <w:spacing w:afterLines="50" w:after="120"/>
        <w:rPr>
          <w:snapToGrid w:val="0"/>
          <w:kern w:val="22"/>
          <w:szCs w:val="22"/>
        </w:rPr>
      </w:pPr>
      <w:r w:rsidRPr="0088780C">
        <w:rPr>
          <w:snapToGrid w:val="0"/>
          <w:kern w:val="22"/>
          <w:szCs w:val="22"/>
          <w:lang w:eastAsia="ko-KR"/>
        </w:rPr>
        <w:t>3</w:t>
      </w:r>
      <w:r w:rsidR="00FD4ECB" w:rsidRPr="0088780C">
        <w:rPr>
          <w:snapToGrid w:val="0"/>
          <w:kern w:val="22"/>
          <w:szCs w:val="22"/>
          <w:lang w:eastAsia="ko-KR"/>
        </w:rPr>
        <w:t>6</w:t>
      </w:r>
      <w:r w:rsidR="00D5224A" w:rsidRPr="0088780C">
        <w:rPr>
          <w:snapToGrid w:val="0"/>
          <w:kern w:val="22"/>
          <w:szCs w:val="22"/>
          <w:lang w:eastAsia="ko-KR"/>
        </w:rPr>
        <w:t>.</w:t>
      </w:r>
      <w:r w:rsidR="00D5224A" w:rsidRPr="0088780C">
        <w:rPr>
          <w:snapToGrid w:val="0"/>
          <w:kern w:val="22"/>
          <w:szCs w:val="22"/>
          <w:lang w:eastAsia="ko-KR"/>
        </w:rPr>
        <w:tab/>
        <w:t>The p</w:t>
      </w:r>
      <w:r w:rsidR="00A62434" w:rsidRPr="0088780C">
        <w:rPr>
          <w:snapToGrid w:val="0"/>
          <w:kern w:val="22"/>
          <w:szCs w:val="22"/>
          <w:lang w:eastAsia="ko-KR"/>
        </w:rPr>
        <w:t xml:space="preserve">articipants agreed that any additional scientific information and scientific references would be provided to the CBD Secretariat by workshop participants within two weeks of the closing of the workshop in order to further refine the description of areas meeting EBSA criteria contained in annex V and its appendix. </w:t>
      </w:r>
    </w:p>
    <w:p w14:paraId="2465D52F" w14:textId="77777777" w:rsidR="00DB3C52" w:rsidRPr="0088780C" w:rsidRDefault="00DB3C52" w:rsidP="001013AF">
      <w:pPr>
        <w:suppressLineNumbers/>
        <w:suppressAutoHyphens/>
        <w:kinsoku w:val="0"/>
        <w:overflowPunct w:val="0"/>
        <w:autoSpaceDE w:val="0"/>
        <w:autoSpaceDN w:val="0"/>
        <w:spacing w:afterLines="50" w:after="120"/>
        <w:jc w:val="center"/>
        <w:outlineLvl w:val="0"/>
        <w:rPr>
          <w:i/>
          <w:caps/>
          <w:snapToGrid w:val="0"/>
          <w:color w:val="FF0000"/>
          <w:kern w:val="22"/>
          <w:szCs w:val="22"/>
        </w:rPr>
      </w:pPr>
      <w:r w:rsidRPr="0088780C">
        <w:rPr>
          <w:b/>
          <w:snapToGrid w:val="0"/>
          <w:kern w:val="22"/>
          <w:szCs w:val="22"/>
        </w:rPr>
        <w:t>ITEM 9.</w:t>
      </w:r>
      <w:r w:rsidRPr="0088780C">
        <w:rPr>
          <w:b/>
          <w:snapToGrid w:val="0"/>
          <w:kern w:val="22"/>
          <w:szCs w:val="22"/>
        </w:rPr>
        <w:tab/>
        <w:t xml:space="preserve">CLOSURE OF THE MEETING </w:t>
      </w:r>
    </w:p>
    <w:p w14:paraId="71B02012" w14:textId="2786B227" w:rsidR="00A81B9F" w:rsidRPr="0088780C" w:rsidRDefault="00AA4925" w:rsidP="001013AF">
      <w:pPr>
        <w:suppressLineNumbers/>
        <w:suppressAutoHyphens/>
        <w:kinsoku w:val="0"/>
        <w:overflowPunct w:val="0"/>
        <w:autoSpaceDE w:val="0"/>
        <w:autoSpaceDN w:val="0"/>
        <w:spacing w:afterLines="50" w:after="120"/>
        <w:rPr>
          <w:snapToGrid w:val="0"/>
          <w:kern w:val="22"/>
          <w:szCs w:val="22"/>
          <w:lang w:eastAsia="ko-KR"/>
        </w:rPr>
      </w:pPr>
      <w:r w:rsidRPr="0088780C">
        <w:rPr>
          <w:snapToGrid w:val="0"/>
          <w:kern w:val="22"/>
          <w:szCs w:val="22"/>
          <w:lang w:eastAsia="ko-KR"/>
        </w:rPr>
        <w:t>3</w:t>
      </w:r>
      <w:r w:rsidR="00FD4ECB" w:rsidRPr="0088780C">
        <w:rPr>
          <w:snapToGrid w:val="0"/>
          <w:kern w:val="22"/>
          <w:szCs w:val="22"/>
          <w:lang w:eastAsia="ko-KR"/>
        </w:rPr>
        <w:t>7</w:t>
      </w:r>
      <w:r w:rsidR="0050196B" w:rsidRPr="0088780C">
        <w:rPr>
          <w:snapToGrid w:val="0"/>
          <w:kern w:val="22"/>
          <w:szCs w:val="22"/>
          <w:lang w:eastAsia="ko-KR"/>
        </w:rPr>
        <w:t>.</w:t>
      </w:r>
      <w:r w:rsidR="0050196B" w:rsidRPr="0088780C">
        <w:rPr>
          <w:snapToGrid w:val="0"/>
          <w:kern w:val="22"/>
          <w:szCs w:val="22"/>
          <w:lang w:eastAsia="ko-KR"/>
        </w:rPr>
        <w:tab/>
      </w:r>
      <w:r w:rsidR="00DB3C52" w:rsidRPr="0088780C">
        <w:rPr>
          <w:snapToGrid w:val="0"/>
          <w:kern w:val="22"/>
          <w:szCs w:val="22"/>
          <w:lang w:eastAsia="ko-KR"/>
        </w:rPr>
        <w:t>In closing the workshop,</w:t>
      </w:r>
      <w:r w:rsidR="00D86356" w:rsidRPr="0088780C">
        <w:rPr>
          <w:snapToGrid w:val="0"/>
          <w:kern w:val="22"/>
          <w:szCs w:val="22"/>
          <w:lang w:eastAsia="ko-KR"/>
        </w:rPr>
        <w:t xml:space="preserve"> </w:t>
      </w:r>
      <w:r w:rsidR="00C17749" w:rsidRPr="0088780C">
        <w:rPr>
          <w:snapToGrid w:val="0"/>
          <w:kern w:val="22"/>
          <w:szCs w:val="22"/>
          <w:lang w:eastAsia="ko-KR"/>
        </w:rPr>
        <w:t xml:space="preserve">participants expressed their appreciation to the Government of Azerbaijan for its hospitality and thanked the workshop co-chairs for their leadership in steering the workshop deliberation. They also thanked the rapporteurs, facilitators, and technical team for their valuable contributions. They acknowledged with thanks the hard work and efficient servicing by the Secretariat staff for successfully organizing and concluding the workshop. </w:t>
      </w:r>
    </w:p>
    <w:p w14:paraId="0CCB54FE" w14:textId="5EBB80B7" w:rsidR="00DB3C52" w:rsidRPr="0088780C" w:rsidRDefault="00AA4925" w:rsidP="001013AF">
      <w:pPr>
        <w:suppressLineNumbers/>
        <w:suppressAutoHyphens/>
        <w:kinsoku w:val="0"/>
        <w:overflowPunct w:val="0"/>
        <w:autoSpaceDE w:val="0"/>
        <w:autoSpaceDN w:val="0"/>
        <w:spacing w:afterLines="50" w:after="120"/>
        <w:rPr>
          <w:snapToGrid w:val="0"/>
          <w:kern w:val="22"/>
          <w:szCs w:val="22"/>
        </w:rPr>
      </w:pPr>
      <w:r w:rsidRPr="0088780C">
        <w:rPr>
          <w:snapToGrid w:val="0"/>
          <w:kern w:val="22"/>
          <w:szCs w:val="22"/>
        </w:rPr>
        <w:t>3</w:t>
      </w:r>
      <w:r w:rsidR="00FD4ECB" w:rsidRPr="0088780C">
        <w:rPr>
          <w:snapToGrid w:val="0"/>
          <w:kern w:val="22"/>
          <w:szCs w:val="22"/>
        </w:rPr>
        <w:t>8</w:t>
      </w:r>
      <w:r w:rsidR="00A62434" w:rsidRPr="0088780C">
        <w:rPr>
          <w:snapToGrid w:val="0"/>
          <w:kern w:val="22"/>
          <w:szCs w:val="22"/>
        </w:rPr>
        <w:t>.</w:t>
      </w:r>
      <w:r w:rsidR="00A62434" w:rsidRPr="0088780C">
        <w:rPr>
          <w:snapToGrid w:val="0"/>
          <w:kern w:val="22"/>
          <w:szCs w:val="22"/>
        </w:rPr>
        <w:tab/>
        <w:t xml:space="preserve">The workshop was closed at </w:t>
      </w:r>
      <w:r w:rsidR="00A876F3" w:rsidRPr="0088780C">
        <w:rPr>
          <w:snapToGrid w:val="0"/>
          <w:kern w:val="22"/>
          <w:szCs w:val="22"/>
        </w:rPr>
        <w:t>1</w:t>
      </w:r>
      <w:r w:rsidR="00934A8A" w:rsidRPr="0088780C">
        <w:rPr>
          <w:snapToGrid w:val="0"/>
          <w:kern w:val="22"/>
          <w:szCs w:val="22"/>
        </w:rPr>
        <w:t xml:space="preserve"> pm</w:t>
      </w:r>
      <w:r w:rsidR="00A62434" w:rsidRPr="0088780C">
        <w:rPr>
          <w:snapToGrid w:val="0"/>
          <w:kern w:val="22"/>
          <w:szCs w:val="22"/>
        </w:rPr>
        <w:t xml:space="preserve">. on </w:t>
      </w:r>
      <w:r w:rsidR="008B1AC4" w:rsidRPr="0088780C">
        <w:rPr>
          <w:snapToGrid w:val="0"/>
          <w:kern w:val="22"/>
          <w:szCs w:val="22"/>
        </w:rPr>
        <w:t>Saturday, 29</w:t>
      </w:r>
      <w:r w:rsidR="00D5224A" w:rsidRPr="0088780C">
        <w:rPr>
          <w:snapToGrid w:val="0"/>
          <w:kern w:val="22"/>
          <w:szCs w:val="22"/>
        </w:rPr>
        <w:t xml:space="preserve"> </w:t>
      </w:r>
      <w:r w:rsidR="008B1AC4" w:rsidRPr="0088780C">
        <w:rPr>
          <w:snapToGrid w:val="0"/>
          <w:kern w:val="22"/>
          <w:szCs w:val="22"/>
        </w:rPr>
        <w:t>April 2017</w:t>
      </w:r>
      <w:r w:rsidR="007068A6" w:rsidRPr="0088780C">
        <w:rPr>
          <w:snapToGrid w:val="0"/>
          <w:kern w:val="22"/>
          <w:szCs w:val="22"/>
        </w:rPr>
        <w:t xml:space="preserve">. </w:t>
      </w:r>
    </w:p>
    <w:p w14:paraId="6F8850E3" w14:textId="77777777" w:rsidR="00DB3C52" w:rsidRPr="0088780C" w:rsidRDefault="00270298" w:rsidP="001013AF">
      <w:pPr>
        <w:pStyle w:val="bodytextnoindent"/>
        <w:suppressLineNumbers/>
        <w:suppressAutoHyphens/>
        <w:kinsoku w:val="0"/>
        <w:overflowPunct w:val="0"/>
        <w:autoSpaceDE w:val="0"/>
        <w:autoSpaceDN w:val="0"/>
        <w:spacing w:before="0" w:afterLines="50"/>
        <w:jc w:val="center"/>
        <w:rPr>
          <w:i/>
          <w:snapToGrid w:val="0"/>
          <w:kern w:val="22"/>
          <w:szCs w:val="22"/>
        </w:rPr>
      </w:pPr>
      <w:r w:rsidRPr="0088780C">
        <w:rPr>
          <w:i/>
          <w:snapToGrid w:val="0"/>
          <w:kern w:val="22"/>
          <w:szCs w:val="22"/>
        </w:rPr>
        <w:br w:type="page"/>
      </w:r>
      <w:r w:rsidR="00DB3C52" w:rsidRPr="0088780C">
        <w:rPr>
          <w:i/>
          <w:snapToGrid w:val="0"/>
          <w:kern w:val="22"/>
          <w:szCs w:val="22"/>
        </w:rPr>
        <w:t>Annex I</w:t>
      </w:r>
    </w:p>
    <w:p w14:paraId="7E29AC20" w14:textId="6C2EE5E9" w:rsidR="009E5A9B" w:rsidRPr="0088780C" w:rsidRDefault="00DB3C52" w:rsidP="001013AF">
      <w:pPr>
        <w:pStyle w:val="HEADINGNOTFORTOC"/>
        <w:suppressLineNumbers/>
        <w:suppressAutoHyphens/>
        <w:kinsoku w:val="0"/>
        <w:overflowPunct w:val="0"/>
        <w:autoSpaceDE w:val="0"/>
        <w:autoSpaceDN w:val="0"/>
        <w:rPr>
          <w:snapToGrid w:val="0"/>
          <w:color w:val="FF0000"/>
          <w:kern w:val="22"/>
          <w:szCs w:val="22"/>
        </w:rPr>
      </w:pPr>
      <w:r w:rsidRPr="0088780C">
        <w:rPr>
          <w:snapToGrid w:val="0"/>
          <w:kern w:val="22"/>
          <w:szCs w:val="22"/>
        </w:rPr>
        <w:t>LIST OF participants</w:t>
      </w:r>
    </w:p>
    <w:p w14:paraId="1FBD3B18" w14:textId="77777777" w:rsidR="009E5A9B" w:rsidRPr="0088780C" w:rsidRDefault="009E5A9B" w:rsidP="001013AF">
      <w:pPr>
        <w:suppressLineNumbers/>
        <w:suppressAutoHyphens/>
        <w:kinsoku w:val="0"/>
        <w:overflowPunct w:val="0"/>
        <w:autoSpaceDE w:val="0"/>
        <w:autoSpaceDN w:val="0"/>
        <w:jc w:val="center"/>
        <w:rPr>
          <w:b/>
          <w:snapToGrid w:val="0"/>
          <w:kern w:val="22"/>
          <w:szCs w:val="22"/>
        </w:rPr>
      </w:pPr>
      <w:r w:rsidRPr="0088780C">
        <w:rPr>
          <w:b/>
          <w:snapToGrid w:val="0"/>
          <w:kern w:val="22"/>
          <w:szCs w:val="22"/>
        </w:rPr>
        <w:t>PARTIES</w:t>
      </w:r>
    </w:p>
    <w:p w14:paraId="77C2CD79" w14:textId="77777777" w:rsidR="00E703E9" w:rsidRPr="0088780C" w:rsidRDefault="00E703E9" w:rsidP="001013AF">
      <w:pPr>
        <w:suppressLineNumbers/>
        <w:suppressAutoHyphens/>
        <w:kinsoku w:val="0"/>
        <w:overflowPunct w:val="0"/>
        <w:autoSpaceDE w:val="0"/>
        <w:autoSpaceDN w:val="0"/>
        <w:jc w:val="center"/>
        <w:rPr>
          <w:snapToGrid w:val="0"/>
          <w:kern w:val="22"/>
          <w:szCs w:val="22"/>
          <w:u w:val="single"/>
        </w:rPr>
        <w:sectPr w:rsidR="00E703E9" w:rsidRPr="0088780C" w:rsidSect="00A876F3">
          <w:headerReference w:type="even" r:id="rId13"/>
          <w:headerReference w:type="default" r:id="rId14"/>
          <w:footerReference w:type="even" r:id="rId15"/>
          <w:footerReference w:type="default" r:id="rId16"/>
          <w:footerReference w:type="first" r:id="rId17"/>
          <w:type w:val="continuous"/>
          <w:pgSz w:w="12240" w:h="15840" w:code="1"/>
          <w:pgMar w:top="567" w:right="1440" w:bottom="1134" w:left="1440" w:header="454" w:footer="720" w:gutter="0"/>
          <w:cols w:space="708"/>
          <w:titlePg/>
          <w:docGrid w:linePitch="360"/>
        </w:sectPr>
      </w:pPr>
    </w:p>
    <w:p w14:paraId="3990B7C0" w14:textId="2F51FF7B" w:rsidR="009E5A9B" w:rsidRPr="0088780C" w:rsidRDefault="009E5A9B" w:rsidP="001013AF">
      <w:pPr>
        <w:suppressLineNumbers/>
        <w:suppressAutoHyphens/>
        <w:kinsoku w:val="0"/>
        <w:overflowPunct w:val="0"/>
        <w:autoSpaceDE w:val="0"/>
        <w:autoSpaceDN w:val="0"/>
        <w:jc w:val="center"/>
        <w:rPr>
          <w:snapToGrid w:val="0"/>
          <w:kern w:val="22"/>
          <w:szCs w:val="22"/>
          <w:u w:val="single"/>
        </w:rPr>
      </w:pPr>
    </w:p>
    <w:p w14:paraId="08A67B69" w14:textId="77777777" w:rsidR="00E703E9" w:rsidRPr="0088780C" w:rsidRDefault="00E703E9" w:rsidP="001013AF">
      <w:pPr>
        <w:suppressLineNumbers/>
        <w:suppressAutoHyphens/>
        <w:kinsoku w:val="0"/>
        <w:overflowPunct w:val="0"/>
        <w:autoSpaceDE w:val="0"/>
        <w:autoSpaceDN w:val="0"/>
        <w:rPr>
          <w:snapToGrid w:val="0"/>
          <w:kern w:val="22"/>
          <w:szCs w:val="22"/>
          <w:u w:val="single"/>
        </w:rPr>
        <w:sectPr w:rsidR="00E703E9" w:rsidRPr="0088780C" w:rsidSect="00A876F3">
          <w:type w:val="continuous"/>
          <w:pgSz w:w="12240" w:h="15840" w:code="1"/>
          <w:pgMar w:top="567" w:right="1440" w:bottom="1134" w:left="1440" w:header="454" w:footer="720" w:gutter="0"/>
          <w:cols w:space="708"/>
          <w:titlePg/>
          <w:docGrid w:linePitch="360"/>
        </w:sectPr>
      </w:pPr>
    </w:p>
    <w:p w14:paraId="7FE604C8" w14:textId="3088BC24"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Azerbaijan</w:t>
      </w:r>
    </w:p>
    <w:p w14:paraId="12BF8A54"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Elchin Mamedov</w:t>
      </w:r>
    </w:p>
    <w:p w14:paraId="592A6D6A"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Lead Advisor</w:t>
      </w:r>
    </w:p>
    <w:p w14:paraId="4BB45E7D"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Division of Environmental Policy</w:t>
      </w:r>
    </w:p>
    <w:p w14:paraId="6199B939"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Ministry of Ecology and Natural Resources of Azerbaijan</w:t>
      </w:r>
      <w:r w:rsidRPr="0088780C">
        <w:rPr>
          <w:snapToGrid w:val="0"/>
          <w:kern w:val="22"/>
          <w:szCs w:val="22"/>
        </w:rPr>
        <w:tab/>
      </w:r>
    </w:p>
    <w:p w14:paraId="6163BB69"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Baku, Azerbaijan</w:t>
      </w:r>
      <w:r w:rsidRPr="0088780C">
        <w:rPr>
          <w:snapToGrid w:val="0"/>
          <w:kern w:val="22"/>
          <w:szCs w:val="22"/>
        </w:rPr>
        <w:tab/>
      </w:r>
    </w:p>
    <w:p w14:paraId="4A19A713" w14:textId="360D9BDE"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 xml:space="preserve">E-mail: </w:t>
      </w:r>
      <w:hyperlink r:id="rId18" w:history="1">
        <w:r w:rsidR="00180357" w:rsidRPr="0088780C">
          <w:rPr>
            <w:rStyle w:val="Hyperlink"/>
            <w:snapToGrid w:val="0"/>
            <w:kern w:val="22"/>
            <w:szCs w:val="22"/>
          </w:rPr>
          <w:t>evmamedov@mail.ru</w:t>
        </w:r>
      </w:hyperlink>
      <w:r w:rsidRPr="0088780C">
        <w:rPr>
          <w:snapToGrid w:val="0"/>
          <w:kern w:val="22"/>
          <w:szCs w:val="22"/>
        </w:rPr>
        <w:t xml:space="preserve">; </w:t>
      </w:r>
      <w:hyperlink r:id="rId19" w:history="1">
        <w:r w:rsidR="00180357" w:rsidRPr="0088780C">
          <w:rPr>
            <w:rStyle w:val="Hyperlink"/>
            <w:snapToGrid w:val="0"/>
            <w:kern w:val="22"/>
            <w:szCs w:val="22"/>
          </w:rPr>
          <w:t>evmamedovaz@gmail.com</w:t>
        </w:r>
      </w:hyperlink>
      <w:r w:rsidR="00180357" w:rsidRPr="0088780C">
        <w:rPr>
          <w:snapToGrid w:val="0"/>
          <w:kern w:val="22"/>
          <w:szCs w:val="22"/>
        </w:rPr>
        <w:t xml:space="preserve"> </w:t>
      </w:r>
    </w:p>
    <w:p w14:paraId="552B6E60"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p>
    <w:p w14:paraId="7E3636FB"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Akhundov Mehman</w:t>
      </w:r>
      <w:r w:rsidRPr="0088780C">
        <w:rPr>
          <w:snapToGrid w:val="0"/>
          <w:kern w:val="22"/>
          <w:szCs w:val="22"/>
        </w:rPr>
        <w:tab/>
      </w:r>
    </w:p>
    <w:p w14:paraId="00E840C9"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Director</w:t>
      </w:r>
    </w:p>
    <w:p w14:paraId="690A0D66"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Azerbaijan Fisheries Research Institute</w:t>
      </w:r>
    </w:p>
    <w:p w14:paraId="41B0EC9B"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Ministry of Ecology and Natural Resources of Azerbaijan</w:t>
      </w:r>
    </w:p>
    <w:p w14:paraId="3B71C07D"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Baku, Azerbaijan</w:t>
      </w:r>
    </w:p>
    <w:p w14:paraId="15F24E82" w14:textId="28059884"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 xml:space="preserve">E-mail: </w:t>
      </w:r>
      <w:hyperlink r:id="rId20" w:history="1">
        <w:r w:rsidR="00180357" w:rsidRPr="0088780C">
          <w:rPr>
            <w:rStyle w:val="Hyperlink"/>
            <w:snapToGrid w:val="0"/>
            <w:kern w:val="22"/>
            <w:szCs w:val="22"/>
          </w:rPr>
          <w:t>azfiri@azeurotel.com</w:t>
        </w:r>
      </w:hyperlink>
      <w:r w:rsidR="00180357" w:rsidRPr="0088780C">
        <w:rPr>
          <w:snapToGrid w:val="0"/>
          <w:kern w:val="22"/>
          <w:szCs w:val="22"/>
        </w:rPr>
        <w:t xml:space="preserve"> </w:t>
      </w:r>
      <w:r w:rsidRPr="0088780C">
        <w:rPr>
          <w:snapToGrid w:val="0"/>
          <w:kern w:val="22"/>
          <w:szCs w:val="22"/>
        </w:rPr>
        <w:t xml:space="preserve">  </w:t>
      </w:r>
    </w:p>
    <w:p w14:paraId="0BBA9591"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p>
    <w:p w14:paraId="100881F8" w14:textId="5BEDA7EE" w:rsidR="009E5A9B" w:rsidRPr="0088780C" w:rsidRDefault="00A876F3"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Ms. Jafarova Elnara Eldar</w:t>
      </w:r>
      <w:r w:rsidRPr="0088780C">
        <w:rPr>
          <w:snapToGrid w:val="0"/>
          <w:kern w:val="22"/>
          <w:szCs w:val="22"/>
        </w:rPr>
        <w:tab/>
      </w:r>
    </w:p>
    <w:p w14:paraId="316EB39A" w14:textId="46C05B07" w:rsidR="009E5A9B"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Specialist-Taxonomist</w:t>
      </w:r>
      <w:r w:rsidRPr="0088780C">
        <w:rPr>
          <w:snapToGrid w:val="0"/>
          <w:kern w:val="22"/>
          <w:szCs w:val="22"/>
        </w:rPr>
        <w:tab/>
      </w:r>
    </w:p>
    <w:p w14:paraId="6F64AA4E" w14:textId="756D4D05" w:rsidR="00A201CC"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Laboratory Marine Biology- t</w:t>
      </w:r>
      <w:r w:rsidR="00A201CC" w:rsidRPr="0088780C">
        <w:rPr>
          <w:snapToGrid w:val="0"/>
          <w:kern w:val="22"/>
          <w:szCs w:val="22"/>
        </w:rPr>
        <w:t>a</w:t>
      </w:r>
      <w:r w:rsidRPr="0088780C">
        <w:rPr>
          <w:snapToGrid w:val="0"/>
          <w:kern w:val="22"/>
          <w:szCs w:val="22"/>
        </w:rPr>
        <w:t>xonomy</w:t>
      </w:r>
    </w:p>
    <w:p w14:paraId="764926C1" w14:textId="34A5CB60" w:rsidR="00A201CC" w:rsidRPr="0088780C" w:rsidRDefault="00A201CC" w:rsidP="001013AF">
      <w:pPr>
        <w:suppressLineNumbers/>
        <w:suppressAutoHyphens/>
        <w:kinsoku w:val="0"/>
        <w:overflowPunct w:val="0"/>
        <w:autoSpaceDE w:val="0"/>
        <w:autoSpaceDN w:val="0"/>
        <w:jc w:val="left"/>
        <w:rPr>
          <w:snapToGrid w:val="0"/>
          <w:kern w:val="22"/>
          <w:szCs w:val="22"/>
        </w:rPr>
      </w:pPr>
      <w:r w:rsidRPr="0088780C">
        <w:rPr>
          <w:bCs/>
          <w:iCs/>
          <w:snapToGrid w:val="0"/>
          <w:color w:val="757B80"/>
          <w:kern w:val="22"/>
          <w:szCs w:val="22"/>
          <w:shd w:val="clear" w:color="auto" w:fill="FFFFFF"/>
        </w:rPr>
        <w:t>AZECOLAB</w:t>
      </w:r>
    </w:p>
    <w:p w14:paraId="7EECF0BC" w14:textId="20DA65EA" w:rsidR="009E5A9B" w:rsidRPr="0088780C" w:rsidRDefault="00A201CC"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Baku, Azerbaijan</w:t>
      </w:r>
    </w:p>
    <w:p w14:paraId="05F797E0" w14:textId="04192E84" w:rsidR="009E5A9B" w:rsidRPr="00E7219D" w:rsidRDefault="009E5A9B" w:rsidP="001013AF">
      <w:pPr>
        <w:suppressLineNumbers/>
        <w:suppressAutoHyphens/>
        <w:kinsoku w:val="0"/>
        <w:overflowPunct w:val="0"/>
        <w:autoSpaceDE w:val="0"/>
        <w:autoSpaceDN w:val="0"/>
        <w:jc w:val="left"/>
        <w:rPr>
          <w:snapToGrid w:val="0"/>
          <w:kern w:val="22"/>
          <w:szCs w:val="22"/>
          <w:lang w:val="fr-FR"/>
        </w:rPr>
      </w:pPr>
      <w:r w:rsidRPr="00E7219D">
        <w:rPr>
          <w:snapToGrid w:val="0"/>
          <w:kern w:val="22"/>
          <w:szCs w:val="22"/>
          <w:lang w:val="fr-FR"/>
        </w:rPr>
        <w:t xml:space="preserve">E-mail: </w:t>
      </w:r>
      <w:hyperlink r:id="rId21" w:history="1">
        <w:r w:rsidR="00180357" w:rsidRPr="00E7219D">
          <w:rPr>
            <w:rStyle w:val="Hyperlink"/>
            <w:snapToGrid w:val="0"/>
            <w:kern w:val="22"/>
            <w:szCs w:val="22"/>
            <w:lang w:val="fr-FR"/>
          </w:rPr>
          <w:t>ejafarova@azecolab.com</w:t>
        </w:r>
      </w:hyperlink>
      <w:r w:rsidR="00180357" w:rsidRPr="00E7219D">
        <w:rPr>
          <w:snapToGrid w:val="0"/>
          <w:kern w:val="22"/>
          <w:szCs w:val="22"/>
          <w:lang w:val="fr-FR"/>
        </w:rPr>
        <w:t xml:space="preserve"> </w:t>
      </w:r>
      <w:r w:rsidRPr="00E7219D">
        <w:rPr>
          <w:snapToGrid w:val="0"/>
          <w:kern w:val="22"/>
          <w:szCs w:val="22"/>
          <w:lang w:val="fr-FR"/>
        </w:rPr>
        <w:tab/>
      </w:r>
      <w:r w:rsidRPr="00E7219D">
        <w:rPr>
          <w:snapToGrid w:val="0"/>
          <w:kern w:val="22"/>
          <w:szCs w:val="22"/>
          <w:lang w:val="fr-FR"/>
        </w:rPr>
        <w:tab/>
      </w:r>
      <w:r w:rsidRPr="00E7219D">
        <w:rPr>
          <w:snapToGrid w:val="0"/>
          <w:kern w:val="22"/>
          <w:szCs w:val="22"/>
          <w:lang w:val="fr-FR"/>
        </w:rPr>
        <w:tab/>
      </w:r>
    </w:p>
    <w:p w14:paraId="068A1238" w14:textId="77777777"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Bulgaria</w:t>
      </w:r>
    </w:p>
    <w:p w14:paraId="116238F1"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 xml:space="preserve">Mrs. Veradina Nacheva </w:t>
      </w:r>
    </w:p>
    <w:p w14:paraId="002F2609"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Senior Expert</w:t>
      </w:r>
    </w:p>
    <w:p w14:paraId="2BD2C864"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Biodiversity Department</w:t>
      </w:r>
    </w:p>
    <w:p w14:paraId="505E62BF"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National Nature Protection Service</w:t>
      </w:r>
    </w:p>
    <w:p w14:paraId="4FFF0703"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Ministry of Environment and Water</w:t>
      </w:r>
    </w:p>
    <w:p w14:paraId="05BCDED3"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Sofia, Bulgaria</w:t>
      </w:r>
    </w:p>
    <w:p w14:paraId="39BD0B3C" w14:textId="77777777" w:rsidR="009E5A9B" w:rsidRPr="00E7219D" w:rsidRDefault="009E5A9B" w:rsidP="001013AF">
      <w:pPr>
        <w:suppressLineNumbers/>
        <w:suppressAutoHyphens/>
        <w:kinsoku w:val="0"/>
        <w:overflowPunct w:val="0"/>
        <w:autoSpaceDE w:val="0"/>
        <w:autoSpaceDN w:val="0"/>
        <w:jc w:val="left"/>
        <w:rPr>
          <w:snapToGrid w:val="0"/>
          <w:kern w:val="22"/>
          <w:szCs w:val="22"/>
          <w:lang w:val="fr-FR"/>
        </w:rPr>
      </w:pPr>
      <w:r w:rsidRPr="00E7219D">
        <w:rPr>
          <w:snapToGrid w:val="0"/>
          <w:kern w:val="22"/>
          <w:szCs w:val="22"/>
          <w:lang w:val="fr-FR"/>
        </w:rPr>
        <w:t xml:space="preserve">E-mail: </w:t>
      </w:r>
      <w:hyperlink r:id="rId22" w:history="1">
        <w:r w:rsidRPr="00E7219D">
          <w:rPr>
            <w:rStyle w:val="Hyperlink"/>
            <w:snapToGrid w:val="0"/>
            <w:kern w:val="22"/>
            <w:szCs w:val="22"/>
            <w:lang w:val="fr-FR"/>
          </w:rPr>
          <w:t>vnacheva@moew.government.bg</w:t>
        </w:r>
      </w:hyperlink>
    </w:p>
    <w:p w14:paraId="4C2635E7" w14:textId="1512D103" w:rsidR="009E5A9B" w:rsidRPr="00E7219D" w:rsidRDefault="009E5A9B" w:rsidP="001013AF">
      <w:pPr>
        <w:suppressLineNumbers/>
        <w:suppressAutoHyphens/>
        <w:kinsoku w:val="0"/>
        <w:overflowPunct w:val="0"/>
        <w:autoSpaceDE w:val="0"/>
        <w:autoSpaceDN w:val="0"/>
        <w:jc w:val="left"/>
        <w:rPr>
          <w:snapToGrid w:val="0"/>
          <w:kern w:val="22"/>
          <w:szCs w:val="22"/>
          <w:lang w:val="fr-FR"/>
        </w:rPr>
      </w:pPr>
    </w:p>
    <w:p w14:paraId="70EEBFF3" w14:textId="77777777"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Georgia</w:t>
      </w:r>
    </w:p>
    <w:p w14:paraId="3CD08CD9"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Ms. Natia Kopaliani</w:t>
      </w:r>
    </w:p>
    <w:p w14:paraId="27B83A99"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Head</w:t>
      </w:r>
    </w:p>
    <w:p w14:paraId="61ACCA49"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Program for the Ecology and Conservation of Large Mammals</w:t>
      </w:r>
    </w:p>
    <w:p w14:paraId="3CD93008"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Institute of Ecology</w:t>
      </w:r>
    </w:p>
    <w:p w14:paraId="731470C1"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Ilia State University</w:t>
      </w:r>
    </w:p>
    <w:p w14:paraId="723691BF"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Tbilisi, Georgia</w:t>
      </w:r>
      <w:r w:rsidRPr="0088780C">
        <w:rPr>
          <w:snapToGrid w:val="0"/>
          <w:kern w:val="22"/>
          <w:szCs w:val="22"/>
        </w:rPr>
        <w:tab/>
      </w:r>
    </w:p>
    <w:p w14:paraId="3282537C" w14:textId="6491ACF5"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 xml:space="preserve">E-mail: </w:t>
      </w:r>
      <w:hyperlink r:id="rId23" w:history="1">
        <w:r w:rsidR="00180357" w:rsidRPr="0088780C">
          <w:rPr>
            <w:rStyle w:val="Hyperlink"/>
            <w:snapToGrid w:val="0"/>
            <w:kern w:val="22"/>
            <w:szCs w:val="22"/>
          </w:rPr>
          <w:t>Natia_kopaliani@iliauni.edu.ge</w:t>
        </w:r>
      </w:hyperlink>
      <w:r w:rsidR="00180357" w:rsidRPr="0088780C">
        <w:rPr>
          <w:snapToGrid w:val="0"/>
          <w:kern w:val="22"/>
          <w:szCs w:val="22"/>
        </w:rPr>
        <w:t xml:space="preserve"> </w:t>
      </w:r>
      <w:r w:rsidRPr="0088780C">
        <w:rPr>
          <w:snapToGrid w:val="0"/>
          <w:kern w:val="22"/>
          <w:szCs w:val="22"/>
        </w:rPr>
        <w:tab/>
      </w:r>
    </w:p>
    <w:p w14:paraId="4CC982B4"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p>
    <w:p w14:paraId="69A8183E"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Zurab Gurielidze</w:t>
      </w:r>
    </w:p>
    <w:p w14:paraId="70B6EF18"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Professor</w:t>
      </w:r>
    </w:p>
    <w:p w14:paraId="34FF4D20"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Institute of Ecology</w:t>
      </w:r>
    </w:p>
    <w:p w14:paraId="413EA38F"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Program for the Ecology and Conservation of Large Mammals</w:t>
      </w:r>
    </w:p>
    <w:p w14:paraId="1B15841C"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Ilia State University</w:t>
      </w:r>
    </w:p>
    <w:p w14:paraId="2379F3E0"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Tbilisi, Georgia</w:t>
      </w:r>
      <w:r w:rsidRPr="0088780C">
        <w:rPr>
          <w:snapToGrid w:val="0"/>
          <w:kern w:val="22"/>
          <w:szCs w:val="22"/>
        </w:rPr>
        <w:tab/>
      </w:r>
    </w:p>
    <w:p w14:paraId="188D99B7" w14:textId="4E1A8A50" w:rsidR="009E5A9B" w:rsidRPr="00E7219D" w:rsidRDefault="009E5A9B" w:rsidP="001013AF">
      <w:pPr>
        <w:suppressLineNumbers/>
        <w:suppressAutoHyphens/>
        <w:kinsoku w:val="0"/>
        <w:overflowPunct w:val="0"/>
        <w:autoSpaceDE w:val="0"/>
        <w:autoSpaceDN w:val="0"/>
        <w:jc w:val="left"/>
        <w:rPr>
          <w:snapToGrid w:val="0"/>
          <w:kern w:val="22"/>
          <w:szCs w:val="22"/>
          <w:lang w:val="fr-FR"/>
        </w:rPr>
      </w:pPr>
      <w:r w:rsidRPr="00E7219D">
        <w:rPr>
          <w:snapToGrid w:val="0"/>
          <w:kern w:val="22"/>
          <w:szCs w:val="22"/>
          <w:lang w:val="fr-FR"/>
        </w:rPr>
        <w:t xml:space="preserve">E-mail: </w:t>
      </w:r>
      <w:hyperlink r:id="rId24" w:history="1">
        <w:r w:rsidR="00180357" w:rsidRPr="00E7219D">
          <w:rPr>
            <w:rStyle w:val="Hyperlink"/>
            <w:snapToGrid w:val="0"/>
            <w:kern w:val="22"/>
            <w:szCs w:val="22"/>
            <w:lang w:val="fr-FR"/>
          </w:rPr>
          <w:t>Zurab_gurielidze@iliauni.edu.ge</w:t>
        </w:r>
      </w:hyperlink>
      <w:r w:rsidRPr="00E7219D">
        <w:rPr>
          <w:snapToGrid w:val="0"/>
          <w:kern w:val="22"/>
          <w:szCs w:val="22"/>
          <w:lang w:val="fr-FR"/>
        </w:rPr>
        <w:t xml:space="preserve">; </w:t>
      </w:r>
      <w:hyperlink r:id="rId25" w:history="1">
        <w:r w:rsidR="00180357" w:rsidRPr="00E7219D">
          <w:rPr>
            <w:rStyle w:val="Hyperlink"/>
            <w:snapToGrid w:val="0"/>
            <w:kern w:val="22"/>
            <w:szCs w:val="22"/>
            <w:lang w:val="fr-FR"/>
          </w:rPr>
          <w:t>zgurielidze@zoo.ge</w:t>
        </w:r>
      </w:hyperlink>
      <w:r w:rsidR="00180357" w:rsidRPr="00E7219D">
        <w:rPr>
          <w:snapToGrid w:val="0"/>
          <w:kern w:val="22"/>
          <w:szCs w:val="22"/>
          <w:lang w:val="fr-FR"/>
        </w:rPr>
        <w:t xml:space="preserve"> </w:t>
      </w:r>
      <w:r w:rsidRPr="00E7219D">
        <w:rPr>
          <w:snapToGrid w:val="0"/>
          <w:kern w:val="22"/>
          <w:szCs w:val="22"/>
          <w:lang w:val="fr-FR"/>
        </w:rPr>
        <w:t xml:space="preserve"> </w:t>
      </w:r>
    </w:p>
    <w:p w14:paraId="0B4EC3F2" w14:textId="77777777" w:rsidR="009E5A9B" w:rsidRPr="00E7219D" w:rsidRDefault="009E5A9B" w:rsidP="001013AF">
      <w:pPr>
        <w:suppressLineNumbers/>
        <w:suppressAutoHyphens/>
        <w:kinsoku w:val="0"/>
        <w:overflowPunct w:val="0"/>
        <w:autoSpaceDE w:val="0"/>
        <w:autoSpaceDN w:val="0"/>
        <w:jc w:val="left"/>
        <w:rPr>
          <w:snapToGrid w:val="0"/>
          <w:kern w:val="22"/>
          <w:szCs w:val="22"/>
          <w:lang w:val="fr-FR"/>
        </w:rPr>
      </w:pPr>
    </w:p>
    <w:p w14:paraId="67BFD2CF" w14:textId="2047C475"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Iran</w:t>
      </w:r>
      <w:r w:rsidR="00631BFB" w:rsidRPr="0088780C">
        <w:rPr>
          <w:snapToGrid w:val="0"/>
          <w:kern w:val="22"/>
          <w:szCs w:val="22"/>
          <w:u w:val="single"/>
        </w:rPr>
        <w:t xml:space="preserve"> (Islamic Republic of)</w:t>
      </w:r>
    </w:p>
    <w:p w14:paraId="41A3D4F0"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Reza Shahifar</w:t>
      </w:r>
    </w:p>
    <w:p w14:paraId="452CDF84"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Director General for Rehabilitation and Conservation</w:t>
      </w:r>
    </w:p>
    <w:p w14:paraId="6587AD1B"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Marine Fish Resources</w:t>
      </w:r>
    </w:p>
    <w:p w14:paraId="2108E311"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Iran Fisheries Organization</w:t>
      </w:r>
    </w:p>
    <w:p w14:paraId="6CFBB91F" w14:textId="6D150856"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Tehran, </w:t>
      </w:r>
      <w:r w:rsidR="00FD2E35" w:rsidRPr="0088780C">
        <w:rPr>
          <w:snapToGrid w:val="0"/>
          <w:kern w:val="22"/>
          <w:szCs w:val="22"/>
        </w:rPr>
        <w:t xml:space="preserve">Islamic Republic of </w:t>
      </w:r>
      <w:r w:rsidRPr="0088780C">
        <w:rPr>
          <w:snapToGrid w:val="0"/>
          <w:kern w:val="22"/>
          <w:szCs w:val="22"/>
        </w:rPr>
        <w:t>Iran</w:t>
      </w:r>
    </w:p>
    <w:p w14:paraId="0FF9D213" w14:textId="383517C2"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E-mail: </w:t>
      </w:r>
      <w:hyperlink r:id="rId26" w:history="1">
        <w:r w:rsidR="007513C1" w:rsidRPr="0088780C">
          <w:rPr>
            <w:rStyle w:val="Hyperlink"/>
            <w:snapToGrid w:val="0"/>
            <w:kern w:val="22"/>
            <w:szCs w:val="22"/>
          </w:rPr>
          <w:t>r.shahifar@gmail.com</w:t>
        </w:r>
      </w:hyperlink>
      <w:r w:rsidR="007513C1" w:rsidRPr="0088780C">
        <w:rPr>
          <w:snapToGrid w:val="0"/>
          <w:kern w:val="22"/>
          <w:szCs w:val="22"/>
        </w:rPr>
        <w:t xml:space="preserve"> </w:t>
      </w:r>
      <w:r w:rsidRPr="0088780C">
        <w:rPr>
          <w:snapToGrid w:val="0"/>
          <w:kern w:val="22"/>
          <w:szCs w:val="22"/>
        </w:rPr>
        <w:tab/>
      </w:r>
    </w:p>
    <w:p w14:paraId="6A487B6C"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p>
    <w:p w14:paraId="79B3CB40" w14:textId="13C5182F"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rPr>
      </w:pPr>
      <w:r w:rsidRPr="0088780C">
        <w:rPr>
          <w:snapToGrid w:val="0"/>
          <w:kern w:val="22"/>
          <w:szCs w:val="22"/>
          <w:u w:val="single"/>
        </w:rPr>
        <w:t>Kazakhstan</w:t>
      </w:r>
    </w:p>
    <w:p w14:paraId="0E6CFEF4"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Kuanysh Isbekov</w:t>
      </w:r>
    </w:p>
    <w:p w14:paraId="067D9FA0"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Director</w:t>
      </w:r>
    </w:p>
    <w:p w14:paraId="1C6178F5"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Kazakh Fisheries Scientific Research Institute</w:t>
      </w:r>
    </w:p>
    <w:p w14:paraId="626A1732"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Almaty, Kazakhstan</w:t>
      </w:r>
    </w:p>
    <w:p w14:paraId="1B08C699" w14:textId="77B10EF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E-mail: </w:t>
      </w:r>
      <w:hyperlink r:id="rId27" w:history="1">
        <w:r w:rsidR="007513C1" w:rsidRPr="0088780C">
          <w:rPr>
            <w:rStyle w:val="Hyperlink"/>
            <w:snapToGrid w:val="0"/>
            <w:kern w:val="22"/>
            <w:szCs w:val="22"/>
          </w:rPr>
          <w:t>isbekov@mail.ru</w:t>
        </w:r>
      </w:hyperlink>
      <w:r w:rsidR="007513C1" w:rsidRPr="0088780C">
        <w:rPr>
          <w:snapToGrid w:val="0"/>
          <w:kern w:val="22"/>
          <w:szCs w:val="22"/>
        </w:rPr>
        <w:t xml:space="preserve"> </w:t>
      </w:r>
    </w:p>
    <w:p w14:paraId="3AB7AD41"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p>
    <w:p w14:paraId="337E7001"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Yevgeniy Kulikov</w:t>
      </w:r>
    </w:p>
    <w:p w14:paraId="149BA497"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Lead Scientist</w:t>
      </w:r>
      <w:r w:rsidRPr="0088780C">
        <w:rPr>
          <w:snapToGrid w:val="0"/>
          <w:kern w:val="22"/>
          <w:szCs w:val="22"/>
        </w:rPr>
        <w:tab/>
      </w:r>
    </w:p>
    <w:p w14:paraId="3206009C"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Kazakh Fisheries Scientific Research Institute</w:t>
      </w:r>
    </w:p>
    <w:p w14:paraId="2B522CA7"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Ust-Kamenogorsk, Kazakhstan</w:t>
      </w:r>
    </w:p>
    <w:p w14:paraId="0A87BD31" w14:textId="354E5E28"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 xml:space="preserve">E-mail: </w:t>
      </w:r>
      <w:hyperlink r:id="rId28" w:history="1">
        <w:r w:rsidR="007513C1" w:rsidRPr="00E7219D">
          <w:rPr>
            <w:rStyle w:val="Hyperlink"/>
            <w:snapToGrid w:val="0"/>
            <w:kern w:val="22"/>
            <w:szCs w:val="22"/>
            <w:lang w:val="fr-FR"/>
          </w:rPr>
          <w:t>e.v.kulikov.61@mail.ru</w:t>
        </w:r>
      </w:hyperlink>
      <w:r w:rsidR="007513C1" w:rsidRPr="00E7219D">
        <w:rPr>
          <w:snapToGrid w:val="0"/>
          <w:kern w:val="22"/>
          <w:szCs w:val="22"/>
          <w:lang w:val="fr-FR"/>
        </w:rPr>
        <w:t xml:space="preserve"> </w:t>
      </w:r>
    </w:p>
    <w:p w14:paraId="1471AEF6" w14:textId="77777777"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p>
    <w:p w14:paraId="6851C2A5" w14:textId="77777777"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rPr>
      </w:pPr>
      <w:r w:rsidRPr="0088780C">
        <w:rPr>
          <w:snapToGrid w:val="0"/>
          <w:kern w:val="22"/>
          <w:szCs w:val="22"/>
          <w:u w:val="single"/>
        </w:rPr>
        <w:t>Romania</w:t>
      </w:r>
    </w:p>
    <w:p w14:paraId="1197FA98"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Ms. Doina Cioaca</w:t>
      </w:r>
    </w:p>
    <w:p w14:paraId="0E755278"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Superior Counsellor</w:t>
      </w:r>
    </w:p>
    <w:p w14:paraId="45E97061"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Biodiversity Directorate / Protected Areas Service</w:t>
      </w:r>
    </w:p>
    <w:p w14:paraId="27890837"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Ministry of Environment</w:t>
      </w:r>
    </w:p>
    <w:p w14:paraId="4F0CEAB0"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Bucharest, Romania</w:t>
      </w:r>
    </w:p>
    <w:p w14:paraId="3D94516E" w14:textId="528874C4"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 xml:space="preserve">E-mail: </w:t>
      </w:r>
      <w:hyperlink r:id="rId29" w:history="1">
        <w:r w:rsidR="007513C1" w:rsidRPr="00E7219D">
          <w:rPr>
            <w:rStyle w:val="Hyperlink"/>
            <w:snapToGrid w:val="0"/>
            <w:kern w:val="22"/>
            <w:szCs w:val="22"/>
            <w:lang w:val="fr-FR"/>
          </w:rPr>
          <w:t>doina2004bio@yahoo.com</w:t>
        </w:r>
      </w:hyperlink>
      <w:r w:rsidRPr="00E7219D">
        <w:rPr>
          <w:snapToGrid w:val="0"/>
          <w:kern w:val="22"/>
          <w:szCs w:val="22"/>
          <w:lang w:val="fr-FR"/>
        </w:rPr>
        <w:t xml:space="preserve">; </w:t>
      </w:r>
      <w:hyperlink r:id="rId30" w:history="1">
        <w:r w:rsidRPr="00E7219D">
          <w:rPr>
            <w:rStyle w:val="Hyperlink"/>
            <w:snapToGrid w:val="0"/>
            <w:kern w:val="22"/>
            <w:szCs w:val="22"/>
            <w:lang w:val="fr-FR"/>
          </w:rPr>
          <w:t>doina.cioaca@mmediu.ro</w:t>
        </w:r>
      </w:hyperlink>
    </w:p>
    <w:p w14:paraId="7E04CD96" w14:textId="77777777"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p>
    <w:p w14:paraId="194FF186"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Ms. Valeria Abaza</w:t>
      </w:r>
    </w:p>
    <w:p w14:paraId="2AF1693D"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Scientific Researcher</w:t>
      </w:r>
    </w:p>
    <w:p w14:paraId="0A5F0E8C"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National Institute for Marine Research and Development Grigore Antipa</w:t>
      </w:r>
    </w:p>
    <w:p w14:paraId="7BBDCBF9"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Constanta, Romania</w:t>
      </w:r>
      <w:r w:rsidRPr="0088780C">
        <w:rPr>
          <w:snapToGrid w:val="0"/>
          <w:kern w:val="22"/>
          <w:szCs w:val="22"/>
        </w:rPr>
        <w:tab/>
      </w:r>
    </w:p>
    <w:p w14:paraId="3B471BB9" w14:textId="012B535D"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E-mail:</w:t>
      </w:r>
      <w:r w:rsidRPr="0088780C">
        <w:rPr>
          <w:snapToGrid w:val="0"/>
          <w:kern w:val="22"/>
          <w:szCs w:val="22"/>
        </w:rPr>
        <w:tab/>
      </w:r>
      <w:hyperlink r:id="rId31" w:history="1">
        <w:r w:rsidR="007513C1" w:rsidRPr="0088780C">
          <w:rPr>
            <w:rStyle w:val="Hyperlink"/>
            <w:snapToGrid w:val="0"/>
            <w:kern w:val="22"/>
            <w:szCs w:val="22"/>
          </w:rPr>
          <w:t>vabaza@alpha.rmri.ro</w:t>
        </w:r>
      </w:hyperlink>
      <w:r w:rsidRPr="0088780C">
        <w:rPr>
          <w:snapToGrid w:val="0"/>
          <w:kern w:val="22"/>
          <w:szCs w:val="22"/>
        </w:rPr>
        <w:t xml:space="preserve">; </w:t>
      </w:r>
      <w:hyperlink r:id="rId32" w:history="1">
        <w:r w:rsidR="007513C1" w:rsidRPr="0088780C">
          <w:rPr>
            <w:rStyle w:val="Hyperlink"/>
            <w:snapToGrid w:val="0"/>
            <w:kern w:val="22"/>
            <w:szCs w:val="22"/>
          </w:rPr>
          <w:t>vali_abaza@yahoo.com</w:t>
        </w:r>
      </w:hyperlink>
      <w:r w:rsidR="007513C1" w:rsidRPr="0088780C">
        <w:rPr>
          <w:snapToGrid w:val="0"/>
          <w:kern w:val="22"/>
          <w:szCs w:val="22"/>
        </w:rPr>
        <w:t xml:space="preserve"> </w:t>
      </w:r>
      <w:r w:rsidRPr="0088780C">
        <w:rPr>
          <w:snapToGrid w:val="0"/>
          <w:kern w:val="22"/>
          <w:szCs w:val="22"/>
        </w:rPr>
        <w:t xml:space="preserve"> </w:t>
      </w:r>
    </w:p>
    <w:p w14:paraId="31FF633F"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u w:val="single"/>
        </w:rPr>
      </w:pPr>
    </w:p>
    <w:p w14:paraId="2D8F35F7" w14:textId="6D98A6CA"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rPr>
      </w:pPr>
      <w:r w:rsidRPr="0088780C">
        <w:rPr>
          <w:snapToGrid w:val="0"/>
          <w:kern w:val="22"/>
          <w:szCs w:val="22"/>
          <w:u w:val="single"/>
        </w:rPr>
        <w:t>Russian Federation</w:t>
      </w:r>
    </w:p>
    <w:p w14:paraId="696C8914"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Kirill V. Litvinov</w:t>
      </w:r>
    </w:p>
    <w:p w14:paraId="03D3A467"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Deputy Director</w:t>
      </w:r>
    </w:p>
    <w:p w14:paraId="6956B89D"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Astrakhan State Nature Biosphere Reserve</w:t>
      </w:r>
    </w:p>
    <w:p w14:paraId="3EF55DE4"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Astrakhan, Russian Federation </w:t>
      </w:r>
      <w:r w:rsidRPr="0088780C">
        <w:rPr>
          <w:snapToGrid w:val="0"/>
          <w:kern w:val="22"/>
          <w:szCs w:val="22"/>
        </w:rPr>
        <w:tab/>
      </w:r>
    </w:p>
    <w:p w14:paraId="661FBB28" w14:textId="4948326C"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E-mail:</w:t>
      </w:r>
      <w:r w:rsidRPr="0088780C">
        <w:rPr>
          <w:snapToGrid w:val="0"/>
          <w:kern w:val="22"/>
          <w:szCs w:val="22"/>
        </w:rPr>
        <w:tab/>
      </w:r>
      <w:hyperlink r:id="rId33" w:history="1">
        <w:r w:rsidR="007513C1" w:rsidRPr="0088780C">
          <w:rPr>
            <w:rStyle w:val="Hyperlink"/>
            <w:snapToGrid w:val="0"/>
            <w:kern w:val="22"/>
            <w:szCs w:val="22"/>
          </w:rPr>
          <w:t>kirilllitvinovsu@yandex.ru</w:t>
        </w:r>
      </w:hyperlink>
      <w:r w:rsidR="007513C1" w:rsidRPr="0088780C">
        <w:rPr>
          <w:snapToGrid w:val="0"/>
          <w:kern w:val="22"/>
          <w:szCs w:val="22"/>
        </w:rPr>
        <w:t xml:space="preserve"> </w:t>
      </w:r>
    </w:p>
    <w:p w14:paraId="6A5BEABC"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u w:val="single"/>
        </w:rPr>
      </w:pPr>
    </w:p>
    <w:p w14:paraId="63491C24"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Ms. Ulyana V. Simakova</w:t>
      </w:r>
    </w:p>
    <w:p w14:paraId="06C975DC"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Research Scientist</w:t>
      </w:r>
    </w:p>
    <w:p w14:paraId="79BB3828"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Coastal Ecology Lab</w:t>
      </w:r>
    </w:p>
    <w:p w14:paraId="1E66626D"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P.P. Shirshov Institute of Oceanology</w:t>
      </w:r>
    </w:p>
    <w:p w14:paraId="58DAA7DE"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Moscow, Russian Federation </w:t>
      </w:r>
      <w:r w:rsidRPr="0088780C">
        <w:rPr>
          <w:snapToGrid w:val="0"/>
          <w:kern w:val="22"/>
          <w:szCs w:val="22"/>
        </w:rPr>
        <w:tab/>
      </w:r>
    </w:p>
    <w:p w14:paraId="5766D94C" w14:textId="1821AEFB"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E-mail:</w:t>
      </w:r>
      <w:r w:rsidRPr="0088780C">
        <w:rPr>
          <w:snapToGrid w:val="0"/>
          <w:kern w:val="22"/>
          <w:szCs w:val="22"/>
        </w:rPr>
        <w:tab/>
      </w:r>
      <w:hyperlink r:id="rId34" w:history="1">
        <w:r w:rsidR="007513C1" w:rsidRPr="0088780C">
          <w:rPr>
            <w:rStyle w:val="Hyperlink"/>
            <w:snapToGrid w:val="0"/>
            <w:kern w:val="22"/>
            <w:szCs w:val="22"/>
          </w:rPr>
          <w:t>yankazeisig@gmail.com</w:t>
        </w:r>
      </w:hyperlink>
      <w:r w:rsidR="007513C1" w:rsidRPr="0088780C">
        <w:rPr>
          <w:snapToGrid w:val="0"/>
          <w:kern w:val="22"/>
          <w:szCs w:val="22"/>
        </w:rPr>
        <w:t xml:space="preserve"> </w:t>
      </w:r>
    </w:p>
    <w:p w14:paraId="1FAB16CC"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u w:val="single"/>
        </w:rPr>
      </w:pPr>
    </w:p>
    <w:p w14:paraId="01964FF4" w14:textId="77777777"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Turkey</w:t>
      </w:r>
    </w:p>
    <w:p w14:paraId="73019B9B"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 xml:space="preserve">Ms. Aysun Demet Güvendiren  </w:t>
      </w:r>
    </w:p>
    <w:p w14:paraId="22F8724D" w14:textId="6B38EF29" w:rsidR="00092AC9"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Expert</w:t>
      </w:r>
    </w:p>
    <w:p w14:paraId="3C93585B" w14:textId="77777777" w:rsidR="00EB6E7C" w:rsidRPr="0088780C" w:rsidRDefault="00EB6E7C" w:rsidP="001013AF">
      <w:pPr>
        <w:suppressLineNumbers/>
        <w:suppressAutoHyphens/>
        <w:kinsoku w:val="0"/>
        <w:overflowPunct w:val="0"/>
        <w:autoSpaceDE w:val="0"/>
        <w:autoSpaceDN w:val="0"/>
        <w:ind w:left="360" w:hanging="360"/>
        <w:jc w:val="left"/>
        <w:rPr>
          <w:snapToGrid w:val="0"/>
          <w:color w:val="000000"/>
          <w:kern w:val="22"/>
          <w:szCs w:val="22"/>
        </w:rPr>
      </w:pPr>
      <w:r w:rsidRPr="0088780C">
        <w:rPr>
          <w:snapToGrid w:val="0"/>
          <w:color w:val="000000"/>
          <w:kern w:val="22"/>
          <w:szCs w:val="22"/>
        </w:rPr>
        <w:t>Division of Research</w:t>
      </w:r>
    </w:p>
    <w:p w14:paraId="76585233"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Department of Biological Diversity</w:t>
      </w:r>
    </w:p>
    <w:p w14:paraId="35566178"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General Directorate of Nature Conservation and National Parks</w:t>
      </w:r>
    </w:p>
    <w:p w14:paraId="4DE604A5" w14:textId="023BD868"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Ministry of Forestry and Water Affairs</w:t>
      </w:r>
    </w:p>
    <w:p w14:paraId="0C4D15CC" w14:textId="4CE9BF75" w:rsidR="009E5A9B" w:rsidRPr="0088780C" w:rsidRDefault="00EB6E7C"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Ankara</w:t>
      </w:r>
      <w:r w:rsidR="009E5A9B" w:rsidRPr="0088780C">
        <w:rPr>
          <w:snapToGrid w:val="0"/>
          <w:kern w:val="22"/>
          <w:szCs w:val="22"/>
        </w:rPr>
        <w:t>, Turkey</w:t>
      </w:r>
    </w:p>
    <w:p w14:paraId="0449DD26" w14:textId="7D8C837A"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E-mail:</w:t>
      </w:r>
      <w:r w:rsidRPr="0088780C">
        <w:rPr>
          <w:snapToGrid w:val="0"/>
          <w:kern w:val="22"/>
          <w:szCs w:val="22"/>
        </w:rPr>
        <w:tab/>
      </w:r>
      <w:hyperlink r:id="rId35" w:history="1">
        <w:r w:rsidR="007513C1" w:rsidRPr="0088780C">
          <w:rPr>
            <w:rStyle w:val="Hyperlink"/>
            <w:snapToGrid w:val="0"/>
            <w:kern w:val="22"/>
            <w:szCs w:val="22"/>
          </w:rPr>
          <w:t>aysundemet@ormansu.gov.tr</w:t>
        </w:r>
      </w:hyperlink>
      <w:r w:rsidR="007513C1" w:rsidRPr="0088780C">
        <w:rPr>
          <w:snapToGrid w:val="0"/>
          <w:kern w:val="22"/>
          <w:szCs w:val="22"/>
        </w:rPr>
        <w:t xml:space="preserve"> </w:t>
      </w:r>
      <w:r w:rsidRPr="0088780C">
        <w:rPr>
          <w:snapToGrid w:val="0"/>
          <w:kern w:val="22"/>
          <w:szCs w:val="22"/>
        </w:rPr>
        <w:tab/>
      </w:r>
    </w:p>
    <w:p w14:paraId="20B5AA76"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p>
    <w:p w14:paraId="7459386C" w14:textId="24EC0253"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Ms. Hatice Şahin</w:t>
      </w:r>
    </w:p>
    <w:p w14:paraId="1DD672FC"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Expert</w:t>
      </w:r>
    </w:p>
    <w:p w14:paraId="4B937C1A" w14:textId="77777777" w:rsidR="00EB6E7C" w:rsidRPr="0088780C" w:rsidRDefault="00EB6E7C"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Division of Marine Protected Areas</w:t>
      </w:r>
    </w:p>
    <w:p w14:paraId="4705E8D1"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Department of Sensitive Areas</w:t>
      </w:r>
    </w:p>
    <w:p w14:paraId="48C16767"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General Directorate of Nature Conservation and National Parks</w:t>
      </w:r>
    </w:p>
    <w:p w14:paraId="3EA8AD37" w14:textId="3E62D5C1"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Ministry of Forestry and Water Affairs</w:t>
      </w:r>
    </w:p>
    <w:p w14:paraId="5EC1ECF8" w14:textId="0B6A8553" w:rsidR="009E5A9B" w:rsidRPr="0088780C" w:rsidRDefault="00EB6E7C"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Ankara</w:t>
      </w:r>
      <w:r w:rsidR="009E5A9B" w:rsidRPr="0088780C">
        <w:rPr>
          <w:snapToGrid w:val="0"/>
          <w:kern w:val="22"/>
          <w:szCs w:val="22"/>
        </w:rPr>
        <w:t>, Turkey</w:t>
      </w:r>
    </w:p>
    <w:p w14:paraId="50ACDDD4" w14:textId="6F7C24D9"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E-mail: </w:t>
      </w:r>
      <w:hyperlink r:id="rId36" w:history="1">
        <w:r w:rsidR="007513C1" w:rsidRPr="0088780C">
          <w:rPr>
            <w:rStyle w:val="Hyperlink"/>
            <w:snapToGrid w:val="0"/>
            <w:kern w:val="22"/>
            <w:szCs w:val="22"/>
          </w:rPr>
          <w:t>hsahin@ormansu.gov.tr</w:t>
        </w:r>
      </w:hyperlink>
      <w:r w:rsidR="007513C1" w:rsidRPr="0088780C">
        <w:rPr>
          <w:snapToGrid w:val="0"/>
          <w:kern w:val="22"/>
          <w:szCs w:val="22"/>
        </w:rPr>
        <w:t xml:space="preserve"> </w:t>
      </w:r>
      <w:r w:rsidRPr="0088780C">
        <w:rPr>
          <w:snapToGrid w:val="0"/>
          <w:kern w:val="22"/>
          <w:szCs w:val="22"/>
        </w:rPr>
        <w:tab/>
      </w:r>
    </w:p>
    <w:p w14:paraId="7B850EF5" w14:textId="77777777" w:rsidR="00EB6E7C" w:rsidRPr="0088780C" w:rsidRDefault="00EB6E7C" w:rsidP="001013AF">
      <w:pPr>
        <w:suppressLineNumbers/>
        <w:suppressAutoHyphens/>
        <w:kinsoku w:val="0"/>
        <w:overflowPunct w:val="0"/>
        <w:autoSpaceDE w:val="0"/>
        <w:autoSpaceDN w:val="0"/>
        <w:ind w:left="360" w:hanging="360"/>
        <w:jc w:val="left"/>
        <w:rPr>
          <w:snapToGrid w:val="0"/>
          <w:kern w:val="22"/>
          <w:szCs w:val="22"/>
        </w:rPr>
      </w:pPr>
    </w:p>
    <w:p w14:paraId="753ABCE6" w14:textId="77777777"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Turkmenistan</w:t>
      </w:r>
    </w:p>
    <w:p w14:paraId="30A5D620"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Ms. Shirin B. Karryyeva</w:t>
      </w:r>
    </w:p>
    <w:p w14:paraId="651450CE" w14:textId="77777777" w:rsidR="009E5A9B" w:rsidRPr="0088780C" w:rsidRDefault="009E5A9B"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 xml:space="preserve">Manager </w:t>
      </w:r>
    </w:p>
    <w:p w14:paraId="576CDE1A" w14:textId="10896F3D"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R</w:t>
      </w:r>
      <w:r w:rsidR="0053231E" w:rsidRPr="0088780C">
        <w:rPr>
          <w:snapToGrid w:val="0"/>
          <w:kern w:val="22"/>
          <w:szCs w:val="22"/>
        </w:rPr>
        <w:t>oyal Society for the Protection of Birds</w:t>
      </w:r>
      <w:r w:rsidRPr="0088780C">
        <w:rPr>
          <w:snapToGrid w:val="0"/>
          <w:kern w:val="22"/>
          <w:szCs w:val="22"/>
        </w:rPr>
        <w:t xml:space="preserve"> Project on Biodiversity Conservation </w:t>
      </w:r>
    </w:p>
    <w:p w14:paraId="06918189"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Ashgabat, Turkmenistan</w:t>
      </w:r>
    </w:p>
    <w:p w14:paraId="17232270" w14:textId="55DC0CE6"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E-mail: </w:t>
      </w:r>
      <w:hyperlink r:id="rId37" w:history="1">
        <w:r w:rsidR="007513C1" w:rsidRPr="0088780C">
          <w:rPr>
            <w:rStyle w:val="Hyperlink"/>
            <w:snapToGrid w:val="0"/>
            <w:kern w:val="22"/>
            <w:szCs w:val="22"/>
          </w:rPr>
          <w:t>shirinkarryeva.sk@gmail.com</w:t>
        </w:r>
      </w:hyperlink>
      <w:r w:rsidR="007513C1" w:rsidRPr="0088780C">
        <w:rPr>
          <w:snapToGrid w:val="0"/>
          <w:kern w:val="22"/>
          <w:szCs w:val="22"/>
        </w:rPr>
        <w:t xml:space="preserve"> </w:t>
      </w:r>
    </w:p>
    <w:p w14:paraId="39ECE8F9"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p>
    <w:p w14:paraId="50B25A78"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Eldar A. Rustamov</w:t>
      </w:r>
    </w:p>
    <w:p w14:paraId="65458868"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Coordinator</w:t>
      </w:r>
    </w:p>
    <w:p w14:paraId="378EDD51" w14:textId="037D1F7A" w:rsidR="009E5A9B" w:rsidRPr="0088780C" w:rsidRDefault="0053231E"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Royal Society for the Protection of Birds</w:t>
      </w:r>
      <w:r w:rsidR="009E5A9B" w:rsidRPr="0088780C">
        <w:rPr>
          <w:snapToGrid w:val="0"/>
          <w:kern w:val="22"/>
          <w:szCs w:val="22"/>
        </w:rPr>
        <w:t xml:space="preserve"> Project on Biodiversity Conservation </w:t>
      </w:r>
    </w:p>
    <w:p w14:paraId="7ECD369A"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Ashgabat, Turkmenistan</w:t>
      </w:r>
    </w:p>
    <w:p w14:paraId="21B4AB68" w14:textId="391DAB08"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E-mail: </w:t>
      </w:r>
      <w:hyperlink r:id="rId38" w:history="1">
        <w:r w:rsidR="007513C1" w:rsidRPr="0088780C">
          <w:rPr>
            <w:rStyle w:val="Hyperlink"/>
            <w:snapToGrid w:val="0"/>
            <w:kern w:val="22"/>
            <w:szCs w:val="22"/>
          </w:rPr>
          <w:t>elldaru@mail.ru</w:t>
        </w:r>
      </w:hyperlink>
      <w:r w:rsidR="007513C1" w:rsidRPr="0088780C">
        <w:rPr>
          <w:snapToGrid w:val="0"/>
          <w:kern w:val="22"/>
          <w:szCs w:val="22"/>
        </w:rPr>
        <w:t xml:space="preserve"> </w:t>
      </w:r>
      <w:r w:rsidRPr="0088780C">
        <w:rPr>
          <w:snapToGrid w:val="0"/>
          <w:kern w:val="22"/>
          <w:szCs w:val="22"/>
        </w:rPr>
        <w:tab/>
      </w:r>
      <w:r w:rsidR="007513C1" w:rsidRPr="0088780C">
        <w:rPr>
          <w:snapToGrid w:val="0"/>
          <w:kern w:val="22"/>
          <w:szCs w:val="22"/>
        </w:rPr>
        <w:t xml:space="preserve">  </w:t>
      </w:r>
    </w:p>
    <w:p w14:paraId="2B207931"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p>
    <w:p w14:paraId="17D6206C"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p>
    <w:p w14:paraId="0CA69DFD" w14:textId="77777777"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Ukraine</w:t>
      </w:r>
    </w:p>
    <w:p w14:paraId="12FA1BFA"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Borys Aleksandrov</w:t>
      </w:r>
    </w:p>
    <w:p w14:paraId="2010030A"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Director</w:t>
      </w:r>
    </w:p>
    <w:p w14:paraId="21515979"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Institute of Marine Biology</w:t>
      </w:r>
    </w:p>
    <w:p w14:paraId="48E22B55"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National Academy of Sciences of Ukraine </w:t>
      </w:r>
    </w:p>
    <w:p w14:paraId="27A53472" w14:textId="77777777"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Odessa, Ukraine</w:t>
      </w:r>
    </w:p>
    <w:p w14:paraId="07D9C7B8" w14:textId="2D54A889"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 xml:space="preserve">E-mail:  </w:t>
      </w:r>
      <w:hyperlink r:id="rId39" w:history="1">
        <w:r w:rsidR="007513C1" w:rsidRPr="00E7219D">
          <w:rPr>
            <w:rStyle w:val="Hyperlink"/>
            <w:snapToGrid w:val="0"/>
            <w:kern w:val="22"/>
            <w:szCs w:val="22"/>
            <w:lang w:val="fr-FR"/>
          </w:rPr>
          <w:t>borys.aleksandrov@gmail.com</w:t>
        </w:r>
      </w:hyperlink>
      <w:r w:rsidRPr="00E7219D">
        <w:rPr>
          <w:snapToGrid w:val="0"/>
          <w:kern w:val="22"/>
          <w:szCs w:val="22"/>
          <w:lang w:val="fr-FR"/>
        </w:rPr>
        <w:t xml:space="preserve">; </w:t>
      </w:r>
      <w:hyperlink r:id="rId40" w:history="1">
        <w:r w:rsidRPr="00E7219D">
          <w:rPr>
            <w:rStyle w:val="Hyperlink"/>
            <w:snapToGrid w:val="0"/>
            <w:kern w:val="22"/>
            <w:szCs w:val="22"/>
            <w:lang w:val="fr-FR"/>
          </w:rPr>
          <w:t>imb@nas.gov.ua</w:t>
        </w:r>
      </w:hyperlink>
      <w:r w:rsidRPr="00E7219D">
        <w:rPr>
          <w:snapToGrid w:val="0"/>
          <w:kern w:val="22"/>
          <w:szCs w:val="22"/>
          <w:lang w:val="fr-FR"/>
        </w:rPr>
        <w:t xml:space="preserve"> </w:t>
      </w:r>
    </w:p>
    <w:p w14:paraId="48CF8A33" w14:textId="77777777"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p>
    <w:p w14:paraId="5CF5B4BF"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Evgeniy Sokolov</w:t>
      </w:r>
    </w:p>
    <w:p w14:paraId="5923E4A4"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Senior Lecturer and Researcher</w:t>
      </w:r>
      <w:r w:rsidRPr="0088780C">
        <w:rPr>
          <w:snapToGrid w:val="0"/>
          <w:kern w:val="22"/>
          <w:szCs w:val="22"/>
        </w:rPr>
        <w:tab/>
      </w:r>
    </w:p>
    <w:p w14:paraId="51075EF0"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Institute of Marine Biology</w:t>
      </w:r>
    </w:p>
    <w:p w14:paraId="22D20497"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National Academy of Science of Ukraine</w:t>
      </w:r>
      <w:r w:rsidRPr="0088780C">
        <w:rPr>
          <w:snapToGrid w:val="0"/>
          <w:kern w:val="22"/>
          <w:szCs w:val="22"/>
        </w:rPr>
        <w:tab/>
      </w:r>
    </w:p>
    <w:p w14:paraId="6E06E1CE" w14:textId="77777777"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Odessa, Ukraine</w:t>
      </w:r>
    </w:p>
    <w:p w14:paraId="19118A95" w14:textId="77777777"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 xml:space="preserve">E-mail: </w:t>
      </w:r>
      <w:hyperlink r:id="rId41" w:history="1">
        <w:r w:rsidRPr="00E7219D">
          <w:rPr>
            <w:rStyle w:val="Hyperlink"/>
            <w:snapToGrid w:val="0"/>
            <w:kern w:val="22"/>
            <w:szCs w:val="22"/>
            <w:lang w:val="fr-FR"/>
          </w:rPr>
          <w:t>Sokolovev87@gmail.com</w:t>
        </w:r>
      </w:hyperlink>
    </w:p>
    <w:p w14:paraId="06DA7C87" w14:textId="77777777" w:rsidR="00E703E9" w:rsidRPr="00E7219D" w:rsidRDefault="00E703E9" w:rsidP="001013AF">
      <w:pPr>
        <w:suppressLineNumbers/>
        <w:suppressAutoHyphens/>
        <w:kinsoku w:val="0"/>
        <w:overflowPunct w:val="0"/>
        <w:autoSpaceDE w:val="0"/>
        <w:autoSpaceDN w:val="0"/>
        <w:jc w:val="left"/>
        <w:rPr>
          <w:snapToGrid w:val="0"/>
          <w:kern w:val="22"/>
          <w:szCs w:val="22"/>
          <w:lang w:val="fr-FR"/>
        </w:rPr>
        <w:sectPr w:rsidR="00E703E9" w:rsidRPr="00E7219D" w:rsidSect="00A876F3">
          <w:type w:val="continuous"/>
          <w:pgSz w:w="12240" w:h="15840" w:code="1"/>
          <w:pgMar w:top="567" w:right="1440" w:bottom="1134" w:left="1440" w:header="454" w:footer="720" w:gutter="0"/>
          <w:cols w:num="2" w:space="708"/>
          <w:titlePg/>
          <w:docGrid w:linePitch="360"/>
        </w:sectPr>
      </w:pPr>
    </w:p>
    <w:p w14:paraId="50FE3B96" w14:textId="7274D349" w:rsidR="009E5A9B" w:rsidRPr="00E7219D" w:rsidRDefault="009E5A9B" w:rsidP="001013AF">
      <w:pPr>
        <w:suppressLineNumbers/>
        <w:suppressAutoHyphens/>
        <w:kinsoku w:val="0"/>
        <w:overflowPunct w:val="0"/>
        <w:autoSpaceDE w:val="0"/>
        <w:autoSpaceDN w:val="0"/>
        <w:jc w:val="left"/>
        <w:rPr>
          <w:snapToGrid w:val="0"/>
          <w:kern w:val="22"/>
          <w:szCs w:val="22"/>
          <w:lang w:val="fr-FR"/>
        </w:rPr>
      </w:pPr>
    </w:p>
    <w:p w14:paraId="2E4CA9F5" w14:textId="77777777" w:rsidR="00E703E9" w:rsidRPr="0088780C" w:rsidRDefault="009E5A9B" w:rsidP="001013AF">
      <w:pPr>
        <w:suppressLineNumbers/>
        <w:suppressAutoHyphens/>
        <w:kinsoku w:val="0"/>
        <w:overflowPunct w:val="0"/>
        <w:autoSpaceDE w:val="0"/>
        <w:autoSpaceDN w:val="0"/>
        <w:jc w:val="center"/>
        <w:rPr>
          <w:b/>
          <w:snapToGrid w:val="0"/>
          <w:kern w:val="22"/>
          <w:szCs w:val="22"/>
        </w:rPr>
        <w:sectPr w:rsidR="00E703E9" w:rsidRPr="0088780C" w:rsidSect="00A876F3">
          <w:type w:val="continuous"/>
          <w:pgSz w:w="12240" w:h="15840" w:code="1"/>
          <w:pgMar w:top="567" w:right="1440" w:bottom="1134" w:left="1440" w:header="454" w:footer="720" w:gutter="0"/>
          <w:cols w:space="708"/>
          <w:titlePg/>
          <w:docGrid w:linePitch="360"/>
        </w:sectPr>
      </w:pPr>
      <w:r w:rsidRPr="0088780C">
        <w:rPr>
          <w:b/>
          <w:snapToGrid w:val="0"/>
          <w:kern w:val="22"/>
          <w:szCs w:val="22"/>
        </w:rPr>
        <w:t>ORGANIZATIONS</w:t>
      </w:r>
    </w:p>
    <w:p w14:paraId="05C2EC56" w14:textId="77777777" w:rsidR="009E5A9B" w:rsidRPr="0088780C" w:rsidRDefault="009E5A9B" w:rsidP="001013AF">
      <w:pPr>
        <w:suppressLineNumbers/>
        <w:suppressAutoHyphens/>
        <w:kinsoku w:val="0"/>
        <w:overflowPunct w:val="0"/>
        <w:autoSpaceDE w:val="0"/>
        <w:autoSpaceDN w:val="0"/>
        <w:ind w:left="360" w:hanging="360"/>
        <w:rPr>
          <w:snapToGrid w:val="0"/>
          <w:kern w:val="22"/>
          <w:szCs w:val="22"/>
          <w:u w:val="single"/>
        </w:rPr>
      </w:pPr>
    </w:p>
    <w:p w14:paraId="738398AB" w14:textId="77777777" w:rsidR="00E703E9" w:rsidRPr="0088780C" w:rsidRDefault="00E703E9" w:rsidP="001013AF">
      <w:pPr>
        <w:suppressLineNumbers/>
        <w:suppressAutoHyphens/>
        <w:kinsoku w:val="0"/>
        <w:overflowPunct w:val="0"/>
        <w:autoSpaceDE w:val="0"/>
        <w:autoSpaceDN w:val="0"/>
        <w:rPr>
          <w:snapToGrid w:val="0"/>
          <w:kern w:val="22"/>
          <w:szCs w:val="22"/>
          <w:u w:val="single"/>
        </w:rPr>
        <w:sectPr w:rsidR="00E703E9" w:rsidRPr="0088780C" w:rsidSect="00A876F3">
          <w:type w:val="continuous"/>
          <w:pgSz w:w="12240" w:h="15840" w:code="1"/>
          <w:pgMar w:top="567" w:right="1440" w:bottom="1134" w:left="1440" w:header="454" w:footer="720" w:gutter="0"/>
          <w:cols w:space="708"/>
          <w:titlePg/>
          <w:docGrid w:linePitch="360"/>
        </w:sectPr>
      </w:pPr>
    </w:p>
    <w:p w14:paraId="522A595D" w14:textId="0C74AFA9" w:rsidR="0053231E" w:rsidRPr="0088780C" w:rsidRDefault="007513C1"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 xml:space="preserve">Commission on the Protection of the Black Sea Against Pollution Permanent Secretariat </w:t>
      </w:r>
    </w:p>
    <w:p w14:paraId="2E4DBA87" w14:textId="3DB33900" w:rsidR="007513C1" w:rsidRPr="0088780C" w:rsidRDefault="007513C1"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(Black Sea Commission)</w:t>
      </w:r>
    </w:p>
    <w:p w14:paraId="60001ABE" w14:textId="77777777" w:rsidR="007513C1" w:rsidRPr="0088780C" w:rsidRDefault="007513C1"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Ms. Iryna Makarenko</w:t>
      </w:r>
    </w:p>
    <w:p w14:paraId="7F0EC6F5"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Pollution Monitoring and Assessment Officer</w:t>
      </w:r>
    </w:p>
    <w:p w14:paraId="74F3A055"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Permanent Secretariat</w:t>
      </w:r>
    </w:p>
    <w:p w14:paraId="415ADC7B"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Commission on the Protection of the Black Sea Against Pollution</w:t>
      </w:r>
    </w:p>
    <w:p w14:paraId="55C94169" w14:textId="1F9E844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Istanbul,</w:t>
      </w:r>
      <w:r w:rsidR="0053231E" w:rsidRPr="0088780C">
        <w:rPr>
          <w:snapToGrid w:val="0"/>
          <w:kern w:val="22"/>
          <w:szCs w:val="22"/>
        </w:rPr>
        <w:t xml:space="preserve"> </w:t>
      </w:r>
      <w:r w:rsidRPr="0088780C">
        <w:rPr>
          <w:snapToGrid w:val="0"/>
          <w:kern w:val="22"/>
          <w:szCs w:val="22"/>
        </w:rPr>
        <w:t>Turkey</w:t>
      </w:r>
      <w:r w:rsidRPr="0088780C">
        <w:rPr>
          <w:snapToGrid w:val="0"/>
          <w:kern w:val="22"/>
          <w:szCs w:val="22"/>
        </w:rPr>
        <w:tab/>
      </w:r>
    </w:p>
    <w:p w14:paraId="24DF341C"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E-mail: irina.makarenko@blacksea-commission.org;</w:t>
      </w:r>
    </w:p>
    <w:p w14:paraId="18CE0204" w14:textId="77777777" w:rsidR="007513C1" w:rsidRPr="0088780C" w:rsidRDefault="007513C1"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 xml:space="preserve">Tehran Convention Interim Secretariat </w:t>
      </w:r>
    </w:p>
    <w:p w14:paraId="777B2AA6" w14:textId="77777777" w:rsidR="007513C1" w:rsidRPr="0088780C" w:rsidRDefault="007513C1"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Mahir Aliyev</w:t>
      </w:r>
    </w:p>
    <w:p w14:paraId="4B200C2E"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Regional Coordinator</w:t>
      </w:r>
    </w:p>
    <w:p w14:paraId="27800D84"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UNEP Regional Office for Europe</w:t>
      </w:r>
    </w:p>
    <w:p w14:paraId="76933B65"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Tehran Convention interim Secretariat </w:t>
      </w:r>
    </w:p>
    <w:p w14:paraId="095A859C"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Geneva, Switzerland</w:t>
      </w:r>
    </w:p>
    <w:p w14:paraId="70C46525" w14:textId="2F7D24CE" w:rsidR="007513C1" w:rsidRPr="00E7219D" w:rsidRDefault="007513C1"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 xml:space="preserve">E-mail: </w:t>
      </w:r>
      <w:hyperlink r:id="rId42" w:history="1">
        <w:r w:rsidRPr="00E7219D">
          <w:rPr>
            <w:rStyle w:val="Hyperlink"/>
            <w:snapToGrid w:val="0"/>
            <w:kern w:val="22"/>
            <w:szCs w:val="22"/>
            <w:lang w:val="fr-FR"/>
          </w:rPr>
          <w:t>mahir.aliyev@unep.org</w:t>
        </w:r>
      </w:hyperlink>
      <w:r w:rsidRPr="00E7219D">
        <w:rPr>
          <w:snapToGrid w:val="0"/>
          <w:kern w:val="22"/>
          <w:szCs w:val="22"/>
          <w:lang w:val="fr-FR"/>
        </w:rPr>
        <w:t xml:space="preserve">  </w:t>
      </w:r>
    </w:p>
    <w:p w14:paraId="3969347A" w14:textId="77777777" w:rsidR="007513C1" w:rsidRPr="00E7219D" w:rsidRDefault="007513C1" w:rsidP="001013AF">
      <w:pPr>
        <w:suppressLineNumbers/>
        <w:suppressAutoHyphens/>
        <w:kinsoku w:val="0"/>
        <w:overflowPunct w:val="0"/>
        <w:autoSpaceDE w:val="0"/>
        <w:autoSpaceDN w:val="0"/>
        <w:ind w:left="360" w:hanging="360"/>
        <w:jc w:val="left"/>
        <w:rPr>
          <w:snapToGrid w:val="0"/>
          <w:kern w:val="22"/>
          <w:szCs w:val="22"/>
          <w:lang w:val="fr-FR"/>
        </w:rPr>
      </w:pPr>
    </w:p>
    <w:p w14:paraId="140F05DD" w14:textId="77777777" w:rsidR="007513C1" w:rsidRPr="0088780C" w:rsidRDefault="007513C1"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 xml:space="preserve">Mr. Mateusz Benko </w:t>
      </w:r>
    </w:p>
    <w:p w14:paraId="1F60A516"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Project Officer </w:t>
      </w:r>
    </w:p>
    <w:p w14:paraId="59AA0080"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Tehran Convention Interim Secretariat</w:t>
      </w:r>
    </w:p>
    <w:p w14:paraId="69E22196"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Geneva, Switzerland</w:t>
      </w:r>
    </w:p>
    <w:p w14:paraId="232F77B2" w14:textId="1ED2E330" w:rsidR="007513C1" w:rsidRPr="00E7219D" w:rsidRDefault="007513C1"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 xml:space="preserve">E-mail: </w:t>
      </w:r>
      <w:hyperlink r:id="rId43" w:history="1">
        <w:r w:rsidRPr="00E7219D">
          <w:rPr>
            <w:rStyle w:val="Hyperlink"/>
            <w:snapToGrid w:val="0"/>
            <w:kern w:val="22"/>
            <w:szCs w:val="22"/>
            <w:lang w:val="fr-FR"/>
          </w:rPr>
          <w:t>mateusz.benko@unep.org</w:t>
        </w:r>
      </w:hyperlink>
      <w:r w:rsidRPr="00E7219D">
        <w:rPr>
          <w:snapToGrid w:val="0"/>
          <w:kern w:val="22"/>
          <w:szCs w:val="22"/>
          <w:lang w:val="fr-FR"/>
        </w:rPr>
        <w:t xml:space="preserve"> </w:t>
      </w:r>
      <w:r w:rsidRPr="00E7219D">
        <w:rPr>
          <w:snapToGrid w:val="0"/>
          <w:kern w:val="22"/>
          <w:szCs w:val="22"/>
          <w:lang w:val="fr-FR"/>
        </w:rPr>
        <w:cr/>
      </w:r>
    </w:p>
    <w:p w14:paraId="21F1544B" w14:textId="77777777"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Agreement on the Conservation of Cetaceans of the Black Sea, Mediterranean Sea and Contiguous Atlantic Area (ACCOBAMS)</w:t>
      </w:r>
    </w:p>
    <w:p w14:paraId="016F070D"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Mrs. Ayaka Amaha Ozturk</w:t>
      </w:r>
      <w:r w:rsidRPr="0088780C">
        <w:rPr>
          <w:snapToGrid w:val="0"/>
          <w:kern w:val="22"/>
          <w:szCs w:val="22"/>
        </w:rPr>
        <w:tab/>
      </w:r>
    </w:p>
    <w:p w14:paraId="1B6E2D74"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Vice-Chair</w:t>
      </w:r>
    </w:p>
    <w:p w14:paraId="6CD289AA"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Scientific Committee </w:t>
      </w:r>
    </w:p>
    <w:p w14:paraId="63F831E2"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ACCOBAMS</w:t>
      </w:r>
      <w:r w:rsidRPr="0088780C">
        <w:rPr>
          <w:snapToGrid w:val="0"/>
          <w:kern w:val="22"/>
          <w:szCs w:val="22"/>
        </w:rPr>
        <w:tab/>
      </w:r>
    </w:p>
    <w:p w14:paraId="439E9BB8"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Faculty of Fisheries</w:t>
      </w:r>
    </w:p>
    <w:p w14:paraId="36C8BBE9"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Istanbul University</w:t>
      </w:r>
    </w:p>
    <w:p w14:paraId="4DDD99DC" w14:textId="630D5C06"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Turki</w:t>
      </w:r>
      <w:r w:rsidR="00A876F3" w:rsidRPr="0088780C">
        <w:rPr>
          <w:snapToGrid w:val="0"/>
          <w:kern w:val="22"/>
          <w:szCs w:val="22"/>
        </w:rPr>
        <w:t xml:space="preserve">sh Marine Research Foundation </w:t>
      </w:r>
    </w:p>
    <w:p w14:paraId="496459F3" w14:textId="299EDD49"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 xml:space="preserve">E-mail: </w:t>
      </w:r>
      <w:hyperlink r:id="rId44" w:history="1">
        <w:r w:rsidR="007513C1" w:rsidRPr="00E7219D">
          <w:rPr>
            <w:rStyle w:val="Hyperlink"/>
            <w:snapToGrid w:val="0"/>
            <w:kern w:val="22"/>
            <w:szCs w:val="22"/>
            <w:lang w:val="fr-FR"/>
          </w:rPr>
          <w:t>ayakamaha@hotmail.co.jp</w:t>
        </w:r>
      </w:hyperlink>
      <w:r w:rsidR="007513C1" w:rsidRPr="00E7219D">
        <w:rPr>
          <w:snapToGrid w:val="0"/>
          <w:kern w:val="22"/>
          <w:szCs w:val="22"/>
          <w:lang w:val="fr-FR"/>
        </w:rPr>
        <w:t xml:space="preserve"> </w:t>
      </w:r>
    </w:p>
    <w:p w14:paraId="3AABB779" w14:textId="77777777" w:rsidR="007513C1" w:rsidRPr="00E7219D" w:rsidRDefault="007513C1" w:rsidP="001013AF">
      <w:pPr>
        <w:suppressLineNumbers/>
        <w:suppressAutoHyphens/>
        <w:kinsoku w:val="0"/>
        <w:overflowPunct w:val="0"/>
        <w:autoSpaceDE w:val="0"/>
        <w:autoSpaceDN w:val="0"/>
        <w:ind w:left="360" w:hanging="360"/>
        <w:jc w:val="left"/>
        <w:rPr>
          <w:snapToGrid w:val="0"/>
          <w:kern w:val="22"/>
          <w:szCs w:val="22"/>
          <w:u w:val="single"/>
          <w:lang w:val="fr-FR"/>
        </w:rPr>
      </w:pPr>
    </w:p>
    <w:p w14:paraId="29DB8EA1"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u w:val="single"/>
        </w:rPr>
      </w:pPr>
      <w:r w:rsidRPr="0088780C">
        <w:rPr>
          <w:snapToGrid w:val="0"/>
          <w:kern w:val="22"/>
          <w:szCs w:val="22"/>
          <w:u w:val="single"/>
        </w:rPr>
        <w:t>BirdLife International</w:t>
      </w:r>
    </w:p>
    <w:p w14:paraId="66FB77AD"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p>
    <w:p w14:paraId="582B02BC" w14:textId="302BB5C2" w:rsidR="009E5A9B" w:rsidRPr="0088780C" w:rsidRDefault="00FD2E35"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Ms. Maria Dias</w:t>
      </w:r>
    </w:p>
    <w:p w14:paraId="0514CCCD" w14:textId="0275B172" w:rsidR="009E5A9B" w:rsidRPr="0088780C" w:rsidRDefault="00FD2E35"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Senior Marine Science Officer</w:t>
      </w:r>
    </w:p>
    <w:p w14:paraId="0A019A89"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BirdLife International</w:t>
      </w:r>
    </w:p>
    <w:p w14:paraId="7A9226E0" w14:textId="4DCCD6FC"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Cambridge, U</w:t>
      </w:r>
      <w:r w:rsidR="0053231E" w:rsidRPr="0088780C">
        <w:rPr>
          <w:snapToGrid w:val="0"/>
          <w:kern w:val="22"/>
          <w:szCs w:val="22"/>
        </w:rPr>
        <w:t>nited Kingdom of Great Britain and Northern Ireland</w:t>
      </w:r>
    </w:p>
    <w:p w14:paraId="53EA468D" w14:textId="46604FD9"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 xml:space="preserve">E-mail: </w:t>
      </w:r>
      <w:hyperlink r:id="rId45" w:history="1">
        <w:r w:rsidR="007513C1" w:rsidRPr="00E7219D">
          <w:rPr>
            <w:rStyle w:val="Hyperlink"/>
            <w:snapToGrid w:val="0"/>
            <w:kern w:val="22"/>
            <w:szCs w:val="22"/>
            <w:lang w:val="fr-FR"/>
          </w:rPr>
          <w:t>maria.dias@birdlife.org</w:t>
        </w:r>
      </w:hyperlink>
    </w:p>
    <w:p w14:paraId="5DA16DB5" w14:textId="77777777" w:rsidR="009E5A9B" w:rsidRPr="00E7219D" w:rsidRDefault="009E5A9B" w:rsidP="001013AF">
      <w:pPr>
        <w:suppressLineNumbers/>
        <w:suppressAutoHyphens/>
        <w:kinsoku w:val="0"/>
        <w:overflowPunct w:val="0"/>
        <w:autoSpaceDE w:val="0"/>
        <w:autoSpaceDN w:val="0"/>
        <w:ind w:left="360" w:hanging="360"/>
        <w:jc w:val="left"/>
        <w:rPr>
          <w:snapToGrid w:val="0"/>
          <w:kern w:val="22"/>
          <w:szCs w:val="22"/>
          <w:lang w:val="fr-FR"/>
        </w:rPr>
      </w:pPr>
    </w:p>
    <w:p w14:paraId="01867F68" w14:textId="0D98C8C2" w:rsidR="007513C1" w:rsidRPr="0088780C" w:rsidRDefault="007513C1"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Ocean Biogeographic Information System (OBIS)/IOC-UNESCO</w:t>
      </w:r>
    </w:p>
    <w:p w14:paraId="1FD271A7" w14:textId="77777777" w:rsidR="007513C1" w:rsidRPr="0088780C" w:rsidRDefault="007513C1"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Oleksandr Neprokin</w:t>
      </w:r>
    </w:p>
    <w:p w14:paraId="675EE856"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Manager</w:t>
      </w:r>
    </w:p>
    <w:p w14:paraId="3F041A53"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Black Sea OBIS Node</w:t>
      </w:r>
    </w:p>
    <w:p w14:paraId="1B72B3AD"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Scientific Research Department</w:t>
      </w:r>
    </w:p>
    <w:p w14:paraId="1A63BF4E"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Ukrainian Scientific Centre of Ecology of the Sea (UkrSCES)</w:t>
      </w:r>
    </w:p>
    <w:p w14:paraId="7FAEC370" w14:textId="77777777" w:rsidR="007513C1" w:rsidRPr="00E7219D" w:rsidRDefault="007513C1"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Odessa, Ukraine</w:t>
      </w:r>
    </w:p>
    <w:p w14:paraId="6E8C910D" w14:textId="77777777" w:rsidR="007513C1" w:rsidRPr="00E7219D" w:rsidRDefault="007513C1" w:rsidP="001013AF">
      <w:pPr>
        <w:suppressLineNumbers/>
        <w:suppressAutoHyphens/>
        <w:kinsoku w:val="0"/>
        <w:overflowPunct w:val="0"/>
        <w:autoSpaceDE w:val="0"/>
        <w:autoSpaceDN w:val="0"/>
        <w:ind w:left="360" w:hanging="360"/>
        <w:jc w:val="left"/>
        <w:rPr>
          <w:snapToGrid w:val="0"/>
          <w:kern w:val="22"/>
          <w:szCs w:val="22"/>
          <w:lang w:val="fr-FR"/>
        </w:rPr>
      </w:pPr>
      <w:r w:rsidRPr="00E7219D">
        <w:rPr>
          <w:snapToGrid w:val="0"/>
          <w:kern w:val="22"/>
          <w:szCs w:val="22"/>
          <w:lang w:val="fr-FR"/>
        </w:rPr>
        <w:t xml:space="preserve">E-mail: </w:t>
      </w:r>
      <w:hyperlink r:id="rId46" w:history="1">
        <w:r w:rsidRPr="00E7219D">
          <w:rPr>
            <w:rStyle w:val="Hyperlink"/>
            <w:snapToGrid w:val="0"/>
            <w:kern w:val="22"/>
            <w:szCs w:val="22"/>
            <w:lang w:val="fr-FR"/>
          </w:rPr>
          <w:t>o.neprokin@gmail.com</w:t>
        </w:r>
      </w:hyperlink>
    </w:p>
    <w:p w14:paraId="73874A5A" w14:textId="655AB2A9"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Food and Agricul</w:t>
      </w:r>
      <w:r w:rsidR="00FD2E35" w:rsidRPr="0088780C">
        <w:rPr>
          <w:snapToGrid w:val="0"/>
          <w:kern w:val="22"/>
          <w:szCs w:val="22"/>
          <w:u w:val="single"/>
        </w:rPr>
        <w:t>ture Organization of the United </w:t>
      </w:r>
      <w:r w:rsidRPr="0088780C">
        <w:rPr>
          <w:snapToGrid w:val="0"/>
          <w:kern w:val="22"/>
          <w:szCs w:val="22"/>
          <w:u w:val="single"/>
        </w:rPr>
        <w:t>Nations</w:t>
      </w:r>
    </w:p>
    <w:p w14:paraId="2CEC67EE"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Piero Mannini</w:t>
      </w:r>
    </w:p>
    <w:p w14:paraId="045BDC59"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Senior Liaison Officer</w:t>
      </w:r>
    </w:p>
    <w:p w14:paraId="5320EF5D"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Policy, Economics and Institutions Branch</w:t>
      </w:r>
    </w:p>
    <w:p w14:paraId="318BA2FF"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Fisheries and Aquaculture Department</w:t>
      </w:r>
    </w:p>
    <w:p w14:paraId="54F8CCCE"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Food and Agriculture Organization of the United Nations</w:t>
      </w:r>
    </w:p>
    <w:p w14:paraId="67D5CF34"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Rome, Italy</w:t>
      </w:r>
    </w:p>
    <w:p w14:paraId="107AEBF7" w14:textId="781BBC6C"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E-mail: </w:t>
      </w:r>
      <w:hyperlink r:id="rId47" w:history="1">
        <w:r w:rsidR="007513C1" w:rsidRPr="0088780C">
          <w:rPr>
            <w:rStyle w:val="Hyperlink"/>
            <w:snapToGrid w:val="0"/>
            <w:kern w:val="22"/>
            <w:szCs w:val="22"/>
          </w:rPr>
          <w:t>Piero.Mannini@fao.org</w:t>
        </w:r>
      </w:hyperlink>
      <w:r w:rsidR="007513C1" w:rsidRPr="0088780C">
        <w:rPr>
          <w:snapToGrid w:val="0"/>
          <w:kern w:val="22"/>
          <w:szCs w:val="22"/>
        </w:rPr>
        <w:t xml:space="preserve"> </w:t>
      </w:r>
    </w:p>
    <w:p w14:paraId="56BB0FB0"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p>
    <w:p w14:paraId="6155AC2D" w14:textId="1D1FDD8C" w:rsidR="009E5A9B" w:rsidRPr="0088780C" w:rsidRDefault="009E5A9B"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Global Ocean Biodiversity Initiative</w:t>
      </w:r>
    </w:p>
    <w:p w14:paraId="2EBB2100"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David Johnson</w:t>
      </w:r>
    </w:p>
    <w:p w14:paraId="5BEDD0FE" w14:textId="61E9BD30" w:rsidR="009E5A9B" w:rsidRPr="0088780C" w:rsidRDefault="00A876F3"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Coordinator</w:t>
      </w:r>
    </w:p>
    <w:p w14:paraId="4D7791DD"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Global Ocean Biodiversity Initiative Secretariat</w:t>
      </w:r>
      <w:r w:rsidRPr="0088780C">
        <w:rPr>
          <w:snapToGrid w:val="0"/>
          <w:kern w:val="22"/>
          <w:szCs w:val="22"/>
        </w:rPr>
        <w:tab/>
      </w:r>
    </w:p>
    <w:p w14:paraId="7F23B335" w14:textId="6384D73B"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Romsey, </w:t>
      </w:r>
      <w:r w:rsidR="0053231E" w:rsidRPr="0088780C">
        <w:rPr>
          <w:snapToGrid w:val="0"/>
          <w:kern w:val="22"/>
          <w:szCs w:val="22"/>
        </w:rPr>
        <w:t>United Kingdom of Great Britain and Northern Ireland</w:t>
      </w:r>
    </w:p>
    <w:p w14:paraId="179EF5FD" w14:textId="7917DAC9" w:rsidR="009E5A9B" w:rsidRPr="00E7219D" w:rsidRDefault="007513C1" w:rsidP="001013AF">
      <w:pPr>
        <w:suppressLineNumbers/>
        <w:suppressAutoHyphens/>
        <w:kinsoku w:val="0"/>
        <w:overflowPunct w:val="0"/>
        <w:autoSpaceDE w:val="0"/>
        <w:autoSpaceDN w:val="0"/>
        <w:ind w:left="360" w:hanging="360"/>
        <w:jc w:val="left"/>
        <w:rPr>
          <w:snapToGrid w:val="0"/>
          <w:spacing w:val="-4"/>
          <w:kern w:val="22"/>
          <w:szCs w:val="22"/>
          <w:lang w:val="fr-FR"/>
        </w:rPr>
      </w:pPr>
      <w:r w:rsidRPr="00E7219D">
        <w:rPr>
          <w:snapToGrid w:val="0"/>
          <w:spacing w:val="-4"/>
          <w:kern w:val="22"/>
          <w:szCs w:val="22"/>
          <w:lang w:val="fr-FR"/>
        </w:rPr>
        <w:t xml:space="preserve">E-mail: </w:t>
      </w:r>
      <w:hyperlink r:id="rId48" w:history="1">
        <w:r w:rsidRPr="00E7219D">
          <w:rPr>
            <w:rStyle w:val="Hyperlink"/>
            <w:snapToGrid w:val="0"/>
            <w:spacing w:val="-4"/>
            <w:kern w:val="22"/>
            <w:szCs w:val="22"/>
            <w:lang w:val="fr-FR"/>
          </w:rPr>
          <w:t>david.johnson@seascapeconsultants.co.uk</w:t>
        </w:r>
      </w:hyperlink>
    </w:p>
    <w:p w14:paraId="484F9698" w14:textId="77777777" w:rsidR="009E5A9B" w:rsidRPr="00E7219D" w:rsidRDefault="009E5A9B" w:rsidP="001013AF">
      <w:pPr>
        <w:suppressLineNumbers/>
        <w:suppressAutoHyphens/>
        <w:kinsoku w:val="0"/>
        <w:overflowPunct w:val="0"/>
        <w:autoSpaceDE w:val="0"/>
        <w:autoSpaceDN w:val="0"/>
        <w:ind w:left="360" w:hanging="360"/>
        <w:jc w:val="left"/>
        <w:rPr>
          <w:snapToGrid w:val="0"/>
          <w:spacing w:val="-4"/>
          <w:kern w:val="22"/>
          <w:szCs w:val="22"/>
          <w:lang w:val="fr-FR"/>
        </w:rPr>
      </w:pPr>
    </w:p>
    <w:p w14:paraId="30511B16"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Ahmet E. Kideys</w:t>
      </w:r>
    </w:p>
    <w:p w14:paraId="3288FAFA"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Professor</w:t>
      </w:r>
    </w:p>
    <w:p w14:paraId="4C111672"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Institute of Marine Science,</w:t>
      </w:r>
    </w:p>
    <w:p w14:paraId="4696F425" w14:textId="51E6A9C6"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M</w:t>
      </w:r>
      <w:r w:rsidR="00FD2E35" w:rsidRPr="0088780C">
        <w:rPr>
          <w:snapToGrid w:val="0"/>
          <w:kern w:val="22"/>
          <w:szCs w:val="22"/>
        </w:rPr>
        <w:t>iddle East Technical University</w:t>
      </w:r>
    </w:p>
    <w:p w14:paraId="28211C64"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Erdemli, Turkey</w:t>
      </w:r>
    </w:p>
    <w:p w14:paraId="194ADFDA"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E-mail: </w:t>
      </w:r>
      <w:hyperlink r:id="rId49" w:history="1">
        <w:r w:rsidRPr="0088780C">
          <w:rPr>
            <w:rStyle w:val="Hyperlink"/>
            <w:snapToGrid w:val="0"/>
            <w:kern w:val="22"/>
            <w:szCs w:val="22"/>
          </w:rPr>
          <w:t>kideys@gmail.com</w:t>
        </w:r>
      </w:hyperlink>
    </w:p>
    <w:p w14:paraId="687A7886"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p>
    <w:p w14:paraId="67529561"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u w:val="single"/>
        </w:rPr>
      </w:pPr>
      <w:r w:rsidRPr="0088780C">
        <w:rPr>
          <w:snapToGrid w:val="0"/>
          <w:kern w:val="22"/>
          <w:szCs w:val="22"/>
          <w:u w:val="single"/>
        </w:rPr>
        <w:t xml:space="preserve">Centre for Sustainable Development (CENESTA) and </w:t>
      </w:r>
    </w:p>
    <w:p w14:paraId="663990AA" w14:textId="77777777" w:rsidR="007513C1" w:rsidRPr="0088780C" w:rsidRDefault="007513C1" w:rsidP="001013AF">
      <w:pPr>
        <w:suppressLineNumbers/>
        <w:suppressAutoHyphens/>
        <w:kinsoku w:val="0"/>
        <w:overflowPunct w:val="0"/>
        <w:autoSpaceDE w:val="0"/>
        <w:autoSpaceDN w:val="0"/>
        <w:spacing w:before="120" w:after="120"/>
        <w:jc w:val="left"/>
        <w:rPr>
          <w:snapToGrid w:val="0"/>
          <w:kern w:val="22"/>
          <w:szCs w:val="22"/>
          <w:u w:val="single"/>
        </w:rPr>
      </w:pPr>
      <w:r w:rsidRPr="0088780C">
        <w:rPr>
          <w:snapToGrid w:val="0"/>
          <w:kern w:val="22"/>
          <w:szCs w:val="22"/>
          <w:u w:val="single"/>
        </w:rPr>
        <w:t>ICCA Consortium for West and Central Asia</w:t>
      </w:r>
    </w:p>
    <w:p w14:paraId="5CA18235" w14:textId="77777777" w:rsidR="007513C1" w:rsidRPr="0088780C" w:rsidRDefault="007513C1"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Koosha Dab</w:t>
      </w:r>
    </w:p>
    <w:p w14:paraId="3B0D120E"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Senior expert in marine ecology</w:t>
      </w:r>
    </w:p>
    <w:p w14:paraId="7F7A8503"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Centre for Sustainable Development (CENESTA) and </w:t>
      </w:r>
    </w:p>
    <w:p w14:paraId="1A4DD3CE"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ICCA Consortium for West and Central Asia</w:t>
      </w:r>
    </w:p>
    <w:p w14:paraId="36C3484C" w14:textId="7A41EA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Tehran, </w:t>
      </w:r>
      <w:r w:rsidR="00FD2E35" w:rsidRPr="0088780C">
        <w:rPr>
          <w:snapToGrid w:val="0"/>
          <w:kern w:val="22"/>
          <w:szCs w:val="22"/>
        </w:rPr>
        <w:t xml:space="preserve">Islamic Republic of </w:t>
      </w:r>
      <w:r w:rsidRPr="0088780C">
        <w:rPr>
          <w:snapToGrid w:val="0"/>
          <w:kern w:val="22"/>
          <w:szCs w:val="22"/>
        </w:rPr>
        <w:t>Iran</w:t>
      </w:r>
    </w:p>
    <w:p w14:paraId="7CB969DE" w14:textId="77777777" w:rsidR="007513C1" w:rsidRPr="0088780C" w:rsidRDefault="007513C1"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 xml:space="preserve">E-mail: </w:t>
      </w:r>
      <w:hyperlink r:id="rId50" w:history="1">
        <w:r w:rsidRPr="0088780C">
          <w:rPr>
            <w:rStyle w:val="Hyperlink"/>
            <w:snapToGrid w:val="0"/>
            <w:kern w:val="22"/>
            <w:szCs w:val="22"/>
          </w:rPr>
          <w:t>koosha@cenesta.org</w:t>
        </w:r>
      </w:hyperlink>
    </w:p>
    <w:p w14:paraId="72603A06" w14:textId="77777777" w:rsidR="00E703E9" w:rsidRPr="0088780C" w:rsidRDefault="00E703E9" w:rsidP="001013AF">
      <w:pPr>
        <w:suppressLineNumbers/>
        <w:suppressAutoHyphens/>
        <w:kinsoku w:val="0"/>
        <w:overflowPunct w:val="0"/>
        <w:autoSpaceDE w:val="0"/>
        <w:autoSpaceDN w:val="0"/>
        <w:ind w:left="360" w:hanging="360"/>
        <w:rPr>
          <w:snapToGrid w:val="0"/>
          <w:kern w:val="22"/>
          <w:szCs w:val="22"/>
        </w:rPr>
        <w:sectPr w:rsidR="00E703E9" w:rsidRPr="0088780C" w:rsidSect="00A876F3">
          <w:type w:val="continuous"/>
          <w:pgSz w:w="12240" w:h="15840" w:code="1"/>
          <w:pgMar w:top="567" w:right="1440" w:bottom="1134" w:left="1440" w:header="454" w:footer="720" w:gutter="0"/>
          <w:cols w:num="2" w:space="708"/>
          <w:titlePg/>
          <w:docGrid w:linePitch="360"/>
        </w:sectPr>
      </w:pPr>
    </w:p>
    <w:p w14:paraId="504E4FA7" w14:textId="7436B8E6" w:rsidR="007513C1" w:rsidRPr="0088780C" w:rsidRDefault="007513C1" w:rsidP="001013AF">
      <w:pPr>
        <w:suppressLineNumbers/>
        <w:suppressAutoHyphens/>
        <w:kinsoku w:val="0"/>
        <w:overflowPunct w:val="0"/>
        <w:autoSpaceDE w:val="0"/>
        <w:autoSpaceDN w:val="0"/>
        <w:ind w:left="360" w:hanging="360"/>
        <w:rPr>
          <w:snapToGrid w:val="0"/>
          <w:kern w:val="22"/>
          <w:szCs w:val="22"/>
        </w:rPr>
      </w:pPr>
    </w:p>
    <w:p w14:paraId="39B82BC2" w14:textId="77777777" w:rsidR="009E5A9B" w:rsidRPr="0088780C" w:rsidRDefault="009E5A9B" w:rsidP="001013AF">
      <w:pPr>
        <w:suppressLineNumbers/>
        <w:suppressAutoHyphens/>
        <w:kinsoku w:val="0"/>
        <w:overflowPunct w:val="0"/>
        <w:autoSpaceDE w:val="0"/>
        <w:autoSpaceDN w:val="0"/>
        <w:ind w:left="360" w:hanging="360"/>
        <w:rPr>
          <w:snapToGrid w:val="0"/>
          <w:kern w:val="22"/>
          <w:szCs w:val="22"/>
        </w:rPr>
      </w:pPr>
    </w:p>
    <w:p w14:paraId="69737E0D" w14:textId="77777777" w:rsidR="009E5A9B" w:rsidRPr="0088780C" w:rsidRDefault="009E5A9B" w:rsidP="001013AF">
      <w:pPr>
        <w:suppressLineNumbers/>
        <w:suppressAutoHyphens/>
        <w:kinsoku w:val="0"/>
        <w:overflowPunct w:val="0"/>
        <w:autoSpaceDE w:val="0"/>
        <w:autoSpaceDN w:val="0"/>
        <w:ind w:left="360" w:hanging="360"/>
        <w:jc w:val="center"/>
        <w:rPr>
          <w:b/>
          <w:snapToGrid w:val="0"/>
          <w:kern w:val="22"/>
          <w:szCs w:val="22"/>
        </w:rPr>
      </w:pPr>
      <w:r w:rsidRPr="0088780C">
        <w:rPr>
          <w:b/>
          <w:snapToGrid w:val="0"/>
          <w:kern w:val="22"/>
          <w:szCs w:val="22"/>
        </w:rPr>
        <w:t>RESOURCE SPEAKER</w:t>
      </w:r>
    </w:p>
    <w:p w14:paraId="0EB7AAFE" w14:textId="77777777" w:rsidR="009E5A9B" w:rsidRPr="0088780C" w:rsidRDefault="009E5A9B" w:rsidP="001013AF">
      <w:pPr>
        <w:suppressLineNumbers/>
        <w:suppressAutoHyphens/>
        <w:kinsoku w:val="0"/>
        <w:overflowPunct w:val="0"/>
        <w:autoSpaceDE w:val="0"/>
        <w:autoSpaceDN w:val="0"/>
        <w:ind w:left="360" w:hanging="360"/>
        <w:rPr>
          <w:snapToGrid w:val="0"/>
          <w:kern w:val="22"/>
          <w:szCs w:val="22"/>
        </w:rPr>
      </w:pPr>
    </w:p>
    <w:p w14:paraId="372785D3" w14:textId="24B92906" w:rsidR="009E5A9B" w:rsidRPr="0088780C" w:rsidRDefault="00A876F3"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Mr. Vassily Spiridonov</w:t>
      </w:r>
    </w:p>
    <w:p w14:paraId="0245C84C" w14:textId="77777777" w:rsidR="009E5A9B" w:rsidRPr="0088780C" w:rsidRDefault="009E5A9B" w:rsidP="001013AF">
      <w:pPr>
        <w:suppressLineNumbers/>
        <w:suppressAutoHyphens/>
        <w:kinsoku w:val="0"/>
        <w:overflowPunct w:val="0"/>
        <w:autoSpaceDE w:val="0"/>
        <w:autoSpaceDN w:val="0"/>
        <w:ind w:left="360" w:hanging="360"/>
        <w:rPr>
          <w:snapToGrid w:val="0"/>
          <w:kern w:val="22"/>
          <w:szCs w:val="22"/>
        </w:rPr>
      </w:pPr>
      <w:r w:rsidRPr="0088780C">
        <w:rPr>
          <w:snapToGrid w:val="0"/>
          <w:kern w:val="22"/>
          <w:szCs w:val="22"/>
        </w:rPr>
        <w:t>Senior Scientist</w:t>
      </w:r>
      <w:r w:rsidRPr="0088780C">
        <w:rPr>
          <w:snapToGrid w:val="0"/>
          <w:kern w:val="22"/>
          <w:szCs w:val="22"/>
        </w:rPr>
        <w:tab/>
      </w:r>
    </w:p>
    <w:p w14:paraId="4A21BA84" w14:textId="77777777" w:rsidR="009E5A9B" w:rsidRPr="0088780C" w:rsidRDefault="009E5A9B" w:rsidP="001013AF">
      <w:pPr>
        <w:suppressLineNumbers/>
        <w:suppressAutoHyphens/>
        <w:kinsoku w:val="0"/>
        <w:overflowPunct w:val="0"/>
        <w:autoSpaceDE w:val="0"/>
        <w:autoSpaceDN w:val="0"/>
        <w:ind w:left="360" w:hanging="360"/>
        <w:rPr>
          <w:snapToGrid w:val="0"/>
          <w:kern w:val="22"/>
          <w:szCs w:val="22"/>
        </w:rPr>
      </w:pPr>
      <w:r w:rsidRPr="0088780C">
        <w:rPr>
          <w:snapToGrid w:val="0"/>
          <w:kern w:val="22"/>
          <w:szCs w:val="22"/>
        </w:rPr>
        <w:t>P.P. Shirshov Institute for Oceanology</w:t>
      </w:r>
    </w:p>
    <w:p w14:paraId="0AFD288F" w14:textId="77777777" w:rsidR="009E5A9B" w:rsidRPr="0088780C" w:rsidRDefault="009E5A9B" w:rsidP="001013AF">
      <w:pPr>
        <w:suppressLineNumbers/>
        <w:suppressAutoHyphens/>
        <w:kinsoku w:val="0"/>
        <w:overflowPunct w:val="0"/>
        <w:autoSpaceDE w:val="0"/>
        <w:autoSpaceDN w:val="0"/>
        <w:ind w:left="360" w:hanging="360"/>
        <w:rPr>
          <w:snapToGrid w:val="0"/>
          <w:kern w:val="22"/>
          <w:szCs w:val="22"/>
        </w:rPr>
      </w:pPr>
      <w:r w:rsidRPr="0088780C">
        <w:rPr>
          <w:snapToGrid w:val="0"/>
          <w:kern w:val="22"/>
          <w:szCs w:val="22"/>
        </w:rPr>
        <w:t>Russian Academy of Sciences</w:t>
      </w:r>
    </w:p>
    <w:p w14:paraId="2D09AED2" w14:textId="5055F930" w:rsidR="009E5A9B" w:rsidRPr="0088780C" w:rsidRDefault="006806C1" w:rsidP="001013AF">
      <w:pPr>
        <w:suppressLineNumbers/>
        <w:suppressAutoHyphens/>
        <w:kinsoku w:val="0"/>
        <w:overflowPunct w:val="0"/>
        <w:autoSpaceDE w:val="0"/>
        <w:autoSpaceDN w:val="0"/>
        <w:ind w:left="360" w:hanging="360"/>
        <w:rPr>
          <w:snapToGrid w:val="0"/>
          <w:kern w:val="22"/>
          <w:szCs w:val="22"/>
        </w:rPr>
      </w:pPr>
      <w:r w:rsidRPr="0088780C">
        <w:rPr>
          <w:snapToGrid w:val="0"/>
          <w:kern w:val="22"/>
          <w:szCs w:val="22"/>
        </w:rPr>
        <w:t>Moscow, Russian Federation</w:t>
      </w:r>
    </w:p>
    <w:p w14:paraId="678482F5" w14:textId="0D457F61" w:rsidR="009E5A9B" w:rsidRPr="0088780C" w:rsidRDefault="009E5A9B" w:rsidP="001013AF">
      <w:pPr>
        <w:suppressLineNumbers/>
        <w:suppressAutoHyphens/>
        <w:kinsoku w:val="0"/>
        <w:overflowPunct w:val="0"/>
        <w:autoSpaceDE w:val="0"/>
        <w:autoSpaceDN w:val="0"/>
        <w:ind w:left="360" w:hanging="360"/>
        <w:rPr>
          <w:snapToGrid w:val="0"/>
          <w:kern w:val="22"/>
          <w:szCs w:val="22"/>
        </w:rPr>
      </w:pPr>
      <w:r w:rsidRPr="0088780C">
        <w:rPr>
          <w:snapToGrid w:val="0"/>
          <w:kern w:val="22"/>
          <w:szCs w:val="22"/>
        </w:rPr>
        <w:t>E-mail:</w:t>
      </w:r>
      <w:r w:rsidRPr="0088780C">
        <w:rPr>
          <w:snapToGrid w:val="0"/>
          <w:kern w:val="22"/>
          <w:szCs w:val="22"/>
        </w:rPr>
        <w:tab/>
      </w:r>
      <w:hyperlink r:id="rId51" w:history="1">
        <w:r w:rsidR="007513C1" w:rsidRPr="0088780C">
          <w:rPr>
            <w:rStyle w:val="Hyperlink"/>
            <w:snapToGrid w:val="0"/>
            <w:kern w:val="22"/>
            <w:szCs w:val="22"/>
          </w:rPr>
          <w:t>valbertych@mail.ru</w:t>
        </w:r>
      </w:hyperlink>
    </w:p>
    <w:p w14:paraId="61A0D495" w14:textId="77777777" w:rsidR="009E5A9B" w:rsidRPr="0088780C" w:rsidRDefault="009E5A9B" w:rsidP="001013AF">
      <w:pPr>
        <w:suppressLineNumbers/>
        <w:suppressAutoHyphens/>
        <w:kinsoku w:val="0"/>
        <w:overflowPunct w:val="0"/>
        <w:autoSpaceDE w:val="0"/>
        <w:autoSpaceDN w:val="0"/>
        <w:ind w:left="360" w:hanging="360"/>
        <w:rPr>
          <w:snapToGrid w:val="0"/>
          <w:kern w:val="22"/>
          <w:szCs w:val="22"/>
        </w:rPr>
      </w:pPr>
    </w:p>
    <w:p w14:paraId="229DE3F7" w14:textId="77777777" w:rsidR="00A876F3" w:rsidRPr="0088780C" w:rsidRDefault="00A876F3" w:rsidP="001013AF">
      <w:pPr>
        <w:keepNext/>
        <w:keepLines/>
        <w:suppressLineNumbers/>
        <w:tabs>
          <w:tab w:val="center" w:pos="5617"/>
        </w:tabs>
        <w:suppressAutoHyphens/>
        <w:kinsoku w:val="0"/>
        <w:overflowPunct w:val="0"/>
        <w:autoSpaceDE w:val="0"/>
        <w:autoSpaceDN w:val="0"/>
        <w:adjustRightInd w:val="0"/>
        <w:ind w:left="357" w:hanging="357"/>
        <w:jc w:val="center"/>
        <w:rPr>
          <w:b/>
          <w:caps/>
          <w:snapToGrid w:val="0"/>
          <w:kern w:val="22"/>
          <w:szCs w:val="22"/>
        </w:rPr>
      </w:pPr>
    </w:p>
    <w:p w14:paraId="72084153" w14:textId="7EEB4408" w:rsidR="009E5A9B" w:rsidRPr="0088780C" w:rsidRDefault="009E5A9B" w:rsidP="001013AF">
      <w:pPr>
        <w:keepNext/>
        <w:keepLines/>
        <w:suppressLineNumbers/>
        <w:tabs>
          <w:tab w:val="center" w:pos="5617"/>
        </w:tabs>
        <w:suppressAutoHyphens/>
        <w:kinsoku w:val="0"/>
        <w:overflowPunct w:val="0"/>
        <w:autoSpaceDE w:val="0"/>
        <w:autoSpaceDN w:val="0"/>
        <w:adjustRightInd w:val="0"/>
        <w:ind w:left="357" w:hanging="357"/>
        <w:jc w:val="center"/>
        <w:rPr>
          <w:b/>
          <w:bCs/>
          <w:caps/>
          <w:snapToGrid w:val="0"/>
          <w:color w:val="000000"/>
          <w:kern w:val="22"/>
          <w:szCs w:val="22"/>
        </w:rPr>
      </w:pPr>
      <w:r w:rsidRPr="0088780C">
        <w:rPr>
          <w:b/>
          <w:caps/>
          <w:snapToGrid w:val="0"/>
          <w:kern w:val="22"/>
          <w:szCs w:val="22"/>
        </w:rPr>
        <w:t>Technical Support Team</w:t>
      </w:r>
    </w:p>
    <w:p w14:paraId="3463CA6C" w14:textId="77777777" w:rsidR="00E703E9" w:rsidRPr="0088780C" w:rsidRDefault="00E703E9" w:rsidP="001013AF">
      <w:pPr>
        <w:keepNext/>
        <w:keepLines/>
        <w:suppressLineNumbers/>
        <w:tabs>
          <w:tab w:val="right" w:pos="563"/>
          <w:tab w:val="left" w:pos="810"/>
          <w:tab w:val="right" w:pos="10217"/>
        </w:tabs>
        <w:suppressAutoHyphens/>
        <w:kinsoku w:val="0"/>
        <w:overflowPunct w:val="0"/>
        <w:autoSpaceDE w:val="0"/>
        <w:autoSpaceDN w:val="0"/>
        <w:adjustRightInd w:val="0"/>
        <w:ind w:left="360" w:hanging="360"/>
        <w:rPr>
          <w:bCs/>
          <w:snapToGrid w:val="0"/>
          <w:color w:val="000000"/>
          <w:kern w:val="22"/>
          <w:szCs w:val="22"/>
          <w:u w:val="single"/>
        </w:rPr>
        <w:sectPr w:rsidR="00E703E9" w:rsidRPr="0088780C" w:rsidSect="00A876F3">
          <w:type w:val="continuous"/>
          <w:pgSz w:w="12240" w:h="15840" w:code="1"/>
          <w:pgMar w:top="567" w:right="1440" w:bottom="1134" w:left="1440" w:header="454" w:footer="720" w:gutter="0"/>
          <w:cols w:space="708"/>
          <w:titlePg/>
          <w:docGrid w:linePitch="360"/>
        </w:sectPr>
      </w:pPr>
    </w:p>
    <w:p w14:paraId="41BF0E41" w14:textId="65BA3A84" w:rsidR="009E5A9B" w:rsidRPr="0088780C" w:rsidRDefault="009E5A9B" w:rsidP="001013AF">
      <w:pPr>
        <w:keepNext/>
        <w:keepLines/>
        <w:suppressLineNumbers/>
        <w:tabs>
          <w:tab w:val="right" w:pos="563"/>
          <w:tab w:val="left" w:pos="810"/>
          <w:tab w:val="right" w:pos="10217"/>
        </w:tabs>
        <w:suppressAutoHyphens/>
        <w:kinsoku w:val="0"/>
        <w:overflowPunct w:val="0"/>
        <w:autoSpaceDE w:val="0"/>
        <w:autoSpaceDN w:val="0"/>
        <w:adjustRightInd w:val="0"/>
        <w:ind w:left="360" w:hanging="360"/>
        <w:rPr>
          <w:bCs/>
          <w:snapToGrid w:val="0"/>
          <w:color w:val="000000"/>
          <w:kern w:val="22"/>
          <w:szCs w:val="22"/>
          <w:u w:val="single"/>
        </w:rPr>
      </w:pPr>
    </w:p>
    <w:p w14:paraId="2B4C6ABE" w14:textId="77777777" w:rsidR="00E703E9" w:rsidRPr="0088780C" w:rsidRDefault="00E703E9" w:rsidP="001013AF">
      <w:pPr>
        <w:numPr>
          <w:ilvl w:val="0"/>
          <w:numId w:val="8"/>
        </w:numPr>
        <w:suppressLineNumbers/>
        <w:tabs>
          <w:tab w:val="left" w:pos="810"/>
          <w:tab w:val="right" w:pos="10217"/>
        </w:tabs>
        <w:suppressAutoHyphens/>
        <w:kinsoku w:val="0"/>
        <w:overflowPunct w:val="0"/>
        <w:autoSpaceDE w:val="0"/>
        <w:autoSpaceDN w:val="0"/>
        <w:adjustRightInd w:val="0"/>
        <w:ind w:left="360"/>
        <w:jc w:val="left"/>
        <w:rPr>
          <w:snapToGrid w:val="0"/>
          <w:kern w:val="22"/>
          <w:szCs w:val="22"/>
        </w:rPr>
        <w:sectPr w:rsidR="00E703E9" w:rsidRPr="0088780C" w:rsidSect="00A876F3">
          <w:type w:val="continuous"/>
          <w:pgSz w:w="12240" w:h="15840" w:code="1"/>
          <w:pgMar w:top="567" w:right="1440" w:bottom="1134" w:left="1440" w:header="454" w:footer="720" w:gutter="0"/>
          <w:cols w:space="708"/>
          <w:titlePg/>
          <w:docGrid w:linePitch="360"/>
        </w:sectPr>
      </w:pPr>
    </w:p>
    <w:p w14:paraId="5992AC41" w14:textId="51BF19C5" w:rsidR="009E5A9B" w:rsidRPr="0088780C" w:rsidRDefault="009E5A9B" w:rsidP="001013AF">
      <w:pPr>
        <w:numPr>
          <w:ilvl w:val="0"/>
          <w:numId w:val="8"/>
        </w:numPr>
        <w:suppressLineNumbers/>
        <w:tabs>
          <w:tab w:val="left" w:pos="810"/>
          <w:tab w:val="right" w:pos="10217"/>
        </w:tabs>
        <w:suppressAutoHyphens/>
        <w:kinsoku w:val="0"/>
        <w:overflowPunct w:val="0"/>
        <w:autoSpaceDE w:val="0"/>
        <w:autoSpaceDN w:val="0"/>
        <w:adjustRightInd w:val="0"/>
        <w:ind w:left="360"/>
        <w:jc w:val="left"/>
        <w:rPr>
          <w:snapToGrid w:val="0"/>
          <w:color w:val="000000"/>
          <w:kern w:val="22"/>
          <w:szCs w:val="22"/>
        </w:rPr>
      </w:pPr>
      <w:r w:rsidRPr="0088780C">
        <w:rPr>
          <w:snapToGrid w:val="0"/>
          <w:kern w:val="22"/>
          <w:szCs w:val="22"/>
        </w:rPr>
        <w:t>Mr</w:t>
      </w:r>
      <w:r w:rsidRPr="0088780C">
        <w:rPr>
          <w:snapToGrid w:val="0"/>
          <w:color w:val="000000"/>
          <w:kern w:val="22"/>
          <w:szCs w:val="22"/>
        </w:rPr>
        <w:t>. Patrick N. Halpin</w:t>
      </w:r>
      <w:r w:rsidRPr="0088780C">
        <w:rPr>
          <w:snapToGrid w:val="0"/>
          <w:kern w:val="22"/>
          <w:szCs w:val="22"/>
        </w:rPr>
        <w:tab/>
      </w:r>
      <w:r w:rsidRPr="0088780C">
        <w:rPr>
          <w:snapToGrid w:val="0"/>
          <w:color w:val="000000"/>
          <w:kern w:val="22"/>
          <w:szCs w:val="22"/>
        </w:rPr>
        <w:t xml:space="preserve"> </w:t>
      </w:r>
    </w:p>
    <w:p w14:paraId="6AE70EE1" w14:textId="77777777" w:rsidR="009E5A9B" w:rsidRPr="0088780C" w:rsidRDefault="009E5A9B" w:rsidP="001013AF">
      <w:pPr>
        <w:suppressLineNumbers/>
        <w:tabs>
          <w:tab w:val="left" w:pos="810"/>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Associate Professor of Marine Geospatial Ecology, Director OBIS - SEAMAP</w:t>
      </w:r>
    </w:p>
    <w:p w14:paraId="3D32C2B4" w14:textId="77777777" w:rsidR="009E5A9B" w:rsidRPr="0088780C" w:rsidRDefault="009E5A9B" w:rsidP="001013AF">
      <w:pPr>
        <w:suppressLineNumbers/>
        <w:tabs>
          <w:tab w:val="left" w:pos="810"/>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Nicholas School of the Environment - Duke University Marine Lab</w:t>
      </w:r>
    </w:p>
    <w:p w14:paraId="5F643BB2" w14:textId="77777777" w:rsidR="009E5A9B" w:rsidRPr="0088780C" w:rsidRDefault="009E5A9B" w:rsidP="001013AF">
      <w:pPr>
        <w:suppressLineNumbers/>
        <w:tabs>
          <w:tab w:val="left" w:pos="810"/>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Duke University</w:t>
      </w:r>
    </w:p>
    <w:p w14:paraId="2353005F" w14:textId="77777777" w:rsidR="009E5A9B" w:rsidRPr="0088780C" w:rsidRDefault="009E5A9B" w:rsidP="001013AF">
      <w:pPr>
        <w:suppressLineNumbers/>
        <w:tabs>
          <w:tab w:val="left" w:pos="810"/>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North Carolina, United States of America</w:t>
      </w:r>
    </w:p>
    <w:p w14:paraId="4241F4C8" w14:textId="77777777" w:rsidR="009E5A9B" w:rsidRPr="0088780C" w:rsidRDefault="009E5A9B" w:rsidP="001013AF">
      <w:pPr>
        <w:suppressLineNumbers/>
        <w:tabs>
          <w:tab w:val="left" w:pos="810"/>
          <w:tab w:val="right" w:pos="1293"/>
          <w:tab w:val="left" w:pos="1383"/>
        </w:tabs>
        <w:suppressAutoHyphens/>
        <w:kinsoku w:val="0"/>
        <w:overflowPunct w:val="0"/>
        <w:autoSpaceDE w:val="0"/>
        <w:autoSpaceDN w:val="0"/>
        <w:adjustRightInd w:val="0"/>
        <w:ind w:left="360" w:hanging="360"/>
        <w:jc w:val="left"/>
        <w:rPr>
          <w:snapToGrid w:val="0"/>
          <w:color w:val="0000FF"/>
          <w:kern w:val="22"/>
          <w:szCs w:val="22"/>
        </w:rPr>
      </w:pPr>
      <w:r w:rsidRPr="0088780C">
        <w:rPr>
          <w:snapToGrid w:val="0"/>
          <w:color w:val="000000"/>
          <w:kern w:val="22"/>
          <w:szCs w:val="22"/>
        </w:rPr>
        <w:t xml:space="preserve">E-mail: </w:t>
      </w:r>
      <w:hyperlink r:id="rId52" w:history="1">
        <w:r w:rsidRPr="0088780C">
          <w:rPr>
            <w:rStyle w:val="Hyperlink"/>
            <w:snapToGrid w:val="0"/>
            <w:kern w:val="22"/>
            <w:szCs w:val="22"/>
          </w:rPr>
          <w:t>phalpin@duke.edu</w:t>
        </w:r>
      </w:hyperlink>
    </w:p>
    <w:p w14:paraId="7758864D" w14:textId="4BB1728E" w:rsidR="009E5A9B" w:rsidRPr="0088780C" w:rsidRDefault="009E5A9B" w:rsidP="001013AF">
      <w:pPr>
        <w:suppressLineNumbers/>
        <w:tabs>
          <w:tab w:val="right" w:pos="563"/>
          <w:tab w:val="left" w:pos="726"/>
          <w:tab w:val="right" w:pos="10217"/>
        </w:tabs>
        <w:suppressAutoHyphens/>
        <w:kinsoku w:val="0"/>
        <w:overflowPunct w:val="0"/>
        <w:autoSpaceDE w:val="0"/>
        <w:autoSpaceDN w:val="0"/>
        <w:adjustRightInd w:val="0"/>
        <w:ind w:left="360" w:hanging="360"/>
        <w:jc w:val="left"/>
        <w:rPr>
          <w:snapToGrid w:val="0"/>
          <w:color w:val="000000"/>
          <w:kern w:val="22"/>
          <w:szCs w:val="22"/>
        </w:rPr>
      </w:pPr>
    </w:p>
    <w:p w14:paraId="1A253C86" w14:textId="77777777" w:rsidR="009E5A9B" w:rsidRPr="0088780C" w:rsidRDefault="009E5A9B" w:rsidP="001013AF">
      <w:pPr>
        <w:numPr>
          <w:ilvl w:val="0"/>
          <w:numId w:val="8"/>
        </w:numPr>
        <w:suppressLineNumbers/>
        <w:tabs>
          <w:tab w:val="right" w:pos="563"/>
          <w:tab w:val="left" w:pos="726"/>
          <w:tab w:val="right" w:pos="10217"/>
        </w:tabs>
        <w:suppressAutoHyphens/>
        <w:kinsoku w:val="0"/>
        <w:overflowPunct w:val="0"/>
        <w:autoSpaceDE w:val="0"/>
        <w:autoSpaceDN w:val="0"/>
        <w:adjustRightInd w:val="0"/>
        <w:ind w:left="360"/>
        <w:jc w:val="left"/>
        <w:rPr>
          <w:snapToGrid w:val="0"/>
          <w:color w:val="000000"/>
          <w:kern w:val="22"/>
          <w:szCs w:val="22"/>
        </w:rPr>
      </w:pPr>
      <w:r w:rsidRPr="0088780C">
        <w:rPr>
          <w:snapToGrid w:val="0"/>
          <w:color w:val="000000"/>
          <w:kern w:val="22"/>
          <w:szCs w:val="22"/>
        </w:rPr>
        <w:t>Mr. Jesse Cleary</w:t>
      </w:r>
      <w:r w:rsidRPr="0088780C">
        <w:rPr>
          <w:snapToGrid w:val="0"/>
          <w:kern w:val="22"/>
          <w:szCs w:val="22"/>
        </w:rPr>
        <w:tab/>
      </w:r>
      <w:r w:rsidRPr="0088780C">
        <w:rPr>
          <w:snapToGrid w:val="0"/>
          <w:color w:val="000000"/>
          <w:kern w:val="22"/>
          <w:szCs w:val="22"/>
        </w:rPr>
        <w:t xml:space="preserve"> </w:t>
      </w:r>
    </w:p>
    <w:p w14:paraId="218FA099"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Research Analyst</w:t>
      </w:r>
    </w:p>
    <w:p w14:paraId="1E10BEBD"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Marine Geospatial Ecology Lab, Nicholas School of the Environment</w:t>
      </w:r>
    </w:p>
    <w:p w14:paraId="03721222"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Duke University</w:t>
      </w:r>
    </w:p>
    <w:p w14:paraId="4A2E620A"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North Carolina, United States of America</w:t>
      </w:r>
    </w:p>
    <w:p w14:paraId="7074029B" w14:textId="035EB7DD" w:rsidR="009E5A9B" w:rsidRPr="00E7219D" w:rsidRDefault="009E5A9B" w:rsidP="001013AF">
      <w:pPr>
        <w:suppressLineNumbers/>
        <w:tabs>
          <w:tab w:val="right" w:pos="1293"/>
          <w:tab w:val="left" w:pos="1383"/>
        </w:tabs>
        <w:suppressAutoHyphens/>
        <w:kinsoku w:val="0"/>
        <w:overflowPunct w:val="0"/>
        <w:autoSpaceDE w:val="0"/>
        <w:autoSpaceDN w:val="0"/>
        <w:adjustRightInd w:val="0"/>
        <w:jc w:val="left"/>
        <w:rPr>
          <w:snapToGrid w:val="0"/>
          <w:color w:val="0000FF"/>
          <w:kern w:val="22"/>
          <w:szCs w:val="22"/>
          <w:lang w:val="fr-FR"/>
        </w:rPr>
      </w:pPr>
      <w:r w:rsidRPr="0088780C">
        <w:rPr>
          <w:snapToGrid w:val="0"/>
          <w:kern w:val="22"/>
          <w:szCs w:val="22"/>
        </w:rPr>
        <w:tab/>
      </w:r>
      <w:r w:rsidRPr="00E7219D">
        <w:rPr>
          <w:snapToGrid w:val="0"/>
          <w:color w:val="000000"/>
          <w:kern w:val="22"/>
          <w:szCs w:val="22"/>
          <w:lang w:val="fr-FR"/>
        </w:rPr>
        <w:t xml:space="preserve">E-mail: </w:t>
      </w:r>
      <w:hyperlink r:id="rId53" w:history="1">
        <w:r w:rsidR="007513C1" w:rsidRPr="00E7219D">
          <w:rPr>
            <w:rStyle w:val="Hyperlink"/>
            <w:snapToGrid w:val="0"/>
            <w:kern w:val="22"/>
            <w:szCs w:val="22"/>
            <w:lang w:val="fr-FR"/>
          </w:rPr>
          <w:t>jesse.cleary@duke.edu</w:t>
        </w:r>
      </w:hyperlink>
    </w:p>
    <w:p w14:paraId="2D94E082" w14:textId="7184813B" w:rsidR="009E5A9B" w:rsidRPr="00E7219D" w:rsidRDefault="009E5A9B" w:rsidP="001013AF">
      <w:pPr>
        <w:suppressLineNumbers/>
        <w:tabs>
          <w:tab w:val="right" w:pos="563"/>
          <w:tab w:val="left" w:pos="726"/>
          <w:tab w:val="right" w:pos="10217"/>
        </w:tabs>
        <w:suppressAutoHyphens/>
        <w:kinsoku w:val="0"/>
        <w:overflowPunct w:val="0"/>
        <w:autoSpaceDE w:val="0"/>
        <w:autoSpaceDN w:val="0"/>
        <w:adjustRightInd w:val="0"/>
        <w:ind w:left="360" w:hanging="360"/>
        <w:jc w:val="left"/>
        <w:rPr>
          <w:snapToGrid w:val="0"/>
          <w:kern w:val="22"/>
          <w:szCs w:val="22"/>
          <w:lang w:val="fr-FR"/>
        </w:rPr>
      </w:pPr>
    </w:p>
    <w:p w14:paraId="437599CB" w14:textId="77777777" w:rsidR="009E5A9B" w:rsidRPr="0088780C" w:rsidRDefault="009E5A9B" w:rsidP="001013AF">
      <w:pPr>
        <w:numPr>
          <w:ilvl w:val="0"/>
          <w:numId w:val="8"/>
        </w:numPr>
        <w:suppressLineNumbers/>
        <w:tabs>
          <w:tab w:val="right" w:pos="563"/>
          <w:tab w:val="left" w:pos="726"/>
          <w:tab w:val="right" w:pos="10217"/>
        </w:tabs>
        <w:suppressAutoHyphens/>
        <w:kinsoku w:val="0"/>
        <w:overflowPunct w:val="0"/>
        <w:autoSpaceDE w:val="0"/>
        <w:autoSpaceDN w:val="0"/>
        <w:adjustRightInd w:val="0"/>
        <w:ind w:left="360"/>
        <w:jc w:val="left"/>
        <w:rPr>
          <w:snapToGrid w:val="0"/>
          <w:color w:val="000000"/>
          <w:kern w:val="22"/>
          <w:szCs w:val="22"/>
        </w:rPr>
      </w:pPr>
      <w:r w:rsidRPr="0088780C">
        <w:rPr>
          <w:snapToGrid w:val="0"/>
          <w:color w:val="000000"/>
          <w:kern w:val="22"/>
          <w:szCs w:val="22"/>
        </w:rPr>
        <w:t>Mr. Ben Donnelly</w:t>
      </w:r>
      <w:r w:rsidRPr="0088780C">
        <w:rPr>
          <w:snapToGrid w:val="0"/>
          <w:kern w:val="22"/>
          <w:szCs w:val="22"/>
        </w:rPr>
        <w:tab/>
      </w:r>
      <w:r w:rsidRPr="0088780C">
        <w:rPr>
          <w:snapToGrid w:val="0"/>
          <w:color w:val="000000"/>
          <w:kern w:val="22"/>
          <w:szCs w:val="22"/>
        </w:rPr>
        <w:t xml:space="preserve"> </w:t>
      </w:r>
    </w:p>
    <w:p w14:paraId="1199CDED"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Research Analyst</w:t>
      </w:r>
    </w:p>
    <w:p w14:paraId="547DB405"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Marine Geospatial Ecology Lab, Nicholas School of the Environment</w:t>
      </w:r>
    </w:p>
    <w:p w14:paraId="7570031F"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Duke University</w:t>
      </w:r>
    </w:p>
    <w:p w14:paraId="6534BE43"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color w:val="000000"/>
          <w:kern w:val="22"/>
          <w:szCs w:val="22"/>
        </w:rPr>
        <w:t>North Carolina, United States of America</w:t>
      </w:r>
    </w:p>
    <w:p w14:paraId="3373EFE0" w14:textId="3E347704" w:rsidR="009E5A9B" w:rsidRPr="0088780C" w:rsidRDefault="009E5A9B" w:rsidP="001013AF">
      <w:pPr>
        <w:suppressLineNumbers/>
        <w:tabs>
          <w:tab w:val="right" w:pos="1293"/>
          <w:tab w:val="left" w:pos="1383"/>
        </w:tabs>
        <w:suppressAutoHyphens/>
        <w:kinsoku w:val="0"/>
        <w:overflowPunct w:val="0"/>
        <w:autoSpaceDE w:val="0"/>
        <w:autoSpaceDN w:val="0"/>
        <w:adjustRightInd w:val="0"/>
        <w:jc w:val="left"/>
        <w:rPr>
          <w:snapToGrid w:val="0"/>
          <w:color w:val="0000FF"/>
          <w:kern w:val="22"/>
          <w:szCs w:val="22"/>
        </w:rPr>
      </w:pPr>
      <w:r w:rsidRPr="0088780C">
        <w:rPr>
          <w:snapToGrid w:val="0"/>
          <w:kern w:val="22"/>
          <w:szCs w:val="22"/>
        </w:rPr>
        <w:tab/>
      </w:r>
      <w:r w:rsidRPr="0088780C">
        <w:rPr>
          <w:snapToGrid w:val="0"/>
          <w:color w:val="000000"/>
          <w:kern w:val="22"/>
          <w:szCs w:val="22"/>
        </w:rPr>
        <w:t xml:space="preserve">E-mail: </w:t>
      </w:r>
      <w:hyperlink r:id="rId54" w:history="1">
        <w:r w:rsidR="007513C1" w:rsidRPr="0088780C">
          <w:rPr>
            <w:rStyle w:val="Hyperlink"/>
            <w:snapToGrid w:val="0"/>
            <w:kern w:val="22"/>
            <w:szCs w:val="22"/>
          </w:rPr>
          <w:t>bendy@duke.edu</w:t>
        </w:r>
      </w:hyperlink>
    </w:p>
    <w:p w14:paraId="01C62E8F" w14:textId="77777777" w:rsidR="009E5A9B" w:rsidRPr="0088780C" w:rsidRDefault="009E5A9B" w:rsidP="001013AF">
      <w:pPr>
        <w:suppressLineNumbers/>
        <w:tabs>
          <w:tab w:val="right" w:pos="563"/>
          <w:tab w:val="left" w:pos="726"/>
          <w:tab w:val="right" w:pos="10217"/>
        </w:tabs>
        <w:suppressAutoHyphens/>
        <w:kinsoku w:val="0"/>
        <w:overflowPunct w:val="0"/>
        <w:autoSpaceDE w:val="0"/>
        <w:autoSpaceDN w:val="0"/>
        <w:adjustRightInd w:val="0"/>
        <w:ind w:left="360" w:hanging="360"/>
        <w:jc w:val="left"/>
        <w:rPr>
          <w:snapToGrid w:val="0"/>
          <w:color w:val="000000"/>
          <w:kern w:val="22"/>
          <w:szCs w:val="22"/>
        </w:rPr>
      </w:pPr>
      <w:r w:rsidRPr="0088780C">
        <w:rPr>
          <w:snapToGrid w:val="0"/>
          <w:kern w:val="22"/>
          <w:szCs w:val="22"/>
        </w:rPr>
        <w:tab/>
      </w:r>
      <w:r w:rsidRPr="0088780C">
        <w:rPr>
          <w:snapToGrid w:val="0"/>
          <w:color w:val="000000"/>
          <w:kern w:val="22"/>
          <w:szCs w:val="22"/>
        </w:rPr>
        <w:t xml:space="preserve"> </w:t>
      </w:r>
    </w:p>
    <w:p w14:paraId="2AF4D0AF"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 xml:space="preserve">Mr. Linas Svolkinas </w:t>
      </w:r>
    </w:p>
    <w:p w14:paraId="0CF68DEA"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Researcher</w:t>
      </w:r>
    </w:p>
    <w:p w14:paraId="69AF074C"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School of Earth and Environment</w:t>
      </w:r>
    </w:p>
    <w:p w14:paraId="7AB7DEC6"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University of Leeds</w:t>
      </w:r>
    </w:p>
    <w:p w14:paraId="7AEA4EE8" w14:textId="77777777" w:rsidR="009E5A9B" w:rsidRPr="0088780C" w:rsidRDefault="009E5A9B" w:rsidP="001013AF">
      <w:pPr>
        <w:suppressLineNumbers/>
        <w:suppressAutoHyphens/>
        <w:kinsoku w:val="0"/>
        <w:overflowPunct w:val="0"/>
        <w:autoSpaceDE w:val="0"/>
        <w:autoSpaceDN w:val="0"/>
        <w:ind w:left="360" w:hanging="360"/>
        <w:jc w:val="left"/>
        <w:rPr>
          <w:snapToGrid w:val="0"/>
          <w:kern w:val="22"/>
          <w:szCs w:val="22"/>
        </w:rPr>
      </w:pPr>
      <w:r w:rsidRPr="0088780C">
        <w:rPr>
          <w:snapToGrid w:val="0"/>
          <w:kern w:val="22"/>
          <w:szCs w:val="22"/>
        </w:rPr>
        <w:t>Leeds, United Kingdom of Great Britain and Northern Ireland</w:t>
      </w:r>
    </w:p>
    <w:p w14:paraId="4E67F8FE" w14:textId="77777777" w:rsidR="00E703E9" w:rsidRPr="0088780C" w:rsidRDefault="009E5A9B" w:rsidP="001013AF">
      <w:pPr>
        <w:suppressLineNumbers/>
        <w:suppressAutoHyphens/>
        <w:kinsoku w:val="0"/>
        <w:overflowPunct w:val="0"/>
        <w:autoSpaceDE w:val="0"/>
        <w:autoSpaceDN w:val="0"/>
        <w:ind w:left="360" w:hanging="360"/>
        <w:jc w:val="left"/>
        <w:rPr>
          <w:snapToGrid w:val="0"/>
          <w:kern w:val="22"/>
          <w:szCs w:val="22"/>
        </w:rPr>
        <w:sectPr w:rsidR="00E703E9" w:rsidRPr="0088780C" w:rsidSect="00A876F3">
          <w:type w:val="continuous"/>
          <w:pgSz w:w="12240" w:h="15840" w:code="1"/>
          <w:pgMar w:top="567" w:right="1440" w:bottom="1134" w:left="1440" w:header="454" w:footer="720" w:gutter="0"/>
          <w:cols w:num="2" w:space="708"/>
          <w:titlePg/>
          <w:docGrid w:linePitch="360"/>
        </w:sectPr>
      </w:pPr>
      <w:r w:rsidRPr="0088780C">
        <w:rPr>
          <w:snapToGrid w:val="0"/>
          <w:kern w:val="22"/>
          <w:szCs w:val="22"/>
        </w:rPr>
        <w:t xml:space="preserve">Email: </w:t>
      </w:r>
      <w:hyperlink r:id="rId55" w:history="1">
        <w:r w:rsidR="007513C1" w:rsidRPr="0088780C">
          <w:rPr>
            <w:rStyle w:val="Hyperlink"/>
            <w:snapToGrid w:val="0"/>
            <w:kern w:val="22"/>
            <w:szCs w:val="22"/>
          </w:rPr>
          <w:t>eelsv@leeds.ac.uk</w:t>
        </w:r>
      </w:hyperlink>
      <w:r w:rsidR="007513C1" w:rsidRPr="0088780C">
        <w:rPr>
          <w:snapToGrid w:val="0"/>
          <w:kern w:val="22"/>
          <w:szCs w:val="22"/>
        </w:rPr>
        <w:t xml:space="preserve"> </w:t>
      </w:r>
    </w:p>
    <w:p w14:paraId="16E95EA3" w14:textId="77777777" w:rsidR="00E703E9" w:rsidRPr="0088780C" w:rsidRDefault="00E703E9" w:rsidP="001013AF">
      <w:pPr>
        <w:suppressLineNumbers/>
        <w:suppressAutoHyphens/>
        <w:kinsoku w:val="0"/>
        <w:overflowPunct w:val="0"/>
        <w:autoSpaceDE w:val="0"/>
        <w:autoSpaceDN w:val="0"/>
        <w:ind w:left="360" w:hanging="360"/>
        <w:rPr>
          <w:snapToGrid w:val="0"/>
          <w:kern w:val="22"/>
          <w:szCs w:val="22"/>
        </w:rPr>
        <w:sectPr w:rsidR="00E703E9" w:rsidRPr="0088780C" w:rsidSect="00A876F3">
          <w:type w:val="continuous"/>
          <w:pgSz w:w="12240" w:h="15840" w:code="1"/>
          <w:pgMar w:top="567" w:right="1440" w:bottom="1134" w:left="1440" w:header="454" w:footer="720" w:gutter="0"/>
          <w:cols w:space="708"/>
          <w:titlePg/>
          <w:docGrid w:linePitch="360"/>
        </w:sectPr>
      </w:pPr>
    </w:p>
    <w:p w14:paraId="09E21997" w14:textId="2DA7BC23" w:rsidR="009E5A9B" w:rsidRPr="0088780C" w:rsidRDefault="009E5A9B" w:rsidP="001013AF">
      <w:pPr>
        <w:suppressLineNumbers/>
        <w:suppressAutoHyphens/>
        <w:kinsoku w:val="0"/>
        <w:overflowPunct w:val="0"/>
        <w:autoSpaceDE w:val="0"/>
        <w:autoSpaceDN w:val="0"/>
        <w:ind w:left="360" w:hanging="360"/>
        <w:rPr>
          <w:snapToGrid w:val="0"/>
          <w:kern w:val="22"/>
          <w:szCs w:val="22"/>
        </w:rPr>
      </w:pPr>
    </w:p>
    <w:p w14:paraId="0922CD6B" w14:textId="77777777" w:rsidR="009E5A9B" w:rsidRPr="0088780C" w:rsidRDefault="009E5A9B" w:rsidP="001013AF">
      <w:pPr>
        <w:suppressLineNumbers/>
        <w:tabs>
          <w:tab w:val="left" w:pos="90"/>
        </w:tabs>
        <w:suppressAutoHyphens/>
        <w:kinsoku w:val="0"/>
        <w:overflowPunct w:val="0"/>
        <w:autoSpaceDE w:val="0"/>
        <w:autoSpaceDN w:val="0"/>
        <w:adjustRightInd w:val="0"/>
        <w:spacing w:before="198"/>
        <w:ind w:left="360" w:hanging="360"/>
        <w:jc w:val="center"/>
        <w:rPr>
          <w:b/>
          <w:bCs/>
          <w:caps/>
          <w:snapToGrid w:val="0"/>
          <w:color w:val="000000"/>
          <w:kern w:val="22"/>
          <w:szCs w:val="22"/>
        </w:rPr>
      </w:pPr>
      <w:r w:rsidRPr="0088780C">
        <w:rPr>
          <w:b/>
          <w:bCs/>
          <w:caps/>
          <w:snapToGrid w:val="0"/>
          <w:color w:val="000000"/>
          <w:kern w:val="22"/>
          <w:szCs w:val="22"/>
        </w:rPr>
        <w:t>Secretariat of the Convention on Biological Diversity</w:t>
      </w:r>
    </w:p>
    <w:p w14:paraId="172F477B" w14:textId="77777777" w:rsidR="009E5A9B" w:rsidRPr="0088780C" w:rsidRDefault="009E5A9B" w:rsidP="001013AF">
      <w:pPr>
        <w:numPr>
          <w:ilvl w:val="0"/>
          <w:numId w:val="8"/>
        </w:numPr>
        <w:suppressLineNumbers/>
        <w:tabs>
          <w:tab w:val="right" w:pos="563"/>
          <w:tab w:val="left" w:pos="690"/>
        </w:tabs>
        <w:suppressAutoHyphens/>
        <w:kinsoku w:val="0"/>
        <w:overflowPunct w:val="0"/>
        <w:autoSpaceDE w:val="0"/>
        <w:autoSpaceDN w:val="0"/>
        <w:adjustRightInd w:val="0"/>
        <w:spacing w:before="197"/>
        <w:ind w:left="360"/>
        <w:jc w:val="left"/>
        <w:rPr>
          <w:snapToGrid w:val="0"/>
          <w:color w:val="000000"/>
          <w:kern w:val="22"/>
          <w:szCs w:val="22"/>
        </w:rPr>
      </w:pPr>
      <w:r w:rsidRPr="0088780C">
        <w:rPr>
          <w:snapToGrid w:val="0"/>
          <w:color w:val="000000"/>
          <w:kern w:val="22"/>
          <w:szCs w:val="22"/>
        </w:rPr>
        <w:t>Ms. Jihyun Lee</w:t>
      </w:r>
    </w:p>
    <w:p w14:paraId="0BD609B6" w14:textId="3605BCAB" w:rsidR="009E5A9B" w:rsidRPr="0088780C" w:rsidRDefault="009E5A9B" w:rsidP="001013AF">
      <w:pPr>
        <w:suppressLineNumbers/>
        <w:tabs>
          <w:tab w:val="left" w:pos="726"/>
        </w:tabs>
        <w:suppressAutoHyphens/>
        <w:kinsoku w:val="0"/>
        <w:overflowPunct w:val="0"/>
        <w:autoSpaceDE w:val="0"/>
        <w:autoSpaceDN w:val="0"/>
        <w:adjustRightInd w:val="0"/>
        <w:ind w:left="360" w:hanging="360"/>
        <w:rPr>
          <w:snapToGrid w:val="0"/>
          <w:color w:val="000000"/>
          <w:kern w:val="22"/>
          <w:szCs w:val="22"/>
        </w:rPr>
      </w:pPr>
      <w:r w:rsidRPr="0088780C">
        <w:rPr>
          <w:snapToGrid w:val="0"/>
          <w:color w:val="000000"/>
          <w:kern w:val="22"/>
          <w:szCs w:val="22"/>
        </w:rPr>
        <w:t>Environmental Affairs Officer</w:t>
      </w:r>
      <w:r w:rsidR="007513C1" w:rsidRPr="0088780C">
        <w:rPr>
          <w:snapToGrid w:val="0"/>
          <w:color w:val="000000"/>
          <w:kern w:val="22"/>
          <w:szCs w:val="22"/>
        </w:rPr>
        <w:t xml:space="preserve"> for</w:t>
      </w:r>
    </w:p>
    <w:p w14:paraId="68F2647B" w14:textId="1523BAE0" w:rsidR="007513C1" w:rsidRPr="0088780C" w:rsidRDefault="007513C1" w:rsidP="001013AF">
      <w:pPr>
        <w:suppressLineNumbers/>
        <w:tabs>
          <w:tab w:val="left" w:pos="726"/>
        </w:tabs>
        <w:suppressAutoHyphens/>
        <w:kinsoku w:val="0"/>
        <w:overflowPunct w:val="0"/>
        <w:autoSpaceDE w:val="0"/>
        <w:autoSpaceDN w:val="0"/>
        <w:adjustRightInd w:val="0"/>
        <w:ind w:left="360" w:hanging="360"/>
        <w:rPr>
          <w:snapToGrid w:val="0"/>
          <w:color w:val="000000"/>
          <w:kern w:val="22"/>
          <w:szCs w:val="22"/>
        </w:rPr>
      </w:pPr>
      <w:r w:rsidRPr="0088780C">
        <w:rPr>
          <w:snapToGrid w:val="0"/>
          <w:color w:val="000000"/>
          <w:kern w:val="22"/>
          <w:szCs w:val="22"/>
        </w:rPr>
        <w:t>Marine and Coastal Biodiversity</w:t>
      </w:r>
    </w:p>
    <w:p w14:paraId="6E459F68"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rPr>
          <w:snapToGrid w:val="0"/>
          <w:color w:val="000000"/>
          <w:kern w:val="22"/>
          <w:szCs w:val="22"/>
        </w:rPr>
      </w:pPr>
      <w:r w:rsidRPr="0088780C">
        <w:rPr>
          <w:snapToGrid w:val="0"/>
          <w:color w:val="000000"/>
          <w:kern w:val="22"/>
          <w:szCs w:val="22"/>
        </w:rPr>
        <w:t>Secretariat of the Convention on Biological Diversity</w:t>
      </w:r>
    </w:p>
    <w:p w14:paraId="000142A9"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rPr>
          <w:snapToGrid w:val="0"/>
          <w:color w:val="000000"/>
          <w:kern w:val="22"/>
          <w:szCs w:val="22"/>
        </w:rPr>
      </w:pPr>
      <w:r w:rsidRPr="0088780C">
        <w:rPr>
          <w:snapToGrid w:val="0"/>
          <w:color w:val="000000"/>
          <w:kern w:val="22"/>
          <w:szCs w:val="22"/>
        </w:rPr>
        <w:t>Montreal, Canada</w:t>
      </w:r>
    </w:p>
    <w:p w14:paraId="4B66F3D5" w14:textId="63C03D53" w:rsidR="009E5A9B" w:rsidRPr="0088780C" w:rsidRDefault="009E5A9B" w:rsidP="001013AF">
      <w:pPr>
        <w:suppressLineNumbers/>
        <w:tabs>
          <w:tab w:val="right" w:pos="1290"/>
          <w:tab w:val="left" w:pos="1380"/>
        </w:tabs>
        <w:suppressAutoHyphens/>
        <w:kinsoku w:val="0"/>
        <w:overflowPunct w:val="0"/>
        <w:autoSpaceDE w:val="0"/>
        <w:autoSpaceDN w:val="0"/>
        <w:adjustRightInd w:val="0"/>
        <w:spacing w:before="58"/>
        <w:ind w:left="360" w:hanging="360"/>
        <w:rPr>
          <w:snapToGrid w:val="0"/>
          <w:color w:val="0000FF"/>
          <w:kern w:val="22"/>
          <w:szCs w:val="22"/>
        </w:rPr>
      </w:pPr>
      <w:r w:rsidRPr="0088780C">
        <w:rPr>
          <w:snapToGrid w:val="0"/>
          <w:color w:val="000000"/>
          <w:kern w:val="22"/>
          <w:szCs w:val="22"/>
        </w:rPr>
        <w:t xml:space="preserve">Email: </w:t>
      </w:r>
      <w:r w:rsidRPr="0088780C">
        <w:rPr>
          <w:snapToGrid w:val="0"/>
          <w:kern w:val="22"/>
          <w:szCs w:val="22"/>
        </w:rPr>
        <w:tab/>
      </w:r>
      <w:hyperlink r:id="rId56" w:history="1">
        <w:r w:rsidR="007513C1" w:rsidRPr="0088780C">
          <w:rPr>
            <w:rStyle w:val="Hyperlink"/>
            <w:snapToGrid w:val="0"/>
            <w:kern w:val="22"/>
            <w:szCs w:val="22"/>
          </w:rPr>
          <w:t>jihyun.lee@cbd.int</w:t>
        </w:r>
      </w:hyperlink>
    </w:p>
    <w:p w14:paraId="47A51330" w14:textId="77777777" w:rsidR="009E5A9B" w:rsidRPr="0088780C" w:rsidRDefault="009E5A9B" w:rsidP="001013AF">
      <w:pPr>
        <w:numPr>
          <w:ilvl w:val="0"/>
          <w:numId w:val="8"/>
        </w:numPr>
        <w:suppressLineNumbers/>
        <w:tabs>
          <w:tab w:val="right" w:pos="563"/>
          <w:tab w:val="left" w:pos="690"/>
        </w:tabs>
        <w:suppressAutoHyphens/>
        <w:kinsoku w:val="0"/>
        <w:overflowPunct w:val="0"/>
        <w:autoSpaceDE w:val="0"/>
        <w:autoSpaceDN w:val="0"/>
        <w:adjustRightInd w:val="0"/>
        <w:spacing w:before="205"/>
        <w:ind w:left="360"/>
        <w:jc w:val="left"/>
        <w:rPr>
          <w:snapToGrid w:val="0"/>
          <w:color w:val="000000"/>
          <w:kern w:val="22"/>
          <w:szCs w:val="22"/>
        </w:rPr>
      </w:pPr>
      <w:r w:rsidRPr="0088780C">
        <w:rPr>
          <w:snapToGrid w:val="0"/>
          <w:color w:val="000000"/>
          <w:kern w:val="22"/>
          <w:szCs w:val="22"/>
        </w:rPr>
        <w:t>Mr. Joseph Appiott</w:t>
      </w:r>
    </w:p>
    <w:p w14:paraId="22DDF3DA" w14:textId="17E66135" w:rsidR="009E5A9B" w:rsidRPr="0088780C" w:rsidRDefault="009E5A9B" w:rsidP="001013AF">
      <w:pPr>
        <w:suppressLineNumbers/>
        <w:tabs>
          <w:tab w:val="left" w:pos="726"/>
        </w:tabs>
        <w:suppressAutoHyphens/>
        <w:kinsoku w:val="0"/>
        <w:overflowPunct w:val="0"/>
        <w:autoSpaceDE w:val="0"/>
        <w:autoSpaceDN w:val="0"/>
        <w:adjustRightInd w:val="0"/>
        <w:ind w:left="360" w:hanging="360"/>
        <w:rPr>
          <w:snapToGrid w:val="0"/>
          <w:color w:val="000000"/>
          <w:kern w:val="22"/>
          <w:szCs w:val="22"/>
        </w:rPr>
      </w:pPr>
      <w:r w:rsidRPr="0088780C">
        <w:rPr>
          <w:snapToGrid w:val="0"/>
          <w:color w:val="000000"/>
          <w:kern w:val="22"/>
          <w:szCs w:val="22"/>
        </w:rPr>
        <w:t>Associate Programme Officer</w:t>
      </w:r>
      <w:r w:rsidR="007513C1" w:rsidRPr="0088780C">
        <w:rPr>
          <w:snapToGrid w:val="0"/>
          <w:color w:val="000000"/>
          <w:kern w:val="22"/>
          <w:szCs w:val="22"/>
        </w:rPr>
        <w:t xml:space="preserve"> for </w:t>
      </w:r>
    </w:p>
    <w:p w14:paraId="16C4D32F" w14:textId="7C2BEB64" w:rsidR="007513C1" w:rsidRPr="0088780C" w:rsidRDefault="007513C1" w:rsidP="001013AF">
      <w:pPr>
        <w:suppressLineNumbers/>
        <w:tabs>
          <w:tab w:val="left" w:pos="726"/>
        </w:tabs>
        <w:suppressAutoHyphens/>
        <w:kinsoku w:val="0"/>
        <w:overflowPunct w:val="0"/>
        <w:autoSpaceDE w:val="0"/>
        <w:autoSpaceDN w:val="0"/>
        <w:adjustRightInd w:val="0"/>
        <w:ind w:left="360" w:hanging="360"/>
        <w:rPr>
          <w:snapToGrid w:val="0"/>
          <w:color w:val="000000"/>
          <w:kern w:val="22"/>
          <w:szCs w:val="22"/>
        </w:rPr>
      </w:pPr>
      <w:r w:rsidRPr="0088780C">
        <w:rPr>
          <w:snapToGrid w:val="0"/>
          <w:color w:val="000000"/>
          <w:kern w:val="22"/>
          <w:szCs w:val="22"/>
        </w:rPr>
        <w:t>Marine and Coastal Biodiversity</w:t>
      </w:r>
    </w:p>
    <w:p w14:paraId="43B5E153"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rPr>
          <w:snapToGrid w:val="0"/>
          <w:color w:val="000000"/>
          <w:kern w:val="22"/>
          <w:szCs w:val="22"/>
        </w:rPr>
      </w:pPr>
      <w:r w:rsidRPr="0088780C">
        <w:rPr>
          <w:snapToGrid w:val="0"/>
          <w:color w:val="000000"/>
          <w:kern w:val="22"/>
          <w:szCs w:val="22"/>
        </w:rPr>
        <w:t>Secretariat of the Convention on Biological Diversity</w:t>
      </w:r>
    </w:p>
    <w:p w14:paraId="3392033F"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rPr>
          <w:snapToGrid w:val="0"/>
          <w:color w:val="000000"/>
          <w:kern w:val="22"/>
          <w:szCs w:val="22"/>
        </w:rPr>
      </w:pPr>
      <w:r w:rsidRPr="0088780C">
        <w:rPr>
          <w:snapToGrid w:val="0"/>
          <w:color w:val="000000"/>
          <w:kern w:val="22"/>
          <w:szCs w:val="22"/>
        </w:rPr>
        <w:t>Montreal, Canada</w:t>
      </w:r>
    </w:p>
    <w:p w14:paraId="0393566A" w14:textId="60FD8127" w:rsidR="009E5A9B" w:rsidRPr="0088780C" w:rsidRDefault="009E5A9B" w:rsidP="001013AF">
      <w:pPr>
        <w:suppressLineNumbers/>
        <w:tabs>
          <w:tab w:val="right" w:pos="1290"/>
          <w:tab w:val="left" w:pos="1380"/>
        </w:tabs>
        <w:suppressAutoHyphens/>
        <w:kinsoku w:val="0"/>
        <w:overflowPunct w:val="0"/>
        <w:autoSpaceDE w:val="0"/>
        <w:autoSpaceDN w:val="0"/>
        <w:adjustRightInd w:val="0"/>
        <w:spacing w:before="58"/>
        <w:ind w:left="360" w:hanging="360"/>
        <w:rPr>
          <w:snapToGrid w:val="0"/>
          <w:color w:val="0000FF"/>
          <w:kern w:val="22"/>
          <w:szCs w:val="22"/>
        </w:rPr>
      </w:pPr>
      <w:r w:rsidRPr="0088780C">
        <w:rPr>
          <w:snapToGrid w:val="0"/>
          <w:color w:val="000000"/>
          <w:kern w:val="22"/>
          <w:szCs w:val="22"/>
        </w:rPr>
        <w:t xml:space="preserve">Email: </w:t>
      </w:r>
      <w:r w:rsidRPr="0088780C">
        <w:rPr>
          <w:snapToGrid w:val="0"/>
          <w:kern w:val="22"/>
          <w:szCs w:val="22"/>
        </w:rPr>
        <w:tab/>
      </w:r>
      <w:hyperlink r:id="rId57" w:history="1">
        <w:r w:rsidR="007513C1" w:rsidRPr="0088780C">
          <w:rPr>
            <w:rStyle w:val="Hyperlink"/>
            <w:snapToGrid w:val="0"/>
            <w:kern w:val="22"/>
            <w:szCs w:val="22"/>
          </w:rPr>
          <w:t>joseph.appiott@cbd.int</w:t>
        </w:r>
      </w:hyperlink>
    </w:p>
    <w:p w14:paraId="4666E1C5" w14:textId="77777777" w:rsidR="009E5A9B" w:rsidRPr="0088780C" w:rsidRDefault="009E5A9B" w:rsidP="001013AF">
      <w:pPr>
        <w:suppressLineNumbers/>
        <w:suppressAutoHyphens/>
        <w:kinsoku w:val="0"/>
        <w:overflowPunct w:val="0"/>
        <w:autoSpaceDE w:val="0"/>
        <w:autoSpaceDN w:val="0"/>
        <w:ind w:left="360" w:hanging="360"/>
        <w:rPr>
          <w:snapToGrid w:val="0"/>
          <w:kern w:val="22"/>
          <w:szCs w:val="22"/>
        </w:rPr>
      </w:pPr>
    </w:p>
    <w:p w14:paraId="73F0246B" w14:textId="77777777" w:rsidR="009E5A9B" w:rsidRPr="0088780C" w:rsidRDefault="009E5A9B" w:rsidP="001013AF">
      <w:pPr>
        <w:numPr>
          <w:ilvl w:val="0"/>
          <w:numId w:val="8"/>
        </w:numPr>
        <w:suppressLineNumbers/>
        <w:suppressAutoHyphens/>
        <w:kinsoku w:val="0"/>
        <w:overflowPunct w:val="0"/>
        <w:autoSpaceDE w:val="0"/>
        <w:autoSpaceDN w:val="0"/>
        <w:spacing w:line="276" w:lineRule="auto"/>
        <w:ind w:left="360"/>
        <w:jc w:val="left"/>
        <w:rPr>
          <w:snapToGrid w:val="0"/>
          <w:kern w:val="22"/>
          <w:szCs w:val="22"/>
        </w:rPr>
      </w:pPr>
      <w:r w:rsidRPr="0088780C">
        <w:rPr>
          <w:snapToGrid w:val="0"/>
          <w:kern w:val="22"/>
          <w:szCs w:val="22"/>
        </w:rPr>
        <w:t>Jacqueline Grekin</w:t>
      </w:r>
    </w:p>
    <w:p w14:paraId="5EB2259D" w14:textId="463789A4" w:rsidR="009E5A9B" w:rsidRPr="0088780C" w:rsidRDefault="009E5A9B" w:rsidP="001013AF">
      <w:pPr>
        <w:suppressLineNumbers/>
        <w:suppressAutoHyphens/>
        <w:kinsoku w:val="0"/>
        <w:overflowPunct w:val="0"/>
        <w:autoSpaceDE w:val="0"/>
        <w:autoSpaceDN w:val="0"/>
        <w:ind w:left="360" w:hanging="360"/>
        <w:rPr>
          <w:snapToGrid w:val="0"/>
          <w:kern w:val="22"/>
          <w:szCs w:val="22"/>
        </w:rPr>
      </w:pPr>
      <w:r w:rsidRPr="0088780C">
        <w:rPr>
          <w:snapToGrid w:val="0"/>
          <w:kern w:val="22"/>
          <w:szCs w:val="22"/>
        </w:rPr>
        <w:t>Programme Assistant</w:t>
      </w:r>
      <w:r w:rsidR="006806C1" w:rsidRPr="0088780C">
        <w:rPr>
          <w:snapToGrid w:val="0"/>
          <w:kern w:val="22"/>
          <w:szCs w:val="22"/>
        </w:rPr>
        <w:t xml:space="preserve"> for</w:t>
      </w:r>
    </w:p>
    <w:p w14:paraId="3BF263EC" w14:textId="05FB0649" w:rsidR="007513C1" w:rsidRPr="0088780C" w:rsidRDefault="007513C1" w:rsidP="001013AF">
      <w:pPr>
        <w:suppressLineNumbers/>
        <w:suppressAutoHyphens/>
        <w:kinsoku w:val="0"/>
        <w:overflowPunct w:val="0"/>
        <w:autoSpaceDE w:val="0"/>
        <w:autoSpaceDN w:val="0"/>
        <w:ind w:left="360" w:hanging="360"/>
        <w:rPr>
          <w:snapToGrid w:val="0"/>
          <w:kern w:val="22"/>
          <w:szCs w:val="22"/>
        </w:rPr>
      </w:pPr>
      <w:r w:rsidRPr="0088780C">
        <w:rPr>
          <w:snapToGrid w:val="0"/>
          <w:kern w:val="22"/>
          <w:szCs w:val="22"/>
        </w:rPr>
        <w:t>Marine and Coastal Biodiversity</w:t>
      </w:r>
    </w:p>
    <w:p w14:paraId="5AAF6F32"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rPr>
          <w:snapToGrid w:val="0"/>
          <w:color w:val="000000"/>
          <w:kern w:val="22"/>
          <w:szCs w:val="22"/>
        </w:rPr>
      </w:pPr>
      <w:r w:rsidRPr="0088780C">
        <w:rPr>
          <w:snapToGrid w:val="0"/>
          <w:color w:val="000000"/>
          <w:kern w:val="22"/>
          <w:szCs w:val="22"/>
        </w:rPr>
        <w:t>Secretariat of the Convention on Biological Diversity</w:t>
      </w:r>
    </w:p>
    <w:p w14:paraId="1749C5FB" w14:textId="77777777" w:rsidR="009E5A9B" w:rsidRPr="0088780C" w:rsidRDefault="009E5A9B" w:rsidP="001013AF">
      <w:pPr>
        <w:suppressLineNumbers/>
        <w:tabs>
          <w:tab w:val="left" w:pos="726"/>
        </w:tabs>
        <w:suppressAutoHyphens/>
        <w:kinsoku w:val="0"/>
        <w:overflowPunct w:val="0"/>
        <w:autoSpaceDE w:val="0"/>
        <w:autoSpaceDN w:val="0"/>
        <w:adjustRightInd w:val="0"/>
        <w:ind w:left="360" w:hanging="360"/>
        <w:rPr>
          <w:snapToGrid w:val="0"/>
          <w:color w:val="000000"/>
          <w:kern w:val="22"/>
          <w:szCs w:val="22"/>
        </w:rPr>
      </w:pPr>
      <w:r w:rsidRPr="0088780C">
        <w:rPr>
          <w:snapToGrid w:val="0"/>
          <w:color w:val="000000"/>
          <w:kern w:val="22"/>
          <w:szCs w:val="22"/>
        </w:rPr>
        <w:t>Montreal, Canada</w:t>
      </w:r>
    </w:p>
    <w:p w14:paraId="043CE87B" w14:textId="5BA820E2" w:rsidR="009E5A9B" w:rsidRPr="0088780C" w:rsidRDefault="009E5A9B" w:rsidP="001013AF">
      <w:pPr>
        <w:suppressLineNumbers/>
        <w:tabs>
          <w:tab w:val="right" w:pos="1290"/>
          <w:tab w:val="left" w:pos="1380"/>
        </w:tabs>
        <w:suppressAutoHyphens/>
        <w:kinsoku w:val="0"/>
        <w:overflowPunct w:val="0"/>
        <w:autoSpaceDE w:val="0"/>
        <w:autoSpaceDN w:val="0"/>
        <w:adjustRightInd w:val="0"/>
        <w:spacing w:before="58"/>
        <w:ind w:left="360" w:hanging="360"/>
        <w:rPr>
          <w:snapToGrid w:val="0"/>
          <w:color w:val="0000FF"/>
          <w:kern w:val="22"/>
          <w:szCs w:val="22"/>
        </w:rPr>
      </w:pPr>
      <w:r w:rsidRPr="0088780C">
        <w:rPr>
          <w:snapToGrid w:val="0"/>
          <w:color w:val="000000"/>
          <w:kern w:val="22"/>
          <w:szCs w:val="22"/>
        </w:rPr>
        <w:t xml:space="preserve">Email: </w:t>
      </w:r>
      <w:r w:rsidRPr="0088780C">
        <w:rPr>
          <w:snapToGrid w:val="0"/>
          <w:kern w:val="22"/>
          <w:szCs w:val="22"/>
        </w:rPr>
        <w:tab/>
      </w:r>
      <w:hyperlink r:id="rId58" w:history="1">
        <w:r w:rsidR="007513C1" w:rsidRPr="0088780C">
          <w:rPr>
            <w:rStyle w:val="Hyperlink"/>
            <w:snapToGrid w:val="0"/>
            <w:kern w:val="22"/>
            <w:szCs w:val="22"/>
          </w:rPr>
          <w:t>jacqueline.grekin@cbd.int</w:t>
        </w:r>
      </w:hyperlink>
    </w:p>
    <w:p w14:paraId="2FAF764D" w14:textId="4264FD92" w:rsidR="009E5A9B" w:rsidRPr="0088780C" w:rsidRDefault="009E5A9B" w:rsidP="001013AF">
      <w:pPr>
        <w:suppressLineNumbers/>
        <w:suppressAutoHyphens/>
        <w:kinsoku w:val="0"/>
        <w:overflowPunct w:val="0"/>
        <w:autoSpaceDE w:val="0"/>
        <w:autoSpaceDN w:val="0"/>
        <w:ind w:left="360" w:hanging="360"/>
        <w:rPr>
          <w:snapToGrid w:val="0"/>
          <w:kern w:val="22"/>
          <w:szCs w:val="22"/>
        </w:rPr>
      </w:pPr>
    </w:p>
    <w:p w14:paraId="5A9C1949" w14:textId="77777777" w:rsidR="00F71CCB" w:rsidRPr="0088780C" w:rsidRDefault="00F71CCB" w:rsidP="001013AF">
      <w:pPr>
        <w:suppressLineNumbers/>
        <w:tabs>
          <w:tab w:val="left" w:pos="90"/>
          <w:tab w:val="right" w:pos="9640"/>
          <w:tab w:val="right" w:pos="11282"/>
        </w:tabs>
        <w:suppressAutoHyphens/>
        <w:kinsoku w:val="0"/>
        <w:overflowPunct w:val="0"/>
        <w:autoSpaceDE w:val="0"/>
        <w:autoSpaceDN w:val="0"/>
        <w:adjustRightInd w:val="0"/>
        <w:jc w:val="center"/>
        <w:rPr>
          <w:snapToGrid w:val="0"/>
          <w:kern w:val="22"/>
          <w:szCs w:val="22"/>
        </w:rPr>
      </w:pPr>
    </w:p>
    <w:p w14:paraId="3182DB17" w14:textId="77777777" w:rsidR="00E703E9" w:rsidRPr="0088780C" w:rsidRDefault="00E703E9" w:rsidP="001013AF">
      <w:pPr>
        <w:suppressLineNumbers/>
        <w:tabs>
          <w:tab w:val="right" w:pos="1293"/>
          <w:tab w:val="left" w:pos="1383"/>
        </w:tabs>
        <w:suppressAutoHyphens/>
        <w:kinsoku w:val="0"/>
        <w:overflowPunct w:val="0"/>
        <w:autoSpaceDE w:val="0"/>
        <w:autoSpaceDN w:val="0"/>
        <w:adjustRightInd w:val="0"/>
        <w:jc w:val="center"/>
        <w:rPr>
          <w:snapToGrid w:val="0"/>
          <w:kern w:val="22"/>
          <w:szCs w:val="22"/>
        </w:rPr>
        <w:sectPr w:rsidR="00E703E9" w:rsidRPr="0088780C" w:rsidSect="00A876F3">
          <w:type w:val="continuous"/>
          <w:pgSz w:w="12240" w:h="15840" w:code="1"/>
          <w:pgMar w:top="567" w:right="1440" w:bottom="1134" w:left="1440" w:header="454" w:footer="720" w:gutter="0"/>
          <w:cols w:space="708"/>
          <w:titlePg/>
          <w:docGrid w:linePitch="360"/>
        </w:sectPr>
      </w:pPr>
    </w:p>
    <w:p w14:paraId="041BC578" w14:textId="77777777" w:rsidR="00DB3C52" w:rsidRPr="0088780C" w:rsidRDefault="00540CE4" w:rsidP="001013AF">
      <w:pPr>
        <w:suppressLineNumbers/>
        <w:tabs>
          <w:tab w:val="right" w:pos="1293"/>
          <w:tab w:val="left" w:pos="1383"/>
        </w:tabs>
        <w:suppressAutoHyphens/>
        <w:kinsoku w:val="0"/>
        <w:overflowPunct w:val="0"/>
        <w:autoSpaceDE w:val="0"/>
        <w:autoSpaceDN w:val="0"/>
        <w:adjustRightInd w:val="0"/>
        <w:jc w:val="center"/>
        <w:rPr>
          <w:i/>
          <w:iCs/>
          <w:snapToGrid w:val="0"/>
          <w:kern w:val="22"/>
          <w:szCs w:val="22"/>
        </w:rPr>
      </w:pPr>
      <w:r w:rsidRPr="0088780C">
        <w:rPr>
          <w:snapToGrid w:val="0"/>
          <w:kern w:val="22"/>
          <w:szCs w:val="22"/>
        </w:rPr>
        <w:br w:type="page"/>
      </w:r>
      <w:r w:rsidR="00DB3C52" w:rsidRPr="0088780C">
        <w:rPr>
          <w:i/>
          <w:iCs/>
          <w:snapToGrid w:val="0"/>
          <w:kern w:val="22"/>
          <w:szCs w:val="22"/>
        </w:rPr>
        <w:t>Annex II</w:t>
      </w:r>
    </w:p>
    <w:p w14:paraId="1B38D557" w14:textId="77777777" w:rsidR="00490F2F" w:rsidRPr="0088780C" w:rsidRDefault="00DB3C52" w:rsidP="001013AF">
      <w:pPr>
        <w:pStyle w:val="HEADINGNOTFORTOC"/>
        <w:suppressLineNumbers/>
        <w:suppressAutoHyphens/>
        <w:kinsoku w:val="0"/>
        <w:overflowPunct w:val="0"/>
        <w:autoSpaceDE w:val="0"/>
        <w:autoSpaceDN w:val="0"/>
        <w:rPr>
          <w:snapToGrid w:val="0"/>
          <w:kern w:val="22"/>
          <w:szCs w:val="22"/>
        </w:rPr>
      </w:pPr>
      <w:r w:rsidRPr="0088780C">
        <w:rPr>
          <w:snapToGrid w:val="0"/>
          <w:kern w:val="22"/>
          <w:szCs w:val="22"/>
        </w:rPr>
        <w:t>summary of theme presentations</w:t>
      </w:r>
    </w:p>
    <w:p w14:paraId="1DD0E26C" w14:textId="3C5D4234" w:rsidR="00490F2F" w:rsidRPr="0088780C" w:rsidRDefault="00490F2F" w:rsidP="001013AF">
      <w:pPr>
        <w:suppressLineNumbers/>
        <w:suppressAutoHyphens/>
        <w:kinsoku w:val="0"/>
        <w:overflowPunct w:val="0"/>
        <w:autoSpaceDE w:val="0"/>
        <w:autoSpaceDN w:val="0"/>
        <w:rPr>
          <w:rFonts w:eastAsia="Times New Roman"/>
          <w:b/>
          <w:i/>
          <w:snapToGrid w:val="0"/>
          <w:kern w:val="22"/>
          <w:szCs w:val="22"/>
          <w:lang w:eastAsia="fr-CA"/>
        </w:rPr>
      </w:pPr>
    </w:p>
    <w:p w14:paraId="38B397AC" w14:textId="47B6F49A" w:rsidR="00A372D2" w:rsidRPr="0088780C" w:rsidRDefault="00DA1D8E" w:rsidP="001013AF">
      <w:pPr>
        <w:suppressLineNumbers/>
        <w:suppressAutoHyphens/>
        <w:kinsoku w:val="0"/>
        <w:overflowPunct w:val="0"/>
        <w:autoSpaceDE w:val="0"/>
        <w:autoSpaceDN w:val="0"/>
        <w:rPr>
          <w:rFonts w:eastAsia="Times New Roman"/>
          <w:b/>
          <w:i/>
          <w:snapToGrid w:val="0"/>
          <w:color w:val="000000"/>
          <w:kern w:val="22"/>
          <w:szCs w:val="22"/>
        </w:rPr>
      </w:pPr>
      <w:r w:rsidRPr="0088780C">
        <w:rPr>
          <w:b/>
          <w:snapToGrid w:val="0"/>
          <w:kern w:val="22"/>
          <w:szCs w:val="22"/>
        </w:rPr>
        <w:t>Work of the CBD on EBSAs and other relevant work on marine and coastal biodiversity (</w:t>
      </w:r>
      <w:r w:rsidRPr="0088780C">
        <w:rPr>
          <w:b/>
          <w:i/>
          <w:snapToGrid w:val="0"/>
          <w:kern w:val="22"/>
          <w:szCs w:val="22"/>
        </w:rPr>
        <w:t>by</w:t>
      </w:r>
      <w:r w:rsidRPr="0088780C">
        <w:rPr>
          <w:b/>
          <w:snapToGrid w:val="0"/>
          <w:kern w:val="22"/>
          <w:szCs w:val="22"/>
        </w:rPr>
        <w:t xml:space="preserve"> </w:t>
      </w:r>
      <w:r w:rsidR="00A372D2" w:rsidRPr="0088780C">
        <w:rPr>
          <w:rFonts w:eastAsia="Times New Roman"/>
          <w:b/>
          <w:i/>
          <w:snapToGrid w:val="0"/>
          <w:color w:val="000000"/>
          <w:kern w:val="22"/>
          <w:szCs w:val="22"/>
        </w:rPr>
        <w:t>Jihyun Lee</w:t>
      </w:r>
      <w:r w:rsidRPr="0088780C">
        <w:rPr>
          <w:rFonts w:eastAsia="Times New Roman"/>
          <w:b/>
          <w:i/>
          <w:snapToGrid w:val="0"/>
          <w:color w:val="000000"/>
          <w:kern w:val="22"/>
          <w:szCs w:val="22"/>
        </w:rPr>
        <w:t>, CBD Secretariat)</w:t>
      </w:r>
    </w:p>
    <w:p w14:paraId="0E69D8D9" w14:textId="652E5CA0" w:rsidR="00D64679" w:rsidRPr="0088780C" w:rsidRDefault="00DA1D8E" w:rsidP="00275168">
      <w:pPr>
        <w:suppressLineNumbers/>
        <w:suppressAutoHyphens/>
        <w:kinsoku w:val="0"/>
        <w:overflowPunct w:val="0"/>
        <w:autoSpaceDE w:val="0"/>
        <w:autoSpaceDN w:val="0"/>
        <w:spacing w:before="120"/>
        <w:rPr>
          <w:snapToGrid w:val="0"/>
          <w:kern w:val="22"/>
          <w:szCs w:val="22"/>
        </w:rPr>
      </w:pPr>
      <w:r w:rsidRPr="0088780C">
        <w:rPr>
          <w:snapToGrid w:val="0"/>
          <w:kern w:val="22"/>
          <w:szCs w:val="22"/>
        </w:rPr>
        <w:t xml:space="preserve">Ms. Lee delivered a presentation outlining the context of the workshop </w:t>
      </w:r>
      <w:r w:rsidR="004C4F3A" w:rsidRPr="0088780C">
        <w:rPr>
          <w:snapToGrid w:val="0"/>
          <w:kern w:val="22"/>
          <w:szCs w:val="22"/>
        </w:rPr>
        <w:t xml:space="preserve">highlighting the Strategic Plan for Biodiversity 2011-2020 and its </w:t>
      </w:r>
      <w:r w:rsidRPr="0088780C">
        <w:rPr>
          <w:snapToGrid w:val="0"/>
          <w:kern w:val="22"/>
          <w:szCs w:val="22"/>
        </w:rPr>
        <w:t xml:space="preserve">Aichi Biodiversity Targets. She highlighted the close interlinkages </w:t>
      </w:r>
      <w:r w:rsidR="004C4F3A" w:rsidRPr="0088780C">
        <w:rPr>
          <w:snapToGrid w:val="0"/>
          <w:kern w:val="22"/>
          <w:szCs w:val="22"/>
        </w:rPr>
        <w:t xml:space="preserve">between </w:t>
      </w:r>
      <w:r w:rsidR="00AD5D54" w:rsidRPr="0088780C">
        <w:rPr>
          <w:snapToGrid w:val="0"/>
          <w:kern w:val="22"/>
          <w:szCs w:val="22"/>
        </w:rPr>
        <w:t xml:space="preserve">the </w:t>
      </w:r>
      <w:r w:rsidR="004C4F3A" w:rsidRPr="0088780C">
        <w:rPr>
          <w:snapToGrid w:val="0"/>
          <w:kern w:val="22"/>
          <w:szCs w:val="22"/>
        </w:rPr>
        <w:t>Aichi Targets and</w:t>
      </w:r>
      <w:r w:rsidRPr="0088780C">
        <w:rPr>
          <w:snapToGrid w:val="0"/>
          <w:kern w:val="22"/>
          <w:szCs w:val="22"/>
        </w:rPr>
        <w:t xml:space="preserve"> the Sustainable Development Goals</w:t>
      </w:r>
      <w:r w:rsidR="00AD5D54" w:rsidRPr="0088780C">
        <w:rPr>
          <w:snapToGrid w:val="0"/>
          <w:kern w:val="22"/>
          <w:szCs w:val="22"/>
        </w:rPr>
        <w:t>,</w:t>
      </w:r>
      <w:r w:rsidRPr="0088780C">
        <w:rPr>
          <w:snapToGrid w:val="0"/>
          <w:kern w:val="22"/>
          <w:szCs w:val="22"/>
        </w:rPr>
        <w:t xml:space="preserve"> particular</w:t>
      </w:r>
      <w:r w:rsidR="00AD5D54" w:rsidRPr="0088780C">
        <w:rPr>
          <w:snapToGrid w:val="0"/>
          <w:kern w:val="22"/>
          <w:szCs w:val="22"/>
        </w:rPr>
        <w:t>ly</w:t>
      </w:r>
      <w:r w:rsidRPr="0088780C">
        <w:rPr>
          <w:snapToGrid w:val="0"/>
          <w:kern w:val="22"/>
          <w:szCs w:val="22"/>
        </w:rPr>
        <w:t xml:space="preserve"> SDG 14. She described the relevant work </w:t>
      </w:r>
      <w:r w:rsidR="00AD5D54" w:rsidRPr="0088780C">
        <w:rPr>
          <w:snapToGrid w:val="0"/>
          <w:kern w:val="22"/>
          <w:szCs w:val="22"/>
        </w:rPr>
        <w:t xml:space="preserve">of the Convention on Biological Diversity </w:t>
      </w:r>
      <w:r w:rsidRPr="0088780C">
        <w:rPr>
          <w:snapToGrid w:val="0"/>
          <w:kern w:val="22"/>
          <w:szCs w:val="22"/>
        </w:rPr>
        <w:t>on marine and coastal biodiversity, including the work on facilitating the description of ecologically or biologically significant marine areas (EBSAs)</w:t>
      </w:r>
      <w:r w:rsidR="004C4F3A" w:rsidRPr="0088780C">
        <w:rPr>
          <w:snapToGrid w:val="0"/>
          <w:kern w:val="22"/>
          <w:szCs w:val="22"/>
        </w:rPr>
        <w:t>, addressing the impacts of threats on marine biodiversity, management tools and guidelines, and the capacity development activities of the Sustainable Ocean Initiative</w:t>
      </w:r>
      <w:r w:rsidRPr="0088780C">
        <w:rPr>
          <w:snapToGrid w:val="0"/>
          <w:kern w:val="22"/>
          <w:szCs w:val="22"/>
        </w:rPr>
        <w:t xml:space="preserve">. </w:t>
      </w:r>
      <w:r w:rsidR="00D64679" w:rsidRPr="0088780C">
        <w:rPr>
          <w:snapToGrid w:val="0"/>
          <w:kern w:val="22"/>
          <w:szCs w:val="22"/>
        </w:rPr>
        <w:t>She</w:t>
      </w:r>
      <w:r w:rsidR="00D64679" w:rsidRPr="0088780C">
        <w:rPr>
          <w:rFonts w:eastAsia="Times New Roman"/>
          <w:snapToGrid w:val="0"/>
          <w:color w:val="000000"/>
          <w:kern w:val="22"/>
          <w:szCs w:val="22"/>
          <w:lang w:eastAsia="ko-KR"/>
        </w:rPr>
        <w:t xml:space="preserve"> introduced the process for describing EBSAs, beginning with the adoption of the EBSA criteria at the ninth meeting of the Conference of the Parties to the Convention on Biological Diversity (COP 9) and the call by the tenth meeting of the Conference of the Parties (COP 10) to organize a series of regional EBSA workshops. Since 2011, the CBD Secretariat has convened 12 regional workshops to facilitate the description of areas meeting the EBSA criteria, pursuant to COP decisions X/29, XI/17, XII/22 and XIII/12. These workshops have covered more than 74 per cent of the world’s oceans and involved 153 countries and about 140 organizations, with some attending more than one workshop. So far, a total of 279 areas have been described as meeting the EBSA criteria, and these areas have been considered by COP 11, COP 12 and COP 13, which then requested that the summary reports on the outputs of these regional EBSA workshops be submitted to the United Nations General Assembly and its relevant working groups. Ms. Lee went on to emphasize that </w:t>
      </w:r>
      <w:r w:rsidR="00D64679" w:rsidRPr="0088780C">
        <w:rPr>
          <w:rFonts w:eastAsia="Times New Roman"/>
          <w:snapToGrid w:val="0"/>
          <w:kern w:val="22"/>
          <w:szCs w:val="22"/>
          <w:lang w:eastAsia="ko-KR"/>
        </w:rPr>
        <w:t>the application of the EBSA criteria is a scientific and technical exercise and that areas found to meet the EBSA criteria may require enhanced conservation and management measures, which can be achieved through a variety of means, including marine protected areas and impact assessments. She also emphasized that the identification of EBSAs and the selection of conservation and management measures is a matter for States and competent intergovernmental organizations.</w:t>
      </w:r>
      <w:r w:rsidR="00275168" w:rsidRPr="0088780C">
        <w:rPr>
          <w:rFonts w:eastAsia="Times New Roman"/>
          <w:snapToGrid w:val="0"/>
          <w:kern w:val="22"/>
          <w:szCs w:val="22"/>
          <w:lang w:eastAsia="ko-KR"/>
        </w:rPr>
        <w:t xml:space="preserve"> </w:t>
      </w:r>
      <w:r w:rsidR="00D64679" w:rsidRPr="0088780C">
        <w:rPr>
          <w:rFonts w:eastAsia="Times New Roman"/>
          <w:snapToGrid w:val="0"/>
          <w:color w:val="000000"/>
          <w:kern w:val="22"/>
          <w:szCs w:val="22"/>
          <w:lang w:eastAsia="ko-KR"/>
        </w:rPr>
        <w:t xml:space="preserve">She then pointed out that the EBSA process may lead to further strengthening of the region’s existing efforts to meet its goals for marine biodiversity conservation, by facilitating scientific collaboration and increasing awareness. </w:t>
      </w:r>
      <w:r w:rsidR="00140CA4" w:rsidRPr="0088780C">
        <w:rPr>
          <w:rFonts w:eastAsia="Times New Roman"/>
          <w:snapToGrid w:val="0"/>
          <w:color w:val="000000"/>
          <w:kern w:val="22"/>
          <w:szCs w:val="22"/>
          <w:lang w:eastAsia="ko-KR"/>
        </w:rPr>
        <w:t>She also explained how the EBSA information can be used for cross-sectoral marine spatial planning.</w:t>
      </w:r>
    </w:p>
    <w:p w14:paraId="0DB0B136" w14:textId="77777777" w:rsidR="00D64679" w:rsidRPr="0088780C" w:rsidRDefault="00D64679" w:rsidP="001013AF">
      <w:pPr>
        <w:suppressLineNumbers/>
        <w:suppressAutoHyphens/>
        <w:kinsoku w:val="0"/>
        <w:overflowPunct w:val="0"/>
        <w:autoSpaceDE w:val="0"/>
        <w:autoSpaceDN w:val="0"/>
        <w:spacing w:before="120"/>
        <w:rPr>
          <w:snapToGrid w:val="0"/>
          <w:kern w:val="22"/>
          <w:szCs w:val="22"/>
        </w:rPr>
      </w:pPr>
    </w:p>
    <w:p w14:paraId="7FB3D9C1" w14:textId="4A4A5577" w:rsidR="00490F2F" w:rsidRPr="0088780C" w:rsidRDefault="00490F2F" w:rsidP="001013AF">
      <w:pPr>
        <w:suppressLineNumbers/>
        <w:suppressAutoHyphens/>
        <w:kinsoku w:val="0"/>
        <w:overflowPunct w:val="0"/>
        <w:autoSpaceDE w:val="0"/>
        <w:autoSpaceDN w:val="0"/>
        <w:rPr>
          <w:rFonts w:eastAsia="Times New Roman"/>
          <w:b/>
          <w:i/>
          <w:snapToGrid w:val="0"/>
          <w:color w:val="000000"/>
          <w:kern w:val="22"/>
          <w:szCs w:val="22"/>
        </w:rPr>
      </w:pPr>
      <w:r w:rsidRPr="0088780C">
        <w:rPr>
          <w:rFonts w:eastAsia="Times New Roman"/>
          <w:b/>
          <w:snapToGrid w:val="0"/>
          <w:color w:val="000000"/>
          <w:kern w:val="22"/>
          <w:szCs w:val="22"/>
        </w:rPr>
        <w:t>Global Context: Sustainable Development Goal 14 and the Aichi Biodiversity Targets</w:t>
      </w:r>
      <w:r w:rsidR="0097476D" w:rsidRPr="0088780C">
        <w:rPr>
          <w:rFonts w:eastAsia="Times New Roman"/>
          <w:b/>
          <w:i/>
          <w:snapToGrid w:val="0"/>
          <w:color w:val="000000"/>
          <w:kern w:val="22"/>
          <w:szCs w:val="22"/>
        </w:rPr>
        <w:t xml:space="preserve"> (by </w:t>
      </w:r>
      <w:r w:rsidRPr="0088780C">
        <w:rPr>
          <w:rFonts w:eastAsia="Times New Roman"/>
          <w:b/>
          <w:i/>
          <w:snapToGrid w:val="0"/>
          <w:color w:val="000000"/>
          <w:kern w:val="22"/>
          <w:szCs w:val="22"/>
        </w:rPr>
        <w:t>Joseph Appiott, CBD Secretariat</w:t>
      </w:r>
      <w:r w:rsidR="0097476D" w:rsidRPr="0088780C">
        <w:rPr>
          <w:rFonts w:eastAsia="Times New Roman"/>
          <w:b/>
          <w:i/>
          <w:snapToGrid w:val="0"/>
          <w:color w:val="000000"/>
          <w:kern w:val="22"/>
          <w:szCs w:val="22"/>
        </w:rPr>
        <w:t>)</w:t>
      </w:r>
    </w:p>
    <w:p w14:paraId="76F49716" w14:textId="77777777" w:rsidR="00247241" w:rsidRPr="0088780C" w:rsidRDefault="00247241" w:rsidP="001013AF">
      <w:pPr>
        <w:suppressLineNumbers/>
        <w:suppressAutoHyphens/>
        <w:kinsoku w:val="0"/>
        <w:overflowPunct w:val="0"/>
        <w:autoSpaceDE w:val="0"/>
        <w:autoSpaceDN w:val="0"/>
        <w:rPr>
          <w:rFonts w:eastAsia="Times New Roman"/>
          <w:b/>
          <w:i/>
          <w:snapToGrid w:val="0"/>
          <w:color w:val="000000"/>
          <w:kern w:val="22"/>
          <w:szCs w:val="22"/>
        </w:rPr>
      </w:pPr>
    </w:p>
    <w:p w14:paraId="25390D00" w14:textId="34CABDA7" w:rsidR="00490F2F" w:rsidRPr="0088780C" w:rsidRDefault="00490F2F" w:rsidP="001013AF">
      <w:pPr>
        <w:suppressLineNumbers/>
        <w:suppressAutoHyphens/>
        <w:kinsoku w:val="0"/>
        <w:overflowPunct w:val="0"/>
        <w:autoSpaceDE w:val="0"/>
        <w:autoSpaceDN w:val="0"/>
        <w:rPr>
          <w:rFonts w:eastAsia="Times New Roman"/>
          <w:snapToGrid w:val="0"/>
          <w:color w:val="000000"/>
          <w:kern w:val="22"/>
          <w:szCs w:val="22"/>
        </w:rPr>
      </w:pPr>
      <w:r w:rsidRPr="0088780C">
        <w:rPr>
          <w:rFonts w:eastAsia="Times New Roman"/>
          <w:snapToGrid w:val="0"/>
          <w:color w:val="000000"/>
          <w:kern w:val="22"/>
          <w:szCs w:val="22"/>
        </w:rPr>
        <w:t>Mr. Appiott provided a presentation on the global context for the workshop, in particular with regards to the Aichi Biodiversity Targets and the Sustainable Development Goals (SDGs). He discussed the key aspect of the Aichi Targets with regards to marine and coastal biodiversity. He noted the focus of the 13th meeting of the Conference of the Parties (COP 13) to the CBD on mainstreaming biodiversity for well-being and the importance of mainstreaming and cross-s</w:t>
      </w:r>
      <w:r w:rsidR="00956B50" w:rsidRPr="0088780C">
        <w:rPr>
          <w:rFonts w:eastAsia="Times New Roman"/>
          <w:snapToGrid w:val="0"/>
          <w:color w:val="000000"/>
          <w:kern w:val="22"/>
          <w:szCs w:val="22"/>
        </w:rPr>
        <w:t>ectoral approaches to address the root causes of</w:t>
      </w:r>
      <w:r w:rsidRPr="0088780C">
        <w:rPr>
          <w:rFonts w:eastAsia="Times New Roman"/>
          <w:snapToGrid w:val="0"/>
          <w:color w:val="000000"/>
          <w:kern w:val="22"/>
          <w:szCs w:val="22"/>
        </w:rPr>
        <w:t xml:space="preserve"> the multiple pressures on marine ecosystems and support marine ecosystems in providing essential services. He highlighted the importance of biodiversity to sustainable development and stressed the close interlinkages between the SDGs and the Aichi Targets. He also noted the various ongoing global intergovernmental processes relevant to ocean issues. He stressed that global-level commitments reflect the will of governments and that only on-ground implementation will facilitate their achievement. He also stressed that individual targets and global goals cannot be achieved in isolation and that actions to achieve the Aichi Targets will also help to achieve the SDGs, and vice versa</w:t>
      </w:r>
    </w:p>
    <w:p w14:paraId="3EA453BF" w14:textId="77777777" w:rsidR="00275168" w:rsidRPr="0088780C" w:rsidRDefault="00275168" w:rsidP="001013AF">
      <w:pPr>
        <w:suppressLineNumbers/>
        <w:suppressAutoHyphens/>
        <w:kinsoku w:val="0"/>
        <w:overflowPunct w:val="0"/>
        <w:autoSpaceDE w:val="0"/>
        <w:autoSpaceDN w:val="0"/>
        <w:rPr>
          <w:snapToGrid w:val="0"/>
          <w:kern w:val="22"/>
          <w:szCs w:val="22"/>
        </w:rPr>
      </w:pPr>
    </w:p>
    <w:p w14:paraId="4D8CAFCA" w14:textId="1F57B2C7" w:rsidR="00490F2F" w:rsidRPr="0088780C" w:rsidRDefault="00490F2F" w:rsidP="00275168">
      <w:pPr>
        <w:keepNext/>
        <w:suppressLineNumbers/>
        <w:suppressAutoHyphens/>
        <w:kinsoku w:val="0"/>
        <w:overflowPunct w:val="0"/>
        <w:autoSpaceDE w:val="0"/>
        <w:autoSpaceDN w:val="0"/>
        <w:rPr>
          <w:b/>
          <w:i/>
          <w:snapToGrid w:val="0"/>
          <w:kern w:val="22"/>
          <w:szCs w:val="22"/>
        </w:rPr>
      </w:pPr>
      <w:r w:rsidRPr="0088780C">
        <w:rPr>
          <w:b/>
          <w:snapToGrid w:val="0"/>
          <w:kern w:val="22"/>
          <w:szCs w:val="22"/>
        </w:rPr>
        <w:t xml:space="preserve">The Global Ocean </w:t>
      </w:r>
      <w:r w:rsidR="00956B50" w:rsidRPr="0088780C">
        <w:rPr>
          <w:b/>
          <w:snapToGrid w:val="0"/>
          <w:kern w:val="22"/>
          <w:szCs w:val="22"/>
        </w:rPr>
        <w:t xml:space="preserve">Biodiversity Initiative: Scientific Partnerships in </w:t>
      </w:r>
      <w:r w:rsidR="005024B3" w:rsidRPr="0088780C">
        <w:rPr>
          <w:b/>
          <w:snapToGrid w:val="0"/>
          <w:kern w:val="22"/>
          <w:szCs w:val="22"/>
        </w:rPr>
        <w:t>S</w:t>
      </w:r>
      <w:r w:rsidR="00956B50" w:rsidRPr="0088780C">
        <w:rPr>
          <w:b/>
          <w:snapToGrid w:val="0"/>
          <w:kern w:val="22"/>
          <w:szCs w:val="22"/>
        </w:rPr>
        <w:t xml:space="preserve">upport of CBD’s EBSA </w:t>
      </w:r>
      <w:r w:rsidR="005024B3" w:rsidRPr="0088780C">
        <w:rPr>
          <w:b/>
          <w:snapToGrid w:val="0"/>
          <w:kern w:val="22"/>
          <w:szCs w:val="22"/>
        </w:rPr>
        <w:t>P</w:t>
      </w:r>
      <w:r w:rsidR="00956B50" w:rsidRPr="0088780C">
        <w:rPr>
          <w:b/>
          <w:snapToGrid w:val="0"/>
          <w:kern w:val="22"/>
          <w:szCs w:val="22"/>
        </w:rPr>
        <w:t>rocess</w:t>
      </w:r>
      <w:r w:rsidR="0097476D" w:rsidRPr="0088780C">
        <w:rPr>
          <w:b/>
          <w:i/>
          <w:snapToGrid w:val="0"/>
          <w:kern w:val="22"/>
          <w:szCs w:val="22"/>
        </w:rPr>
        <w:t xml:space="preserve"> (by </w:t>
      </w:r>
      <w:r w:rsidRPr="0088780C">
        <w:rPr>
          <w:b/>
          <w:i/>
          <w:snapToGrid w:val="0"/>
          <w:kern w:val="22"/>
          <w:szCs w:val="22"/>
        </w:rPr>
        <w:t>David Johnson, Global Ocean Biodiversity Initiative</w:t>
      </w:r>
      <w:r w:rsidR="0097476D" w:rsidRPr="0088780C">
        <w:rPr>
          <w:b/>
          <w:i/>
          <w:snapToGrid w:val="0"/>
          <w:kern w:val="22"/>
          <w:szCs w:val="22"/>
        </w:rPr>
        <w:t>)</w:t>
      </w:r>
    </w:p>
    <w:p w14:paraId="55798C9F" w14:textId="77777777" w:rsidR="00166770" w:rsidRPr="0088780C" w:rsidRDefault="00166770" w:rsidP="00275168">
      <w:pPr>
        <w:keepNext/>
        <w:suppressLineNumbers/>
        <w:suppressAutoHyphens/>
        <w:kinsoku w:val="0"/>
        <w:overflowPunct w:val="0"/>
        <w:autoSpaceDE w:val="0"/>
        <w:autoSpaceDN w:val="0"/>
        <w:rPr>
          <w:bCs/>
          <w:iCs/>
          <w:snapToGrid w:val="0"/>
          <w:kern w:val="22"/>
          <w:szCs w:val="22"/>
        </w:rPr>
      </w:pPr>
    </w:p>
    <w:p w14:paraId="325E023E" w14:textId="0AA24C82" w:rsidR="00490F2F" w:rsidRPr="0088780C" w:rsidRDefault="00490F2F" w:rsidP="001013AF">
      <w:pPr>
        <w:suppressLineNumbers/>
        <w:suppressAutoHyphens/>
        <w:kinsoku w:val="0"/>
        <w:overflowPunct w:val="0"/>
        <w:autoSpaceDE w:val="0"/>
        <w:autoSpaceDN w:val="0"/>
        <w:rPr>
          <w:snapToGrid w:val="0"/>
          <w:kern w:val="22"/>
          <w:szCs w:val="22"/>
        </w:rPr>
      </w:pPr>
      <w:r w:rsidRPr="0088780C">
        <w:rPr>
          <w:snapToGrid w:val="0"/>
          <w:kern w:val="22"/>
          <w:szCs w:val="22"/>
        </w:rPr>
        <w:t>David Johnson set out the mission of the Global Ocean Biodiversity Initiative (GOBI). GOBI is a network of more than 30 institutions advancing the scientific basis for conserving marine biodiversity in the deep-seas and open oceans.  In addition to supporting the EBSA process</w:t>
      </w:r>
      <w:r w:rsidR="00166770" w:rsidRPr="0088780C">
        <w:rPr>
          <w:snapToGrid w:val="0"/>
          <w:kern w:val="22"/>
          <w:szCs w:val="22"/>
        </w:rPr>
        <w:t>,</w:t>
      </w:r>
      <w:r w:rsidRPr="0088780C">
        <w:rPr>
          <w:snapToGrid w:val="0"/>
          <w:kern w:val="22"/>
          <w:szCs w:val="22"/>
        </w:rPr>
        <w:t xml:space="preserve"> GOBI is working to highlight regional examples of where EBSA data is being used to inform and accelerate progress towards </w:t>
      </w:r>
      <w:r w:rsidR="004716CD" w:rsidRPr="0088780C">
        <w:rPr>
          <w:snapToGrid w:val="0"/>
          <w:kern w:val="22"/>
          <w:szCs w:val="22"/>
        </w:rPr>
        <w:t xml:space="preserve">achieving </w:t>
      </w:r>
      <w:r w:rsidRPr="0088780C">
        <w:rPr>
          <w:snapToGrid w:val="0"/>
          <w:kern w:val="22"/>
          <w:szCs w:val="22"/>
        </w:rPr>
        <w:t xml:space="preserve">the Aichi Targets and provide support for the capacity-building efforts of the CBD Sustainable Ocean Initiative. </w:t>
      </w:r>
      <w:r w:rsidR="004716CD" w:rsidRPr="0088780C">
        <w:rPr>
          <w:snapToGrid w:val="0"/>
          <w:kern w:val="22"/>
          <w:szCs w:val="22"/>
        </w:rPr>
        <w:t>He</w:t>
      </w:r>
      <w:r w:rsidRPr="0088780C">
        <w:rPr>
          <w:snapToGrid w:val="0"/>
          <w:kern w:val="22"/>
          <w:szCs w:val="22"/>
        </w:rPr>
        <w:t xml:space="preserve"> elaborated on a series of scientific challenges facing the understanding of marine ecosystems, including data coverage, biogeography</w:t>
      </w:r>
      <w:r w:rsidR="004716CD" w:rsidRPr="0088780C">
        <w:rPr>
          <w:snapToGrid w:val="0"/>
          <w:kern w:val="22"/>
          <w:szCs w:val="22"/>
        </w:rPr>
        <w:t xml:space="preserve">, ecological coherence, </w:t>
      </w:r>
      <w:r w:rsidRPr="0088780C">
        <w:rPr>
          <w:snapToGrid w:val="0"/>
          <w:kern w:val="22"/>
          <w:szCs w:val="22"/>
        </w:rPr>
        <w:t xml:space="preserve">indicators that reflect the integrity of ecosystems and ecological processes, and securing resilience and refugia in the context of climate change. The EBSA process is addressing these challenges. </w:t>
      </w:r>
      <w:r w:rsidR="00166770" w:rsidRPr="0088780C">
        <w:rPr>
          <w:snapToGrid w:val="0"/>
          <w:kern w:val="22"/>
          <w:szCs w:val="22"/>
        </w:rPr>
        <w:t>He explained that a</w:t>
      </w:r>
      <w:r w:rsidRPr="0088780C">
        <w:rPr>
          <w:snapToGrid w:val="0"/>
          <w:kern w:val="22"/>
          <w:szCs w:val="22"/>
        </w:rPr>
        <w:t xml:space="preserve"> five-year programme of work funded by the Government of Germany will contribute new data and methodologies to support CBD decision XIII/12. GOBI is also raising awareness of other complementary processes, such as </w:t>
      </w:r>
      <w:r w:rsidR="00D8482D" w:rsidRPr="0088780C">
        <w:rPr>
          <w:snapToGrid w:val="0"/>
          <w:kern w:val="22"/>
          <w:szCs w:val="22"/>
        </w:rPr>
        <w:t>“</w:t>
      </w:r>
      <w:r w:rsidRPr="0088780C">
        <w:rPr>
          <w:snapToGrid w:val="0"/>
          <w:kern w:val="22"/>
          <w:szCs w:val="22"/>
        </w:rPr>
        <w:t>key ecological features</w:t>
      </w:r>
      <w:r w:rsidR="00D8482D" w:rsidRPr="0088780C">
        <w:rPr>
          <w:snapToGrid w:val="0"/>
          <w:kern w:val="22"/>
          <w:szCs w:val="22"/>
        </w:rPr>
        <w:t>”</w:t>
      </w:r>
      <w:r w:rsidRPr="0088780C">
        <w:rPr>
          <w:snapToGrid w:val="0"/>
          <w:kern w:val="22"/>
          <w:szCs w:val="22"/>
        </w:rPr>
        <w:t xml:space="preserve"> in the </w:t>
      </w:r>
      <w:r w:rsidR="00D8482D" w:rsidRPr="0088780C">
        <w:rPr>
          <w:snapToGrid w:val="0"/>
          <w:kern w:val="22"/>
          <w:szCs w:val="22"/>
        </w:rPr>
        <w:t>“</w:t>
      </w:r>
      <w:r w:rsidRPr="0088780C">
        <w:rPr>
          <w:snapToGrid w:val="0"/>
          <w:kern w:val="22"/>
          <w:szCs w:val="22"/>
        </w:rPr>
        <w:t>Commonwealth marine area</w:t>
      </w:r>
      <w:r w:rsidR="00D8482D" w:rsidRPr="0088780C">
        <w:rPr>
          <w:snapToGrid w:val="0"/>
          <w:kern w:val="22"/>
          <w:szCs w:val="22"/>
        </w:rPr>
        <w:t>”</w:t>
      </w:r>
      <w:r w:rsidRPr="0088780C">
        <w:rPr>
          <w:snapToGrid w:val="0"/>
          <w:kern w:val="22"/>
          <w:szCs w:val="22"/>
        </w:rPr>
        <w:t xml:space="preserve"> of Australia. </w:t>
      </w:r>
      <w:r w:rsidR="004716CD" w:rsidRPr="0088780C">
        <w:rPr>
          <w:snapToGrid w:val="0"/>
          <w:kern w:val="22"/>
          <w:szCs w:val="22"/>
        </w:rPr>
        <w:t>He</w:t>
      </w:r>
      <w:r w:rsidRPr="0088780C">
        <w:rPr>
          <w:snapToGrid w:val="0"/>
          <w:kern w:val="22"/>
          <w:szCs w:val="22"/>
        </w:rPr>
        <w:t xml:space="preserve">  </w:t>
      </w:r>
      <w:r w:rsidR="00166770" w:rsidRPr="0088780C">
        <w:rPr>
          <w:snapToGrid w:val="0"/>
          <w:kern w:val="22"/>
          <w:szCs w:val="22"/>
        </w:rPr>
        <w:t>noted</w:t>
      </w:r>
      <w:r w:rsidRPr="0088780C">
        <w:rPr>
          <w:snapToGrid w:val="0"/>
          <w:kern w:val="22"/>
          <w:szCs w:val="22"/>
        </w:rPr>
        <w:t xml:space="preserve"> that EBSAs range in size and can be categorized into four distinct types. </w:t>
      </w:r>
      <w:r w:rsidR="00166770" w:rsidRPr="0088780C">
        <w:rPr>
          <w:snapToGrid w:val="0"/>
          <w:kern w:val="22"/>
          <w:szCs w:val="22"/>
        </w:rPr>
        <w:t>He concluded by noting that t</w:t>
      </w:r>
      <w:r w:rsidRPr="0088780C">
        <w:rPr>
          <w:snapToGrid w:val="0"/>
          <w:kern w:val="22"/>
          <w:szCs w:val="22"/>
        </w:rPr>
        <w:t xml:space="preserve">he EBSA workshops have led to new collaborations, involving the sharing of datasets, tools and methodologies, and integrating the best available scientific and technical information, data collection, synthesis and mapping.  EBSAs have the potential to help policy makers to focus management efforts; to help secure the delivery of key ecosystem services for industry; to identify areas important for ocean benefits for people, including food security and sustainable livelihoods; and to help competent international organizations </w:t>
      </w:r>
      <w:r w:rsidR="00166770" w:rsidRPr="0088780C">
        <w:rPr>
          <w:snapToGrid w:val="0"/>
          <w:kern w:val="22"/>
          <w:szCs w:val="22"/>
        </w:rPr>
        <w:t>fulfil</w:t>
      </w:r>
      <w:r w:rsidRPr="0088780C">
        <w:rPr>
          <w:snapToGrid w:val="0"/>
          <w:kern w:val="22"/>
          <w:szCs w:val="22"/>
        </w:rPr>
        <w:t xml:space="preserve"> their mandates.</w:t>
      </w:r>
    </w:p>
    <w:p w14:paraId="5B88CD21" w14:textId="77777777" w:rsidR="00490F2F" w:rsidRPr="0088780C" w:rsidRDefault="00490F2F" w:rsidP="001013AF">
      <w:pPr>
        <w:suppressLineNumbers/>
        <w:suppressAutoHyphens/>
        <w:kinsoku w:val="0"/>
        <w:overflowPunct w:val="0"/>
        <w:autoSpaceDE w:val="0"/>
        <w:autoSpaceDN w:val="0"/>
        <w:rPr>
          <w:snapToGrid w:val="0"/>
          <w:kern w:val="22"/>
          <w:szCs w:val="22"/>
        </w:rPr>
      </w:pPr>
    </w:p>
    <w:p w14:paraId="39A92CC8" w14:textId="16653469" w:rsidR="00490F2F" w:rsidRPr="0088780C" w:rsidRDefault="00490F2F" w:rsidP="001013AF">
      <w:pPr>
        <w:suppressLineNumbers/>
        <w:suppressAutoHyphens/>
        <w:kinsoku w:val="0"/>
        <w:overflowPunct w:val="0"/>
        <w:autoSpaceDE w:val="0"/>
        <w:autoSpaceDN w:val="0"/>
        <w:jc w:val="left"/>
        <w:rPr>
          <w:rFonts w:eastAsia="Times New Roman"/>
          <w:b/>
          <w:i/>
          <w:snapToGrid w:val="0"/>
          <w:kern w:val="22"/>
          <w:szCs w:val="22"/>
        </w:rPr>
      </w:pPr>
      <w:r w:rsidRPr="0088780C">
        <w:rPr>
          <w:b/>
          <w:snapToGrid w:val="0"/>
          <w:kern w:val="22"/>
          <w:szCs w:val="22"/>
        </w:rPr>
        <w:t>Black Sea Commission: CBD-related Activities in the Black Sea Region</w:t>
      </w:r>
      <w:r w:rsidR="001C41BC" w:rsidRPr="0088780C">
        <w:rPr>
          <w:b/>
          <w:i/>
          <w:snapToGrid w:val="0"/>
          <w:kern w:val="22"/>
          <w:szCs w:val="22"/>
        </w:rPr>
        <w:t xml:space="preserve"> (by </w:t>
      </w:r>
      <w:r w:rsidRPr="0088780C">
        <w:rPr>
          <w:b/>
          <w:i/>
          <w:snapToGrid w:val="0"/>
          <w:kern w:val="22"/>
          <w:szCs w:val="22"/>
        </w:rPr>
        <w:t xml:space="preserve">Iryna Makarenko, </w:t>
      </w:r>
      <w:r w:rsidRPr="0088780C">
        <w:rPr>
          <w:rFonts w:eastAsia="Times New Roman"/>
          <w:b/>
          <w:i/>
          <w:snapToGrid w:val="0"/>
          <w:kern w:val="22"/>
          <w:szCs w:val="22"/>
        </w:rPr>
        <w:t>Black Sea Commission Permanent Secretariat</w:t>
      </w:r>
      <w:r w:rsidR="001C41BC" w:rsidRPr="0088780C">
        <w:rPr>
          <w:rFonts w:eastAsia="Times New Roman"/>
          <w:b/>
          <w:i/>
          <w:snapToGrid w:val="0"/>
          <w:kern w:val="22"/>
          <w:szCs w:val="22"/>
        </w:rPr>
        <w:t>)</w:t>
      </w:r>
    </w:p>
    <w:p w14:paraId="4A9872D1" w14:textId="77777777" w:rsidR="00166770" w:rsidRPr="0088780C" w:rsidRDefault="00166770" w:rsidP="001013AF">
      <w:pPr>
        <w:suppressLineNumbers/>
        <w:suppressAutoHyphens/>
        <w:kinsoku w:val="0"/>
        <w:overflowPunct w:val="0"/>
        <w:autoSpaceDE w:val="0"/>
        <w:autoSpaceDN w:val="0"/>
        <w:jc w:val="left"/>
        <w:rPr>
          <w:rFonts w:eastAsia="Times New Roman"/>
          <w:b/>
          <w:i/>
          <w:snapToGrid w:val="0"/>
          <w:kern w:val="22"/>
          <w:szCs w:val="22"/>
        </w:rPr>
      </w:pPr>
    </w:p>
    <w:p w14:paraId="52B4009F" w14:textId="1D2D61F1" w:rsidR="00490F2F" w:rsidRPr="0088780C" w:rsidRDefault="00490F2F" w:rsidP="001013AF">
      <w:pPr>
        <w:suppressLineNumbers/>
        <w:tabs>
          <w:tab w:val="num" w:pos="720"/>
          <w:tab w:val="num" w:pos="1440"/>
        </w:tabs>
        <w:suppressAutoHyphens/>
        <w:kinsoku w:val="0"/>
        <w:overflowPunct w:val="0"/>
        <w:autoSpaceDE w:val="0"/>
        <w:autoSpaceDN w:val="0"/>
        <w:adjustRightInd w:val="0"/>
        <w:rPr>
          <w:rFonts w:eastAsia="Times New Roman"/>
          <w:snapToGrid w:val="0"/>
          <w:kern w:val="22"/>
          <w:szCs w:val="22"/>
        </w:rPr>
      </w:pPr>
      <w:r w:rsidRPr="0088780C">
        <w:rPr>
          <w:rFonts w:eastAsia="Times New Roman"/>
          <w:snapToGrid w:val="0"/>
          <w:kern w:val="22"/>
          <w:szCs w:val="22"/>
        </w:rPr>
        <w:t>Ms. Makarenko introduced the Black Sea Commission Permanent Secretariat, as the executive body to the Bucharest Convention, the Convention on the Protection of the Black Sea against Pollution, which was signed and ratified in 1994. She explained that the Black Sea Commission focuses on the conservation of the environment of the Black Sea, a</w:t>
      </w:r>
      <w:r w:rsidR="00166770" w:rsidRPr="0088780C">
        <w:rPr>
          <w:rFonts w:eastAsia="Times New Roman"/>
          <w:snapToGrid w:val="0"/>
          <w:kern w:val="22"/>
          <w:szCs w:val="22"/>
        </w:rPr>
        <w:t>nd</w:t>
      </w:r>
      <w:r w:rsidRPr="0088780C">
        <w:rPr>
          <w:rFonts w:eastAsia="Times New Roman"/>
          <w:snapToGrid w:val="0"/>
          <w:kern w:val="22"/>
          <w:szCs w:val="22"/>
        </w:rPr>
        <w:t xml:space="preserve"> promot</w:t>
      </w:r>
      <w:r w:rsidR="00166770" w:rsidRPr="0088780C">
        <w:rPr>
          <w:rFonts w:eastAsia="Times New Roman"/>
          <w:snapToGrid w:val="0"/>
          <w:kern w:val="22"/>
          <w:szCs w:val="22"/>
        </w:rPr>
        <w:t>es</w:t>
      </w:r>
      <w:r w:rsidRPr="0088780C">
        <w:rPr>
          <w:rFonts w:eastAsia="Times New Roman"/>
          <w:snapToGrid w:val="0"/>
          <w:kern w:val="22"/>
          <w:szCs w:val="22"/>
        </w:rPr>
        <w:t xml:space="preserve"> the relevant international bilateral and multilateral agreements with same objectives in the Black Sea basin. She also pointed out that the convention unites the efforts of six countries around the Black Sea, has four protocols and six advisory groups. Within the structure of the Black Sea Commission there is an advisory group that contributes to the implementation of the Convention on Biological Diversity by coordinating efforts and activities within the region, developing guidelines, and sharing the best available scientific results, expertise and knowledge. This group focuses its work on the implementation of the Black Sea Biodiversity and Landscape Conservation Protocol to the Bucharest Convention,</w:t>
      </w:r>
      <w:r w:rsidRPr="0088780C">
        <w:rPr>
          <w:rFonts w:eastAsia="Times New Roman"/>
          <w:bCs/>
          <w:snapToGrid w:val="0"/>
          <w:kern w:val="22"/>
          <w:szCs w:val="22"/>
        </w:rPr>
        <w:t xml:space="preserve"> one of four protocols to the Bucharest Convention, which entered into force in June 2011. The group periodically updates lists of important species of the Black Sea, species whose exploitation should be regulated, non-indigenous </w:t>
      </w:r>
      <w:r w:rsidR="00166770" w:rsidRPr="0088780C">
        <w:rPr>
          <w:rFonts w:eastAsia="Times New Roman"/>
          <w:bCs/>
          <w:snapToGrid w:val="0"/>
          <w:kern w:val="22"/>
          <w:szCs w:val="22"/>
        </w:rPr>
        <w:t>s</w:t>
      </w:r>
      <w:r w:rsidRPr="0088780C">
        <w:rPr>
          <w:rFonts w:eastAsia="Times New Roman"/>
          <w:bCs/>
          <w:snapToGrid w:val="0"/>
          <w:kern w:val="22"/>
          <w:szCs w:val="22"/>
        </w:rPr>
        <w:t>pecies, and produces Red Data Books</w:t>
      </w:r>
      <w:r w:rsidR="00166770" w:rsidRPr="0088780C">
        <w:rPr>
          <w:rFonts w:eastAsia="Times New Roman"/>
          <w:bCs/>
          <w:snapToGrid w:val="0"/>
          <w:kern w:val="22"/>
          <w:szCs w:val="22"/>
        </w:rPr>
        <w:t>,</w:t>
      </w:r>
      <w:r w:rsidRPr="0088780C">
        <w:rPr>
          <w:rFonts w:eastAsia="Times New Roman"/>
          <w:bCs/>
          <w:snapToGrid w:val="0"/>
          <w:kern w:val="22"/>
          <w:szCs w:val="22"/>
        </w:rPr>
        <w:t xml:space="preserve"> guidelines and manuals. In 2015, </w:t>
      </w:r>
      <w:r w:rsidRPr="0088780C">
        <w:rPr>
          <w:rFonts w:eastAsia="Times New Roman"/>
          <w:snapToGrid w:val="0"/>
          <w:kern w:val="22"/>
          <w:szCs w:val="22"/>
        </w:rPr>
        <w:t xml:space="preserve">the CBD Advisory Group considered the issue of ecologically or biologically significant marine areas in the Black Sea where </w:t>
      </w:r>
      <w:r w:rsidR="00D8482D" w:rsidRPr="0088780C">
        <w:rPr>
          <w:rFonts w:eastAsia="Times New Roman"/>
          <w:snapToGrid w:val="0"/>
          <w:kern w:val="22"/>
          <w:szCs w:val="22"/>
        </w:rPr>
        <w:t>“</w:t>
      </w:r>
      <w:r w:rsidRPr="0088780C">
        <w:rPr>
          <w:rFonts w:eastAsia="Times New Roman"/>
          <w:snapToGrid w:val="0"/>
          <w:kern w:val="22"/>
          <w:szCs w:val="22"/>
        </w:rPr>
        <w:t>the cooperation with CBD Secretariat on</w:t>
      </w:r>
      <w:r w:rsidR="004716CD" w:rsidRPr="0088780C">
        <w:rPr>
          <w:rFonts w:eastAsia="Times New Roman"/>
          <w:snapToGrid w:val="0"/>
          <w:kern w:val="22"/>
          <w:szCs w:val="22"/>
        </w:rPr>
        <w:t xml:space="preserve"> description of Ecologically or</w:t>
      </w:r>
      <w:r w:rsidRPr="0088780C">
        <w:rPr>
          <w:rFonts w:eastAsia="Times New Roman"/>
          <w:snapToGrid w:val="0"/>
          <w:kern w:val="22"/>
          <w:szCs w:val="22"/>
        </w:rPr>
        <w:t xml:space="preserve"> Biologically Significant Marine Areas (EBSA process) and possible establishment of EBSA sites for the Black Sea was highly welcomed and appreciated</w:t>
      </w:r>
      <w:r w:rsidR="00D8482D" w:rsidRPr="0088780C">
        <w:rPr>
          <w:rFonts w:eastAsia="Times New Roman"/>
          <w:snapToGrid w:val="0"/>
          <w:kern w:val="22"/>
          <w:szCs w:val="22"/>
        </w:rPr>
        <w:t>”</w:t>
      </w:r>
      <w:r w:rsidRPr="0088780C">
        <w:rPr>
          <w:rFonts w:eastAsia="Times New Roman"/>
          <w:snapToGrid w:val="0"/>
          <w:kern w:val="22"/>
          <w:szCs w:val="22"/>
        </w:rPr>
        <w:t>. The Black Sea Commission collaborates extensively with international and public organizations. Among the progress achieved so far: (1) Short format of reporting elaborated and adopted, based on agreed indicators; (2) Black Sea Integrated Monitoring and Assessment Program for 2017-2022 adopted in October, 2016; (3) First Report on the Implementation of the (amended) Black Sea Strategic Action Plan (2009) and State of the Black Sea Environment Report.</w:t>
      </w:r>
    </w:p>
    <w:p w14:paraId="3C33C1B9" w14:textId="77777777" w:rsidR="00490F2F" w:rsidRPr="0088780C" w:rsidRDefault="00490F2F" w:rsidP="001013AF">
      <w:pPr>
        <w:suppressLineNumbers/>
        <w:suppressAutoHyphens/>
        <w:kinsoku w:val="0"/>
        <w:overflowPunct w:val="0"/>
        <w:autoSpaceDE w:val="0"/>
        <w:autoSpaceDN w:val="0"/>
        <w:rPr>
          <w:snapToGrid w:val="0"/>
          <w:kern w:val="22"/>
          <w:szCs w:val="22"/>
        </w:rPr>
      </w:pPr>
    </w:p>
    <w:p w14:paraId="753F6ABD" w14:textId="4A5EBB75" w:rsidR="00490F2F" w:rsidRPr="0088780C" w:rsidRDefault="00490F2F" w:rsidP="001013AF">
      <w:pPr>
        <w:suppressLineNumbers/>
        <w:suppressAutoHyphens/>
        <w:kinsoku w:val="0"/>
        <w:overflowPunct w:val="0"/>
        <w:autoSpaceDE w:val="0"/>
        <w:autoSpaceDN w:val="0"/>
        <w:rPr>
          <w:b/>
          <w:i/>
          <w:snapToGrid w:val="0"/>
          <w:color w:val="000000"/>
          <w:kern w:val="22"/>
          <w:szCs w:val="22"/>
        </w:rPr>
      </w:pPr>
      <w:r w:rsidRPr="0088780C">
        <w:rPr>
          <w:b/>
          <w:i/>
          <w:snapToGrid w:val="0"/>
          <w:kern w:val="22"/>
          <w:szCs w:val="22"/>
        </w:rPr>
        <w:t>Regional Context of Marine Biodiversity Conservation in the Caspian Sea</w:t>
      </w:r>
      <w:r w:rsidR="001C41BC" w:rsidRPr="0088780C">
        <w:rPr>
          <w:b/>
          <w:i/>
          <w:snapToGrid w:val="0"/>
          <w:kern w:val="22"/>
          <w:szCs w:val="22"/>
        </w:rPr>
        <w:t xml:space="preserve"> (</w:t>
      </w:r>
      <w:r w:rsidRPr="0088780C">
        <w:rPr>
          <w:b/>
          <w:i/>
          <w:snapToGrid w:val="0"/>
          <w:color w:val="000000"/>
          <w:kern w:val="22"/>
          <w:szCs w:val="22"/>
        </w:rPr>
        <w:t>Mahir Aliyev, Tehran Convention Interim Secretariat</w:t>
      </w:r>
      <w:r w:rsidR="001C41BC" w:rsidRPr="0088780C">
        <w:rPr>
          <w:b/>
          <w:i/>
          <w:snapToGrid w:val="0"/>
          <w:color w:val="000000"/>
          <w:kern w:val="22"/>
          <w:szCs w:val="22"/>
        </w:rPr>
        <w:t>)</w:t>
      </w:r>
    </w:p>
    <w:p w14:paraId="10777EE6" w14:textId="23C5BD07" w:rsidR="00490F2F" w:rsidRPr="0088780C" w:rsidRDefault="00490F2F" w:rsidP="001013AF">
      <w:pPr>
        <w:suppressLineNumbers/>
        <w:suppressAutoHyphens/>
        <w:kinsoku w:val="0"/>
        <w:overflowPunct w:val="0"/>
        <w:autoSpaceDE w:val="0"/>
        <w:autoSpaceDN w:val="0"/>
        <w:rPr>
          <w:snapToGrid w:val="0"/>
          <w:kern w:val="22"/>
          <w:szCs w:val="22"/>
        </w:rPr>
      </w:pPr>
      <w:r w:rsidRPr="0088780C">
        <w:rPr>
          <w:snapToGrid w:val="0"/>
          <w:color w:val="000000"/>
          <w:kern w:val="22"/>
          <w:szCs w:val="22"/>
        </w:rPr>
        <w:t xml:space="preserve">Mr. Aliyev introduced the 2003 Framework Convention for the Protection of the Marine Environment of the Caspian Sea (Tehran Convention), so far the only legally binding agreement among the five Caspian </w:t>
      </w:r>
      <w:r w:rsidR="00E467F5" w:rsidRPr="0088780C">
        <w:rPr>
          <w:snapToGrid w:val="0"/>
          <w:color w:val="000000"/>
          <w:kern w:val="22"/>
          <w:szCs w:val="22"/>
        </w:rPr>
        <w:t>S</w:t>
      </w:r>
      <w:r w:rsidRPr="0088780C">
        <w:rPr>
          <w:snapToGrid w:val="0"/>
          <w:color w:val="000000"/>
          <w:kern w:val="22"/>
          <w:szCs w:val="22"/>
        </w:rPr>
        <w:t>tates. He explained that this Convention is</w:t>
      </w:r>
      <w:r w:rsidR="00E467F5" w:rsidRPr="0088780C">
        <w:rPr>
          <w:snapToGrid w:val="0"/>
          <w:color w:val="000000"/>
          <w:kern w:val="22"/>
          <w:szCs w:val="22"/>
        </w:rPr>
        <w:t xml:space="preserve"> a historic breakthrough to avoid/mitigate</w:t>
      </w:r>
      <w:r w:rsidRPr="0088780C">
        <w:rPr>
          <w:snapToGrid w:val="0"/>
          <w:color w:val="000000"/>
          <w:kern w:val="22"/>
          <w:szCs w:val="22"/>
        </w:rPr>
        <w:t xml:space="preserve"> environmental degradation and preserve one of the world’s most precious ecosystems. Its auxiliary </w:t>
      </w:r>
      <w:r w:rsidRPr="0088780C">
        <w:rPr>
          <w:snapToGrid w:val="0"/>
          <w:kern w:val="22"/>
          <w:szCs w:val="22"/>
        </w:rPr>
        <w:t xml:space="preserve">Protocol for the Conservation of Biological Diversity, adopted in 2014, sets the regional context for marine biodiversity conservation in the Caspian Sea towards achieving the Aichi Biodiversity Targets. </w:t>
      </w:r>
      <w:r w:rsidR="00E467F5" w:rsidRPr="0088780C">
        <w:rPr>
          <w:snapToGrid w:val="0"/>
          <w:kern w:val="22"/>
          <w:szCs w:val="22"/>
        </w:rPr>
        <w:t>He</w:t>
      </w:r>
      <w:r w:rsidRPr="0088780C">
        <w:rPr>
          <w:snapToGrid w:val="0"/>
          <w:kern w:val="22"/>
          <w:szCs w:val="22"/>
        </w:rPr>
        <w:t xml:space="preserve"> stressed that t</w:t>
      </w:r>
      <w:r w:rsidRPr="0088780C">
        <w:rPr>
          <w:snapToGrid w:val="0"/>
          <w:color w:val="000000"/>
          <w:kern w:val="22"/>
          <w:szCs w:val="22"/>
        </w:rPr>
        <w:t>oday’s global partnership to confront emerging environmental challenges can only be built alongside regional cooperati</w:t>
      </w:r>
      <w:r w:rsidR="00E467F5" w:rsidRPr="0088780C">
        <w:rPr>
          <w:snapToGrid w:val="0"/>
          <w:color w:val="000000"/>
          <w:kern w:val="22"/>
          <w:szCs w:val="22"/>
        </w:rPr>
        <w:t>on established by neighbouring S</w:t>
      </w:r>
      <w:r w:rsidRPr="0088780C">
        <w:rPr>
          <w:snapToGrid w:val="0"/>
          <w:color w:val="000000"/>
          <w:kern w:val="22"/>
          <w:szCs w:val="22"/>
        </w:rPr>
        <w:t>tates within adjoining ecosystems, to protect their valuable shared natural assets. The collaboration of the Caspian Sea and the Black Sea basins to keep these ecosystems healthy and prosperous is one such regional success stor</w:t>
      </w:r>
      <w:r w:rsidR="00483E24" w:rsidRPr="0088780C">
        <w:rPr>
          <w:snapToGrid w:val="0"/>
          <w:color w:val="000000"/>
          <w:kern w:val="22"/>
          <w:szCs w:val="22"/>
        </w:rPr>
        <w:t>y</w:t>
      </w:r>
      <w:r w:rsidRPr="0088780C">
        <w:rPr>
          <w:snapToGrid w:val="0"/>
          <w:color w:val="000000"/>
          <w:kern w:val="22"/>
          <w:szCs w:val="22"/>
        </w:rPr>
        <w:t xml:space="preserve"> that support</w:t>
      </w:r>
      <w:r w:rsidR="00483E24" w:rsidRPr="0088780C">
        <w:rPr>
          <w:snapToGrid w:val="0"/>
          <w:color w:val="000000"/>
          <w:kern w:val="22"/>
          <w:szCs w:val="22"/>
        </w:rPr>
        <w:t>s</w:t>
      </w:r>
      <w:r w:rsidRPr="0088780C">
        <w:rPr>
          <w:snapToGrid w:val="0"/>
          <w:color w:val="000000"/>
          <w:kern w:val="22"/>
          <w:szCs w:val="22"/>
        </w:rPr>
        <w:t xml:space="preserve"> the global partnership for environmental sustainability. </w:t>
      </w:r>
      <w:r w:rsidR="00483E24" w:rsidRPr="0088780C">
        <w:rPr>
          <w:snapToGrid w:val="0"/>
          <w:color w:val="000000"/>
          <w:kern w:val="22"/>
          <w:szCs w:val="22"/>
        </w:rPr>
        <w:t>Mr. Aliyev concluded by noting that t</w:t>
      </w:r>
      <w:r w:rsidRPr="0088780C">
        <w:rPr>
          <w:snapToGrid w:val="0"/>
          <w:kern w:val="22"/>
          <w:szCs w:val="22"/>
        </w:rPr>
        <w:t>his CBD Workshop is the first practical step towards the implementation of the Ashgabat Protocol in the Caspian Sea.</w:t>
      </w:r>
    </w:p>
    <w:p w14:paraId="534BF873" w14:textId="77777777" w:rsidR="00490F2F" w:rsidRPr="0088780C" w:rsidRDefault="00490F2F" w:rsidP="001013AF">
      <w:pPr>
        <w:suppressLineNumbers/>
        <w:suppressAutoHyphens/>
        <w:kinsoku w:val="0"/>
        <w:overflowPunct w:val="0"/>
        <w:autoSpaceDE w:val="0"/>
        <w:autoSpaceDN w:val="0"/>
        <w:rPr>
          <w:snapToGrid w:val="0"/>
          <w:kern w:val="22"/>
          <w:szCs w:val="22"/>
        </w:rPr>
      </w:pPr>
    </w:p>
    <w:p w14:paraId="248724C7" w14:textId="77777777" w:rsidR="00490F2F" w:rsidRPr="0088780C" w:rsidRDefault="00490F2F" w:rsidP="001013AF">
      <w:pPr>
        <w:suppressLineNumbers/>
        <w:suppressAutoHyphens/>
        <w:kinsoku w:val="0"/>
        <w:overflowPunct w:val="0"/>
        <w:autoSpaceDE w:val="0"/>
        <w:autoSpaceDN w:val="0"/>
        <w:rPr>
          <w:snapToGrid w:val="0"/>
          <w:kern w:val="22"/>
          <w:szCs w:val="22"/>
        </w:rPr>
      </w:pPr>
    </w:p>
    <w:p w14:paraId="1B1234D5" w14:textId="075DC28F" w:rsidR="00490F2F" w:rsidRPr="0088780C" w:rsidRDefault="00490F2F" w:rsidP="001013AF">
      <w:pPr>
        <w:suppressLineNumbers/>
        <w:suppressAutoHyphens/>
        <w:kinsoku w:val="0"/>
        <w:overflowPunct w:val="0"/>
        <w:autoSpaceDE w:val="0"/>
        <w:autoSpaceDN w:val="0"/>
        <w:rPr>
          <w:b/>
          <w:i/>
          <w:snapToGrid w:val="0"/>
          <w:kern w:val="22"/>
          <w:szCs w:val="22"/>
        </w:rPr>
      </w:pPr>
      <w:r w:rsidRPr="0088780C">
        <w:rPr>
          <w:b/>
          <w:snapToGrid w:val="0"/>
          <w:kern w:val="22"/>
          <w:szCs w:val="22"/>
        </w:rPr>
        <w:t xml:space="preserve">ACCOBAMS and the </w:t>
      </w:r>
      <w:r w:rsidR="00D8482D" w:rsidRPr="0088780C">
        <w:rPr>
          <w:b/>
          <w:snapToGrid w:val="0"/>
          <w:kern w:val="22"/>
          <w:szCs w:val="22"/>
        </w:rPr>
        <w:t>“</w:t>
      </w:r>
      <w:r w:rsidRPr="0088780C">
        <w:rPr>
          <w:b/>
          <w:snapToGrid w:val="0"/>
          <w:kern w:val="22"/>
          <w:szCs w:val="22"/>
        </w:rPr>
        <w:t>Cetacean Critical Habitat</w:t>
      </w:r>
      <w:r w:rsidR="00D8482D" w:rsidRPr="0088780C">
        <w:rPr>
          <w:b/>
          <w:snapToGrid w:val="0"/>
          <w:kern w:val="22"/>
          <w:szCs w:val="22"/>
        </w:rPr>
        <w:t>”</w:t>
      </w:r>
      <w:r w:rsidRPr="0088780C">
        <w:rPr>
          <w:b/>
          <w:snapToGrid w:val="0"/>
          <w:kern w:val="22"/>
          <w:szCs w:val="22"/>
        </w:rPr>
        <w:t xml:space="preserve"> Process </w:t>
      </w:r>
      <w:r w:rsidR="001C41BC" w:rsidRPr="0088780C">
        <w:rPr>
          <w:b/>
          <w:i/>
          <w:snapToGrid w:val="0"/>
          <w:kern w:val="22"/>
          <w:szCs w:val="22"/>
        </w:rPr>
        <w:t xml:space="preserve">(by </w:t>
      </w:r>
      <w:r w:rsidRPr="0088780C">
        <w:rPr>
          <w:b/>
          <w:i/>
          <w:snapToGrid w:val="0"/>
          <w:kern w:val="22"/>
          <w:szCs w:val="22"/>
        </w:rPr>
        <w:t>Ayaka Amaha Ozturk, Agreement on the Conservation of Cetaceans of the Black Sea, Mediterranean Sea and Contiguous Atlantic Area</w:t>
      </w:r>
      <w:r w:rsidR="00483E24" w:rsidRPr="0088780C">
        <w:rPr>
          <w:b/>
          <w:i/>
          <w:snapToGrid w:val="0"/>
          <w:kern w:val="22"/>
          <w:szCs w:val="22"/>
        </w:rPr>
        <w:t>,</w:t>
      </w:r>
      <w:r w:rsidRPr="0088780C">
        <w:rPr>
          <w:b/>
          <w:i/>
          <w:snapToGrid w:val="0"/>
          <w:kern w:val="22"/>
          <w:szCs w:val="22"/>
        </w:rPr>
        <w:t xml:space="preserve"> ACCOBAMS)</w:t>
      </w:r>
    </w:p>
    <w:p w14:paraId="1AAAB906" w14:textId="3BD9F50A" w:rsidR="00490F2F" w:rsidRPr="0088780C" w:rsidRDefault="00490F2F" w:rsidP="001013AF">
      <w:pPr>
        <w:suppressLineNumbers/>
        <w:suppressAutoHyphens/>
        <w:kinsoku w:val="0"/>
        <w:overflowPunct w:val="0"/>
        <w:autoSpaceDE w:val="0"/>
        <w:autoSpaceDN w:val="0"/>
        <w:spacing w:after="160" w:line="259" w:lineRule="auto"/>
        <w:rPr>
          <w:snapToGrid w:val="0"/>
          <w:kern w:val="22"/>
          <w:szCs w:val="22"/>
          <w:lang w:eastAsia="ja-JP"/>
        </w:rPr>
      </w:pPr>
      <w:r w:rsidRPr="0088780C">
        <w:rPr>
          <w:snapToGrid w:val="0"/>
          <w:kern w:val="22"/>
          <w:szCs w:val="22"/>
          <w:lang w:eastAsia="ja-JP"/>
        </w:rPr>
        <w:t xml:space="preserve">Ayaka Amaha Ozturk, Vice Chair of the Scientific Committee of ACCOBAMS,  provided an introduction to ACCOBAMS and its approach to  habitat protection for cetaceans.  </w:t>
      </w:r>
      <w:r w:rsidR="00483E24" w:rsidRPr="0088780C">
        <w:rPr>
          <w:snapToGrid w:val="0"/>
          <w:kern w:val="22"/>
          <w:szCs w:val="22"/>
          <w:lang w:eastAsia="ja-JP"/>
        </w:rPr>
        <w:t>She explained th</w:t>
      </w:r>
      <w:r w:rsidR="000377C2" w:rsidRPr="0088780C">
        <w:rPr>
          <w:snapToGrid w:val="0"/>
          <w:kern w:val="22"/>
          <w:szCs w:val="22"/>
          <w:lang w:eastAsia="ja-JP"/>
        </w:rPr>
        <w:t>a</w:t>
      </w:r>
      <w:r w:rsidR="00483E24" w:rsidRPr="0088780C">
        <w:rPr>
          <w:snapToGrid w:val="0"/>
          <w:kern w:val="22"/>
          <w:szCs w:val="22"/>
          <w:lang w:eastAsia="ja-JP"/>
        </w:rPr>
        <w:t>t ACCOBAMS has</w:t>
      </w:r>
      <w:r w:rsidRPr="0088780C">
        <w:rPr>
          <w:snapToGrid w:val="0"/>
          <w:kern w:val="22"/>
          <w:szCs w:val="22"/>
          <w:lang w:eastAsia="ja-JP"/>
        </w:rPr>
        <w:t xml:space="preserve"> designated Cetacean Critical Habitats (CCHs) in their agreement areas. In the Mediterranean, the EBSAs and CCHs have showed good agreement, which indicates that they are complementary to each other and that cooperation is necessary for future development in habitat protection. Four CCHs have been designated in the Black Sea,</w:t>
      </w:r>
      <w:r w:rsidR="00635A3C" w:rsidRPr="0088780C">
        <w:rPr>
          <w:snapToGrid w:val="0"/>
          <w:kern w:val="22"/>
          <w:szCs w:val="22"/>
          <w:lang w:eastAsia="ja-JP"/>
        </w:rPr>
        <w:t xml:space="preserve"> including the </w:t>
      </w:r>
      <w:r w:rsidR="00513A90" w:rsidRPr="0088780C">
        <w:rPr>
          <w:snapToGrid w:val="0"/>
          <w:kern w:val="22"/>
          <w:szCs w:val="22"/>
          <w:lang w:eastAsia="ja-JP"/>
        </w:rPr>
        <w:t>Balaklava area</w:t>
      </w:r>
      <w:r w:rsidR="00483E24" w:rsidRPr="0088780C">
        <w:rPr>
          <w:snapToGrid w:val="0"/>
          <w:kern w:val="22"/>
          <w:szCs w:val="22"/>
          <w:lang w:eastAsia="ja-JP"/>
        </w:rPr>
        <w:t>, which</w:t>
      </w:r>
      <w:r w:rsidR="00635A3C" w:rsidRPr="0088780C">
        <w:rPr>
          <w:snapToGrid w:val="0"/>
          <w:kern w:val="22"/>
          <w:szCs w:val="22"/>
          <w:lang w:eastAsia="ja-JP"/>
        </w:rPr>
        <w:t xml:space="preserve"> is being proposed </w:t>
      </w:r>
      <w:r w:rsidR="00AF0AC6" w:rsidRPr="0088780C">
        <w:rPr>
          <w:snapToGrid w:val="0"/>
          <w:kern w:val="22"/>
          <w:szCs w:val="22"/>
          <w:lang w:eastAsia="ja-JP"/>
        </w:rPr>
        <w:t xml:space="preserve">by </w:t>
      </w:r>
      <w:r w:rsidR="00635A3C" w:rsidRPr="0088780C">
        <w:rPr>
          <w:snapToGrid w:val="0"/>
          <w:kern w:val="22"/>
          <w:szCs w:val="22"/>
          <w:lang w:eastAsia="ja-JP"/>
        </w:rPr>
        <w:t>as a potential area meeting the EBSA criteria,</w:t>
      </w:r>
      <w:r w:rsidRPr="0088780C">
        <w:rPr>
          <w:snapToGrid w:val="0"/>
          <w:kern w:val="22"/>
          <w:szCs w:val="22"/>
          <w:lang w:eastAsia="ja-JP"/>
        </w:rPr>
        <w:t xml:space="preserve"> </w:t>
      </w:r>
      <w:r w:rsidR="00483E24" w:rsidRPr="0088780C">
        <w:rPr>
          <w:snapToGrid w:val="0"/>
          <w:kern w:val="22"/>
          <w:szCs w:val="22"/>
          <w:lang w:eastAsia="ja-JP"/>
        </w:rPr>
        <w:t xml:space="preserve">for </w:t>
      </w:r>
      <w:r w:rsidRPr="0088780C">
        <w:rPr>
          <w:snapToGrid w:val="0"/>
          <w:kern w:val="22"/>
          <w:szCs w:val="22"/>
          <w:lang w:eastAsia="ja-JP"/>
        </w:rPr>
        <w:t xml:space="preserve"> discuss</w:t>
      </w:r>
      <w:r w:rsidR="00483E24" w:rsidRPr="0088780C">
        <w:rPr>
          <w:snapToGrid w:val="0"/>
          <w:kern w:val="22"/>
          <w:szCs w:val="22"/>
          <w:lang w:eastAsia="ja-JP"/>
        </w:rPr>
        <w:t>ion</w:t>
      </w:r>
      <w:r w:rsidRPr="0088780C">
        <w:rPr>
          <w:snapToGrid w:val="0"/>
          <w:kern w:val="22"/>
          <w:szCs w:val="22"/>
          <w:lang w:eastAsia="ja-JP"/>
        </w:rPr>
        <w:t xml:space="preserve"> during this workshop.  She noted that at the upcoming  the Annual Conference of the European Cetacean Society in Denmark, human threats will be dicussed, and its results will be evaluated together with the CCHs to further develop effective conservation measures for the cetaceans in the Mediterranean and Black Seas.</w:t>
      </w:r>
    </w:p>
    <w:p w14:paraId="74E89AA6" w14:textId="58404285" w:rsidR="00490F2F" w:rsidRPr="0088780C" w:rsidRDefault="00490F2F" w:rsidP="001013AF">
      <w:pPr>
        <w:suppressLineNumbers/>
        <w:suppressAutoHyphens/>
        <w:kinsoku w:val="0"/>
        <w:overflowPunct w:val="0"/>
        <w:autoSpaceDE w:val="0"/>
        <w:autoSpaceDN w:val="0"/>
        <w:rPr>
          <w:b/>
          <w:i/>
          <w:snapToGrid w:val="0"/>
          <w:kern w:val="22"/>
          <w:szCs w:val="22"/>
          <w:lang w:eastAsia="ko-KR"/>
        </w:rPr>
      </w:pPr>
      <w:r w:rsidRPr="0088780C">
        <w:rPr>
          <w:b/>
          <w:snapToGrid w:val="0"/>
          <w:kern w:val="22"/>
          <w:szCs w:val="22"/>
          <w:lang w:eastAsia="ko-KR"/>
        </w:rPr>
        <w:t>Black Sea OBIS Node: Establishment and Activities</w:t>
      </w:r>
      <w:r w:rsidR="001C41BC" w:rsidRPr="0088780C">
        <w:rPr>
          <w:b/>
          <w:i/>
          <w:snapToGrid w:val="0"/>
          <w:kern w:val="22"/>
          <w:szCs w:val="22"/>
          <w:lang w:eastAsia="ko-KR"/>
        </w:rPr>
        <w:t xml:space="preserve"> (by </w:t>
      </w:r>
      <w:r w:rsidRPr="0088780C">
        <w:rPr>
          <w:rFonts w:eastAsia="Times New Roman"/>
          <w:b/>
          <w:i/>
          <w:snapToGrid w:val="0"/>
          <w:kern w:val="22"/>
          <w:szCs w:val="22"/>
        </w:rPr>
        <w:t>Oleksandr Neprokin,</w:t>
      </w:r>
      <w:r w:rsidRPr="0088780C">
        <w:rPr>
          <w:b/>
          <w:i/>
          <w:snapToGrid w:val="0"/>
          <w:kern w:val="22"/>
          <w:szCs w:val="22"/>
          <w:lang w:eastAsia="ko-KR"/>
        </w:rPr>
        <w:t xml:space="preserve"> Ocean Biogeographic Information System (OBIS)/IOC-UNESCO</w:t>
      </w:r>
      <w:r w:rsidR="001C41BC" w:rsidRPr="0088780C">
        <w:rPr>
          <w:b/>
          <w:i/>
          <w:snapToGrid w:val="0"/>
          <w:kern w:val="22"/>
          <w:szCs w:val="22"/>
          <w:lang w:eastAsia="ko-KR"/>
        </w:rPr>
        <w:t>)</w:t>
      </w:r>
    </w:p>
    <w:p w14:paraId="010E1BA2" w14:textId="339A4591" w:rsidR="00490F2F" w:rsidRPr="0088780C" w:rsidRDefault="00490F2F" w:rsidP="001013AF">
      <w:pPr>
        <w:suppressLineNumbers/>
        <w:suppressAutoHyphens/>
        <w:kinsoku w:val="0"/>
        <w:overflowPunct w:val="0"/>
        <w:autoSpaceDE w:val="0"/>
        <w:autoSpaceDN w:val="0"/>
        <w:spacing w:after="200" w:line="276" w:lineRule="auto"/>
        <w:rPr>
          <w:rFonts w:eastAsia="Times New Roman"/>
          <w:snapToGrid w:val="0"/>
          <w:kern w:val="22"/>
          <w:szCs w:val="22"/>
        </w:rPr>
      </w:pPr>
      <w:r w:rsidRPr="0088780C">
        <w:rPr>
          <w:rFonts w:eastAsia="Times New Roman"/>
          <w:snapToGrid w:val="0"/>
          <w:kern w:val="22"/>
          <w:szCs w:val="22"/>
        </w:rPr>
        <w:t>Mr. Neprokin provided</w:t>
      </w:r>
      <w:r w:rsidR="009C290C" w:rsidRPr="0088780C">
        <w:rPr>
          <w:rFonts w:eastAsia="Times New Roman"/>
          <w:snapToGrid w:val="0"/>
          <w:kern w:val="22"/>
          <w:szCs w:val="22"/>
        </w:rPr>
        <w:t xml:space="preserve"> a short introduction on</w:t>
      </w:r>
      <w:r w:rsidRPr="0088780C">
        <w:rPr>
          <w:rFonts w:eastAsia="Times New Roman"/>
          <w:snapToGrid w:val="0"/>
          <w:kern w:val="22"/>
          <w:szCs w:val="22"/>
        </w:rPr>
        <w:t xml:space="preserve"> the Ocean Biogeographic Information System (OBIS), its vision and mission, and then gave general information about his institute – the Ukrainian Scientific Centre of Ecology of the Sea (UkrSCES), where the Black Sea OBIS node was established </w:t>
      </w:r>
      <w:r w:rsidR="00483E24" w:rsidRPr="0088780C">
        <w:rPr>
          <w:rFonts w:eastAsia="Times New Roman"/>
          <w:snapToGrid w:val="0"/>
          <w:kern w:val="22"/>
          <w:szCs w:val="22"/>
        </w:rPr>
        <w:t>at</w:t>
      </w:r>
      <w:r w:rsidRPr="0088780C">
        <w:rPr>
          <w:rFonts w:eastAsia="Times New Roman"/>
          <w:snapToGrid w:val="0"/>
          <w:kern w:val="22"/>
          <w:szCs w:val="22"/>
        </w:rPr>
        <w:t xml:space="preserve"> the beginning of 2016. He described the activities within the Black Sea OBIS node, which includes five datasets already harvested from the Black Sea OBIS node (UkrSCES) to the OBIS database and two datasets published or ready for publication on the Integrated Publishing Tool (special pla</w:t>
      </w:r>
      <w:r w:rsidR="009C290C" w:rsidRPr="0088780C">
        <w:rPr>
          <w:rFonts w:eastAsia="Times New Roman"/>
          <w:snapToGrid w:val="0"/>
          <w:kern w:val="22"/>
          <w:szCs w:val="22"/>
        </w:rPr>
        <w:t xml:space="preserve">tform for data sharing using </w:t>
      </w:r>
      <w:r w:rsidRPr="0088780C">
        <w:rPr>
          <w:rFonts w:eastAsia="Times New Roman"/>
          <w:snapToGrid w:val="0"/>
          <w:kern w:val="22"/>
          <w:szCs w:val="22"/>
        </w:rPr>
        <w:t xml:space="preserve">OBIS and required for every OBIS node operation). </w:t>
      </w:r>
      <w:r w:rsidR="009C290C" w:rsidRPr="0088780C">
        <w:rPr>
          <w:rFonts w:eastAsia="Times New Roman"/>
          <w:snapToGrid w:val="0"/>
          <w:kern w:val="22"/>
          <w:szCs w:val="22"/>
        </w:rPr>
        <w:t>He</w:t>
      </w:r>
      <w:r w:rsidRPr="0088780C">
        <w:rPr>
          <w:rFonts w:eastAsia="Times New Roman"/>
          <w:snapToGrid w:val="0"/>
          <w:kern w:val="22"/>
          <w:szCs w:val="22"/>
        </w:rPr>
        <w:t xml:space="preserve"> also gave an overview of the problems experienced during the operation of the Black Sea OBIS node as well as the solutions found. He </w:t>
      </w:r>
      <w:r w:rsidR="009C290C" w:rsidRPr="0088780C">
        <w:rPr>
          <w:rFonts w:eastAsia="Times New Roman"/>
          <w:snapToGrid w:val="0"/>
          <w:kern w:val="22"/>
          <w:szCs w:val="22"/>
        </w:rPr>
        <w:t>then highlighted</w:t>
      </w:r>
      <w:r w:rsidRPr="0088780C">
        <w:rPr>
          <w:rFonts w:eastAsia="Times New Roman"/>
          <w:snapToGrid w:val="0"/>
          <w:kern w:val="22"/>
          <w:szCs w:val="22"/>
        </w:rPr>
        <w:t xml:space="preserve"> the following future plans for the Black Sea OBIS node: </w:t>
      </w:r>
      <w:r w:rsidRPr="0088780C">
        <w:rPr>
          <w:rFonts w:eastAsia="Times New Roman"/>
          <w:bCs/>
          <w:snapToGrid w:val="0"/>
          <w:kern w:val="22"/>
          <w:szCs w:val="22"/>
        </w:rPr>
        <w:t xml:space="preserve">publication of the datasets from cruise and nearshore monitoring from the UkrSCES database; search for new data providers; sharing of data collected within international activities with the goal to publish the project data via OBIS (e.g., ongoing in UkrSCES ACCOBAMS Project); and including OBIS in the ongoing activities of UkrSCES and obtaining financial support from the Ministry of Environment of Ukraine. </w:t>
      </w:r>
      <w:r w:rsidR="009C290C" w:rsidRPr="0088780C">
        <w:rPr>
          <w:rFonts w:eastAsia="Times New Roman"/>
          <w:snapToGrid w:val="0"/>
          <w:kern w:val="22"/>
          <w:szCs w:val="22"/>
        </w:rPr>
        <w:t>He also</w:t>
      </w:r>
      <w:r w:rsidRPr="0088780C">
        <w:rPr>
          <w:rFonts w:eastAsia="Times New Roman"/>
          <w:snapToGrid w:val="0"/>
          <w:kern w:val="22"/>
          <w:szCs w:val="22"/>
        </w:rPr>
        <w:t xml:space="preserve"> gave examples of statistics for Ukrainian data stored on the OBIS database using tools on the </w:t>
      </w:r>
      <w:hyperlink r:id="rId59" w:history="1">
        <w:r w:rsidRPr="0088780C">
          <w:rPr>
            <w:rFonts w:eastAsia="Times New Roman"/>
            <w:snapToGrid w:val="0"/>
            <w:color w:val="0000FF" w:themeColor="hyperlink"/>
            <w:kern w:val="22"/>
            <w:szCs w:val="22"/>
            <w:u w:val="single"/>
          </w:rPr>
          <w:t>http://iobis.org</w:t>
        </w:r>
      </w:hyperlink>
      <w:r w:rsidRPr="0088780C">
        <w:rPr>
          <w:rFonts w:eastAsia="Times New Roman"/>
          <w:snapToGrid w:val="0"/>
          <w:kern w:val="22"/>
          <w:szCs w:val="22"/>
        </w:rPr>
        <w:t xml:space="preserve"> website to demonstrate its functionality and user-friendly interface.</w:t>
      </w:r>
    </w:p>
    <w:p w14:paraId="1546CAC1" w14:textId="77777777" w:rsidR="00490F2F" w:rsidRPr="0088780C" w:rsidRDefault="00490F2F" w:rsidP="001013AF">
      <w:pPr>
        <w:suppressLineNumbers/>
        <w:suppressAutoHyphens/>
        <w:kinsoku w:val="0"/>
        <w:overflowPunct w:val="0"/>
        <w:autoSpaceDE w:val="0"/>
        <w:autoSpaceDN w:val="0"/>
        <w:rPr>
          <w:b/>
          <w:i/>
          <w:snapToGrid w:val="0"/>
          <w:kern w:val="22"/>
          <w:szCs w:val="22"/>
          <w:lang w:eastAsia="ko-KR"/>
        </w:rPr>
      </w:pPr>
    </w:p>
    <w:p w14:paraId="2C0511CC" w14:textId="7C7EDBC3" w:rsidR="001C41BC" w:rsidRPr="0088780C" w:rsidRDefault="001A7956" w:rsidP="001013AF">
      <w:pPr>
        <w:suppressLineNumbers/>
        <w:suppressAutoHyphens/>
        <w:kinsoku w:val="0"/>
        <w:overflowPunct w:val="0"/>
        <w:autoSpaceDE w:val="0"/>
        <w:autoSpaceDN w:val="0"/>
        <w:rPr>
          <w:b/>
          <w:i/>
          <w:snapToGrid w:val="0"/>
          <w:color w:val="000000"/>
          <w:kern w:val="22"/>
          <w:szCs w:val="22"/>
          <w:lang w:eastAsia="ko-KR"/>
        </w:rPr>
      </w:pPr>
      <w:r w:rsidRPr="0088780C">
        <w:rPr>
          <w:b/>
          <w:snapToGrid w:val="0"/>
          <w:kern w:val="22"/>
          <w:szCs w:val="22"/>
          <w:lang w:eastAsia="ko-KR"/>
        </w:rPr>
        <w:t>Scientific criteria for EBSAs and a</w:t>
      </w:r>
      <w:r w:rsidR="00490F2F" w:rsidRPr="0088780C">
        <w:rPr>
          <w:b/>
          <w:snapToGrid w:val="0"/>
          <w:kern w:val="22"/>
          <w:szCs w:val="22"/>
          <w:lang w:eastAsia="ko-KR"/>
        </w:rPr>
        <w:t xml:space="preserve">pproaches and experiences in the description of EBSAs </w:t>
      </w:r>
      <w:r w:rsidR="001C41BC" w:rsidRPr="0088780C">
        <w:rPr>
          <w:b/>
          <w:i/>
          <w:snapToGrid w:val="0"/>
          <w:kern w:val="22"/>
          <w:szCs w:val="22"/>
          <w:lang w:eastAsia="ko-KR"/>
        </w:rPr>
        <w:t>(by Pat Halpin, Technical Support Team)</w:t>
      </w:r>
    </w:p>
    <w:p w14:paraId="4BC68291" w14:textId="146F1F65" w:rsidR="00490F2F" w:rsidRPr="0088780C" w:rsidRDefault="001A7956" w:rsidP="001013AF">
      <w:pPr>
        <w:suppressLineNumbers/>
        <w:suppressAutoHyphens/>
        <w:kinsoku w:val="0"/>
        <w:overflowPunct w:val="0"/>
        <w:autoSpaceDE w:val="0"/>
        <w:autoSpaceDN w:val="0"/>
        <w:rPr>
          <w:rFonts w:eastAsia="Times New Roman"/>
          <w:snapToGrid w:val="0"/>
          <w:kern w:val="22"/>
          <w:szCs w:val="22"/>
        </w:rPr>
      </w:pPr>
      <w:r w:rsidRPr="0088780C">
        <w:rPr>
          <w:rFonts w:eastAsia="Times New Roman"/>
          <w:snapToGrid w:val="0"/>
          <w:kern w:val="22"/>
          <w:szCs w:val="22"/>
        </w:rPr>
        <w:t>Mr. Halpin gave an overview of</w:t>
      </w:r>
      <w:r w:rsidR="00490F2F" w:rsidRPr="0088780C">
        <w:rPr>
          <w:rFonts w:eastAsia="Times New Roman"/>
          <w:snapToGrid w:val="0"/>
          <w:kern w:val="22"/>
          <w:szCs w:val="22"/>
        </w:rPr>
        <w:t xml:space="preserve"> the seven </w:t>
      </w:r>
      <w:r w:rsidRPr="0088780C">
        <w:rPr>
          <w:rFonts w:eastAsia="Times New Roman"/>
          <w:snapToGrid w:val="0"/>
          <w:kern w:val="22"/>
          <w:szCs w:val="22"/>
        </w:rPr>
        <w:t xml:space="preserve">scientific </w:t>
      </w:r>
      <w:r w:rsidR="00490F2F" w:rsidRPr="0088780C">
        <w:rPr>
          <w:rFonts w:eastAsia="Times New Roman"/>
          <w:snapToGrid w:val="0"/>
          <w:kern w:val="22"/>
          <w:szCs w:val="22"/>
        </w:rPr>
        <w:t>criteria adopted by the Conference of the Parties</w:t>
      </w:r>
      <w:r w:rsidRPr="0088780C">
        <w:rPr>
          <w:rFonts w:eastAsia="Times New Roman"/>
          <w:snapToGrid w:val="0"/>
          <w:kern w:val="22"/>
          <w:szCs w:val="22"/>
        </w:rPr>
        <w:t xml:space="preserve"> to the Convention on Biological Diversity</w:t>
      </w:r>
      <w:r w:rsidR="00490F2F" w:rsidRPr="0088780C">
        <w:rPr>
          <w:rFonts w:eastAsia="Times New Roman"/>
          <w:snapToGrid w:val="0"/>
          <w:kern w:val="22"/>
          <w:szCs w:val="22"/>
        </w:rPr>
        <w:t xml:space="preserve"> at its ninth meeting (decision IX/20) for the evaluation of </w:t>
      </w:r>
      <w:r w:rsidR="000F7503" w:rsidRPr="0088780C">
        <w:rPr>
          <w:rFonts w:eastAsia="Times New Roman"/>
          <w:snapToGrid w:val="0"/>
          <w:kern w:val="22"/>
          <w:szCs w:val="22"/>
        </w:rPr>
        <w:t>EBSAs</w:t>
      </w:r>
      <w:r w:rsidRPr="0088780C">
        <w:rPr>
          <w:rFonts w:eastAsia="Times New Roman"/>
          <w:snapToGrid w:val="0"/>
          <w:kern w:val="22"/>
          <w:szCs w:val="22"/>
        </w:rPr>
        <w:t>. He</w:t>
      </w:r>
      <w:r w:rsidR="00490F2F" w:rsidRPr="0088780C">
        <w:rPr>
          <w:rFonts w:eastAsia="Times New Roman"/>
          <w:snapToGrid w:val="0"/>
          <w:kern w:val="22"/>
          <w:szCs w:val="22"/>
        </w:rPr>
        <w:t xml:space="preserve"> introduced each criterion and provided some context for their application at the regional workshop, as well as some guidance on their use, as contained in annex I to that decision. He also described four types of areas meeting the EBSA criteria (e.g., fixed and dynamic features of EBSAs). He then summarized some of the lessons that have been learned about the application of the criteria, based on experience with their use in other CBD EBSA workshops, in particular addressing the questions of scale, aggregation/clustering, and overlapping and nested EBSAs, among others. He stressed that the criteria were designed to be applied individually with regard to their relative significance within the re</w:t>
      </w:r>
      <w:r w:rsidRPr="0088780C">
        <w:rPr>
          <w:rFonts w:eastAsia="Times New Roman"/>
          <w:snapToGrid w:val="0"/>
          <w:kern w:val="22"/>
          <w:szCs w:val="22"/>
        </w:rPr>
        <w:t>gion under consideration. He</w:t>
      </w:r>
      <w:r w:rsidR="00490F2F" w:rsidRPr="0088780C">
        <w:rPr>
          <w:rFonts w:eastAsia="Times New Roman"/>
          <w:snapToGrid w:val="0"/>
          <w:kern w:val="22"/>
          <w:szCs w:val="22"/>
        </w:rPr>
        <w:t xml:space="preserve"> also </w:t>
      </w:r>
      <w:r w:rsidR="0073544E" w:rsidRPr="0088780C">
        <w:rPr>
          <w:rFonts w:eastAsia="Times New Roman"/>
          <w:snapToGrid w:val="0"/>
          <w:kern w:val="22"/>
          <w:szCs w:val="22"/>
        </w:rPr>
        <w:t>emphasized</w:t>
      </w:r>
      <w:r w:rsidR="00490F2F" w:rsidRPr="0088780C">
        <w:rPr>
          <w:rFonts w:eastAsia="Times New Roman"/>
          <w:snapToGrid w:val="0"/>
          <w:kern w:val="22"/>
          <w:szCs w:val="22"/>
        </w:rPr>
        <w:t xml:space="preserve"> that </w:t>
      </w:r>
      <w:r w:rsidR="0073544E" w:rsidRPr="0088780C">
        <w:rPr>
          <w:rFonts w:eastAsia="Times New Roman"/>
          <w:snapToGrid w:val="0"/>
          <w:kern w:val="22"/>
          <w:szCs w:val="22"/>
        </w:rPr>
        <w:t xml:space="preserve">the discussion should focus on </w:t>
      </w:r>
      <w:r w:rsidR="00490F2F" w:rsidRPr="0088780C">
        <w:rPr>
          <w:rFonts w:eastAsia="Times New Roman"/>
          <w:snapToGrid w:val="0"/>
          <w:kern w:val="22"/>
          <w:szCs w:val="22"/>
        </w:rPr>
        <w:t xml:space="preserve">the </w:t>
      </w:r>
      <w:r w:rsidR="0073544E" w:rsidRPr="0088780C">
        <w:rPr>
          <w:rFonts w:eastAsia="Times New Roman"/>
          <w:snapToGrid w:val="0"/>
          <w:kern w:val="22"/>
          <w:szCs w:val="22"/>
        </w:rPr>
        <w:t>inherent properties of ecosystem features</w:t>
      </w:r>
      <w:r w:rsidR="00490F2F" w:rsidRPr="0088780C">
        <w:rPr>
          <w:rFonts w:eastAsia="Times New Roman"/>
          <w:snapToGrid w:val="0"/>
          <w:kern w:val="22"/>
          <w:szCs w:val="22"/>
        </w:rPr>
        <w:t>, rather than existing threats or management considerations. The presentation also covered the EBSA description process and the completion of the EBSA template and types of information, maps and references that can supplement templates.</w:t>
      </w:r>
    </w:p>
    <w:p w14:paraId="198BE12D" w14:textId="77777777" w:rsidR="00490F2F" w:rsidRPr="0088780C" w:rsidRDefault="00490F2F" w:rsidP="001013AF">
      <w:pPr>
        <w:suppressLineNumbers/>
        <w:suppressAutoHyphens/>
        <w:kinsoku w:val="0"/>
        <w:overflowPunct w:val="0"/>
        <w:autoSpaceDE w:val="0"/>
        <w:autoSpaceDN w:val="0"/>
        <w:rPr>
          <w:i/>
          <w:snapToGrid w:val="0"/>
          <w:color w:val="000000"/>
          <w:kern w:val="22"/>
          <w:szCs w:val="22"/>
          <w:lang w:eastAsia="ko-KR"/>
        </w:rPr>
      </w:pPr>
    </w:p>
    <w:p w14:paraId="264A2F6D" w14:textId="77777777" w:rsidR="00490F2F" w:rsidRPr="0088780C" w:rsidRDefault="00490F2F" w:rsidP="001013AF">
      <w:pPr>
        <w:pStyle w:val="ListParagraph"/>
        <w:suppressLineNumbers/>
        <w:suppressAutoHyphens/>
        <w:kinsoku w:val="0"/>
        <w:overflowPunct w:val="0"/>
        <w:autoSpaceDE w:val="0"/>
        <w:autoSpaceDN w:val="0"/>
        <w:ind w:left="880"/>
        <w:rPr>
          <w:i/>
          <w:snapToGrid w:val="0"/>
          <w:color w:val="000000"/>
          <w:kern w:val="22"/>
          <w:szCs w:val="22"/>
          <w:lang w:eastAsia="ko-KR"/>
        </w:rPr>
      </w:pPr>
    </w:p>
    <w:p w14:paraId="2B4566AB" w14:textId="162E4582" w:rsidR="00490F2F" w:rsidRPr="0088780C" w:rsidRDefault="0098556A" w:rsidP="001013AF">
      <w:pPr>
        <w:suppressLineNumbers/>
        <w:suppressAutoHyphens/>
        <w:kinsoku w:val="0"/>
        <w:overflowPunct w:val="0"/>
        <w:autoSpaceDE w:val="0"/>
        <w:autoSpaceDN w:val="0"/>
        <w:rPr>
          <w:b/>
          <w:i/>
          <w:snapToGrid w:val="0"/>
          <w:color w:val="000000"/>
          <w:kern w:val="22"/>
          <w:szCs w:val="22"/>
          <w:lang w:eastAsia="ko-KR"/>
        </w:rPr>
      </w:pPr>
      <w:r w:rsidRPr="0088780C">
        <w:rPr>
          <w:b/>
          <w:i/>
          <w:snapToGrid w:val="0"/>
          <w:kern w:val="22"/>
          <w:szCs w:val="22"/>
          <w:lang w:eastAsia="ko-KR"/>
        </w:rPr>
        <w:t>S</w:t>
      </w:r>
      <w:r w:rsidR="001C41BC" w:rsidRPr="0088780C">
        <w:rPr>
          <w:b/>
          <w:i/>
          <w:snapToGrid w:val="0"/>
          <w:kern w:val="22"/>
          <w:szCs w:val="22"/>
          <w:lang w:eastAsia="ko-KR"/>
        </w:rPr>
        <w:t xml:space="preserve">cientific </w:t>
      </w:r>
      <w:r w:rsidR="00490F2F" w:rsidRPr="0088780C">
        <w:rPr>
          <w:b/>
          <w:i/>
          <w:snapToGrid w:val="0"/>
          <w:kern w:val="22"/>
          <w:szCs w:val="22"/>
          <w:lang w:eastAsia="ko-KR"/>
        </w:rPr>
        <w:t>information compiled</w:t>
      </w:r>
      <w:r w:rsidR="001C41BC" w:rsidRPr="0088780C">
        <w:rPr>
          <w:b/>
          <w:i/>
          <w:snapToGrid w:val="0"/>
          <w:kern w:val="22"/>
          <w:szCs w:val="22"/>
          <w:lang w:eastAsia="ko-KR"/>
        </w:rPr>
        <w:t xml:space="preserve"> for the workshop (by </w:t>
      </w:r>
      <w:r w:rsidR="00490F2F" w:rsidRPr="0088780C">
        <w:rPr>
          <w:b/>
          <w:i/>
          <w:snapToGrid w:val="0"/>
          <w:kern w:val="22"/>
          <w:szCs w:val="22"/>
          <w:lang w:eastAsia="ko-KR"/>
        </w:rPr>
        <w:t>Pat Halpin, Technical Support</w:t>
      </w:r>
      <w:r w:rsidR="001C41BC" w:rsidRPr="0088780C">
        <w:rPr>
          <w:b/>
          <w:i/>
          <w:snapToGrid w:val="0"/>
          <w:kern w:val="22"/>
          <w:szCs w:val="22"/>
          <w:lang w:eastAsia="ko-KR"/>
        </w:rPr>
        <w:t xml:space="preserve"> Team)</w:t>
      </w:r>
    </w:p>
    <w:p w14:paraId="7CA228E8" w14:textId="0614229D" w:rsidR="00490F2F" w:rsidRPr="0088780C" w:rsidRDefault="00490F2F" w:rsidP="001013AF">
      <w:pPr>
        <w:suppressLineNumbers/>
        <w:suppressAutoHyphens/>
        <w:kinsoku w:val="0"/>
        <w:overflowPunct w:val="0"/>
        <w:autoSpaceDE w:val="0"/>
        <w:autoSpaceDN w:val="0"/>
        <w:rPr>
          <w:rFonts w:eastAsia="Times New Roman"/>
          <w:snapToGrid w:val="0"/>
          <w:kern w:val="22"/>
          <w:szCs w:val="22"/>
        </w:rPr>
      </w:pPr>
      <w:r w:rsidRPr="0088780C">
        <w:rPr>
          <w:rFonts w:eastAsia="Times New Roman"/>
          <w:snapToGrid w:val="0"/>
          <w:kern w:val="22"/>
          <w:szCs w:val="22"/>
        </w:rPr>
        <w:t>Mr. Halpin reviewed the compilation of scientific data and information prepared for the workshop, as presented in document UNEP/CBD/EBSA/WS/2017/1/3. The baseline data layers developed for this workshop closely follow the data types prepared for previous EBSA workshops, to provide consistency between regional efforts, along with many data specific to the Black Sea and Caspian Sea region. More than 75 data layers were prepared for this workshop. The presentation covered three general types of data: (1) biogeographic data (2) biological data and (3) physical data. The biogeographic data focused on major biogeographic classification systems. The biological data covered a variety of data sources</w:t>
      </w:r>
      <w:r w:rsidR="0098556A" w:rsidRPr="0088780C">
        <w:rPr>
          <w:rFonts w:eastAsia="Times New Roman"/>
          <w:snapToGrid w:val="0"/>
          <w:kern w:val="22"/>
          <w:szCs w:val="22"/>
        </w:rPr>
        <w:t xml:space="preserve">, including </w:t>
      </w:r>
      <w:r w:rsidRPr="0088780C">
        <w:rPr>
          <w:rFonts w:eastAsia="Times New Roman"/>
          <w:snapToGrid w:val="0"/>
          <w:kern w:val="22"/>
          <w:szCs w:val="22"/>
        </w:rPr>
        <w:t xml:space="preserve">  data and statistical indices compiled by the Ocean Biogeographic Information System (OBIS). The physical data layers included bathymetric and physical substrate data, oceanographic features and remotely sensed data. The report also identified a number of published scientific papers that listed addit</w:t>
      </w:r>
      <w:r w:rsidR="0098556A" w:rsidRPr="0088780C">
        <w:rPr>
          <w:rFonts w:eastAsia="Times New Roman"/>
          <w:snapToGrid w:val="0"/>
          <w:kern w:val="22"/>
          <w:szCs w:val="22"/>
        </w:rPr>
        <w:t xml:space="preserve">ional data resources. </w:t>
      </w:r>
      <w:r w:rsidR="00432A92" w:rsidRPr="0088780C">
        <w:rPr>
          <w:rFonts w:eastAsia="Times New Roman"/>
          <w:snapToGrid w:val="0"/>
          <w:kern w:val="22"/>
          <w:szCs w:val="22"/>
        </w:rPr>
        <w:t>Mr. Halpin</w:t>
      </w:r>
      <w:r w:rsidRPr="0088780C">
        <w:rPr>
          <w:rFonts w:eastAsia="Times New Roman"/>
          <w:snapToGrid w:val="0"/>
          <w:kern w:val="22"/>
          <w:szCs w:val="22"/>
        </w:rPr>
        <w:t xml:space="preserve"> noted that there were likely a significant number of scientific data sets and papers for the Black Sea and </w:t>
      </w:r>
      <w:r w:rsidR="0098556A" w:rsidRPr="0088780C">
        <w:rPr>
          <w:rFonts w:eastAsia="Times New Roman"/>
          <w:snapToGrid w:val="0"/>
          <w:kern w:val="22"/>
          <w:szCs w:val="22"/>
        </w:rPr>
        <w:t xml:space="preserve">the </w:t>
      </w:r>
      <w:r w:rsidRPr="0088780C">
        <w:rPr>
          <w:rFonts w:eastAsia="Times New Roman"/>
          <w:snapToGrid w:val="0"/>
          <w:kern w:val="22"/>
          <w:szCs w:val="22"/>
        </w:rPr>
        <w:t>Caspian Sea region that were not located in internationally acce</w:t>
      </w:r>
      <w:r w:rsidR="0098556A" w:rsidRPr="0088780C">
        <w:rPr>
          <w:rFonts w:eastAsia="Times New Roman"/>
          <w:snapToGrid w:val="0"/>
          <w:kern w:val="22"/>
          <w:szCs w:val="22"/>
        </w:rPr>
        <w:t xml:space="preserve">ssible sites and recommended </w:t>
      </w:r>
      <w:r w:rsidRPr="0088780C">
        <w:rPr>
          <w:rFonts w:eastAsia="Times New Roman"/>
          <w:snapToGrid w:val="0"/>
          <w:kern w:val="22"/>
          <w:szCs w:val="22"/>
        </w:rPr>
        <w:t>the workshop to rely on local experts to help identify critical regional data sets and analyses that could supplement the workshop efforts. Specific information on the data layers is provided in detail in the data report provided for the workshop (UNEP/CBD/EBSA/WS/2017/1/3).</w:t>
      </w:r>
    </w:p>
    <w:p w14:paraId="74085998" w14:textId="77777777" w:rsidR="00490F2F" w:rsidRPr="0088780C" w:rsidRDefault="00490F2F" w:rsidP="001013AF">
      <w:pPr>
        <w:suppressLineNumbers/>
        <w:suppressAutoHyphens/>
        <w:kinsoku w:val="0"/>
        <w:overflowPunct w:val="0"/>
        <w:autoSpaceDE w:val="0"/>
        <w:autoSpaceDN w:val="0"/>
        <w:rPr>
          <w:snapToGrid w:val="0"/>
          <w:kern w:val="22"/>
          <w:szCs w:val="22"/>
        </w:rPr>
      </w:pPr>
    </w:p>
    <w:p w14:paraId="7F620C3C" w14:textId="77777777" w:rsidR="00490F2F" w:rsidRPr="0088780C" w:rsidRDefault="00490F2F" w:rsidP="001013AF">
      <w:pPr>
        <w:suppressLineNumbers/>
        <w:suppressAutoHyphens/>
        <w:kinsoku w:val="0"/>
        <w:overflowPunct w:val="0"/>
        <w:autoSpaceDE w:val="0"/>
        <w:autoSpaceDN w:val="0"/>
        <w:rPr>
          <w:snapToGrid w:val="0"/>
          <w:kern w:val="22"/>
          <w:szCs w:val="22"/>
        </w:rPr>
      </w:pPr>
    </w:p>
    <w:p w14:paraId="1C35C7C0" w14:textId="57121D82" w:rsidR="00490F2F" w:rsidRPr="0088780C" w:rsidRDefault="00490F2F" w:rsidP="001013AF">
      <w:pPr>
        <w:suppressLineNumbers/>
        <w:suppressAutoHyphens/>
        <w:kinsoku w:val="0"/>
        <w:overflowPunct w:val="0"/>
        <w:autoSpaceDE w:val="0"/>
        <w:autoSpaceDN w:val="0"/>
        <w:rPr>
          <w:b/>
          <w:i/>
          <w:snapToGrid w:val="0"/>
          <w:kern w:val="22"/>
          <w:szCs w:val="22"/>
        </w:rPr>
      </w:pPr>
      <w:r w:rsidRPr="0088780C">
        <w:rPr>
          <w:rFonts w:eastAsia="Times New Roman"/>
          <w:b/>
          <w:i/>
          <w:snapToGrid w:val="0"/>
          <w:kern w:val="22"/>
          <w:szCs w:val="22"/>
          <w:lang w:eastAsia="fr-CA"/>
        </w:rPr>
        <w:t xml:space="preserve">Examples of outputs of previous EBSA workshop and their application to the Black Sea and the Caspian Sea </w:t>
      </w:r>
      <w:r w:rsidR="001C41BC" w:rsidRPr="0088780C">
        <w:rPr>
          <w:rFonts w:eastAsia="Times New Roman"/>
          <w:b/>
          <w:i/>
          <w:snapToGrid w:val="0"/>
          <w:kern w:val="22"/>
          <w:szCs w:val="22"/>
          <w:lang w:eastAsia="fr-CA"/>
        </w:rPr>
        <w:t>(b</w:t>
      </w:r>
      <w:r w:rsidRPr="0088780C">
        <w:rPr>
          <w:b/>
          <w:i/>
          <w:snapToGrid w:val="0"/>
          <w:kern w:val="22"/>
          <w:szCs w:val="22"/>
        </w:rPr>
        <w:t>y Vas</w:t>
      </w:r>
      <w:r w:rsidR="001C41BC" w:rsidRPr="0088780C">
        <w:rPr>
          <w:b/>
          <w:i/>
          <w:snapToGrid w:val="0"/>
          <w:kern w:val="22"/>
          <w:szCs w:val="22"/>
        </w:rPr>
        <w:t>sily Spiridonov, Resource Speaker)</w:t>
      </w:r>
    </w:p>
    <w:p w14:paraId="7762B2A8" w14:textId="707B2833" w:rsidR="00490F2F" w:rsidRPr="0088780C" w:rsidRDefault="00490F2F"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Mr. Spiridonov provided examples of outputs </w:t>
      </w:r>
      <w:r w:rsidR="000A0B14" w:rsidRPr="0088780C">
        <w:rPr>
          <w:snapToGrid w:val="0"/>
          <w:kern w:val="22"/>
          <w:szCs w:val="22"/>
        </w:rPr>
        <w:t>from</w:t>
      </w:r>
      <w:r w:rsidRPr="0088780C">
        <w:rPr>
          <w:snapToGrid w:val="0"/>
          <w:kern w:val="22"/>
          <w:szCs w:val="22"/>
        </w:rPr>
        <w:t xml:space="preserve"> previous EBSA workshops held in other regions and </w:t>
      </w:r>
      <w:r w:rsidR="000A0B14" w:rsidRPr="0088780C">
        <w:rPr>
          <w:snapToGrid w:val="0"/>
          <w:kern w:val="22"/>
          <w:szCs w:val="22"/>
        </w:rPr>
        <w:t xml:space="preserve">discussed </w:t>
      </w:r>
      <w:r w:rsidRPr="0088780C">
        <w:rPr>
          <w:snapToGrid w:val="0"/>
          <w:kern w:val="22"/>
          <w:szCs w:val="22"/>
        </w:rPr>
        <w:t>their applicability to the Black Sea and the Caspian Sea.  He explained that the EBSA process has a</w:t>
      </w:r>
      <w:r w:rsidR="00894D4C" w:rsidRPr="0088780C">
        <w:rPr>
          <w:snapToGrid w:val="0"/>
          <w:kern w:val="22"/>
          <w:szCs w:val="22"/>
        </w:rPr>
        <w:t>lmost a</w:t>
      </w:r>
      <w:r w:rsidRPr="0088780C">
        <w:rPr>
          <w:snapToGrid w:val="0"/>
          <w:kern w:val="22"/>
          <w:szCs w:val="22"/>
        </w:rPr>
        <w:t xml:space="preserve"> decade-long history and provided some lessons learned through the EBSA description process. </w:t>
      </w:r>
      <w:r w:rsidR="00894D4C" w:rsidRPr="0088780C">
        <w:rPr>
          <w:snapToGrid w:val="0"/>
          <w:kern w:val="22"/>
          <w:szCs w:val="22"/>
        </w:rPr>
        <w:t>Among them are</w:t>
      </w:r>
      <w:r w:rsidRPr="0088780C">
        <w:rPr>
          <w:snapToGrid w:val="0"/>
          <w:kern w:val="22"/>
          <w:szCs w:val="22"/>
        </w:rPr>
        <w:t xml:space="preserve"> </w:t>
      </w:r>
      <w:r w:rsidR="00894D4C" w:rsidRPr="0088780C">
        <w:rPr>
          <w:snapToGrid w:val="0"/>
          <w:kern w:val="22"/>
          <w:szCs w:val="22"/>
        </w:rPr>
        <w:t xml:space="preserve">scientific </w:t>
      </w:r>
      <w:r w:rsidRPr="0088780C">
        <w:rPr>
          <w:snapToGrid w:val="0"/>
          <w:kern w:val="22"/>
          <w:szCs w:val="22"/>
        </w:rPr>
        <w:t>practice</w:t>
      </w:r>
      <w:r w:rsidR="00894D4C" w:rsidRPr="0088780C">
        <w:rPr>
          <w:snapToGrid w:val="0"/>
          <w:kern w:val="22"/>
          <w:szCs w:val="22"/>
        </w:rPr>
        <w:t>s</w:t>
      </w:r>
      <w:r w:rsidRPr="0088780C">
        <w:rPr>
          <w:snapToGrid w:val="0"/>
          <w:kern w:val="22"/>
          <w:szCs w:val="22"/>
        </w:rPr>
        <w:t xml:space="preserve"> in EBSA criteria application, scientific research focused at particular EBSAs, management implications (including </w:t>
      </w:r>
      <w:r w:rsidR="00CA6AC3" w:rsidRPr="0088780C">
        <w:rPr>
          <w:snapToGrid w:val="0"/>
          <w:kern w:val="22"/>
          <w:szCs w:val="22"/>
        </w:rPr>
        <w:t xml:space="preserve">environmental impact </w:t>
      </w:r>
      <w:r w:rsidR="000A0B14" w:rsidRPr="0088780C">
        <w:rPr>
          <w:snapToGrid w:val="0"/>
          <w:kern w:val="22"/>
          <w:szCs w:val="22"/>
        </w:rPr>
        <w:t>assessment</w:t>
      </w:r>
      <w:r w:rsidRPr="0088780C">
        <w:rPr>
          <w:snapToGrid w:val="0"/>
          <w:kern w:val="22"/>
          <w:szCs w:val="22"/>
        </w:rPr>
        <w:t xml:space="preserve">, governmental regulation, and corporate policies), planning of protected areas, and marine spatial planning. The presentation included several examples of </w:t>
      </w:r>
      <w:r w:rsidR="000A0B14" w:rsidRPr="0088780C">
        <w:rPr>
          <w:snapToGrid w:val="0"/>
          <w:kern w:val="22"/>
          <w:szCs w:val="22"/>
        </w:rPr>
        <w:t xml:space="preserve">the </w:t>
      </w:r>
      <w:r w:rsidRPr="0088780C">
        <w:rPr>
          <w:snapToGrid w:val="0"/>
          <w:kern w:val="22"/>
          <w:szCs w:val="22"/>
        </w:rPr>
        <w:t xml:space="preserve">outputs from </w:t>
      </w:r>
      <w:r w:rsidR="000A0B14" w:rsidRPr="0088780C">
        <w:rPr>
          <w:snapToGrid w:val="0"/>
          <w:kern w:val="22"/>
          <w:szCs w:val="22"/>
        </w:rPr>
        <w:t xml:space="preserve">workshops held in </w:t>
      </w:r>
      <w:r w:rsidRPr="0088780C">
        <w:rPr>
          <w:snapToGrid w:val="0"/>
          <w:kern w:val="22"/>
          <w:szCs w:val="22"/>
        </w:rPr>
        <w:t xml:space="preserve">very different regions, such as the Southern Indian Ocean, where the importance of Saya de Malha Bank was highlighted. </w:t>
      </w:r>
      <w:r w:rsidR="00CA6AC3" w:rsidRPr="0088780C">
        <w:rPr>
          <w:snapToGrid w:val="0"/>
          <w:kern w:val="22"/>
          <w:szCs w:val="22"/>
        </w:rPr>
        <w:t xml:space="preserve">Mr. Spiridonov pointed out that the Saya de </w:t>
      </w:r>
      <w:r w:rsidR="000A0B14" w:rsidRPr="0088780C">
        <w:rPr>
          <w:snapToGrid w:val="0"/>
          <w:kern w:val="22"/>
          <w:szCs w:val="22"/>
        </w:rPr>
        <w:t>Malha Bank, described a</w:t>
      </w:r>
      <w:r w:rsidR="00CA6AC3" w:rsidRPr="0088780C">
        <w:rPr>
          <w:snapToGrid w:val="0"/>
          <w:kern w:val="22"/>
          <w:szCs w:val="22"/>
        </w:rPr>
        <w:t xml:space="preserve">s a high seas area meeting the </w:t>
      </w:r>
      <w:r w:rsidR="000A0B14" w:rsidRPr="0088780C">
        <w:rPr>
          <w:snapToGrid w:val="0"/>
          <w:kern w:val="22"/>
          <w:szCs w:val="22"/>
        </w:rPr>
        <w:t xml:space="preserve">EBSA criteria in the Southern Indian Ocean EBSA workshop, </w:t>
      </w:r>
      <w:r w:rsidRPr="0088780C">
        <w:rPr>
          <w:snapToGrid w:val="0"/>
          <w:kern w:val="22"/>
          <w:szCs w:val="22"/>
        </w:rPr>
        <w:t xml:space="preserve"> will likely </w:t>
      </w:r>
      <w:r w:rsidR="000A0B14" w:rsidRPr="0088780C">
        <w:rPr>
          <w:snapToGrid w:val="0"/>
          <w:kern w:val="22"/>
          <w:szCs w:val="22"/>
        </w:rPr>
        <w:t>be</w:t>
      </w:r>
      <w:r w:rsidRPr="0088780C">
        <w:rPr>
          <w:snapToGrid w:val="0"/>
          <w:kern w:val="22"/>
          <w:szCs w:val="22"/>
        </w:rPr>
        <w:t xml:space="preserve"> </w:t>
      </w:r>
      <w:r w:rsidR="000A0B14" w:rsidRPr="0088780C">
        <w:rPr>
          <w:snapToGrid w:val="0"/>
          <w:kern w:val="22"/>
          <w:szCs w:val="22"/>
        </w:rPr>
        <w:t xml:space="preserve"> </w:t>
      </w:r>
      <w:r w:rsidRPr="0088780C">
        <w:rPr>
          <w:snapToGrid w:val="0"/>
          <w:kern w:val="22"/>
          <w:szCs w:val="22"/>
        </w:rPr>
        <w:t>joint</w:t>
      </w:r>
      <w:r w:rsidR="000A0B14" w:rsidRPr="0088780C">
        <w:rPr>
          <w:snapToGrid w:val="0"/>
          <w:kern w:val="22"/>
          <w:szCs w:val="22"/>
        </w:rPr>
        <w:t xml:space="preserve">ly </w:t>
      </w:r>
      <w:r w:rsidRPr="0088780C">
        <w:rPr>
          <w:snapToGrid w:val="0"/>
          <w:kern w:val="22"/>
          <w:szCs w:val="22"/>
        </w:rPr>
        <w:t>manage</w:t>
      </w:r>
      <w:r w:rsidR="000A0B14" w:rsidRPr="0088780C">
        <w:rPr>
          <w:snapToGrid w:val="0"/>
          <w:kern w:val="22"/>
          <w:szCs w:val="22"/>
        </w:rPr>
        <w:t>d</w:t>
      </w:r>
      <w:r w:rsidRPr="0088780C">
        <w:rPr>
          <w:snapToGrid w:val="0"/>
          <w:kern w:val="22"/>
          <w:szCs w:val="22"/>
        </w:rPr>
        <w:t xml:space="preserve"> by Seychelles and Mauritius</w:t>
      </w:r>
      <w:r w:rsidR="000A0B14" w:rsidRPr="0088780C">
        <w:rPr>
          <w:snapToGrid w:val="0"/>
          <w:kern w:val="22"/>
          <w:szCs w:val="22"/>
        </w:rPr>
        <w:t>, as  a result of the countries’ joint description at the EBSA workshop</w:t>
      </w:r>
      <w:r w:rsidRPr="0088780C">
        <w:rPr>
          <w:snapToGrid w:val="0"/>
          <w:kern w:val="22"/>
          <w:szCs w:val="22"/>
        </w:rPr>
        <w:t xml:space="preserve">. Mr. Spiridonov provided another set of examples from the Arctic EBSA process, where </w:t>
      </w:r>
      <w:r w:rsidR="000A0B14" w:rsidRPr="0088780C">
        <w:rPr>
          <w:snapToGrid w:val="0"/>
          <w:kern w:val="22"/>
          <w:szCs w:val="22"/>
        </w:rPr>
        <w:t xml:space="preserve">the </w:t>
      </w:r>
      <w:r w:rsidRPr="0088780C">
        <w:rPr>
          <w:snapToGrid w:val="0"/>
          <w:kern w:val="22"/>
          <w:szCs w:val="22"/>
        </w:rPr>
        <w:t xml:space="preserve">EBSA criteria and data are now used to shape research, are incorporated in </w:t>
      </w:r>
      <w:r w:rsidR="000A0B14" w:rsidRPr="0088780C">
        <w:rPr>
          <w:snapToGrid w:val="0"/>
          <w:kern w:val="22"/>
          <w:szCs w:val="22"/>
        </w:rPr>
        <w:t xml:space="preserve">the </w:t>
      </w:r>
      <w:r w:rsidRPr="0088780C">
        <w:rPr>
          <w:snapToGrid w:val="0"/>
          <w:kern w:val="22"/>
          <w:szCs w:val="22"/>
        </w:rPr>
        <w:t>biodiversity protection programmes of oil and gas companies, and in a systematic conservation planning process run by WWF Russia. He pointed out that there are specific issues related to the</w:t>
      </w:r>
      <w:r w:rsidR="00894D4C" w:rsidRPr="0088780C">
        <w:rPr>
          <w:snapToGrid w:val="0"/>
          <w:kern w:val="22"/>
          <w:szCs w:val="22"/>
        </w:rPr>
        <w:t xml:space="preserve"> EBSA process in the Black Sea and the</w:t>
      </w:r>
      <w:r w:rsidRPr="0088780C">
        <w:rPr>
          <w:snapToGrid w:val="0"/>
          <w:kern w:val="22"/>
          <w:szCs w:val="22"/>
        </w:rPr>
        <w:t xml:space="preserve"> Caspian Sea region, </w:t>
      </w:r>
      <w:r w:rsidR="00894D4C" w:rsidRPr="0088780C">
        <w:rPr>
          <w:snapToGrid w:val="0"/>
          <w:kern w:val="22"/>
          <w:szCs w:val="22"/>
        </w:rPr>
        <w:t xml:space="preserve">such as </w:t>
      </w:r>
      <w:r w:rsidRPr="0088780C">
        <w:rPr>
          <w:snapToGrid w:val="0"/>
          <w:kern w:val="22"/>
          <w:szCs w:val="22"/>
        </w:rPr>
        <w:t xml:space="preserve">the problem of compatibility of proposed EBSA scales, the long history of study but very uneven </w:t>
      </w:r>
      <w:r w:rsidR="00894D4C" w:rsidRPr="0088780C">
        <w:rPr>
          <w:snapToGrid w:val="0"/>
          <w:kern w:val="22"/>
          <w:szCs w:val="22"/>
        </w:rPr>
        <w:t xml:space="preserve">data </w:t>
      </w:r>
      <w:r w:rsidRPr="0088780C">
        <w:rPr>
          <w:snapToGrid w:val="0"/>
          <w:kern w:val="22"/>
          <w:szCs w:val="22"/>
        </w:rPr>
        <w:t xml:space="preserve">coverage in terms of areas and topics, </w:t>
      </w:r>
      <w:r w:rsidR="000A0B14" w:rsidRPr="0088780C">
        <w:rPr>
          <w:snapToGrid w:val="0"/>
          <w:kern w:val="22"/>
          <w:szCs w:val="22"/>
        </w:rPr>
        <w:t xml:space="preserve">the multi-lingual nature of the </w:t>
      </w:r>
      <w:r w:rsidRPr="0088780C">
        <w:rPr>
          <w:snapToGrid w:val="0"/>
          <w:kern w:val="22"/>
          <w:szCs w:val="22"/>
        </w:rPr>
        <w:t>information sources, very dynamic ecosystems, and a need for special guidance for application of vulnerability, diversity and naturalness criteria. These conditions lead to a challenging, but n</w:t>
      </w:r>
      <w:r w:rsidR="00894D4C" w:rsidRPr="0088780C">
        <w:rPr>
          <w:snapToGrid w:val="0"/>
          <w:kern w:val="22"/>
          <w:szCs w:val="22"/>
        </w:rPr>
        <w:t>evertheless promising, path for</w:t>
      </w:r>
      <w:r w:rsidRPr="0088780C">
        <w:rPr>
          <w:snapToGrid w:val="0"/>
          <w:kern w:val="22"/>
          <w:szCs w:val="22"/>
        </w:rPr>
        <w:t xml:space="preserve"> the EBSA description process.</w:t>
      </w:r>
    </w:p>
    <w:p w14:paraId="206CD7E9" w14:textId="77777777" w:rsidR="00490F2F" w:rsidRPr="0088780C" w:rsidRDefault="00490F2F" w:rsidP="001013AF">
      <w:pPr>
        <w:suppressLineNumbers/>
        <w:suppressAutoHyphens/>
        <w:kinsoku w:val="0"/>
        <w:overflowPunct w:val="0"/>
        <w:autoSpaceDE w:val="0"/>
        <w:autoSpaceDN w:val="0"/>
        <w:rPr>
          <w:snapToGrid w:val="0"/>
          <w:kern w:val="22"/>
          <w:szCs w:val="22"/>
        </w:rPr>
      </w:pPr>
    </w:p>
    <w:p w14:paraId="0AA3C94F" w14:textId="77777777" w:rsidR="00490F2F" w:rsidRPr="0088780C" w:rsidRDefault="00490F2F" w:rsidP="001013AF">
      <w:pPr>
        <w:suppressLineNumbers/>
        <w:suppressAutoHyphens/>
        <w:kinsoku w:val="0"/>
        <w:overflowPunct w:val="0"/>
        <w:autoSpaceDE w:val="0"/>
        <w:autoSpaceDN w:val="0"/>
        <w:rPr>
          <w:snapToGrid w:val="0"/>
          <w:kern w:val="22"/>
          <w:szCs w:val="22"/>
        </w:rPr>
      </w:pPr>
    </w:p>
    <w:p w14:paraId="54972199" w14:textId="1B322FB4" w:rsidR="00490F2F" w:rsidRPr="0088780C" w:rsidRDefault="00490F2F" w:rsidP="001013AF">
      <w:pPr>
        <w:suppressLineNumbers/>
        <w:suppressAutoHyphens/>
        <w:kinsoku w:val="0"/>
        <w:overflowPunct w:val="0"/>
        <w:autoSpaceDE w:val="0"/>
        <w:autoSpaceDN w:val="0"/>
        <w:rPr>
          <w:b/>
          <w:i/>
          <w:snapToGrid w:val="0"/>
          <w:kern w:val="22"/>
          <w:szCs w:val="22"/>
        </w:rPr>
      </w:pPr>
      <w:r w:rsidRPr="0088780C">
        <w:rPr>
          <w:b/>
          <w:i/>
          <w:snapToGrid w:val="0"/>
          <w:kern w:val="22"/>
          <w:szCs w:val="22"/>
        </w:rPr>
        <w:t>Use of EBSA information for the application of the ecosystem approach and marine spatial plannin</w:t>
      </w:r>
      <w:r w:rsidR="001C41BC" w:rsidRPr="0088780C">
        <w:rPr>
          <w:b/>
          <w:i/>
          <w:snapToGrid w:val="0"/>
          <w:kern w:val="22"/>
          <w:szCs w:val="22"/>
        </w:rPr>
        <w:t xml:space="preserve">g (by </w:t>
      </w:r>
      <w:r w:rsidRPr="0088780C">
        <w:rPr>
          <w:b/>
          <w:i/>
          <w:snapToGrid w:val="0"/>
          <w:kern w:val="22"/>
          <w:szCs w:val="22"/>
        </w:rPr>
        <w:t>Pat Halpin, Technical Support</w:t>
      </w:r>
      <w:r w:rsidR="001C41BC" w:rsidRPr="0088780C">
        <w:rPr>
          <w:b/>
          <w:i/>
          <w:snapToGrid w:val="0"/>
          <w:kern w:val="22"/>
          <w:szCs w:val="22"/>
        </w:rPr>
        <w:t xml:space="preserve"> Team)</w:t>
      </w:r>
    </w:p>
    <w:p w14:paraId="628FA1B5" w14:textId="65720598" w:rsidR="00490F2F" w:rsidRPr="0088780C" w:rsidRDefault="00490F2F" w:rsidP="001013AF">
      <w:pPr>
        <w:suppressLineNumbers/>
        <w:suppressAutoHyphens/>
        <w:kinsoku w:val="0"/>
        <w:overflowPunct w:val="0"/>
        <w:autoSpaceDE w:val="0"/>
        <w:autoSpaceDN w:val="0"/>
        <w:rPr>
          <w:bCs/>
          <w:iCs/>
          <w:snapToGrid w:val="0"/>
          <w:kern w:val="22"/>
          <w:szCs w:val="22"/>
        </w:rPr>
      </w:pPr>
      <w:r w:rsidRPr="0088780C">
        <w:rPr>
          <w:snapToGrid w:val="0"/>
          <w:kern w:val="22"/>
          <w:szCs w:val="22"/>
        </w:rPr>
        <w:t>Mr. Halpin provided an overview on potential uses of EBSAs to support regional marine sp</w:t>
      </w:r>
      <w:r w:rsidR="00723835" w:rsidRPr="0088780C">
        <w:rPr>
          <w:snapToGrid w:val="0"/>
          <w:kern w:val="22"/>
          <w:szCs w:val="22"/>
        </w:rPr>
        <w:t>atial planning (MSP). He</w:t>
      </w:r>
      <w:r w:rsidRPr="0088780C">
        <w:rPr>
          <w:snapToGrid w:val="0"/>
          <w:kern w:val="22"/>
          <w:szCs w:val="22"/>
        </w:rPr>
        <w:t xml:space="preserve"> prefaced the presentation by stating that EBSAs are not marine protected areas, but that EBSAs can help contribute to and may benefit from MSP. He noted that EBSAs can provide information on critical habitats and the needs of </w:t>
      </w:r>
      <w:r w:rsidR="008C24BD" w:rsidRPr="0088780C">
        <w:rPr>
          <w:snapToGrid w:val="0"/>
          <w:kern w:val="22"/>
          <w:szCs w:val="22"/>
        </w:rPr>
        <w:t>species for enhanced conservation and management</w:t>
      </w:r>
      <w:r w:rsidRPr="0088780C">
        <w:rPr>
          <w:snapToGrid w:val="0"/>
          <w:kern w:val="22"/>
          <w:szCs w:val="22"/>
        </w:rPr>
        <w:t xml:space="preserve">. The presentation highlighted the following common elements of MSP: the need for </w:t>
      </w:r>
      <w:r w:rsidRPr="0088780C">
        <w:rPr>
          <w:bCs/>
          <w:iCs/>
          <w:snapToGrid w:val="0"/>
          <w:kern w:val="22"/>
          <w:szCs w:val="22"/>
        </w:rPr>
        <w:t>scoping</w:t>
      </w:r>
      <w:r w:rsidRPr="0088780C">
        <w:rPr>
          <w:snapToGrid w:val="0"/>
          <w:kern w:val="22"/>
          <w:szCs w:val="22"/>
        </w:rPr>
        <w:t xml:space="preserve"> and </w:t>
      </w:r>
      <w:r w:rsidRPr="0088780C">
        <w:rPr>
          <w:bCs/>
          <w:iCs/>
          <w:snapToGrid w:val="0"/>
          <w:kern w:val="22"/>
          <w:szCs w:val="22"/>
        </w:rPr>
        <w:t>stakeholder engagement</w:t>
      </w:r>
      <w:r w:rsidRPr="0088780C">
        <w:rPr>
          <w:snapToGrid w:val="0"/>
          <w:kern w:val="22"/>
          <w:szCs w:val="22"/>
        </w:rPr>
        <w:t xml:space="preserve">, scientific information on the </w:t>
      </w:r>
      <w:r w:rsidRPr="0088780C">
        <w:rPr>
          <w:bCs/>
          <w:iCs/>
          <w:snapToGrid w:val="0"/>
          <w:kern w:val="22"/>
          <w:szCs w:val="22"/>
        </w:rPr>
        <w:t>status</w:t>
      </w:r>
      <w:r w:rsidRPr="0088780C">
        <w:rPr>
          <w:snapToGrid w:val="0"/>
          <w:kern w:val="22"/>
          <w:szCs w:val="22"/>
        </w:rPr>
        <w:t xml:space="preserve"> of the system, scientific inputs to address interactions between </w:t>
      </w:r>
      <w:r w:rsidRPr="0088780C">
        <w:rPr>
          <w:bCs/>
          <w:iCs/>
          <w:snapToGrid w:val="0"/>
          <w:kern w:val="22"/>
          <w:szCs w:val="22"/>
        </w:rPr>
        <w:t>pressures</w:t>
      </w:r>
      <w:r w:rsidRPr="0088780C">
        <w:rPr>
          <w:snapToGrid w:val="0"/>
          <w:kern w:val="22"/>
          <w:szCs w:val="22"/>
        </w:rPr>
        <w:t xml:space="preserve"> and </w:t>
      </w:r>
      <w:r w:rsidRPr="0088780C">
        <w:rPr>
          <w:bCs/>
          <w:iCs/>
          <w:snapToGrid w:val="0"/>
          <w:kern w:val="22"/>
          <w:szCs w:val="22"/>
        </w:rPr>
        <w:t>ecosystems</w:t>
      </w:r>
      <w:r w:rsidRPr="0088780C">
        <w:rPr>
          <w:snapToGrid w:val="0"/>
          <w:kern w:val="22"/>
          <w:szCs w:val="22"/>
        </w:rPr>
        <w:t xml:space="preserve">, clear management </w:t>
      </w:r>
      <w:r w:rsidRPr="0088780C">
        <w:rPr>
          <w:bCs/>
          <w:iCs/>
          <w:snapToGrid w:val="0"/>
          <w:kern w:val="22"/>
          <w:szCs w:val="22"/>
        </w:rPr>
        <w:t>objectives and processes, and the need for</w:t>
      </w:r>
      <w:r w:rsidRPr="0088780C">
        <w:rPr>
          <w:snapToGrid w:val="0"/>
          <w:kern w:val="22"/>
          <w:szCs w:val="22"/>
        </w:rPr>
        <w:t xml:space="preserve"> a formalized process for </w:t>
      </w:r>
      <w:r w:rsidRPr="0088780C">
        <w:rPr>
          <w:bCs/>
          <w:iCs/>
          <w:snapToGrid w:val="0"/>
          <w:kern w:val="22"/>
          <w:szCs w:val="22"/>
        </w:rPr>
        <w:t>monitoring and evaluation</w:t>
      </w:r>
      <w:r w:rsidR="008C24BD" w:rsidRPr="0088780C">
        <w:rPr>
          <w:bCs/>
          <w:iCs/>
          <w:snapToGrid w:val="0"/>
          <w:kern w:val="22"/>
          <w:szCs w:val="22"/>
        </w:rPr>
        <w:t>. He</w:t>
      </w:r>
      <w:r w:rsidRPr="0088780C">
        <w:rPr>
          <w:bCs/>
          <w:iCs/>
          <w:snapToGrid w:val="0"/>
          <w:kern w:val="22"/>
          <w:szCs w:val="22"/>
        </w:rPr>
        <w:t xml:space="preserve"> noted the interactions between pressures and ecological or biological values. Examples of this type of analysis were presented. These examples showed that impact, risk assessment and cumulative impact assessment identify possible </w:t>
      </w:r>
      <w:r w:rsidR="008C24BD" w:rsidRPr="0088780C">
        <w:rPr>
          <w:bCs/>
          <w:iCs/>
          <w:snapToGrid w:val="0"/>
          <w:kern w:val="22"/>
          <w:szCs w:val="22"/>
        </w:rPr>
        <w:t>set</w:t>
      </w:r>
      <w:r w:rsidRPr="0088780C">
        <w:rPr>
          <w:bCs/>
          <w:iCs/>
          <w:snapToGrid w:val="0"/>
          <w:kern w:val="22"/>
          <w:szCs w:val="22"/>
        </w:rPr>
        <w:t xml:space="preserve"> of management intervention</w:t>
      </w:r>
      <w:r w:rsidR="000377C2" w:rsidRPr="0088780C">
        <w:rPr>
          <w:bCs/>
          <w:iCs/>
          <w:snapToGrid w:val="0"/>
          <w:kern w:val="22"/>
          <w:szCs w:val="22"/>
        </w:rPr>
        <w:t>s</w:t>
      </w:r>
      <w:r w:rsidRPr="0088780C">
        <w:rPr>
          <w:bCs/>
          <w:iCs/>
          <w:snapToGrid w:val="0"/>
          <w:kern w:val="22"/>
          <w:szCs w:val="22"/>
        </w:rPr>
        <w:t xml:space="preserve">, that different values may be managed with different management tools and that more detailed analysis of cumulative impacts may allow for a more precisely targeted management intervention. </w:t>
      </w:r>
      <w:r w:rsidR="008C24BD" w:rsidRPr="0088780C">
        <w:rPr>
          <w:bCs/>
          <w:iCs/>
          <w:snapToGrid w:val="0"/>
          <w:kern w:val="22"/>
          <w:szCs w:val="22"/>
        </w:rPr>
        <w:t xml:space="preserve">He </w:t>
      </w:r>
      <w:r w:rsidRPr="0088780C">
        <w:rPr>
          <w:bCs/>
          <w:iCs/>
          <w:snapToGrid w:val="0"/>
          <w:kern w:val="22"/>
          <w:szCs w:val="22"/>
        </w:rPr>
        <w:t>concluded that the EBSA process provides opportunity for clear input of scientific information to inform and promote improved management and policy.</w:t>
      </w:r>
    </w:p>
    <w:p w14:paraId="3B3B8E7F" w14:textId="77777777" w:rsidR="00490F2F" w:rsidRPr="0088780C" w:rsidRDefault="00490F2F" w:rsidP="001013AF">
      <w:pPr>
        <w:suppressLineNumbers/>
        <w:suppressAutoHyphens/>
        <w:kinsoku w:val="0"/>
        <w:overflowPunct w:val="0"/>
        <w:autoSpaceDE w:val="0"/>
        <w:autoSpaceDN w:val="0"/>
        <w:rPr>
          <w:bCs/>
          <w:iCs/>
          <w:snapToGrid w:val="0"/>
          <w:kern w:val="22"/>
          <w:szCs w:val="22"/>
        </w:rPr>
      </w:pPr>
    </w:p>
    <w:p w14:paraId="76D66DA2" w14:textId="13C57B84" w:rsidR="00490F2F" w:rsidRPr="0088780C" w:rsidRDefault="00BA7630" w:rsidP="001013AF">
      <w:pPr>
        <w:suppressLineNumbers/>
        <w:suppressAutoHyphens/>
        <w:kinsoku w:val="0"/>
        <w:overflowPunct w:val="0"/>
        <w:autoSpaceDE w:val="0"/>
        <w:autoSpaceDN w:val="0"/>
        <w:rPr>
          <w:snapToGrid w:val="0"/>
          <w:kern w:val="22"/>
          <w:szCs w:val="22"/>
        </w:rPr>
      </w:pPr>
      <w:r w:rsidRPr="0088780C">
        <w:rPr>
          <w:bCs/>
          <w:iCs/>
          <w:snapToGrid w:val="0"/>
          <w:kern w:val="22"/>
          <w:szCs w:val="22"/>
        </w:rPr>
        <w:t>Mr. Halpin</w:t>
      </w:r>
      <w:r w:rsidR="008C24BD" w:rsidRPr="0088780C">
        <w:rPr>
          <w:bCs/>
          <w:iCs/>
          <w:snapToGrid w:val="0"/>
          <w:kern w:val="22"/>
          <w:szCs w:val="22"/>
        </w:rPr>
        <w:t xml:space="preserve"> also presented on </w:t>
      </w:r>
      <w:r w:rsidR="00490F2F" w:rsidRPr="0088780C">
        <w:rPr>
          <w:bCs/>
          <w:iCs/>
          <w:snapToGrid w:val="0"/>
          <w:kern w:val="22"/>
          <w:szCs w:val="22"/>
        </w:rPr>
        <w:t>the potential role of EBSA</w:t>
      </w:r>
      <w:r w:rsidR="008C24BD" w:rsidRPr="0088780C">
        <w:rPr>
          <w:bCs/>
          <w:iCs/>
          <w:snapToGrid w:val="0"/>
          <w:kern w:val="22"/>
          <w:szCs w:val="22"/>
        </w:rPr>
        <w:t>s in ecological monitoring. He</w:t>
      </w:r>
      <w:r w:rsidR="00490F2F" w:rsidRPr="0088780C">
        <w:rPr>
          <w:bCs/>
          <w:iCs/>
          <w:snapToGrid w:val="0"/>
          <w:kern w:val="22"/>
          <w:szCs w:val="22"/>
        </w:rPr>
        <w:t xml:space="preserve"> indicated that classifying EBSAs into types help</w:t>
      </w:r>
      <w:r w:rsidR="00C42631" w:rsidRPr="0088780C">
        <w:rPr>
          <w:bCs/>
          <w:iCs/>
          <w:snapToGrid w:val="0"/>
          <w:kern w:val="22"/>
          <w:szCs w:val="22"/>
        </w:rPr>
        <w:t>s</w:t>
      </w:r>
      <w:r w:rsidR="00490F2F" w:rsidRPr="0088780C">
        <w:rPr>
          <w:bCs/>
          <w:iCs/>
          <w:snapToGrid w:val="0"/>
          <w:kern w:val="22"/>
          <w:szCs w:val="22"/>
        </w:rPr>
        <w:t xml:space="preserve"> add pr</w:t>
      </w:r>
      <w:r w:rsidR="008C24BD" w:rsidRPr="0088780C">
        <w:rPr>
          <w:bCs/>
          <w:iCs/>
          <w:snapToGrid w:val="0"/>
          <w:kern w:val="22"/>
          <w:szCs w:val="22"/>
        </w:rPr>
        <w:t xml:space="preserve">ecision to their use for </w:t>
      </w:r>
      <w:r w:rsidR="00490F2F" w:rsidRPr="0088780C">
        <w:rPr>
          <w:bCs/>
          <w:iCs/>
          <w:snapToGrid w:val="0"/>
          <w:kern w:val="22"/>
          <w:szCs w:val="22"/>
        </w:rPr>
        <w:t xml:space="preserve">management. In addition, classifying EBSAs into types helps us to better understand what tools and technologies are needed to monitor the ecological condition and human uses at these sites. For example, the remote sensing or survey tools </w:t>
      </w:r>
      <w:r w:rsidR="00C42631" w:rsidRPr="0088780C">
        <w:rPr>
          <w:bCs/>
          <w:iCs/>
          <w:snapToGrid w:val="0"/>
          <w:kern w:val="22"/>
          <w:szCs w:val="22"/>
        </w:rPr>
        <w:t>that could be used</w:t>
      </w:r>
      <w:r w:rsidR="00490F2F" w:rsidRPr="0088780C">
        <w:rPr>
          <w:bCs/>
          <w:iCs/>
          <w:snapToGrid w:val="0"/>
          <w:kern w:val="22"/>
          <w:szCs w:val="22"/>
        </w:rPr>
        <w:t xml:space="preserve"> to monitor a multiple fixed-feature EBSA site (type II) could be different than the type of monitoring to be directed towards a dy</w:t>
      </w:r>
      <w:r w:rsidR="008C24BD" w:rsidRPr="0088780C">
        <w:rPr>
          <w:bCs/>
          <w:iCs/>
          <w:snapToGrid w:val="0"/>
          <w:kern w:val="22"/>
          <w:szCs w:val="22"/>
        </w:rPr>
        <w:t>namic (type IV) EBSA. He</w:t>
      </w:r>
      <w:r w:rsidR="00490F2F" w:rsidRPr="0088780C">
        <w:rPr>
          <w:bCs/>
          <w:iCs/>
          <w:snapToGrid w:val="0"/>
          <w:kern w:val="22"/>
          <w:szCs w:val="22"/>
        </w:rPr>
        <w:t xml:space="preserve"> noted that the EBSA process </w:t>
      </w:r>
      <w:r w:rsidR="008C24BD" w:rsidRPr="0088780C">
        <w:rPr>
          <w:bCs/>
          <w:iCs/>
          <w:snapToGrid w:val="0"/>
          <w:kern w:val="22"/>
          <w:szCs w:val="22"/>
        </w:rPr>
        <w:t>can</w:t>
      </w:r>
      <w:r w:rsidR="00490F2F" w:rsidRPr="0088780C">
        <w:rPr>
          <w:bCs/>
          <w:iCs/>
          <w:snapToGrid w:val="0"/>
          <w:kern w:val="22"/>
          <w:szCs w:val="22"/>
        </w:rPr>
        <w:t xml:space="preserve"> collaborate with ongoing development of international monitoring protocols such as the emerging GEO-BON Essential Biodiversity V</w:t>
      </w:r>
      <w:r w:rsidR="008C24BD" w:rsidRPr="0088780C">
        <w:rPr>
          <w:bCs/>
          <w:iCs/>
          <w:snapToGrid w:val="0"/>
          <w:kern w:val="22"/>
          <w:szCs w:val="22"/>
        </w:rPr>
        <w:t>ariables (EBV). He also</w:t>
      </w:r>
      <w:r w:rsidR="00490F2F" w:rsidRPr="0088780C">
        <w:rPr>
          <w:bCs/>
          <w:iCs/>
          <w:snapToGrid w:val="0"/>
          <w:kern w:val="22"/>
          <w:szCs w:val="22"/>
        </w:rPr>
        <w:t xml:space="preserve"> suggested that the EBSA process </w:t>
      </w:r>
      <w:r w:rsidR="008C24BD" w:rsidRPr="0088780C">
        <w:rPr>
          <w:bCs/>
          <w:iCs/>
          <w:snapToGrid w:val="0"/>
          <w:kern w:val="22"/>
          <w:szCs w:val="22"/>
        </w:rPr>
        <w:t xml:space="preserve">can </w:t>
      </w:r>
      <w:r w:rsidR="00490F2F" w:rsidRPr="0088780C">
        <w:rPr>
          <w:bCs/>
          <w:iCs/>
          <w:snapToGrid w:val="0"/>
          <w:kern w:val="22"/>
          <w:szCs w:val="22"/>
        </w:rPr>
        <w:t>collaborate with the IOC/IODE/OBIS programme on the development of open-access information sources and data query tools for these sites. He also showed an example of the application of emerging technologies, such as Global Fishing Watch fishing vessel tracking, as an emerging method to monitor broad-scale huma</w:t>
      </w:r>
      <w:r w:rsidR="008C24BD" w:rsidRPr="0088780C">
        <w:rPr>
          <w:bCs/>
          <w:iCs/>
          <w:snapToGrid w:val="0"/>
          <w:kern w:val="22"/>
          <w:szCs w:val="22"/>
        </w:rPr>
        <w:t xml:space="preserve">n uses in and around the </w:t>
      </w:r>
      <w:r w:rsidR="00490F2F" w:rsidRPr="0088780C">
        <w:rPr>
          <w:bCs/>
          <w:iCs/>
          <w:snapToGrid w:val="0"/>
          <w:kern w:val="22"/>
          <w:szCs w:val="22"/>
        </w:rPr>
        <w:t xml:space="preserve">EBSA areas. </w:t>
      </w:r>
      <w:r w:rsidR="008C24BD" w:rsidRPr="0088780C">
        <w:rPr>
          <w:bCs/>
          <w:iCs/>
          <w:snapToGrid w:val="0"/>
          <w:kern w:val="22"/>
          <w:szCs w:val="22"/>
        </w:rPr>
        <w:t xml:space="preserve">He then concluded that </w:t>
      </w:r>
      <w:r w:rsidR="00490F2F" w:rsidRPr="0088780C">
        <w:rPr>
          <w:snapToGrid w:val="0"/>
          <w:kern w:val="22"/>
          <w:szCs w:val="22"/>
        </w:rPr>
        <w:t>emerging technologies are allowing more objective monitoring of human uses in the oceans; local and regional assessments allow us to match specific ocean uses to expected pressures and impacts; and different types of EBSAs may have differen</w:t>
      </w:r>
      <w:r w:rsidR="00CA6AC3" w:rsidRPr="0088780C">
        <w:rPr>
          <w:snapToGrid w:val="0"/>
          <w:kern w:val="22"/>
          <w:szCs w:val="22"/>
        </w:rPr>
        <w:t>t types of interaction effects.</w:t>
      </w:r>
    </w:p>
    <w:p w14:paraId="4A621CB3" w14:textId="77777777" w:rsidR="00F61D35" w:rsidRPr="0088780C" w:rsidRDefault="00F61D35" w:rsidP="001013AF">
      <w:pPr>
        <w:suppressLineNumbers/>
        <w:suppressAutoHyphens/>
        <w:kinsoku w:val="0"/>
        <w:overflowPunct w:val="0"/>
        <w:autoSpaceDE w:val="0"/>
        <w:autoSpaceDN w:val="0"/>
        <w:rPr>
          <w:bCs/>
          <w:snapToGrid w:val="0"/>
          <w:kern w:val="22"/>
          <w:szCs w:val="22"/>
        </w:rPr>
      </w:pPr>
    </w:p>
    <w:p w14:paraId="551F083A" w14:textId="77777777" w:rsidR="001C41BC" w:rsidRPr="0088780C" w:rsidRDefault="001C41BC" w:rsidP="001013AF">
      <w:pPr>
        <w:suppressLineNumbers/>
        <w:suppressAutoHyphens/>
        <w:kinsoku w:val="0"/>
        <w:overflowPunct w:val="0"/>
        <w:autoSpaceDE w:val="0"/>
        <w:autoSpaceDN w:val="0"/>
        <w:jc w:val="left"/>
        <w:rPr>
          <w:bCs/>
          <w:i/>
          <w:snapToGrid w:val="0"/>
          <w:kern w:val="22"/>
          <w:szCs w:val="22"/>
        </w:rPr>
      </w:pPr>
      <w:r w:rsidRPr="0088780C">
        <w:rPr>
          <w:bCs/>
          <w:i/>
          <w:snapToGrid w:val="0"/>
          <w:kern w:val="22"/>
          <w:szCs w:val="22"/>
        </w:rPr>
        <w:br w:type="page"/>
      </w:r>
    </w:p>
    <w:p w14:paraId="30F3CDB4" w14:textId="1EC05F91" w:rsidR="009164F0" w:rsidRPr="0088780C" w:rsidRDefault="009164F0" w:rsidP="001013AF">
      <w:pPr>
        <w:suppressLineNumbers/>
        <w:suppressAutoHyphens/>
        <w:kinsoku w:val="0"/>
        <w:overflowPunct w:val="0"/>
        <w:autoSpaceDE w:val="0"/>
        <w:autoSpaceDN w:val="0"/>
        <w:jc w:val="center"/>
        <w:rPr>
          <w:i/>
          <w:snapToGrid w:val="0"/>
          <w:kern w:val="22"/>
          <w:szCs w:val="22"/>
        </w:rPr>
      </w:pPr>
      <w:r w:rsidRPr="0088780C">
        <w:rPr>
          <w:i/>
          <w:snapToGrid w:val="0"/>
          <w:kern w:val="22"/>
          <w:szCs w:val="22"/>
        </w:rPr>
        <w:t xml:space="preserve">Annex </w:t>
      </w:r>
      <w:r w:rsidR="00457FAD" w:rsidRPr="0088780C">
        <w:rPr>
          <w:i/>
          <w:snapToGrid w:val="0"/>
          <w:kern w:val="22"/>
          <w:szCs w:val="22"/>
        </w:rPr>
        <w:t>III</w:t>
      </w:r>
    </w:p>
    <w:p w14:paraId="14274FFB" w14:textId="14B67BED" w:rsidR="009164F0" w:rsidRPr="0088780C" w:rsidRDefault="009D7FD6" w:rsidP="001013AF">
      <w:pPr>
        <w:suppressLineNumbers/>
        <w:suppressAutoHyphens/>
        <w:kinsoku w:val="0"/>
        <w:overflowPunct w:val="0"/>
        <w:autoSpaceDE w:val="0"/>
        <w:autoSpaceDN w:val="0"/>
        <w:jc w:val="center"/>
        <w:rPr>
          <w:b/>
          <w:caps/>
          <w:snapToGrid w:val="0"/>
          <w:kern w:val="22"/>
          <w:szCs w:val="22"/>
        </w:rPr>
      </w:pPr>
      <w:r w:rsidRPr="0088780C">
        <w:rPr>
          <w:b/>
          <w:caps/>
          <w:snapToGrid w:val="0"/>
          <w:kern w:val="22"/>
          <w:szCs w:val="22"/>
        </w:rPr>
        <w:t>e</w:t>
      </w:r>
      <w:r w:rsidR="00556F30" w:rsidRPr="0088780C">
        <w:rPr>
          <w:b/>
          <w:caps/>
          <w:snapToGrid w:val="0"/>
          <w:kern w:val="22"/>
          <w:szCs w:val="22"/>
        </w:rPr>
        <w:t xml:space="preserve">cological or biological </w:t>
      </w:r>
      <w:r w:rsidR="00B50163" w:rsidRPr="0088780C">
        <w:rPr>
          <w:b/>
          <w:caps/>
          <w:snapToGrid w:val="0"/>
          <w:kern w:val="22"/>
          <w:szCs w:val="22"/>
        </w:rPr>
        <w:t>SIGNIFICANCE</w:t>
      </w:r>
      <w:r w:rsidRPr="0088780C">
        <w:rPr>
          <w:b/>
          <w:caps/>
          <w:snapToGrid w:val="0"/>
          <w:kern w:val="22"/>
          <w:szCs w:val="22"/>
        </w:rPr>
        <w:t xml:space="preserve"> of the Black Sea and the Caspian Sea at a global scale</w:t>
      </w:r>
    </w:p>
    <w:p w14:paraId="13EA227C" w14:textId="77777777" w:rsidR="00556F30" w:rsidRPr="0088780C" w:rsidRDefault="00556F30" w:rsidP="001013AF">
      <w:pPr>
        <w:suppressLineNumbers/>
        <w:suppressAutoHyphens/>
        <w:kinsoku w:val="0"/>
        <w:overflowPunct w:val="0"/>
        <w:autoSpaceDE w:val="0"/>
        <w:autoSpaceDN w:val="0"/>
        <w:rPr>
          <w:i/>
          <w:snapToGrid w:val="0"/>
          <w:kern w:val="22"/>
          <w:szCs w:val="22"/>
        </w:rPr>
      </w:pPr>
    </w:p>
    <w:p w14:paraId="1839ACF1" w14:textId="6B9D1BF1" w:rsidR="00556F30" w:rsidRPr="0088780C" w:rsidRDefault="00556F30" w:rsidP="001013AF">
      <w:pPr>
        <w:suppressLineNumbers/>
        <w:suppressAutoHyphens/>
        <w:kinsoku w:val="0"/>
        <w:overflowPunct w:val="0"/>
        <w:autoSpaceDE w:val="0"/>
        <w:autoSpaceDN w:val="0"/>
        <w:jc w:val="center"/>
        <w:rPr>
          <w:b/>
          <w:smallCaps/>
          <w:snapToGrid w:val="0"/>
          <w:kern w:val="22"/>
          <w:szCs w:val="22"/>
        </w:rPr>
      </w:pPr>
      <w:r w:rsidRPr="0088780C">
        <w:rPr>
          <w:b/>
          <w:smallCaps/>
          <w:snapToGrid w:val="0"/>
          <w:kern w:val="22"/>
          <w:szCs w:val="22"/>
        </w:rPr>
        <w:t>Black Sea</w:t>
      </w:r>
    </w:p>
    <w:p w14:paraId="0545D23B" w14:textId="77777777" w:rsidR="00556F30" w:rsidRPr="0088780C" w:rsidRDefault="00556F30" w:rsidP="001013AF">
      <w:pPr>
        <w:suppressLineNumbers/>
        <w:suppressAutoHyphens/>
        <w:kinsoku w:val="0"/>
        <w:overflowPunct w:val="0"/>
        <w:autoSpaceDE w:val="0"/>
        <w:autoSpaceDN w:val="0"/>
        <w:jc w:val="center"/>
        <w:rPr>
          <w:b/>
          <w:smallCaps/>
          <w:snapToGrid w:val="0"/>
          <w:kern w:val="22"/>
          <w:szCs w:val="22"/>
        </w:rPr>
      </w:pPr>
    </w:p>
    <w:p w14:paraId="7E4B5B96" w14:textId="4A6681AB" w:rsidR="007B1249" w:rsidRPr="0088780C" w:rsidRDefault="007B1249" w:rsidP="001013AF">
      <w:pPr>
        <w:suppressLineNumbers/>
        <w:suppressAutoHyphens/>
        <w:kinsoku w:val="0"/>
        <w:overflowPunct w:val="0"/>
        <w:autoSpaceDE w:val="0"/>
        <w:autoSpaceDN w:val="0"/>
        <w:spacing w:after="120"/>
        <w:rPr>
          <w:i/>
          <w:snapToGrid w:val="0"/>
          <w:kern w:val="22"/>
          <w:szCs w:val="22"/>
        </w:rPr>
      </w:pPr>
      <w:r w:rsidRPr="0088780C">
        <w:rPr>
          <w:i/>
          <w:snapToGrid w:val="0"/>
          <w:kern w:val="22"/>
          <w:szCs w:val="22"/>
        </w:rPr>
        <w:t xml:space="preserve">The workshop participants recognized the unique and vulnerable ecological and biological characteristics of the Black Sea </w:t>
      </w:r>
      <w:r w:rsidR="00556F30" w:rsidRPr="0088780C">
        <w:rPr>
          <w:i/>
          <w:snapToGrid w:val="0"/>
          <w:kern w:val="22"/>
          <w:szCs w:val="22"/>
        </w:rPr>
        <w:t>at</w:t>
      </w:r>
      <w:r w:rsidRPr="0088780C">
        <w:rPr>
          <w:i/>
          <w:snapToGrid w:val="0"/>
          <w:kern w:val="22"/>
          <w:szCs w:val="22"/>
        </w:rPr>
        <w:t xml:space="preserve"> a global scale</w:t>
      </w:r>
      <w:r w:rsidR="00242637" w:rsidRPr="0088780C">
        <w:rPr>
          <w:i/>
          <w:snapToGrid w:val="0"/>
          <w:kern w:val="22"/>
          <w:szCs w:val="22"/>
        </w:rPr>
        <w:t>,</w:t>
      </w:r>
      <w:r w:rsidRPr="0088780C">
        <w:rPr>
          <w:i/>
          <w:snapToGrid w:val="0"/>
          <w:kern w:val="22"/>
          <w:szCs w:val="22"/>
        </w:rPr>
        <w:t xml:space="preserve"> as follows: </w:t>
      </w:r>
    </w:p>
    <w:p w14:paraId="68EB2127" w14:textId="77777777" w:rsidR="007B1249" w:rsidRPr="0088780C" w:rsidRDefault="007B1249" w:rsidP="001013AF">
      <w:pPr>
        <w:pStyle w:val="ListParagraph"/>
        <w:numPr>
          <w:ilvl w:val="0"/>
          <w:numId w:val="9"/>
        </w:numPr>
        <w:suppressLineNumbers/>
        <w:suppressAutoHyphens/>
        <w:kinsoku w:val="0"/>
        <w:overflowPunct w:val="0"/>
        <w:autoSpaceDE w:val="0"/>
        <w:autoSpaceDN w:val="0"/>
        <w:spacing w:after="120"/>
        <w:ind w:leftChars="0" w:left="0" w:firstLine="0"/>
        <w:contextualSpacing/>
        <w:rPr>
          <w:snapToGrid w:val="0"/>
          <w:kern w:val="22"/>
          <w:szCs w:val="22"/>
        </w:rPr>
      </w:pPr>
      <w:r w:rsidRPr="0088780C">
        <w:rPr>
          <w:snapToGrid w:val="0"/>
          <w:kern w:val="22"/>
          <w:szCs w:val="22"/>
        </w:rPr>
        <w:t xml:space="preserve">Marine and coastal areas of the Black Sea demonstrate significant ecological and biological significance on a global scale for the following reasons, </w:t>
      </w:r>
      <w:r w:rsidRPr="0088780C">
        <w:rPr>
          <w:i/>
          <w:snapToGrid w:val="0"/>
          <w:kern w:val="22"/>
          <w:szCs w:val="22"/>
        </w:rPr>
        <w:t>inter alia</w:t>
      </w:r>
      <w:r w:rsidRPr="0088780C">
        <w:rPr>
          <w:snapToGrid w:val="0"/>
          <w:kern w:val="22"/>
          <w:szCs w:val="22"/>
        </w:rPr>
        <w:t>:</w:t>
      </w:r>
    </w:p>
    <w:p w14:paraId="1F63D0A7" w14:textId="77777777" w:rsidR="007B1249" w:rsidRPr="0088780C" w:rsidRDefault="007B1249" w:rsidP="001013AF">
      <w:pPr>
        <w:pStyle w:val="ListParagraph"/>
        <w:numPr>
          <w:ilvl w:val="0"/>
          <w:numId w:val="10"/>
        </w:numPr>
        <w:suppressLineNumbers/>
        <w:suppressAutoHyphens/>
        <w:kinsoku w:val="0"/>
        <w:overflowPunct w:val="0"/>
        <w:autoSpaceDE w:val="0"/>
        <w:autoSpaceDN w:val="0"/>
        <w:spacing w:after="120"/>
        <w:ind w:leftChars="0"/>
        <w:contextualSpacing/>
        <w:rPr>
          <w:snapToGrid w:val="0"/>
          <w:kern w:val="22"/>
          <w:szCs w:val="22"/>
        </w:rPr>
      </w:pPr>
      <w:r w:rsidRPr="0088780C">
        <w:rPr>
          <w:snapToGrid w:val="0"/>
          <w:kern w:val="22"/>
          <w:szCs w:val="22"/>
        </w:rPr>
        <w:t>They comprise a vast set of coastal and marine ecosystems that deliver valuable ecosystem services and benefits to all its coastal inhabitants;</w:t>
      </w:r>
    </w:p>
    <w:p w14:paraId="53485755" w14:textId="667BB4D2" w:rsidR="007B1249" w:rsidRPr="0088780C" w:rsidRDefault="007B1249" w:rsidP="001013AF">
      <w:pPr>
        <w:pStyle w:val="ListParagraph"/>
        <w:numPr>
          <w:ilvl w:val="0"/>
          <w:numId w:val="10"/>
        </w:numPr>
        <w:suppressLineNumbers/>
        <w:suppressAutoHyphens/>
        <w:kinsoku w:val="0"/>
        <w:overflowPunct w:val="0"/>
        <w:autoSpaceDE w:val="0"/>
        <w:autoSpaceDN w:val="0"/>
        <w:spacing w:after="120"/>
        <w:ind w:leftChars="0"/>
        <w:contextualSpacing/>
        <w:rPr>
          <w:snapToGrid w:val="0"/>
          <w:kern w:val="22"/>
          <w:szCs w:val="22"/>
        </w:rPr>
      </w:pPr>
      <w:r w:rsidRPr="0088780C">
        <w:rPr>
          <w:snapToGrid w:val="0"/>
          <w:kern w:val="22"/>
          <w:szCs w:val="22"/>
        </w:rPr>
        <w:t>They harbour unique biodiversity components adapted to the unique conditions</w:t>
      </w:r>
      <w:r w:rsidR="00C42631" w:rsidRPr="0088780C">
        <w:rPr>
          <w:snapToGrid w:val="0"/>
          <w:kern w:val="22"/>
          <w:szCs w:val="22"/>
        </w:rPr>
        <w:t>,</w:t>
      </w:r>
      <w:r w:rsidRPr="0088780C">
        <w:rPr>
          <w:snapToGrid w:val="0"/>
          <w:kern w:val="22"/>
          <w:szCs w:val="22"/>
        </w:rPr>
        <w:t xml:space="preserve"> related </w:t>
      </w:r>
      <w:r w:rsidR="00C42631" w:rsidRPr="0088780C">
        <w:rPr>
          <w:snapToGrid w:val="0"/>
          <w:kern w:val="22"/>
          <w:szCs w:val="22"/>
        </w:rPr>
        <w:t xml:space="preserve">mainly </w:t>
      </w:r>
      <w:r w:rsidRPr="0088780C">
        <w:rPr>
          <w:snapToGrid w:val="0"/>
          <w:kern w:val="22"/>
          <w:szCs w:val="22"/>
        </w:rPr>
        <w:t>to the deep anoxic waters;</w:t>
      </w:r>
    </w:p>
    <w:p w14:paraId="194B285B" w14:textId="77777777" w:rsidR="007B1249" w:rsidRPr="0088780C" w:rsidRDefault="007B1249" w:rsidP="001013AF">
      <w:pPr>
        <w:pStyle w:val="ListParagraph"/>
        <w:numPr>
          <w:ilvl w:val="0"/>
          <w:numId w:val="10"/>
        </w:numPr>
        <w:suppressLineNumbers/>
        <w:suppressAutoHyphens/>
        <w:kinsoku w:val="0"/>
        <w:overflowPunct w:val="0"/>
        <w:autoSpaceDE w:val="0"/>
        <w:autoSpaceDN w:val="0"/>
        <w:spacing w:after="120"/>
        <w:ind w:leftChars="0"/>
        <w:contextualSpacing/>
        <w:rPr>
          <w:snapToGrid w:val="0"/>
          <w:kern w:val="22"/>
          <w:szCs w:val="22"/>
        </w:rPr>
      </w:pPr>
      <w:r w:rsidRPr="0088780C">
        <w:rPr>
          <w:snapToGrid w:val="0"/>
          <w:kern w:val="22"/>
          <w:szCs w:val="22"/>
        </w:rPr>
        <w:t>As a semi-enclosed basin, they are more susceptible to natural and anthropogenic changes; and</w:t>
      </w:r>
    </w:p>
    <w:p w14:paraId="7357E1AE" w14:textId="77777777" w:rsidR="007B1249" w:rsidRPr="0088780C" w:rsidRDefault="007B1249" w:rsidP="001013AF">
      <w:pPr>
        <w:pStyle w:val="ListParagraph"/>
        <w:numPr>
          <w:ilvl w:val="0"/>
          <w:numId w:val="10"/>
        </w:numPr>
        <w:suppressLineNumbers/>
        <w:suppressAutoHyphens/>
        <w:kinsoku w:val="0"/>
        <w:overflowPunct w:val="0"/>
        <w:autoSpaceDE w:val="0"/>
        <w:autoSpaceDN w:val="0"/>
        <w:spacing w:after="120"/>
        <w:ind w:leftChars="0"/>
        <w:contextualSpacing/>
        <w:rPr>
          <w:snapToGrid w:val="0"/>
          <w:kern w:val="22"/>
          <w:szCs w:val="22"/>
        </w:rPr>
      </w:pPr>
      <w:r w:rsidRPr="0088780C">
        <w:rPr>
          <w:snapToGrid w:val="0"/>
          <w:kern w:val="22"/>
          <w:szCs w:val="22"/>
        </w:rPr>
        <w:t>They meet almost all of the EBSA criteria at different scales throughout the Black Sea.</w:t>
      </w:r>
    </w:p>
    <w:p w14:paraId="0D79BA03" w14:textId="77777777" w:rsidR="007B1249" w:rsidRPr="0088780C" w:rsidRDefault="007B1249" w:rsidP="001013AF">
      <w:pPr>
        <w:pStyle w:val="ListParagraph"/>
        <w:suppressLineNumbers/>
        <w:suppressAutoHyphens/>
        <w:kinsoku w:val="0"/>
        <w:overflowPunct w:val="0"/>
        <w:autoSpaceDE w:val="0"/>
        <w:autoSpaceDN w:val="0"/>
        <w:spacing w:after="120"/>
        <w:ind w:leftChars="0" w:left="0"/>
        <w:rPr>
          <w:snapToGrid w:val="0"/>
          <w:kern w:val="22"/>
          <w:szCs w:val="22"/>
        </w:rPr>
      </w:pPr>
    </w:p>
    <w:p w14:paraId="11E1CADA" w14:textId="77777777" w:rsidR="007B1249" w:rsidRPr="0088780C" w:rsidRDefault="007B1249" w:rsidP="001013AF">
      <w:pPr>
        <w:pStyle w:val="ListParagraph"/>
        <w:suppressLineNumbers/>
        <w:suppressAutoHyphens/>
        <w:kinsoku w:val="0"/>
        <w:overflowPunct w:val="0"/>
        <w:autoSpaceDE w:val="0"/>
        <w:autoSpaceDN w:val="0"/>
        <w:spacing w:after="120"/>
        <w:ind w:leftChars="0" w:left="0"/>
        <w:rPr>
          <w:b/>
          <w:i/>
          <w:snapToGrid w:val="0"/>
          <w:kern w:val="22"/>
          <w:szCs w:val="22"/>
          <w:u w:val="single"/>
        </w:rPr>
      </w:pPr>
      <w:r w:rsidRPr="0088780C">
        <w:rPr>
          <w:b/>
          <w:i/>
          <w:snapToGrid w:val="0"/>
          <w:kern w:val="22"/>
          <w:szCs w:val="22"/>
          <w:u w:val="single"/>
        </w:rPr>
        <w:t>Geological and oceanographic context</w:t>
      </w:r>
    </w:p>
    <w:p w14:paraId="1E2FC4CB" w14:textId="60811EB0" w:rsidR="007B1249" w:rsidRPr="0088780C" w:rsidRDefault="007B1249" w:rsidP="001013AF">
      <w:pPr>
        <w:pStyle w:val="ListParagraph"/>
        <w:numPr>
          <w:ilvl w:val="0"/>
          <w:numId w:val="9"/>
        </w:numPr>
        <w:suppressLineNumbers/>
        <w:suppressAutoHyphens/>
        <w:kinsoku w:val="0"/>
        <w:overflowPunct w:val="0"/>
        <w:autoSpaceDE w:val="0"/>
        <w:autoSpaceDN w:val="0"/>
        <w:spacing w:after="120"/>
        <w:ind w:leftChars="0" w:left="0" w:firstLine="0"/>
        <w:contextualSpacing/>
        <w:rPr>
          <w:snapToGrid w:val="0"/>
          <w:kern w:val="22"/>
          <w:szCs w:val="22"/>
        </w:rPr>
      </w:pPr>
      <w:r w:rsidRPr="0088780C">
        <w:rPr>
          <w:snapToGrid w:val="0"/>
          <w:kern w:val="22"/>
          <w:szCs w:val="22"/>
        </w:rPr>
        <w:t xml:space="preserve">The Black Sea became connected to the Mediterranean Sea after the opening of the </w:t>
      </w:r>
      <w:r w:rsidR="00CA6AC3" w:rsidRPr="0088780C">
        <w:rPr>
          <w:snapToGrid w:val="0"/>
          <w:kern w:val="22"/>
          <w:szCs w:val="22"/>
        </w:rPr>
        <w:t>Çanakkale Strait</w:t>
      </w:r>
      <w:r w:rsidRPr="0088780C">
        <w:rPr>
          <w:snapToGrid w:val="0"/>
          <w:kern w:val="22"/>
          <w:szCs w:val="22"/>
        </w:rPr>
        <w:t xml:space="preserve"> in the interglacial period (100 000</w:t>
      </w:r>
      <w:r w:rsidR="00C42631" w:rsidRPr="0088780C">
        <w:rPr>
          <w:snapToGrid w:val="0"/>
          <w:kern w:val="22"/>
          <w:szCs w:val="22"/>
        </w:rPr>
        <w:t xml:space="preserve"> </w:t>
      </w:r>
      <w:r w:rsidRPr="0088780C">
        <w:rPr>
          <w:snapToGrid w:val="0"/>
          <w:kern w:val="22"/>
          <w:szCs w:val="22"/>
        </w:rPr>
        <w:t xml:space="preserve">-150 000 years ago). It was then again isolated and only about 6 000 years ago reconnected to the Sea of Marmara and Mediterranean Sea (Zaitsev and Mamaev, 1997). The special characteristics of </w:t>
      </w:r>
      <w:r w:rsidR="00771AE1" w:rsidRPr="0088780C">
        <w:rPr>
          <w:snapToGrid w:val="0"/>
          <w:kern w:val="22"/>
          <w:szCs w:val="22"/>
        </w:rPr>
        <w:t>a transitional zone between the Mediterranean Sea and the Black Sea</w:t>
      </w:r>
      <w:r w:rsidRPr="0088780C">
        <w:rPr>
          <w:snapToGrid w:val="0"/>
          <w:kern w:val="22"/>
          <w:szCs w:val="22"/>
        </w:rPr>
        <w:t xml:space="preserve"> make it a barrier, a corridor or an acclimatisation zone for different organisms. To the north, the Kerch Strait, a shallow channel about 45 kilometres (km) long, connects the Black Sea to the Sea of Azov.</w:t>
      </w:r>
    </w:p>
    <w:p w14:paraId="299D710C" w14:textId="096AFFD1" w:rsidR="007B1249" w:rsidRPr="0088780C" w:rsidRDefault="007B1249" w:rsidP="001013AF">
      <w:pPr>
        <w:pStyle w:val="ListParagraph"/>
        <w:numPr>
          <w:ilvl w:val="0"/>
          <w:numId w:val="9"/>
        </w:numPr>
        <w:suppressLineNumbers/>
        <w:suppressAutoHyphens/>
        <w:kinsoku w:val="0"/>
        <w:overflowPunct w:val="0"/>
        <w:autoSpaceDE w:val="0"/>
        <w:autoSpaceDN w:val="0"/>
        <w:spacing w:after="120"/>
        <w:ind w:leftChars="0" w:left="0" w:firstLine="0"/>
        <w:contextualSpacing/>
        <w:rPr>
          <w:snapToGrid w:val="0"/>
          <w:kern w:val="22"/>
          <w:szCs w:val="22"/>
        </w:rPr>
      </w:pPr>
      <w:r w:rsidRPr="0088780C">
        <w:rPr>
          <w:snapToGrid w:val="0"/>
          <w:kern w:val="22"/>
          <w:szCs w:val="22"/>
        </w:rPr>
        <w:t xml:space="preserve">The Black Sea is a unique ecosystem, having the largest </w:t>
      </w:r>
      <w:r w:rsidR="00AD4583" w:rsidRPr="0088780C">
        <w:rPr>
          <w:snapToGrid w:val="0"/>
          <w:kern w:val="22"/>
          <w:szCs w:val="22"/>
        </w:rPr>
        <w:t xml:space="preserve">body of </w:t>
      </w:r>
      <w:r w:rsidRPr="0088780C">
        <w:rPr>
          <w:snapToGrid w:val="0"/>
          <w:kern w:val="22"/>
          <w:szCs w:val="22"/>
        </w:rPr>
        <w:t>permanent anoxic waters (having hydrogen sulfide – H</w:t>
      </w:r>
      <w:r w:rsidRPr="0088780C">
        <w:rPr>
          <w:snapToGrid w:val="0"/>
          <w:kern w:val="22"/>
          <w:szCs w:val="22"/>
          <w:vertAlign w:val="subscript"/>
        </w:rPr>
        <w:t>2</w:t>
      </w:r>
      <w:r w:rsidRPr="0088780C">
        <w:rPr>
          <w:snapToGrid w:val="0"/>
          <w:kern w:val="22"/>
          <w:szCs w:val="22"/>
        </w:rPr>
        <w:t>S) below 150-200m depths. It has a positive freshwater balance, which results in a comparatively low salinity at the surface (18%o), and th</w:t>
      </w:r>
      <w:r w:rsidR="00C42631" w:rsidRPr="0088780C">
        <w:rPr>
          <w:snapToGrid w:val="0"/>
          <w:kern w:val="22"/>
          <w:szCs w:val="22"/>
        </w:rPr>
        <w:t>is</w:t>
      </w:r>
      <w:r w:rsidRPr="0088780C">
        <w:rPr>
          <w:snapToGrid w:val="0"/>
          <w:kern w:val="22"/>
          <w:szCs w:val="22"/>
        </w:rPr>
        <w:t xml:space="preserve"> oxygenated water </w:t>
      </w:r>
      <w:r w:rsidR="00AD4583" w:rsidRPr="0088780C">
        <w:rPr>
          <w:snapToGrid w:val="0"/>
          <w:kern w:val="22"/>
          <w:szCs w:val="22"/>
        </w:rPr>
        <w:t>covers</w:t>
      </w:r>
      <w:r w:rsidRPr="0088780C">
        <w:rPr>
          <w:snapToGrid w:val="0"/>
          <w:kern w:val="22"/>
          <w:szCs w:val="22"/>
        </w:rPr>
        <w:t xml:space="preserve"> only about 13% of the Black Sea </w:t>
      </w:r>
      <w:r w:rsidR="00AD4583" w:rsidRPr="0088780C">
        <w:rPr>
          <w:snapToGrid w:val="0"/>
          <w:kern w:val="22"/>
          <w:szCs w:val="22"/>
        </w:rPr>
        <w:t xml:space="preserve">by </w:t>
      </w:r>
      <w:r w:rsidRPr="0088780C">
        <w:rPr>
          <w:snapToGrid w:val="0"/>
          <w:kern w:val="22"/>
          <w:szCs w:val="22"/>
        </w:rPr>
        <w:t>volume. This unique characteristic of the Black Sea gives rise to two distinct ecological layerings in the Black Sea.</w:t>
      </w:r>
    </w:p>
    <w:p w14:paraId="18068FE9" w14:textId="26990F0A"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Regarding ecosystems and habitat types, the main biotopes are sandy-bottom shallow-water areas, especially in the north-western part of the Black Sea and the Sea of Azov. The coasts of the southern Crimea, the Caucasus, Anatolia, some capes in the south-western part of the Black Sea (Kaliakra, Emine, Maslen Nos, and Galata) and Zmeiny Island are mostly rocky. The sea beds are mostly muddy in the zone between 10 to 20 m and 150 to 200 m depth. The total area of the Black Sea coastal wetlands is about 10,000 km</w:t>
      </w:r>
      <w:r w:rsidRPr="0088780C">
        <w:rPr>
          <w:snapToGrid w:val="0"/>
          <w:kern w:val="22"/>
          <w:sz w:val="22"/>
          <w:szCs w:val="22"/>
          <w:vertAlign w:val="superscript"/>
          <w:lang w:val="en-GB"/>
        </w:rPr>
        <w:t>2</w:t>
      </w:r>
      <w:r w:rsidRPr="0088780C">
        <w:rPr>
          <w:snapToGrid w:val="0"/>
          <w:kern w:val="22"/>
          <w:sz w:val="22"/>
          <w:szCs w:val="22"/>
          <w:lang w:val="en-GB"/>
        </w:rPr>
        <w:t>. There are sites for reproduction</w:t>
      </w:r>
      <w:r w:rsidR="00C42631" w:rsidRPr="0088780C">
        <w:rPr>
          <w:snapToGrid w:val="0"/>
          <w:kern w:val="22"/>
          <w:sz w:val="22"/>
          <w:szCs w:val="22"/>
          <w:lang w:val="en-GB"/>
        </w:rPr>
        <w:t>,</w:t>
      </w:r>
      <w:r w:rsidRPr="0088780C">
        <w:rPr>
          <w:snapToGrid w:val="0"/>
          <w:kern w:val="22"/>
          <w:sz w:val="22"/>
          <w:szCs w:val="22"/>
          <w:lang w:val="en-GB"/>
        </w:rPr>
        <w:t xml:space="preserve"> feeding and wintering of many rare and commercially valuable fish species, including the sturgeon family, and are therefore biotopes of special importance. Anoxic conditions occurring below 70 to 200 m delimit the vertical distribution of planktonic, nektonic and benthic organisms.</w:t>
      </w:r>
    </w:p>
    <w:p w14:paraId="69121832" w14:textId="77777777" w:rsidR="00556F30" w:rsidRPr="0088780C" w:rsidRDefault="00556F30" w:rsidP="001013AF">
      <w:pPr>
        <w:pStyle w:val="NormalWeb"/>
        <w:suppressLineNumbers/>
        <w:suppressAutoHyphens/>
        <w:kinsoku w:val="0"/>
        <w:overflowPunct w:val="0"/>
        <w:autoSpaceDE w:val="0"/>
        <w:autoSpaceDN w:val="0"/>
        <w:spacing w:before="0" w:beforeAutospacing="0" w:after="120" w:afterAutospacing="0"/>
        <w:rPr>
          <w:bCs/>
          <w:iCs/>
          <w:snapToGrid w:val="0"/>
          <w:kern w:val="22"/>
          <w:sz w:val="22"/>
          <w:szCs w:val="22"/>
          <w:lang w:val="en-GB"/>
        </w:rPr>
      </w:pPr>
    </w:p>
    <w:p w14:paraId="0FF00419" w14:textId="77777777" w:rsidR="007B1249" w:rsidRPr="0088780C" w:rsidRDefault="007B1249" w:rsidP="001013AF">
      <w:pPr>
        <w:pStyle w:val="NormalWeb"/>
        <w:suppressLineNumbers/>
        <w:suppressAutoHyphens/>
        <w:kinsoku w:val="0"/>
        <w:overflowPunct w:val="0"/>
        <w:autoSpaceDE w:val="0"/>
        <w:autoSpaceDN w:val="0"/>
        <w:spacing w:before="0" w:beforeAutospacing="0" w:after="120" w:afterAutospacing="0"/>
        <w:rPr>
          <w:b/>
          <w:i/>
          <w:snapToGrid w:val="0"/>
          <w:kern w:val="22"/>
          <w:sz w:val="22"/>
          <w:szCs w:val="22"/>
          <w:u w:val="single"/>
          <w:lang w:val="en-GB"/>
        </w:rPr>
      </w:pPr>
      <w:r w:rsidRPr="0088780C">
        <w:rPr>
          <w:b/>
          <w:i/>
          <w:snapToGrid w:val="0"/>
          <w:kern w:val="22"/>
          <w:sz w:val="22"/>
          <w:szCs w:val="22"/>
          <w:u w:val="single"/>
          <w:lang w:val="en-GB"/>
        </w:rPr>
        <w:t>Marine and coastal biodiversity in the Black Sea</w:t>
      </w:r>
    </w:p>
    <w:p w14:paraId="05D9E19E" w14:textId="7A3C88D0"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 xml:space="preserve">The diversity of species of Black Sea fauna is approximately </w:t>
      </w:r>
      <w:r w:rsidR="0018104E" w:rsidRPr="0088780C">
        <w:rPr>
          <w:snapToGrid w:val="0"/>
          <w:kern w:val="22"/>
          <w:sz w:val="22"/>
          <w:szCs w:val="22"/>
          <w:lang w:val="en-GB"/>
        </w:rPr>
        <w:t>one third</w:t>
      </w:r>
      <w:r w:rsidRPr="0088780C">
        <w:rPr>
          <w:snapToGrid w:val="0"/>
          <w:kern w:val="22"/>
          <w:sz w:val="22"/>
          <w:szCs w:val="22"/>
          <w:lang w:val="en-GB"/>
        </w:rPr>
        <w:t xml:space="preserve"> that of the Mediterranean Sea. A total of 3,774 species from marine fungi and unicellular algae to mammals (including many </w:t>
      </w:r>
      <w:r w:rsidR="0018104E" w:rsidRPr="0088780C">
        <w:rPr>
          <w:snapToGrid w:val="0"/>
          <w:kern w:val="22"/>
          <w:sz w:val="22"/>
          <w:szCs w:val="22"/>
          <w:lang w:val="en-GB"/>
        </w:rPr>
        <w:t xml:space="preserve">endemic </w:t>
      </w:r>
      <w:r w:rsidRPr="0088780C">
        <w:rPr>
          <w:snapToGrid w:val="0"/>
          <w:kern w:val="22"/>
          <w:sz w:val="22"/>
          <w:szCs w:val="22"/>
          <w:lang w:val="en-GB"/>
        </w:rPr>
        <w:t>species or traits) ha</w:t>
      </w:r>
      <w:r w:rsidR="0018104E" w:rsidRPr="0088780C">
        <w:rPr>
          <w:snapToGrid w:val="0"/>
          <w:kern w:val="22"/>
          <w:sz w:val="22"/>
          <w:szCs w:val="22"/>
          <w:lang w:val="en-GB"/>
        </w:rPr>
        <w:t>ve</w:t>
      </w:r>
      <w:r w:rsidRPr="0088780C">
        <w:rPr>
          <w:snapToGrid w:val="0"/>
          <w:kern w:val="22"/>
          <w:sz w:val="22"/>
          <w:szCs w:val="22"/>
          <w:lang w:val="en-GB"/>
        </w:rPr>
        <w:t xml:space="preserve"> been described in the Black Sea (Zaitsev, Mamaev 1997). </w:t>
      </w:r>
    </w:p>
    <w:p w14:paraId="12B11629" w14:textId="4AAB0A50"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 xml:space="preserve">However, the productivity of the Black Sea </w:t>
      </w:r>
      <w:r w:rsidR="0018104E" w:rsidRPr="0088780C">
        <w:rPr>
          <w:snapToGrid w:val="0"/>
          <w:kern w:val="22"/>
          <w:sz w:val="22"/>
          <w:szCs w:val="22"/>
          <w:lang w:val="en-GB"/>
        </w:rPr>
        <w:t>is</w:t>
      </w:r>
      <w:r w:rsidRPr="0088780C">
        <w:rPr>
          <w:snapToGrid w:val="0"/>
          <w:kern w:val="22"/>
          <w:sz w:val="22"/>
          <w:szCs w:val="22"/>
          <w:lang w:val="en-GB"/>
        </w:rPr>
        <w:t xml:space="preserve"> much higher than in the Mediterranean Sea (Alexandrov &amp; Zaitsev, 1998; Zaitsev &amp; Alexandrov, 2000, Kideys 1994; Kideys 2002, Kovalev et al. 2001, Yunev et al. 2002), including of phytoplankton (as indicated by the satellite </w:t>
      </w:r>
      <w:r w:rsidR="00B05FEF" w:rsidRPr="0088780C">
        <w:rPr>
          <w:snapToGrid w:val="0"/>
          <w:kern w:val="22"/>
          <w:sz w:val="22"/>
          <w:szCs w:val="22"/>
          <w:lang w:val="en-GB"/>
        </w:rPr>
        <w:t xml:space="preserve">chlorophyll </w:t>
      </w:r>
      <w:r w:rsidRPr="0088780C">
        <w:rPr>
          <w:snapToGrid w:val="0"/>
          <w:kern w:val="22"/>
          <w:sz w:val="22"/>
          <w:szCs w:val="22"/>
          <w:lang w:val="en-GB"/>
        </w:rPr>
        <w:t>data),</w:t>
      </w:r>
      <w:r w:rsidR="00CA6AC3" w:rsidRPr="0088780C">
        <w:rPr>
          <w:snapToGrid w:val="0"/>
          <w:kern w:val="22"/>
          <w:sz w:val="22"/>
          <w:szCs w:val="22"/>
          <w:lang w:val="en-GB"/>
        </w:rPr>
        <w:t xml:space="preserve"> zooplankton, fish and mammals.</w:t>
      </w:r>
    </w:p>
    <w:p w14:paraId="2EABD95E" w14:textId="16B517D5" w:rsidR="007B1249" w:rsidRPr="0088780C" w:rsidRDefault="00A67E0D"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Most</w:t>
      </w:r>
      <w:r w:rsidR="007B1249" w:rsidRPr="0088780C">
        <w:rPr>
          <w:snapToGrid w:val="0"/>
          <w:kern w:val="22"/>
          <w:sz w:val="22"/>
          <w:szCs w:val="22"/>
          <w:lang w:val="en-GB"/>
        </w:rPr>
        <w:t xml:space="preserve"> of the Black Sea coastal waters and continental shelf </w:t>
      </w:r>
      <w:r w:rsidRPr="0088780C">
        <w:rPr>
          <w:snapToGrid w:val="0"/>
          <w:kern w:val="22"/>
          <w:sz w:val="22"/>
          <w:szCs w:val="22"/>
          <w:lang w:val="en-GB"/>
        </w:rPr>
        <w:t>are</w:t>
      </w:r>
      <w:r w:rsidR="007B1249" w:rsidRPr="0088780C">
        <w:rPr>
          <w:snapToGrid w:val="0"/>
          <w:kern w:val="22"/>
          <w:sz w:val="22"/>
          <w:szCs w:val="22"/>
          <w:lang w:val="en-GB"/>
        </w:rPr>
        <w:t xml:space="preserve"> eutrophic (rich in nutrients), the central part is mesotrophic (medium level of nutrients) in character, and significant parts are hypertrophic (high level of nutrients) (Yunev et al. 2002). The largest hypertrophic areas are located in the Sea of Azov and in the north-western part of the Black Sea in the zone influenced by inflow from the Danube, Dniester and Dnieper rivers</w:t>
      </w:r>
      <w:r w:rsidR="00700D04" w:rsidRPr="0088780C">
        <w:rPr>
          <w:snapToGrid w:val="0"/>
          <w:kern w:val="22"/>
          <w:sz w:val="22"/>
          <w:szCs w:val="22"/>
          <w:lang w:val="en-GB"/>
        </w:rPr>
        <w:t>,</w:t>
      </w:r>
      <w:r w:rsidR="007B1249" w:rsidRPr="0088780C">
        <w:rPr>
          <w:snapToGrid w:val="0"/>
          <w:kern w:val="22"/>
          <w:sz w:val="22"/>
          <w:szCs w:val="22"/>
          <w:lang w:val="en-GB"/>
        </w:rPr>
        <w:t xml:space="preserve"> which have high levels of chlorophyll. Primary production ranges from 570 to 1 200 micrograms </w:t>
      </w:r>
      <w:r w:rsidR="00700D04" w:rsidRPr="0088780C">
        <w:rPr>
          <w:snapToGrid w:val="0"/>
          <w:kern w:val="22"/>
          <w:sz w:val="22"/>
          <w:szCs w:val="22"/>
          <w:lang w:val="en-GB"/>
        </w:rPr>
        <w:t>c</w:t>
      </w:r>
      <w:r w:rsidR="007B1249" w:rsidRPr="0088780C">
        <w:rPr>
          <w:snapToGrid w:val="0"/>
          <w:kern w:val="22"/>
          <w:sz w:val="22"/>
          <w:szCs w:val="22"/>
          <w:lang w:val="en-GB"/>
        </w:rPr>
        <w:t>arbon/m</w:t>
      </w:r>
      <w:r w:rsidR="007B1249" w:rsidRPr="0088780C">
        <w:rPr>
          <w:snapToGrid w:val="0"/>
          <w:kern w:val="22"/>
          <w:sz w:val="22"/>
          <w:szCs w:val="22"/>
          <w:vertAlign w:val="superscript"/>
          <w:lang w:val="en-GB"/>
        </w:rPr>
        <w:t>2</w:t>
      </w:r>
      <w:r w:rsidR="007B1249" w:rsidRPr="0088780C">
        <w:rPr>
          <w:snapToGrid w:val="0"/>
          <w:kern w:val="22"/>
          <w:sz w:val="22"/>
          <w:szCs w:val="22"/>
          <w:lang w:val="en-GB"/>
        </w:rPr>
        <w:t xml:space="preserve"> of sea area per day at the north-west shelf, from 320 to 500 in the regions of continental slope, and from 100 to 370 in the central deep-sea regions (Bologa et al., 1999). Mean biomass of phytoplankton reached 4 105 mg/m</w:t>
      </w:r>
      <w:r w:rsidR="007B1249" w:rsidRPr="0088780C">
        <w:rPr>
          <w:snapToGrid w:val="0"/>
          <w:kern w:val="22"/>
          <w:sz w:val="22"/>
          <w:szCs w:val="22"/>
          <w:vertAlign w:val="superscript"/>
          <w:lang w:val="en-GB"/>
        </w:rPr>
        <w:t>3</w:t>
      </w:r>
      <w:r w:rsidR="007B1249" w:rsidRPr="0088780C">
        <w:rPr>
          <w:snapToGrid w:val="0"/>
          <w:kern w:val="22"/>
          <w:sz w:val="22"/>
          <w:szCs w:val="22"/>
          <w:lang w:val="en-GB"/>
        </w:rPr>
        <w:t xml:space="preserve"> in the north-west shelf in 1983-90 (Petranu et al., 1999). Maximal biomass (6,2 kg/m</w:t>
      </w:r>
      <w:r w:rsidR="007B1249" w:rsidRPr="0088780C">
        <w:rPr>
          <w:snapToGrid w:val="0"/>
          <w:kern w:val="22"/>
          <w:sz w:val="22"/>
          <w:szCs w:val="22"/>
          <w:vertAlign w:val="superscript"/>
          <w:lang w:val="en-GB"/>
        </w:rPr>
        <w:t>3</w:t>
      </w:r>
      <w:r w:rsidR="007B1249" w:rsidRPr="0088780C">
        <w:rPr>
          <w:snapToGrid w:val="0"/>
          <w:kern w:val="22"/>
          <w:sz w:val="22"/>
          <w:szCs w:val="22"/>
          <w:lang w:val="en-GB"/>
        </w:rPr>
        <w:t xml:space="preserve">) </w:t>
      </w:r>
      <w:r w:rsidR="00700D04" w:rsidRPr="0088780C">
        <w:rPr>
          <w:snapToGrid w:val="0"/>
          <w:kern w:val="22"/>
          <w:sz w:val="22"/>
          <w:szCs w:val="22"/>
          <w:lang w:val="en-GB"/>
        </w:rPr>
        <w:t>was</w:t>
      </w:r>
      <w:r w:rsidR="007B1249" w:rsidRPr="0088780C">
        <w:rPr>
          <w:snapToGrid w:val="0"/>
          <w:kern w:val="22"/>
          <w:sz w:val="22"/>
          <w:szCs w:val="22"/>
          <w:lang w:val="en-GB"/>
        </w:rPr>
        <w:t xml:space="preserve"> registered in </w:t>
      </w:r>
      <w:r w:rsidR="00700D04" w:rsidRPr="0088780C">
        <w:rPr>
          <w:snapToGrid w:val="0"/>
          <w:kern w:val="22"/>
          <w:sz w:val="22"/>
          <w:szCs w:val="22"/>
          <w:lang w:val="en-GB"/>
        </w:rPr>
        <w:t xml:space="preserve">the </w:t>
      </w:r>
      <w:r w:rsidR="007B1249" w:rsidRPr="0088780C">
        <w:rPr>
          <w:snapToGrid w:val="0"/>
          <w:kern w:val="22"/>
          <w:sz w:val="22"/>
          <w:szCs w:val="22"/>
          <w:lang w:val="en-GB"/>
        </w:rPr>
        <w:t xml:space="preserve">summer </w:t>
      </w:r>
      <w:r w:rsidR="00700D04" w:rsidRPr="0088780C">
        <w:rPr>
          <w:snapToGrid w:val="0"/>
          <w:kern w:val="22"/>
          <w:sz w:val="22"/>
          <w:szCs w:val="22"/>
          <w:lang w:val="en-GB"/>
        </w:rPr>
        <w:t xml:space="preserve">of </w:t>
      </w:r>
      <w:r w:rsidR="007B1249" w:rsidRPr="0088780C">
        <w:rPr>
          <w:snapToGrid w:val="0"/>
          <w:kern w:val="22"/>
          <w:sz w:val="22"/>
          <w:szCs w:val="22"/>
          <w:lang w:val="en-GB"/>
        </w:rPr>
        <w:t>2010 in Odessa Gulf (Aleksandrov et al., 2012).</w:t>
      </w:r>
    </w:p>
    <w:p w14:paraId="11BEC704" w14:textId="77777777"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 xml:space="preserve">The taxonomic composition and number of bloom-producing species of phytoplankton ranges between the Black Sea coastal area (44 species) and the Mediterranean Aegean Sea (30 species) (Moncheva et al., 1999). Abundance is on annual average around 7 million individuals/litre (l) but in cases of phytoplankton blooms the abundance may reach extreme values of 800 million individuals/l (Sukhanova et al., 1998). An important plankton component is the protozoan </w:t>
      </w:r>
      <w:r w:rsidRPr="0088780C">
        <w:rPr>
          <w:i/>
          <w:snapToGrid w:val="0"/>
          <w:kern w:val="22"/>
          <w:sz w:val="22"/>
          <w:szCs w:val="22"/>
          <w:lang w:val="en-GB"/>
        </w:rPr>
        <w:t>Noctiluca scintillans</w:t>
      </w:r>
      <w:r w:rsidRPr="0088780C">
        <w:rPr>
          <w:snapToGrid w:val="0"/>
          <w:kern w:val="22"/>
          <w:sz w:val="22"/>
          <w:szCs w:val="22"/>
          <w:lang w:val="en-GB"/>
        </w:rPr>
        <w:t xml:space="preserve"> in the surface layer (0-5 cm in diameter), which dominated the planktonic ecosystem since the 1980s, affecting the abundance of all zooplankton components. </w:t>
      </w:r>
      <w:r w:rsidRPr="0088780C">
        <w:rPr>
          <w:i/>
          <w:snapToGrid w:val="0"/>
          <w:kern w:val="22"/>
          <w:sz w:val="22"/>
          <w:szCs w:val="22"/>
          <w:lang w:val="en-GB"/>
        </w:rPr>
        <w:t>Noctiluca</w:t>
      </w:r>
      <w:r w:rsidRPr="0088780C">
        <w:rPr>
          <w:snapToGrid w:val="0"/>
          <w:kern w:val="22"/>
          <w:sz w:val="22"/>
          <w:szCs w:val="22"/>
          <w:lang w:val="en-GB"/>
        </w:rPr>
        <w:t xml:space="preserve"> density has reached extreme values exceeding 6.8 million individuals/l and wet biomass of 500 kg/m</w:t>
      </w:r>
      <w:r w:rsidRPr="0088780C">
        <w:rPr>
          <w:snapToGrid w:val="0"/>
          <w:kern w:val="22"/>
          <w:sz w:val="22"/>
          <w:szCs w:val="22"/>
          <w:vertAlign w:val="superscript"/>
          <w:lang w:val="en-GB"/>
        </w:rPr>
        <w:t>3</w:t>
      </w:r>
      <w:r w:rsidRPr="0088780C">
        <w:rPr>
          <w:snapToGrid w:val="0"/>
          <w:kern w:val="22"/>
          <w:sz w:val="22"/>
          <w:szCs w:val="22"/>
          <w:lang w:val="en-GB"/>
        </w:rPr>
        <w:t xml:space="preserve"> (Zaitsev and Alexandrov, 1997).</w:t>
      </w:r>
    </w:p>
    <w:p w14:paraId="5EE58C17" w14:textId="0C95A1E1"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Among zooplankton organisms, medusae and ctenophores dominated the planktonic communities in the 1980s and 1990s</w:t>
      </w:r>
      <w:r w:rsidR="00B82133" w:rsidRPr="0088780C">
        <w:rPr>
          <w:snapToGrid w:val="0"/>
          <w:kern w:val="22"/>
          <w:sz w:val="22"/>
          <w:szCs w:val="22"/>
          <w:lang w:val="en-GB"/>
        </w:rPr>
        <w:t>,</w:t>
      </w:r>
      <w:r w:rsidRPr="0088780C">
        <w:rPr>
          <w:snapToGrid w:val="0"/>
          <w:kern w:val="22"/>
          <w:sz w:val="22"/>
          <w:szCs w:val="22"/>
          <w:lang w:val="en-GB"/>
        </w:rPr>
        <w:t xml:space="preserve"> respectively (Kovalev et al. 2001; Kovalev et al. 1998), </w:t>
      </w:r>
      <w:r w:rsidR="00B82133" w:rsidRPr="0088780C">
        <w:rPr>
          <w:snapToGrid w:val="0"/>
          <w:kern w:val="22"/>
          <w:sz w:val="22"/>
          <w:szCs w:val="22"/>
          <w:lang w:val="en-GB"/>
        </w:rPr>
        <w:t>a</w:t>
      </w:r>
      <w:r w:rsidRPr="0088780C">
        <w:rPr>
          <w:snapToGrid w:val="0"/>
          <w:kern w:val="22"/>
          <w:sz w:val="22"/>
          <w:szCs w:val="22"/>
          <w:lang w:val="en-GB"/>
        </w:rPr>
        <w:t xml:space="preserve">ffecting the abundance of copepods and small pelagic fish. The Black Sea copepods are represented by about 36 species compared to the 120 copepod species known in the Aegean Sea. Maximal concentrations of zooplankton are found in the coastal waters of the north-western part of the Black Sea in desalinated areas near river mouths </w:t>
      </w:r>
      <w:r w:rsidR="00B82133" w:rsidRPr="0088780C">
        <w:rPr>
          <w:snapToGrid w:val="0"/>
          <w:kern w:val="22"/>
          <w:sz w:val="22"/>
          <w:szCs w:val="22"/>
          <w:lang w:val="en-GB"/>
        </w:rPr>
        <w:t>i</w:t>
      </w:r>
      <w:r w:rsidRPr="0088780C">
        <w:rPr>
          <w:snapToGrid w:val="0"/>
          <w:kern w:val="22"/>
          <w:sz w:val="22"/>
          <w:szCs w:val="22"/>
          <w:lang w:val="en-GB"/>
        </w:rPr>
        <w:t>n the north from Cape Tarchankut to Danube Delta. Average zooplankton biomass falls from west to east. The average biomass of the zooplankton in the period 1959-88 was 580 mg/m</w:t>
      </w:r>
      <w:r w:rsidRPr="0088780C">
        <w:rPr>
          <w:snapToGrid w:val="0"/>
          <w:kern w:val="22"/>
          <w:sz w:val="22"/>
          <w:szCs w:val="22"/>
          <w:vertAlign w:val="superscript"/>
          <w:lang w:val="en-GB"/>
        </w:rPr>
        <w:t>3</w:t>
      </w:r>
      <w:r w:rsidRPr="0088780C">
        <w:rPr>
          <w:snapToGrid w:val="0"/>
          <w:kern w:val="22"/>
          <w:sz w:val="22"/>
          <w:szCs w:val="22"/>
          <w:lang w:val="en-GB"/>
        </w:rPr>
        <w:t xml:space="preserve"> for the north</w:t>
      </w:r>
      <w:r w:rsidR="00B82133" w:rsidRPr="0088780C">
        <w:rPr>
          <w:snapToGrid w:val="0"/>
          <w:kern w:val="22"/>
          <w:sz w:val="22"/>
          <w:szCs w:val="22"/>
          <w:lang w:val="en-GB"/>
        </w:rPr>
        <w:t>-</w:t>
      </w:r>
      <w:r w:rsidRPr="0088780C">
        <w:rPr>
          <w:snapToGrid w:val="0"/>
          <w:kern w:val="22"/>
          <w:sz w:val="22"/>
          <w:szCs w:val="22"/>
          <w:lang w:val="en-GB"/>
        </w:rPr>
        <w:t>western part, 422 mg/m</w:t>
      </w:r>
      <w:r w:rsidRPr="0088780C">
        <w:rPr>
          <w:snapToGrid w:val="0"/>
          <w:kern w:val="22"/>
          <w:sz w:val="22"/>
          <w:szCs w:val="22"/>
          <w:vertAlign w:val="superscript"/>
          <w:lang w:val="en-GB"/>
        </w:rPr>
        <w:t>3</w:t>
      </w:r>
      <w:r w:rsidRPr="0088780C">
        <w:rPr>
          <w:snapToGrid w:val="0"/>
          <w:kern w:val="22"/>
          <w:sz w:val="22"/>
          <w:szCs w:val="22"/>
          <w:lang w:val="en-GB"/>
        </w:rPr>
        <w:t xml:space="preserve"> for the eastern part of the Black Sea and 325 mg/m</w:t>
      </w:r>
      <w:r w:rsidRPr="0088780C">
        <w:rPr>
          <w:snapToGrid w:val="0"/>
          <w:kern w:val="22"/>
          <w:sz w:val="22"/>
          <w:szCs w:val="22"/>
          <w:vertAlign w:val="superscript"/>
          <w:lang w:val="en-GB"/>
        </w:rPr>
        <w:t>3</w:t>
      </w:r>
      <w:r w:rsidRPr="0088780C">
        <w:rPr>
          <w:snapToGrid w:val="0"/>
          <w:kern w:val="22"/>
          <w:sz w:val="22"/>
          <w:szCs w:val="22"/>
          <w:lang w:val="en-GB"/>
        </w:rPr>
        <w:t xml:space="preserve"> for the southern Crimea coastal zone (Simonov et al., 1992).</w:t>
      </w:r>
    </w:p>
    <w:p w14:paraId="273C2B91" w14:textId="32FD9163"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 xml:space="preserve">Seaweeds are represented by more than 300 species. The most diverse group is red algae. They are widespread in shallow waters up to depths of 60 to 80 m. Large algae are confined to a narrow zone in the periphery of the sea down to depths of 5 to 6 m. During the last two decades, the areas covered by eelgrass (Zostera) </w:t>
      </w:r>
      <w:r w:rsidR="00610C79" w:rsidRPr="0088780C">
        <w:rPr>
          <w:snapToGrid w:val="0"/>
          <w:kern w:val="22"/>
          <w:sz w:val="22"/>
          <w:szCs w:val="22"/>
          <w:lang w:val="en-GB"/>
        </w:rPr>
        <w:t>and red algae (</w:t>
      </w:r>
      <w:r w:rsidR="00610C79" w:rsidRPr="0088780C">
        <w:rPr>
          <w:i/>
          <w:snapToGrid w:val="0"/>
          <w:kern w:val="22"/>
          <w:sz w:val="22"/>
          <w:szCs w:val="22"/>
          <w:lang w:val="en-GB"/>
        </w:rPr>
        <w:t>Phyllophora crispa</w:t>
      </w:r>
      <w:r w:rsidR="00610C79" w:rsidRPr="0088780C">
        <w:rPr>
          <w:snapToGrid w:val="0"/>
          <w:kern w:val="22"/>
          <w:sz w:val="22"/>
          <w:szCs w:val="22"/>
          <w:lang w:val="en-GB"/>
        </w:rPr>
        <w:t xml:space="preserve">) </w:t>
      </w:r>
      <w:r w:rsidRPr="0088780C">
        <w:rPr>
          <w:snapToGrid w:val="0"/>
          <w:kern w:val="22"/>
          <w:sz w:val="22"/>
          <w:szCs w:val="22"/>
          <w:lang w:val="en-GB"/>
        </w:rPr>
        <w:t xml:space="preserve">have decreased </w:t>
      </w:r>
      <w:r w:rsidR="00610C79" w:rsidRPr="0088780C">
        <w:rPr>
          <w:snapToGrid w:val="0"/>
          <w:kern w:val="22"/>
          <w:sz w:val="22"/>
          <w:szCs w:val="22"/>
          <w:lang w:val="en-GB"/>
        </w:rPr>
        <w:t xml:space="preserve">substantially </w:t>
      </w:r>
      <w:r w:rsidRPr="0088780C">
        <w:rPr>
          <w:snapToGrid w:val="0"/>
          <w:kern w:val="22"/>
          <w:sz w:val="22"/>
          <w:szCs w:val="22"/>
          <w:lang w:val="en-GB"/>
        </w:rPr>
        <w:t xml:space="preserve">in shallow waters. Zernov's Phyllophora </w:t>
      </w:r>
      <w:r w:rsidR="00B82133" w:rsidRPr="0088780C">
        <w:rPr>
          <w:snapToGrid w:val="0"/>
          <w:kern w:val="22"/>
          <w:sz w:val="22"/>
          <w:szCs w:val="22"/>
          <w:lang w:val="en-GB"/>
        </w:rPr>
        <w:t>F</w:t>
      </w:r>
      <w:r w:rsidRPr="0088780C">
        <w:rPr>
          <w:snapToGrid w:val="0"/>
          <w:kern w:val="22"/>
          <w:sz w:val="22"/>
          <w:szCs w:val="22"/>
          <w:lang w:val="en-GB"/>
        </w:rPr>
        <w:t>ield</w:t>
      </w:r>
      <w:r w:rsidR="00A876F3" w:rsidRPr="0088780C">
        <w:rPr>
          <w:snapToGrid w:val="0"/>
          <w:kern w:val="22"/>
          <w:sz w:val="22"/>
          <w:szCs w:val="22"/>
          <w:lang w:val="en-GB"/>
        </w:rPr>
        <w:t xml:space="preserve"> (area </w:t>
      </w:r>
      <w:r w:rsidR="00F743B2" w:rsidRPr="0088780C">
        <w:rPr>
          <w:snapToGrid w:val="0"/>
          <w:kern w:val="22"/>
          <w:sz w:val="22"/>
          <w:szCs w:val="22"/>
          <w:lang w:val="en-GB"/>
        </w:rPr>
        <w:t>No.</w:t>
      </w:r>
      <w:r w:rsidR="00A876F3" w:rsidRPr="0088780C">
        <w:rPr>
          <w:snapToGrid w:val="0"/>
          <w:kern w:val="22"/>
          <w:sz w:val="22"/>
          <w:szCs w:val="22"/>
          <w:lang w:val="en-GB"/>
        </w:rPr>
        <w:t xml:space="preserve"> B5)</w:t>
      </w:r>
      <w:r w:rsidRPr="0088780C">
        <w:rPr>
          <w:snapToGrid w:val="0"/>
          <w:kern w:val="22"/>
          <w:sz w:val="22"/>
          <w:szCs w:val="22"/>
          <w:lang w:val="en-GB"/>
        </w:rPr>
        <w:t>, in the centre of the north-west shelf, at 20-50 m depth, is an example of habitat destruction due to human activity. Although the coastal area is free of hydrogen sulphide, concentrations increase rapidly under the thermocline due to the restricted ventilation of deeper shelf water. Consequently, the number of macrobenthic species decreases rapidly with increasing depth</w:t>
      </w:r>
      <w:r w:rsidR="00B82133" w:rsidRPr="0088780C">
        <w:rPr>
          <w:snapToGrid w:val="0"/>
          <w:kern w:val="22"/>
          <w:sz w:val="22"/>
          <w:szCs w:val="22"/>
          <w:lang w:val="en-GB"/>
        </w:rPr>
        <w:t>—</w:t>
      </w:r>
      <w:r w:rsidRPr="0088780C">
        <w:rPr>
          <w:snapToGrid w:val="0"/>
          <w:kern w:val="22"/>
          <w:sz w:val="22"/>
          <w:szCs w:val="22"/>
          <w:lang w:val="en-GB"/>
        </w:rPr>
        <w:t xml:space="preserve">only the polychaete worm </w:t>
      </w:r>
      <w:r w:rsidRPr="0088780C">
        <w:rPr>
          <w:i/>
          <w:snapToGrid w:val="0"/>
          <w:kern w:val="22"/>
          <w:sz w:val="22"/>
          <w:szCs w:val="22"/>
          <w:lang w:val="en-GB"/>
        </w:rPr>
        <w:t>Notomastus profundus</w:t>
      </w:r>
      <w:r w:rsidRPr="0088780C">
        <w:rPr>
          <w:snapToGrid w:val="0"/>
          <w:kern w:val="22"/>
          <w:sz w:val="22"/>
          <w:szCs w:val="22"/>
          <w:lang w:val="en-GB"/>
        </w:rPr>
        <w:t xml:space="preserve"> is found below about 120 m.</w:t>
      </w:r>
    </w:p>
    <w:p w14:paraId="4A603204" w14:textId="7A697A9B"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The Black Sea macrozoobenthos is represented by approximately 800 species.</w:t>
      </w:r>
      <w:r w:rsidR="00610C79" w:rsidRPr="0088780C">
        <w:rPr>
          <w:snapToGrid w:val="0"/>
          <w:kern w:val="22"/>
          <w:sz w:val="22"/>
          <w:szCs w:val="22"/>
          <w:lang w:val="en-GB"/>
        </w:rPr>
        <w:t xml:space="preserve"> </w:t>
      </w:r>
      <w:r w:rsidRPr="0088780C">
        <w:rPr>
          <w:snapToGrid w:val="0"/>
          <w:kern w:val="22"/>
          <w:sz w:val="22"/>
          <w:szCs w:val="22"/>
          <w:lang w:val="en-GB"/>
        </w:rPr>
        <w:t xml:space="preserve"> The Sea of Azov zoobenthos includes about 190 species.</w:t>
      </w:r>
      <w:r w:rsidR="00610C79" w:rsidRPr="0088780C">
        <w:rPr>
          <w:snapToGrid w:val="0"/>
          <w:kern w:val="22"/>
          <w:sz w:val="22"/>
          <w:szCs w:val="22"/>
          <w:lang w:val="en-GB"/>
        </w:rPr>
        <w:t xml:space="preserve"> </w:t>
      </w:r>
      <w:r w:rsidR="00B82133" w:rsidRPr="0088780C">
        <w:rPr>
          <w:snapToGrid w:val="0"/>
          <w:kern w:val="22"/>
          <w:sz w:val="22"/>
          <w:szCs w:val="22"/>
          <w:lang w:val="en-GB"/>
        </w:rPr>
        <w:t>A</w:t>
      </w:r>
      <w:r w:rsidR="00610C79" w:rsidRPr="0088780C">
        <w:rPr>
          <w:snapToGrid w:val="0"/>
          <w:kern w:val="22"/>
          <w:sz w:val="22"/>
          <w:szCs w:val="22"/>
          <w:lang w:val="en-GB"/>
        </w:rPr>
        <w:t xml:space="preserve"> recent estimate of free-living benthic invertebrates in the Sea of Azov repo</w:t>
      </w:r>
      <w:r w:rsidR="00A876F3" w:rsidRPr="0088780C">
        <w:rPr>
          <w:snapToGrid w:val="0"/>
          <w:kern w:val="22"/>
          <w:sz w:val="22"/>
          <w:szCs w:val="22"/>
          <w:lang w:val="en-GB"/>
        </w:rPr>
        <w:t>rts the presence of 329 species</w:t>
      </w:r>
      <w:r w:rsidR="00610C79" w:rsidRPr="0088780C">
        <w:rPr>
          <w:snapToGrid w:val="0"/>
          <w:kern w:val="22"/>
          <w:sz w:val="22"/>
          <w:szCs w:val="22"/>
          <w:lang w:val="en-GB"/>
        </w:rPr>
        <w:t>.</w:t>
      </w:r>
    </w:p>
    <w:p w14:paraId="676BA336" w14:textId="7D644195"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 xml:space="preserve">Four </w:t>
      </w:r>
      <w:r w:rsidR="00556F30" w:rsidRPr="0088780C">
        <w:rPr>
          <w:snapToGrid w:val="0"/>
          <w:kern w:val="22"/>
          <w:sz w:val="22"/>
          <w:szCs w:val="22"/>
          <w:lang w:val="en-GB"/>
        </w:rPr>
        <w:t xml:space="preserve">mammal </w:t>
      </w:r>
      <w:r w:rsidRPr="0088780C">
        <w:rPr>
          <w:snapToGrid w:val="0"/>
          <w:kern w:val="22"/>
          <w:sz w:val="22"/>
          <w:szCs w:val="22"/>
          <w:lang w:val="en-GB"/>
        </w:rPr>
        <w:t>species oc</w:t>
      </w:r>
      <w:r w:rsidR="00556F30" w:rsidRPr="0088780C">
        <w:rPr>
          <w:snapToGrid w:val="0"/>
          <w:kern w:val="22"/>
          <w:sz w:val="22"/>
          <w:szCs w:val="22"/>
          <w:lang w:val="en-GB"/>
        </w:rPr>
        <w:t>c</w:t>
      </w:r>
      <w:r w:rsidRPr="0088780C">
        <w:rPr>
          <w:snapToGrid w:val="0"/>
          <w:kern w:val="22"/>
          <w:sz w:val="22"/>
          <w:szCs w:val="22"/>
          <w:lang w:val="en-GB"/>
        </w:rPr>
        <w:t>ur in the Black Sea: the monk seal (</w:t>
      </w:r>
      <w:r w:rsidRPr="0088780C">
        <w:rPr>
          <w:i/>
          <w:snapToGrid w:val="0"/>
          <w:kern w:val="22"/>
          <w:sz w:val="22"/>
          <w:szCs w:val="22"/>
          <w:lang w:val="en-GB"/>
        </w:rPr>
        <w:t>Monachus monachus</w:t>
      </w:r>
      <w:r w:rsidRPr="0088780C">
        <w:rPr>
          <w:snapToGrid w:val="0"/>
          <w:kern w:val="22"/>
          <w:sz w:val="22"/>
          <w:szCs w:val="22"/>
          <w:lang w:val="en-GB"/>
        </w:rPr>
        <w:t xml:space="preserve">), which is </w:t>
      </w:r>
      <w:r w:rsidR="00A943F3" w:rsidRPr="0088780C">
        <w:rPr>
          <w:snapToGrid w:val="0"/>
          <w:kern w:val="22"/>
          <w:sz w:val="22"/>
          <w:szCs w:val="22"/>
          <w:lang w:val="en-GB"/>
        </w:rPr>
        <w:t>endangered, according to the IUCN Red List</w:t>
      </w:r>
      <w:r w:rsidRPr="0088780C">
        <w:rPr>
          <w:snapToGrid w:val="0"/>
          <w:kern w:val="22"/>
          <w:sz w:val="22"/>
          <w:szCs w:val="22"/>
          <w:lang w:val="en-GB"/>
        </w:rPr>
        <w:t>, and three species of dolphins, the bottlenose dolphin (</w:t>
      </w:r>
      <w:r w:rsidRPr="0088780C">
        <w:rPr>
          <w:i/>
          <w:snapToGrid w:val="0"/>
          <w:kern w:val="22"/>
          <w:sz w:val="22"/>
          <w:szCs w:val="22"/>
          <w:lang w:val="en-GB"/>
        </w:rPr>
        <w:t>Tursiops truncatus ponticus</w:t>
      </w:r>
      <w:r w:rsidRPr="0088780C">
        <w:rPr>
          <w:snapToGrid w:val="0"/>
          <w:kern w:val="22"/>
          <w:sz w:val="22"/>
          <w:szCs w:val="22"/>
          <w:lang w:val="en-GB"/>
        </w:rPr>
        <w:t>), the common dolphin (</w:t>
      </w:r>
      <w:r w:rsidRPr="0088780C">
        <w:rPr>
          <w:i/>
          <w:snapToGrid w:val="0"/>
          <w:kern w:val="22"/>
          <w:sz w:val="22"/>
          <w:szCs w:val="22"/>
          <w:lang w:val="en-GB"/>
        </w:rPr>
        <w:t>Delphinus delphis ponticus</w:t>
      </w:r>
      <w:r w:rsidRPr="0088780C">
        <w:rPr>
          <w:snapToGrid w:val="0"/>
          <w:kern w:val="22"/>
          <w:sz w:val="22"/>
          <w:szCs w:val="22"/>
          <w:lang w:val="en-GB"/>
        </w:rPr>
        <w:t>) and the harbour porpoise (</w:t>
      </w:r>
      <w:r w:rsidRPr="0088780C">
        <w:rPr>
          <w:i/>
          <w:snapToGrid w:val="0"/>
          <w:kern w:val="22"/>
          <w:sz w:val="22"/>
          <w:szCs w:val="22"/>
          <w:lang w:val="en-GB"/>
        </w:rPr>
        <w:t>Phocaena phocaena relicta</w:t>
      </w:r>
      <w:r w:rsidRPr="0088780C">
        <w:rPr>
          <w:snapToGrid w:val="0"/>
          <w:kern w:val="22"/>
          <w:sz w:val="22"/>
          <w:szCs w:val="22"/>
          <w:lang w:val="en-GB"/>
        </w:rPr>
        <w:t xml:space="preserve">). In the beginning of </w:t>
      </w:r>
      <w:r w:rsidR="00A943F3" w:rsidRPr="0088780C">
        <w:rPr>
          <w:snapToGrid w:val="0"/>
          <w:kern w:val="22"/>
          <w:sz w:val="22"/>
          <w:szCs w:val="22"/>
          <w:lang w:val="en-GB"/>
        </w:rPr>
        <w:t xml:space="preserve">the </w:t>
      </w:r>
      <w:r w:rsidRPr="0088780C">
        <w:rPr>
          <w:snapToGrid w:val="0"/>
          <w:kern w:val="22"/>
          <w:sz w:val="22"/>
          <w:szCs w:val="22"/>
          <w:lang w:val="en-GB"/>
        </w:rPr>
        <w:t>1950s</w:t>
      </w:r>
      <w:r w:rsidR="00A943F3" w:rsidRPr="0088780C">
        <w:rPr>
          <w:snapToGrid w:val="0"/>
          <w:kern w:val="22"/>
          <w:sz w:val="22"/>
          <w:szCs w:val="22"/>
          <w:lang w:val="en-GB"/>
        </w:rPr>
        <w:t>,</w:t>
      </w:r>
      <w:r w:rsidRPr="0088780C">
        <w:rPr>
          <w:snapToGrid w:val="0"/>
          <w:kern w:val="22"/>
          <w:sz w:val="22"/>
          <w:szCs w:val="22"/>
          <w:lang w:val="en-GB"/>
        </w:rPr>
        <w:t xml:space="preserve"> the Black Sea was home to about 1 million dolphins. Although hunting for dolphins has been banned since 1966</w:t>
      </w:r>
      <w:r w:rsidR="003620D2" w:rsidRPr="0088780C">
        <w:rPr>
          <w:snapToGrid w:val="0"/>
          <w:kern w:val="22"/>
          <w:sz w:val="22"/>
          <w:szCs w:val="22"/>
          <w:lang w:val="en-GB"/>
        </w:rPr>
        <w:t>,</w:t>
      </w:r>
      <w:r w:rsidRPr="0088780C">
        <w:rPr>
          <w:snapToGrid w:val="0"/>
          <w:kern w:val="22"/>
          <w:sz w:val="22"/>
          <w:szCs w:val="22"/>
          <w:lang w:val="en-GB"/>
        </w:rPr>
        <w:t xml:space="preserve"> their population by the end of 1980s was less tha</w:t>
      </w:r>
      <w:r w:rsidR="00CA6AC3" w:rsidRPr="0088780C">
        <w:rPr>
          <w:snapToGrid w:val="0"/>
          <w:kern w:val="22"/>
          <w:sz w:val="22"/>
          <w:szCs w:val="22"/>
          <w:lang w:val="en-GB"/>
        </w:rPr>
        <w:t>n 50 000 - 100 000 individuals.</w:t>
      </w:r>
    </w:p>
    <w:p w14:paraId="27612DB4" w14:textId="6FCF3890"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The wetlands of the Black Sea basin are vital links in the network of wetlands that stretch from the Arctic Ocean to South Africa, providing refuge for 25 million migrating waterfowl (Chernichko, pers. comm.) every year. There are about 160,000 pairs of nesting waterfowl and 480,000 individual wintering birds in the Black Sea wetlands (Chernichko et al., 1993). The most significant habitats are situated in the coastal area of Romania (Danube Delta), Ukraine and the Russian Federation from the Danube Delta to the Tamansky Peninsula in the Kerch Strait. More than 75</w:t>
      </w:r>
      <w:r w:rsidR="00826A17" w:rsidRPr="0088780C">
        <w:rPr>
          <w:snapToGrid w:val="0"/>
          <w:kern w:val="22"/>
          <w:sz w:val="22"/>
          <w:szCs w:val="22"/>
          <w:lang w:val="en-GB"/>
        </w:rPr>
        <w:t xml:space="preserve"> per cent</w:t>
      </w:r>
      <w:r w:rsidRPr="0088780C">
        <w:rPr>
          <w:snapToGrid w:val="0"/>
          <w:kern w:val="22"/>
          <w:sz w:val="22"/>
          <w:szCs w:val="22"/>
          <w:lang w:val="en-GB"/>
        </w:rPr>
        <w:t xml:space="preserve"> of Black Sea bird</w:t>
      </w:r>
      <w:r w:rsidR="004654F0" w:rsidRPr="0088780C">
        <w:rPr>
          <w:snapToGrid w:val="0"/>
          <w:kern w:val="22"/>
          <w:sz w:val="22"/>
          <w:szCs w:val="22"/>
          <w:lang w:val="en-GB"/>
        </w:rPr>
        <w:t xml:space="preserve"> species</w:t>
      </w:r>
      <w:r w:rsidRPr="0088780C">
        <w:rPr>
          <w:snapToGrid w:val="0"/>
          <w:kern w:val="22"/>
          <w:sz w:val="22"/>
          <w:szCs w:val="22"/>
          <w:lang w:val="en-GB"/>
        </w:rPr>
        <w:t xml:space="preserve"> concentrate here, and one third of their number inhabit the Danube Delta</w:t>
      </w:r>
      <w:r w:rsidR="004654F0" w:rsidRPr="0088780C">
        <w:rPr>
          <w:snapToGrid w:val="0"/>
          <w:kern w:val="22"/>
          <w:sz w:val="22"/>
          <w:szCs w:val="22"/>
          <w:lang w:val="en-GB"/>
        </w:rPr>
        <w:t xml:space="preserve"> (</w:t>
      </w:r>
      <w:r w:rsidRPr="0088780C">
        <w:rPr>
          <w:snapToGrid w:val="0"/>
          <w:kern w:val="22"/>
          <w:sz w:val="22"/>
          <w:szCs w:val="22"/>
          <w:lang w:val="en-GB"/>
        </w:rPr>
        <w:t>320 bird species</w:t>
      </w:r>
      <w:r w:rsidR="004654F0" w:rsidRPr="0088780C">
        <w:rPr>
          <w:snapToGrid w:val="0"/>
          <w:kern w:val="22"/>
          <w:sz w:val="22"/>
          <w:szCs w:val="22"/>
          <w:lang w:val="en-GB"/>
        </w:rPr>
        <w:t>)</w:t>
      </w:r>
      <w:r w:rsidRPr="0088780C">
        <w:rPr>
          <w:snapToGrid w:val="0"/>
          <w:kern w:val="22"/>
          <w:sz w:val="22"/>
          <w:szCs w:val="22"/>
          <w:lang w:val="en-GB"/>
        </w:rPr>
        <w:t xml:space="preserve">. Of great importance in the Danube Delta are the pygmy cormorant </w:t>
      </w:r>
      <w:r w:rsidR="004654F0" w:rsidRPr="0088780C">
        <w:rPr>
          <w:snapToGrid w:val="0"/>
          <w:kern w:val="22"/>
          <w:sz w:val="22"/>
          <w:szCs w:val="22"/>
          <w:lang w:val="en-GB"/>
        </w:rPr>
        <w:t>(</w:t>
      </w:r>
      <w:r w:rsidRPr="0088780C">
        <w:rPr>
          <w:i/>
          <w:snapToGrid w:val="0"/>
          <w:kern w:val="22"/>
          <w:sz w:val="22"/>
          <w:szCs w:val="22"/>
          <w:lang w:val="en-GB"/>
        </w:rPr>
        <w:t>Phalacrocorax pygmeus</w:t>
      </w:r>
      <w:r w:rsidR="004654F0" w:rsidRPr="0088780C">
        <w:rPr>
          <w:i/>
          <w:snapToGrid w:val="0"/>
          <w:kern w:val="22"/>
          <w:sz w:val="22"/>
          <w:szCs w:val="22"/>
          <w:lang w:val="en-GB"/>
        </w:rPr>
        <w:t>)</w:t>
      </w:r>
      <w:r w:rsidRPr="0088780C">
        <w:rPr>
          <w:snapToGrid w:val="0"/>
          <w:kern w:val="22"/>
          <w:sz w:val="22"/>
          <w:szCs w:val="22"/>
          <w:lang w:val="en-GB"/>
        </w:rPr>
        <w:t xml:space="preserve">; the red-breasted goose </w:t>
      </w:r>
      <w:r w:rsidR="004654F0" w:rsidRPr="0088780C">
        <w:rPr>
          <w:snapToGrid w:val="0"/>
          <w:kern w:val="22"/>
          <w:sz w:val="22"/>
          <w:szCs w:val="22"/>
          <w:lang w:val="en-GB"/>
        </w:rPr>
        <w:t>(</w:t>
      </w:r>
      <w:r w:rsidRPr="0088780C">
        <w:rPr>
          <w:i/>
          <w:snapToGrid w:val="0"/>
          <w:kern w:val="22"/>
          <w:sz w:val="22"/>
          <w:szCs w:val="22"/>
          <w:lang w:val="en-GB"/>
        </w:rPr>
        <w:t>Branta ruficollis</w:t>
      </w:r>
      <w:r w:rsidR="004654F0" w:rsidRPr="0088780C">
        <w:rPr>
          <w:i/>
          <w:snapToGrid w:val="0"/>
          <w:kern w:val="22"/>
          <w:sz w:val="22"/>
          <w:szCs w:val="22"/>
          <w:lang w:val="en-GB"/>
        </w:rPr>
        <w:t>),</w:t>
      </w:r>
      <w:r w:rsidRPr="0088780C">
        <w:rPr>
          <w:snapToGrid w:val="0"/>
          <w:kern w:val="22"/>
          <w:sz w:val="22"/>
          <w:szCs w:val="22"/>
          <w:lang w:val="en-GB"/>
        </w:rPr>
        <w:t xml:space="preserve"> 275 000</w:t>
      </w:r>
      <w:r w:rsidR="004654F0" w:rsidRPr="0088780C">
        <w:rPr>
          <w:snapToGrid w:val="0"/>
          <w:kern w:val="22"/>
          <w:sz w:val="22"/>
          <w:szCs w:val="22"/>
          <w:lang w:val="en-GB"/>
        </w:rPr>
        <w:t>, one tenth of the world population,</w:t>
      </w:r>
      <w:r w:rsidR="004654F0" w:rsidRPr="0088780C" w:rsidDel="004654F0">
        <w:rPr>
          <w:snapToGrid w:val="0"/>
          <w:kern w:val="22"/>
          <w:sz w:val="22"/>
          <w:szCs w:val="22"/>
          <w:lang w:val="en-GB"/>
        </w:rPr>
        <w:t xml:space="preserve"> </w:t>
      </w:r>
      <w:r w:rsidRPr="0088780C">
        <w:rPr>
          <w:snapToGrid w:val="0"/>
          <w:kern w:val="22"/>
          <w:sz w:val="22"/>
          <w:szCs w:val="22"/>
          <w:lang w:val="en-GB"/>
        </w:rPr>
        <w:t xml:space="preserve">of </w:t>
      </w:r>
      <w:r w:rsidR="004654F0" w:rsidRPr="0088780C">
        <w:rPr>
          <w:snapToGrid w:val="0"/>
          <w:kern w:val="22"/>
          <w:sz w:val="22"/>
          <w:szCs w:val="22"/>
          <w:lang w:val="en-GB"/>
        </w:rPr>
        <w:t>which</w:t>
      </w:r>
      <w:r w:rsidRPr="0088780C">
        <w:rPr>
          <w:snapToGrid w:val="0"/>
          <w:kern w:val="22"/>
          <w:sz w:val="22"/>
          <w:szCs w:val="22"/>
          <w:lang w:val="en-GB"/>
        </w:rPr>
        <w:t xml:space="preserve"> winter here; the white pelican </w:t>
      </w:r>
      <w:r w:rsidR="004654F0" w:rsidRPr="0088780C">
        <w:rPr>
          <w:snapToGrid w:val="0"/>
          <w:kern w:val="22"/>
          <w:sz w:val="22"/>
          <w:szCs w:val="22"/>
          <w:lang w:val="en-GB"/>
        </w:rPr>
        <w:t>(</w:t>
      </w:r>
      <w:r w:rsidRPr="0088780C">
        <w:rPr>
          <w:i/>
          <w:snapToGrid w:val="0"/>
          <w:kern w:val="22"/>
          <w:sz w:val="22"/>
          <w:szCs w:val="22"/>
          <w:lang w:val="en-GB"/>
        </w:rPr>
        <w:t>Pelecanus onocrotalus</w:t>
      </w:r>
      <w:r w:rsidR="004654F0" w:rsidRPr="0088780C">
        <w:rPr>
          <w:i/>
          <w:snapToGrid w:val="0"/>
          <w:kern w:val="22"/>
          <w:sz w:val="22"/>
          <w:szCs w:val="22"/>
          <w:lang w:val="en-GB"/>
        </w:rPr>
        <w:t>)</w:t>
      </w:r>
      <w:r w:rsidRPr="0088780C">
        <w:rPr>
          <w:snapToGrid w:val="0"/>
          <w:kern w:val="22"/>
          <w:sz w:val="22"/>
          <w:szCs w:val="22"/>
          <w:lang w:val="en-GB"/>
        </w:rPr>
        <w:t xml:space="preserve">; the Dalmatian pelican </w:t>
      </w:r>
      <w:r w:rsidR="004654F0" w:rsidRPr="0088780C">
        <w:rPr>
          <w:snapToGrid w:val="0"/>
          <w:kern w:val="22"/>
          <w:sz w:val="22"/>
          <w:szCs w:val="22"/>
          <w:lang w:val="en-GB"/>
        </w:rPr>
        <w:t>(</w:t>
      </w:r>
      <w:r w:rsidRPr="0088780C">
        <w:rPr>
          <w:i/>
          <w:snapToGrid w:val="0"/>
          <w:kern w:val="22"/>
          <w:sz w:val="22"/>
          <w:szCs w:val="22"/>
          <w:lang w:val="en-GB"/>
        </w:rPr>
        <w:t>Pelecanus crispus</w:t>
      </w:r>
      <w:r w:rsidR="004654F0" w:rsidRPr="0088780C">
        <w:rPr>
          <w:i/>
          <w:snapToGrid w:val="0"/>
          <w:kern w:val="22"/>
          <w:sz w:val="22"/>
          <w:szCs w:val="22"/>
          <w:lang w:val="en-GB"/>
        </w:rPr>
        <w:t>)</w:t>
      </w:r>
      <w:r w:rsidRPr="0088780C">
        <w:rPr>
          <w:snapToGrid w:val="0"/>
          <w:kern w:val="22"/>
          <w:sz w:val="22"/>
          <w:szCs w:val="22"/>
          <w:lang w:val="en-GB"/>
        </w:rPr>
        <w:t xml:space="preserve">; and the white-tailed eagle </w:t>
      </w:r>
      <w:r w:rsidR="004654F0" w:rsidRPr="0088780C">
        <w:rPr>
          <w:snapToGrid w:val="0"/>
          <w:kern w:val="22"/>
          <w:sz w:val="22"/>
          <w:szCs w:val="22"/>
          <w:lang w:val="en-GB"/>
        </w:rPr>
        <w:t>(</w:t>
      </w:r>
      <w:r w:rsidRPr="0088780C">
        <w:rPr>
          <w:i/>
          <w:snapToGrid w:val="0"/>
          <w:kern w:val="22"/>
          <w:sz w:val="22"/>
          <w:szCs w:val="22"/>
          <w:lang w:val="en-GB"/>
        </w:rPr>
        <w:t>Haliacetus albicilla</w:t>
      </w:r>
      <w:r w:rsidR="004654F0" w:rsidRPr="0088780C">
        <w:rPr>
          <w:i/>
          <w:snapToGrid w:val="0"/>
          <w:kern w:val="22"/>
          <w:sz w:val="22"/>
          <w:szCs w:val="22"/>
          <w:lang w:val="en-GB"/>
        </w:rPr>
        <w:t>),</w:t>
      </w:r>
      <w:r w:rsidR="00A876F3" w:rsidRPr="0088780C">
        <w:rPr>
          <w:i/>
          <w:snapToGrid w:val="0"/>
          <w:kern w:val="22"/>
          <w:sz w:val="22"/>
          <w:szCs w:val="22"/>
          <w:lang w:val="en-GB"/>
        </w:rPr>
        <w:t xml:space="preserve"> </w:t>
      </w:r>
      <w:r w:rsidRPr="0088780C">
        <w:rPr>
          <w:snapToGrid w:val="0"/>
          <w:kern w:val="22"/>
          <w:sz w:val="22"/>
          <w:szCs w:val="22"/>
          <w:lang w:val="en-GB"/>
        </w:rPr>
        <w:t xml:space="preserve">eight pairs of </w:t>
      </w:r>
      <w:r w:rsidR="004654F0" w:rsidRPr="0088780C">
        <w:rPr>
          <w:snapToGrid w:val="0"/>
          <w:kern w:val="22"/>
          <w:sz w:val="22"/>
          <w:szCs w:val="22"/>
          <w:lang w:val="en-GB"/>
        </w:rPr>
        <w:t>which</w:t>
      </w:r>
      <w:r w:rsidRPr="0088780C">
        <w:rPr>
          <w:snapToGrid w:val="0"/>
          <w:kern w:val="22"/>
          <w:sz w:val="22"/>
          <w:szCs w:val="22"/>
          <w:lang w:val="en-GB"/>
        </w:rPr>
        <w:t xml:space="preserve"> </w:t>
      </w:r>
      <w:r w:rsidR="004654F0" w:rsidRPr="0088780C">
        <w:rPr>
          <w:snapToGrid w:val="0"/>
          <w:kern w:val="22"/>
          <w:sz w:val="22"/>
          <w:szCs w:val="22"/>
          <w:lang w:val="en-GB"/>
        </w:rPr>
        <w:t xml:space="preserve">inhabit </w:t>
      </w:r>
      <w:r w:rsidRPr="0088780C">
        <w:rPr>
          <w:snapToGrid w:val="0"/>
          <w:kern w:val="22"/>
          <w:sz w:val="22"/>
          <w:szCs w:val="22"/>
          <w:lang w:val="en-GB"/>
        </w:rPr>
        <w:t>in the Romanian part (Green, 1992) and three in the Ukrainian part of the delta (Zhmud, pers. comm.). The region's seabirds include gulls (</w:t>
      </w:r>
      <w:r w:rsidRPr="0088780C">
        <w:rPr>
          <w:i/>
          <w:snapToGrid w:val="0"/>
          <w:kern w:val="22"/>
          <w:sz w:val="22"/>
          <w:szCs w:val="22"/>
          <w:lang w:val="en-GB"/>
        </w:rPr>
        <w:t>Larus</w:t>
      </w:r>
      <w:r w:rsidRPr="0088780C">
        <w:rPr>
          <w:snapToGrid w:val="0"/>
          <w:kern w:val="22"/>
          <w:sz w:val="22"/>
          <w:szCs w:val="22"/>
          <w:lang w:val="en-GB"/>
        </w:rPr>
        <w:t>) and terns (</w:t>
      </w:r>
      <w:r w:rsidRPr="0088780C">
        <w:rPr>
          <w:i/>
          <w:snapToGrid w:val="0"/>
          <w:kern w:val="22"/>
          <w:sz w:val="22"/>
          <w:szCs w:val="22"/>
          <w:lang w:val="en-GB"/>
        </w:rPr>
        <w:t>Sterna</w:t>
      </w:r>
      <w:r w:rsidRPr="0088780C">
        <w:rPr>
          <w:snapToGrid w:val="0"/>
          <w:kern w:val="22"/>
          <w:sz w:val="22"/>
          <w:szCs w:val="22"/>
          <w:lang w:val="en-GB"/>
        </w:rPr>
        <w:t xml:space="preserve">). During migration seasons, the bird fauna </w:t>
      </w:r>
      <w:r w:rsidR="00A876F3" w:rsidRPr="0088780C">
        <w:rPr>
          <w:snapToGrid w:val="0"/>
          <w:kern w:val="22"/>
          <w:sz w:val="22"/>
          <w:szCs w:val="22"/>
          <w:lang w:val="en-GB"/>
        </w:rPr>
        <w:t>comprises</w:t>
      </w:r>
      <w:r w:rsidRPr="0088780C">
        <w:rPr>
          <w:snapToGrid w:val="0"/>
          <w:kern w:val="22"/>
          <w:sz w:val="22"/>
          <w:szCs w:val="22"/>
          <w:lang w:val="en-GB"/>
        </w:rPr>
        <w:t xml:space="preserve"> numerous species of sandpipers and ducks.</w:t>
      </w:r>
    </w:p>
    <w:p w14:paraId="5623191F" w14:textId="77777777" w:rsidR="007B1249" w:rsidRPr="0088780C" w:rsidRDefault="007B1249" w:rsidP="001013AF">
      <w:pPr>
        <w:pStyle w:val="NormalWeb"/>
        <w:suppressLineNumbers/>
        <w:suppressAutoHyphens/>
        <w:kinsoku w:val="0"/>
        <w:overflowPunct w:val="0"/>
        <w:autoSpaceDE w:val="0"/>
        <w:autoSpaceDN w:val="0"/>
        <w:spacing w:before="0" w:beforeAutospacing="0" w:after="120" w:afterAutospacing="0"/>
        <w:jc w:val="both"/>
        <w:rPr>
          <w:b/>
          <w:i/>
          <w:snapToGrid w:val="0"/>
          <w:kern w:val="22"/>
          <w:sz w:val="22"/>
          <w:szCs w:val="22"/>
          <w:u w:val="single"/>
          <w:lang w:val="en-GB"/>
        </w:rPr>
      </w:pPr>
    </w:p>
    <w:p w14:paraId="1B87A616" w14:textId="77777777" w:rsidR="007B1249" w:rsidRPr="0088780C" w:rsidRDefault="007B1249" w:rsidP="001013AF">
      <w:pPr>
        <w:pStyle w:val="NormalWeb"/>
        <w:suppressLineNumbers/>
        <w:suppressAutoHyphens/>
        <w:kinsoku w:val="0"/>
        <w:overflowPunct w:val="0"/>
        <w:autoSpaceDE w:val="0"/>
        <w:autoSpaceDN w:val="0"/>
        <w:spacing w:before="0" w:beforeAutospacing="0" w:after="120" w:afterAutospacing="0"/>
        <w:jc w:val="both"/>
        <w:rPr>
          <w:b/>
          <w:i/>
          <w:snapToGrid w:val="0"/>
          <w:kern w:val="22"/>
          <w:sz w:val="22"/>
          <w:szCs w:val="22"/>
          <w:u w:val="single"/>
          <w:lang w:val="en-GB"/>
        </w:rPr>
      </w:pPr>
      <w:r w:rsidRPr="0088780C">
        <w:rPr>
          <w:b/>
          <w:i/>
          <w:snapToGrid w:val="0"/>
          <w:kern w:val="22"/>
          <w:sz w:val="22"/>
          <w:szCs w:val="22"/>
          <w:u w:val="single"/>
          <w:lang w:val="en-GB"/>
        </w:rPr>
        <w:t>Environmental context</w:t>
      </w:r>
    </w:p>
    <w:p w14:paraId="3DFB5C14" w14:textId="092D6D27"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 xml:space="preserve">Specific features, especially having very limited connection to world oceans, make the Black Sea ecosystem very vulnerable to natural and anthropogenic disturbances. Unfortunately, </w:t>
      </w:r>
      <w:r w:rsidR="00631508" w:rsidRPr="0088780C">
        <w:rPr>
          <w:snapToGrid w:val="0"/>
          <w:kern w:val="22"/>
          <w:sz w:val="22"/>
          <w:szCs w:val="22"/>
          <w:lang w:val="en-GB"/>
        </w:rPr>
        <w:t>in recent</w:t>
      </w:r>
      <w:r w:rsidRPr="0088780C">
        <w:rPr>
          <w:snapToGrid w:val="0"/>
          <w:kern w:val="22"/>
          <w:sz w:val="22"/>
          <w:szCs w:val="22"/>
          <w:lang w:val="en-GB"/>
        </w:rPr>
        <w:t xml:space="preserve"> decades, the Black Sea environment </w:t>
      </w:r>
      <w:r w:rsidR="00631508" w:rsidRPr="0088780C">
        <w:rPr>
          <w:snapToGrid w:val="0"/>
          <w:kern w:val="22"/>
          <w:sz w:val="22"/>
          <w:szCs w:val="22"/>
          <w:lang w:val="en-GB"/>
        </w:rPr>
        <w:t>has been</w:t>
      </w:r>
      <w:r w:rsidRPr="0088780C">
        <w:rPr>
          <w:snapToGrid w:val="0"/>
          <w:kern w:val="22"/>
          <w:sz w:val="22"/>
          <w:szCs w:val="22"/>
          <w:lang w:val="en-GB"/>
        </w:rPr>
        <w:t xml:space="preserve"> facing increasing pressure due to demographic and economic growth as well as by diversification and intensification of marine and maritime activities.</w:t>
      </w:r>
    </w:p>
    <w:p w14:paraId="6F084D0B" w14:textId="2EC1337B"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 xml:space="preserve">Among the main threats to the environment of the Black Sea are: (1) eutrophication through agriculture, industrial activity and inputs of insufficiently treated sewage; (2) contamination through input of harmful substances, especially oil products; (3) introduction of </w:t>
      </w:r>
      <w:r w:rsidR="00631508" w:rsidRPr="0088780C">
        <w:rPr>
          <w:snapToGrid w:val="0"/>
          <w:kern w:val="22"/>
          <w:sz w:val="22"/>
          <w:szCs w:val="22"/>
          <w:lang w:val="en-GB"/>
        </w:rPr>
        <w:t xml:space="preserve">invasive </w:t>
      </w:r>
      <w:r w:rsidRPr="0088780C">
        <w:rPr>
          <w:snapToGrid w:val="0"/>
          <w:kern w:val="22"/>
          <w:sz w:val="22"/>
          <w:szCs w:val="22"/>
          <w:lang w:val="en-GB"/>
        </w:rPr>
        <w:t>alien species; (4) unsustainable fishing practices; and (5) climate change.</w:t>
      </w:r>
    </w:p>
    <w:p w14:paraId="2C80A0C6" w14:textId="44E0C602"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 xml:space="preserve">Although a tendency of general improvement of the environment has been observed since 2000, </w:t>
      </w:r>
      <w:hyperlink r:id="rId60" w:history="1">
        <w:r w:rsidRPr="0088780C">
          <w:rPr>
            <w:snapToGrid w:val="0"/>
            <w:kern w:val="22"/>
            <w:sz w:val="22"/>
            <w:szCs w:val="22"/>
            <w:lang w:val="en-GB"/>
          </w:rPr>
          <w:t>eutrophication</w:t>
        </w:r>
      </w:hyperlink>
      <w:r w:rsidRPr="0088780C">
        <w:rPr>
          <w:snapToGrid w:val="0"/>
          <w:kern w:val="22"/>
          <w:sz w:val="22"/>
          <w:szCs w:val="22"/>
          <w:lang w:val="en-GB"/>
        </w:rPr>
        <w:t xml:space="preserve">, pollution and unsustainable </w:t>
      </w:r>
      <w:hyperlink r:id="rId61" w:history="1">
        <w:r w:rsidRPr="0088780C">
          <w:rPr>
            <w:snapToGrid w:val="0"/>
            <w:kern w:val="22"/>
            <w:sz w:val="22"/>
            <w:szCs w:val="22"/>
            <w:lang w:val="en-GB"/>
          </w:rPr>
          <w:t>fishing</w:t>
        </w:r>
      </w:hyperlink>
      <w:r w:rsidRPr="0088780C">
        <w:rPr>
          <w:snapToGrid w:val="0"/>
          <w:kern w:val="22"/>
          <w:sz w:val="22"/>
          <w:szCs w:val="22"/>
          <w:lang w:val="en-GB"/>
        </w:rPr>
        <w:t xml:space="preserve"> practices have continued to cause the decline of biological resources, the diversity of species and landscapes, and the aesthetic and recreational values of the Black Sea. Algal blooms, although localized, affect the biological communities. The fish stocks of commercially valuable species, such as sturgeons and turbots</w:t>
      </w:r>
      <w:r w:rsidR="00631508" w:rsidRPr="0088780C">
        <w:rPr>
          <w:snapToGrid w:val="0"/>
          <w:kern w:val="22"/>
          <w:sz w:val="22"/>
          <w:szCs w:val="22"/>
          <w:lang w:val="en-GB"/>
        </w:rPr>
        <w:t>,</w:t>
      </w:r>
      <w:r w:rsidRPr="0088780C">
        <w:rPr>
          <w:snapToGrid w:val="0"/>
          <w:kern w:val="22"/>
          <w:sz w:val="22"/>
          <w:szCs w:val="22"/>
          <w:lang w:val="en-GB"/>
        </w:rPr>
        <w:t xml:space="preserve"> continue to suffer from illegal fishing, pollution and destruction of their habitats.</w:t>
      </w:r>
    </w:p>
    <w:p w14:paraId="5DA4967B" w14:textId="4951CD3C" w:rsidR="007B1249" w:rsidRPr="0088780C" w:rsidRDefault="007B1249" w:rsidP="001013AF">
      <w:pPr>
        <w:pStyle w:val="NormalWeb"/>
        <w:numPr>
          <w:ilvl w:val="0"/>
          <w:numId w:val="9"/>
        </w:numPr>
        <w:suppressLineNumbers/>
        <w:suppressAutoHyphens/>
        <w:kinsoku w:val="0"/>
        <w:overflowPunct w:val="0"/>
        <w:autoSpaceDE w:val="0"/>
        <w:autoSpaceDN w:val="0"/>
        <w:spacing w:before="0" w:beforeAutospacing="0" w:after="120" w:afterAutospacing="0"/>
        <w:ind w:left="0" w:firstLine="0"/>
        <w:jc w:val="both"/>
        <w:rPr>
          <w:snapToGrid w:val="0"/>
          <w:kern w:val="22"/>
          <w:sz w:val="22"/>
          <w:szCs w:val="22"/>
          <w:lang w:val="en-GB"/>
        </w:rPr>
      </w:pPr>
      <w:r w:rsidRPr="0088780C">
        <w:rPr>
          <w:snapToGrid w:val="0"/>
          <w:kern w:val="22"/>
          <w:sz w:val="22"/>
          <w:szCs w:val="22"/>
          <w:lang w:val="en-GB"/>
        </w:rPr>
        <w:t xml:space="preserve">Regarding the biodiversity changes, one </w:t>
      </w:r>
      <w:r w:rsidR="00610C79" w:rsidRPr="0088780C">
        <w:rPr>
          <w:snapToGrid w:val="0"/>
          <w:kern w:val="22"/>
          <w:sz w:val="22"/>
          <w:szCs w:val="22"/>
          <w:lang w:val="en-GB"/>
        </w:rPr>
        <w:t xml:space="preserve">of </w:t>
      </w:r>
      <w:r w:rsidRPr="0088780C">
        <w:rPr>
          <w:snapToGrid w:val="0"/>
          <w:kern w:val="22"/>
          <w:sz w:val="22"/>
          <w:szCs w:val="22"/>
          <w:lang w:val="en-GB"/>
        </w:rPr>
        <w:t>t</w:t>
      </w:r>
      <w:r w:rsidRPr="0088780C">
        <w:rPr>
          <w:rFonts w:eastAsia="Batang"/>
          <w:snapToGrid w:val="0"/>
          <w:kern w:val="22"/>
          <w:sz w:val="22"/>
          <w:szCs w:val="22"/>
          <w:lang w:val="en-GB"/>
        </w:rPr>
        <w:t>he main threats to benthic diversity in the Black Sea</w:t>
      </w:r>
      <w:r w:rsidR="00610C79" w:rsidRPr="0088780C">
        <w:rPr>
          <w:rFonts w:eastAsia="Batang"/>
          <w:snapToGrid w:val="0"/>
          <w:kern w:val="22"/>
          <w:sz w:val="22"/>
          <w:szCs w:val="22"/>
          <w:lang w:val="en-GB"/>
        </w:rPr>
        <w:t xml:space="preserve"> ecosystem</w:t>
      </w:r>
      <w:r w:rsidRPr="0088780C">
        <w:rPr>
          <w:rFonts w:eastAsia="Batang"/>
          <w:snapToGrid w:val="0"/>
          <w:kern w:val="22"/>
          <w:sz w:val="22"/>
          <w:szCs w:val="22"/>
          <w:lang w:val="en-GB"/>
        </w:rPr>
        <w:t xml:space="preserve"> is i</w:t>
      </w:r>
      <w:r w:rsidRPr="0088780C">
        <w:rPr>
          <w:snapToGrid w:val="0"/>
          <w:kern w:val="22"/>
          <w:sz w:val="22"/>
          <w:szCs w:val="22"/>
          <w:lang w:val="en-GB"/>
        </w:rPr>
        <w:t xml:space="preserve">ntroduction of </w:t>
      </w:r>
      <w:r w:rsidR="00631508" w:rsidRPr="0088780C">
        <w:rPr>
          <w:snapToGrid w:val="0"/>
          <w:kern w:val="22"/>
          <w:sz w:val="22"/>
          <w:szCs w:val="22"/>
          <w:lang w:val="en-GB"/>
        </w:rPr>
        <w:t>invasive alien</w:t>
      </w:r>
      <w:r w:rsidRPr="0088780C">
        <w:rPr>
          <w:snapToGrid w:val="0"/>
          <w:kern w:val="22"/>
          <w:sz w:val="22"/>
          <w:szCs w:val="22"/>
          <w:lang w:val="en-GB"/>
        </w:rPr>
        <w:t xml:space="preserve"> species through ballast waters, fouling, import and invasion. The wide diversity of biotopes and the low local species diversity provide favourable conditions for some exotic invaders, which find unoccupied ecological niches, have no competitors or enemies and develop in abundance. The rate of introductions is constantly increasing. At present, the Black Sea harbours 365 </w:t>
      </w:r>
      <w:r w:rsidR="00631508" w:rsidRPr="0088780C">
        <w:rPr>
          <w:snapToGrid w:val="0"/>
          <w:kern w:val="22"/>
          <w:sz w:val="22"/>
          <w:szCs w:val="22"/>
          <w:lang w:val="en-GB"/>
        </w:rPr>
        <w:t>alien</w:t>
      </w:r>
      <w:r w:rsidRPr="0088780C">
        <w:rPr>
          <w:snapToGrid w:val="0"/>
          <w:kern w:val="22"/>
          <w:sz w:val="22"/>
          <w:szCs w:val="22"/>
          <w:lang w:val="en-GB"/>
        </w:rPr>
        <w:t xml:space="preserve"> species</w:t>
      </w:r>
      <w:r w:rsidR="00631508" w:rsidRPr="0088780C">
        <w:rPr>
          <w:snapToGrid w:val="0"/>
          <w:kern w:val="22"/>
          <w:sz w:val="22"/>
          <w:szCs w:val="22"/>
          <w:lang w:val="en-GB"/>
        </w:rPr>
        <w:t>,</w:t>
      </w:r>
      <w:r w:rsidRPr="0088780C">
        <w:rPr>
          <w:snapToGrid w:val="0"/>
          <w:kern w:val="22"/>
          <w:sz w:val="22"/>
          <w:szCs w:val="22"/>
          <w:lang w:val="en-GB"/>
        </w:rPr>
        <w:t xml:space="preserve"> half </w:t>
      </w:r>
      <w:r w:rsidR="00631508" w:rsidRPr="0088780C">
        <w:rPr>
          <w:snapToGrid w:val="0"/>
          <w:kern w:val="22"/>
          <w:sz w:val="22"/>
          <w:szCs w:val="22"/>
          <w:lang w:val="en-GB"/>
        </w:rPr>
        <w:t>of which are</w:t>
      </w:r>
      <w:r w:rsidRPr="0088780C">
        <w:rPr>
          <w:snapToGrid w:val="0"/>
          <w:kern w:val="22"/>
          <w:sz w:val="22"/>
          <w:szCs w:val="22"/>
          <w:lang w:val="en-GB"/>
        </w:rPr>
        <w:t xml:space="preserve"> naturalized (Aleksandrov et al., 2013).</w:t>
      </w:r>
    </w:p>
    <w:p w14:paraId="115BC3DC" w14:textId="77777777" w:rsidR="007B1249" w:rsidRPr="0088780C" w:rsidRDefault="007B1249" w:rsidP="001013AF">
      <w:pPr>
        <w:suppressLineNumbers/>
        <w:suppressAutoHyphens/>
        <w:kinsoku w:val="0"/>
        <w:overflowPunct w:val="0"/>
        <w:autoSpaceDE w:val="0"/>
        <w:autoSpaceDN w:val="0"/>
        <w:spacing w:after="120"/>
        <w:rPr>
          <w:snapToGrid w:val="0"/>
          <w:kern w:val="22"/>
          <w:szCs w:val="22"/>
        </w:rPr>
      </w:pPr>
    </w:p>
    <w:p w14:paraId="08757716" w14:textId="16BD5589" w:rsidR="007B1249" w:rsidRPr="0088780C" w:rsidRDefault="007B1249" w:rsidP="001013AF">
      <w:pPr>
        <w:suppressLineNumbers/>
        <w:suppressAutoHyphens/>
        <w:kinsoku w:val="0"/>
        <w:overflowPunct w:val="0"/>
        <w:autoSpaceDE w:val="0"/>
        <w:autoSpaceDN w:val="0"/>
        <w:rPr>
          <w:b/>
          <w:snapToGrid w:val="0"/>
          <w:kern w:val="22"/>
          <w:szCs w:val="22"/>
        </w:rPr>
      </w:pPr>
      <w:r w:rsidRPr="0088780C">
        <w:rPr>
          <w:b/>
          <w:snapToGrid w:val="0"/>
          <w:kern w:val="22"/>
          <w:szCs w:val="22"/>
        </w:rPr>
        <w:t>Reference</w:t>
      </w:r>
      <w:r w:rsidR="00631508" w:rsidRPr="0088780C">
        <w:rPr>
          <w:b/>
          <w:snapToGrid w:val="0"/>
          <w:kern w:val="22"/>
          <w:szCs w:val="22"/>
        </w:rPr>
        <w:t>s</w:t>
      </w:r>
      <w:r w:rsidRPr="0088780C">
        <w:rPr>
          <w:b/>
          <w:snapToGrid w:val="0"/>
          <w:kern w:val="22"/>
          <w:szCs w:val="22"/>
        </w:rPr>
        <w:t xml:space="preserve"> </w:t>
      </w:r>
    </w:p>
    <w:p w14:paraId="77EEC777" w14:textId="77777777" w:rsidR="007B1249" w:rsidRPr="0088780C" w:rsidRDefault="007B1249" w:rsidP="001013AF">
      <w:pPr>
        <w:suppressLineNumbers/>
        <w:suppressAutoHyphens/>
        <w:kinsoku w:val="0"/>
        <w:overflowPunct w:val="0"/>
        <w:autoSpaceDE w:val="0"/>
        <w:autoSpaceDN w:val="0"/>
        <w:spacing w:after="120"/>
        <w:ind w:left="720" w:hanging="720"/>
        <w:rPr>
          <w:rFonts w:eastAsia="Times New Roman"/>
          <w:snapToGrid w:val="0"/>
          <w:kern w:val="22"/>
          <w:szCs w:val="22"/>
          <w:lang w:eastAsia="ru-RU"/>
        </w:rPr>
      </w:pPr>
      <w:r w:rsidRPr="0088780C">
        <w:rPr>
          <w:rFonts w:eastAsia="Times New Roman"/>
          <w:snapToGrid w:val="0"/>
          <w:kern w:val="22"/>
          <w:szCs w:val="22"/>
          <w:lang w:eastAsia="ru-RU"/>
        </w:rPr>
        <w:t>Alexandrov B.G., Zaitsev Yu.P. 1998. Black Sea biodiversity in eutrophication conditions / Conservation of the Biological Diversity as a Prerequisite for Sustainable Development in the Black Sea Region. Dordrecht: Kluver Academic Publ.: 221-234.</w:t>
      </w:r>
    </w:p>
    <w:p w14:paraId="769BC553" w14:textId="792AA11B" w:rsidR="007B1249" w:rsidRPr="0088780C" w:rsidRDefault="007B1249" w:rsidP="001013AF">
      <w:pPr>
        <w:suppressLineNumbers/>
        <w:suppressAutoHyphens/>
        <w:kinsoku w:val="0"/>
        <w:overflowPunct w:val="0"/>
        <w:autoSpaceDE w:val="0"/>
        <w:autoSpaceDN w:val="0"/>
        <w:spacing w:after="120"/>
        <w:ind w:left="720" w:hanging="720"/>
        <w:rPr>
          <w:rFonts w:eastAsia="Times New Roman"/>
          <w:snapToGrid w:val="0"/>
          <w:kern w:val="22"/>
          <w:szCs w:val="22"/>
          <w:lang w:eastAsia="ru-RU"/>
        </w:rPr>
      </w:pPr>
      <w:r w:rsidRPr="0088780C">
        <w:rPr>
          <w:rFonts w:eastAsia="Times New Roman"/>
          <w:snapToGrid w:val="0"/>
          <w:kern w:val="22"/>
          <w:szCs w:val="22"/>
          <w:lang w:eastAsia="ru-RU"/>
        </w:rPr>
        <w:t xml:space="preserve">Alexandrov B., Zaitsev Yu. 2000. Chronicle of exotic species introduction into the Black Sea / Materials of Intern. Sympos. </w:t>
      </w:r>
      <w:r w:rsidR="00D8482D" w:rsidRPr="0088780C">
        <w:rPr>
          <w:rFonts w:eastAsia="Times New Roman"/>
          <w:snapToGrid w:val="0"/>
          <w:kern w:val="22"/>
          <w:szCs w:val="22"/>
          <w:lang w:eastAsia="ru-RU"/>
        </w:rPr>
        <w:t>“</w:t>
      </w:r>
      <w:r w:rsidRPr="0088780C">
        <w:rPr>
          <w:rFonts w:eastAsia="Times New Roman"/>
          <w:snapToGrid w:val="0"/>
          <w:kern w:val="22"/>
          <w:szCs w:val="22"/>
          <w:lang w:eastAsia="ru-RU"/>
        </w:rPr>
        <w:t>The Black Sea ecological problems</w:t>
      </w:r>
      <w:r w:rsidR="00D8482D" w:rsidRPr="0088780C">
        <w:rPr>
          <w:rFonts w:eastAsia="Times New Roman"/>
          <w:snapToGrid w:val="0"/>
          <w:kern w:val="22"/>
          <w:szCs w:val="22"/>
          <w:lang w:eastAsia="ru-RU"/>
        </w:rPr>
        <w:t>”</w:t>
      </w:r>
      <w:r w:rsidRPr="0088780C">
        <w:rPr>
          <w:rFonts w:eastAsia="Times New Roman"/>
          <w:snapToGrid w:val="0"/>
          <w:kern w:val="22"/>
          <w:szCs w:val="22"/>
          <w:lang w:eastAsia="ru-RU"/>
        </w:rPr>
        <w:t xml:space="preserve"> (31 October-5 November, Odessa, Ukraine).- OCNTI, 2000:14-19.</w:t>
      </w:r>
    </w:p>
    <w:p w14:paraId="5546B6C6" w14:textId="77777777" w:rsidR="007B1249" w:rsidRPr="0088780C" w:rsidRDefault="007B1249" w:rsidP="001013AF">
      <w:pPr>
        <w:suppressLineNumbers/>
        <w:suppressAutoHyphens/>
        <w:kinsoku w:val="0"/>
        <w:overflowPunct w:val="0"/>
        <w:autoSpaceDE w:val="0"/>
        <w:autoSpaceDN w:val="0"/>
        <w:adjustRightInd w:val="0"/>
        <w:spacing w:after="120"/>
        <w:ind w:left="720" w:hanging="720"/>
        <w:rPr>
          <w:rFonts w:eastAsia="Times New Roman"/>
          <w:snapToGrid w:val="0"/>
          <w:kern w:val="22"/>
          <w:szCs w:val="22"/>
          <w:lang w:eastAsia="ru-RU"/>
        </w:rPr>
      </w:pPr>
      <w:r w:rsidRPr="0088780C">
        <w:rPr>
          <w:rFonts w:eastAsia="Times New Roman"/>
          <w:snapToGrid w:val="0"/>
          <w:kern w:val="22"/>
          <w:szCs w:val="22"/>
          <w:lang w:eastAsia="ru-RU"/>
        </w:rPr>
        <w:t xml:space="preserve">Alexandrov B.G., Terenko L.M., Nesterova D.A. 2012. The first case of a bloom of </w:t>
      </w:r>
      <w:r w:rsidRPr="0088780C">
        <w:rPr>
          <w:rFonts w:eastAsia="Times New Roman"/>
          <w:i/>
          <w:snapToGrid w:val="0"/>
          <w:kern w:val="22"/>
          <w:szCs w:val="22"/>
          <w:lang w:eastAsia="ru-RU"/>
        </w:rPr>
        <w:t>Nodularia spumigena</w:t>
      </w:r>
      <w:r w:rsidRPr="0088780C">
        <w:rPr>
          <w:rFonts w:eastAsia="Times New Roman"/>
          <w:snapToGrid w:val="0"/>
          <w:kern w:val="22"/>
          <w:szCs w:val="22"/>
          <w:lang w:eastAsia="ru-RU"/>
        </w:rPr>
        <w:t xml:space="preserve"> Mertens ex Born. et Flah. in the Black Sea / International Journal on Algae. - Vol. 14 (1): 31-43.</w:t>
      </w:r>
    </w:p>
    <w:p w14:paraId="11F7D8E7" w14:textId="77777777" w:rsidR="007B1249" w:rsidRPr="0088780C" w:rsidRDefault="007B1249" w:rsidP="001013AF">
      <w:pPr>
        <w:suppressLineNumbers/>
        <w:suppressAutoHyphens/>
        <w:kinsoku w:val="0"/>
        <w:overflowPunct w:val="0"/>
        <w:autoSpaceDE w:val="0"/>
        <w:autoSpaceDN w:val="0"/>
        <w:adjustRightInd w:val="0"/>
        <w:spacing w:after="120"/>
        <w:ind w:left="720" w:hanging="720"/>
        <w:rPr>
          <w:rFonts w:eastAsiaTheme="minorHAnsi"/>
          <w:snapToGrid w:val="0"/>
          <w:kern w:val="22"/>
          <w:szCs w:val="22"/>
        </w:rPr>
      </w:pPr>
      <w:r w:rsidRPr="00E7219D">
        <w:rPr>
          <w:rFonts w:eastAsiaTheme="minorHAnsi"/>
          <w:snapToGrid w:val="0"/>
          <w:kern w:val="22"/>
          <w:szCs w:val="22"/>
          <w:lang w:val="fr-FR"/>
        </w:rPr>
        <w:t xml:space="preserve">Bologa A., Frangopol, P.T., Vedernikov, V.I. </w:t>
      </w:r>
      <w:r w:rsidRPr="00E7219D">
        <w:rPr>
          <w:rFonts w:eastAsiaTheme="minorHAnsi"/>
          <w:iCs/>
          <w:snapToGrid w:val="0"/>
          <w:kern w:val="22"/>
          <w:szCs w:val="22"/>
          <w:lang w:val="fr-FR"/>
        </w:rPr>
        <w:t>et al</w:t>
      </w:r>
      <w:r w:rsidRPr="00E7219D">
        <w:rPr>
          <w:rFonts w:eastAsiaTheme="minorHAnsi"/>
          <w:snapToGrid w:val="0"/>
          <w:kern w:val="22"/>
          <w:szCs w:val="22"/>
          <w:lang w:val="fr-FR"/>
        </w:rPr>
        <w:t xml:space="preserve">., 1999. </w:t>
      </w:r>
      <w:r w:rsidRPr="0088780C">
        <w:rPr>
          <w:rFonts w:eastAsiaTheme="minorHAnsi"/>
          <w:iCs/>
          <w:snapToGrid w:val="0"/>
          <w:kern w:val="22"/>
          <w:szCs w:val="22"/>
        </w:rPr>
        <w:t>Distribution of planktonic primary production in the Black Sea</w:t>
      </w:r>
      <w:r w:rsidRPr="0088780C">
        <w:rPr>
          <w:rFonts w:eastAsiaTheme="minorHAnsi"/>
          <w:snapToGrid w:val="0"/>
          <w:kern w:val="22"/>
          <w:szCs w:val="22"/>
        </w:rPr>
        <w:t>, in Environmental degradation of the Black Sea: Challenges and remedies, Kluwer Academic Publishers, the Netherlands: 131-145.</w:t>
      </w:r>
    </w:p>
    <w:p w14:paraId="40FE06DF" w14:textId="77777777" w:rsidR="007B1249" w:rsidRPr="0088780C" w:rsidRDefault="007B1249" w:rsidP="001013AF">
      <w:pPr>
        <w:suppressLineNumbers/>
        <w:suppressAutoHyphens/>
        <w:kinsoku w:val="0"/>
        <w:overflowPunct w:val="0"/>
        <w:autoSpaceDE w:val="0"/>
        <w:autoSpaceDN w:val="0"/>
        <w:adjustRightInd w:val="0"/>
        <w:spacing w:after="120"/>
        <w:ind w:left="720" w:hanging="720"/>
        <w:rPr>
          <w:rFonts w:eastAsiaTheme="minorHAnsi"/>
          <w:snapToGrid w:val="0"/>
          <w:kern w:val="22"/>
          <w:szCs w:val="22"/>
        </w:rPr>
      </w:pPr>
      <w:r w:rsidRPr="00E7219D">
        <w:rPr>
          <w:rFonts w:eastAsiaTheme="minorHAnsi"/>
          <w:snapToGrid w:val="0"/>
          <w:kern w:val="22"/>
          <w:szCs w:val="22"/>
          <w:lang w:val="fr-FR"/>
        </w:rPr>
        <w:t xml:space="preserve">Chernichko, I.I., Siokhin, V.D. </w:t>
      </w:r>
      <w:r w:rsidRPr="00E7219D">
        <w:rPr>
          <w:rFonts w:eastAsiaTheme="minorHAnsi"/>
          <w:iCs/>
          <w:snapToGrid w:val="0"/>
          <w:kern w:val="22"/>
          <w:szCs w:val="22"/>
          <w:lang w:val="fr-FR"/>
        </w:rPr>
        <w:t>et al</w:t>
      </w:r>
      <w:r w:rsidRPr="00E7219D">
        <w:rPr>
          <w:rFonts w:eastAsiaTheme="minorHAnsi"/>
          <w:snapToGrid w:val="0"/>
          <w:kern w:val="22"/>
          <w:szCs w:val="22"/>
          <w:lang w:val="fr-FR"/>
        </w:rPr>
        <w:t xml:space="preserve">., 1993. </w:t>
      </w:r>
      <w:r w:rsidRPr="0088780C">
        <w:rPr>
          <w:rFonts w:eastAsiaTheme="minorHAnsi"/>
          <w:iCs/>
          <w:snapToGrid w:val="0"/>
          <w:kern w:val="22"/>
          <w:szCs w:val="22"/>
        </w:rPr>
        <w:t>Inventory making and cadastre characteristic of the South Ukrainian wetlands</w:t>
      </w:r>
      <w:r w:rsidRPr="0088780C">
        <w:rPr>
          <w:rFonts w:eastAsiaTheme="minorHAnsi"/>
          <w:snapToGrid w:val="0"/>
          <w:kern w:val="22"/>
          <w:szCs w:val="22"/>
        </w:rPr>
        <w:t>, Branta Publishers, Melitopol', 93 pp. (in Russian).</w:t>
      </w:r>
    </w:p>
    <w:p w14:paraId="62D2BF70" w14:textId="77777777" w:rsidR="007B1249" w:rsidRPr="0088780C" w:rsidRDefault="007B1249" w:rsidP="001013AF">
      <w:pPr>
        <w:suppressLineNumbers/>
        <w:suppressAutoHyphens/>
        <w:kinsoku w:val="0"/>
        <w:overflowPunct w:val="0"/>
        <w:autoSpaceDE w:val="0"/>
        <w:autoSpaceDN w:val="0"/>
        <w:adjustRightInd w:val="0"/>
        <w:spacing w:after="120"/>
        <w:ind w:left="720" w:hanging="720"/>
        <w:rPr>
          <w:rFonts w:eastAsiaTheme="minorHAnsi"/>
          <w:snapToGrid w:val="0"/>
          <w:kern w:val="22"/>
          <w:szCs w:val="22"/>
        </w:rPr>
      </w:pPr>
      <w:r w:rsidRPr="0088780C">
        <w:rPr>
          <w:rFonts w:eastAsiaTheme="minorHAnsi"/>
          <w:snapToGrid w:val="0"/>
          <w:kern w:val="22"/>
          <w:szCs w:val="22"/>
        </w:rPr>
        <w:t xml:space="preserve">Green, R., 1992. </w:t>
      </w:r>
      <w:r w:rsidRPr="0088780C">
        <w:rPr>
          <w:rFonts w:eastAsiaTheme="minorHAnsi"/>
          <w:iCs/>
          <w:snapToGrid w:val="0"/>
          <w:kern w:val="22"/>
          <w:szCs w:val="22"/>
        </w:rPr>
        <w:t>The ornithological importance of the Danube Delta and Lakes Razim and Sinoe</w:t>
      </w:r>
      <w:r w:rsidRPr="0088780C">
        <w:rPr>
          <w:rFonts w:eastAsiaTheme="minorHAnsi"/>
          <w:snapToGrid w:val="0"/>
          <w:kern w:val="22"/>
          <w:szCs w:val="22"/>
        </w:rPr>
        <w:t xml:space="preserve"> / in Conservation status of the Danube Delta, Environmental Status Reports, Vol. 4, Page Brothers, Norwich: 61-70.</w:t>
      </w:r>
    </w:p>
    <w:p w14:paraId="0CB64356" w14:textId="77777777" w:rsidR="007B1249" w:rsidRPr="0088780C" w:rsidRDefault="007B1249"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Kideys A.E. 2002. Fall and rise of</w:t>
      </w:r>
      <w:r w:rsidRPr="0088780C">
        <w:rPr>
          <w:snapToGrid w:val="0"/>
          <w:kern w:val="22"/>
          <w:szCs w:val="22"/>
          <w:lang w:eastAsia="en-GB"/>
        </w:rPr>
        <w:t xml:space="preserve"> the Black Sea ecosystem.</w:t>
      </w:r>
      <w:r w:rsidRPr="0088780C">
        <w:rPr>
          <w:snapToGrid w:val="0"/>
          <w:kern w:val="22"/>
          <w:szCs w:val="22"/>
        </w:rPr>
        <w:t xml:space="preserve"> </w:t>
      </w:r>
      <w:r w:rsidRPr="0088780C">
        <w:rPr>
          <w:bCs/>
          <w:snapToGrid w:val="0"/>
          <w:kern w:val="22"/>
          <w:szCs w:val="22"/>
        </w:rPr>
        <w:t xml:space="preserve">Science </w:t>
      </w:r>
      <w:r w:rsidRPr="0088780C">
        <w:rPr>
          <w:snapToGrid w:val="0"/>
          <w:kern w:val="22"/>
          <w:szCs w:val="22"/>
        </w:rPr>
        <w:t>297(5586)</w:t>
      </w:r>
      <w:r w:rsidRPr="0088780C">
        <w:rPr>
          <w:bCs/>
          <w:snapToGrid w:val="0"/>
          <w:kern w:val="22"/>
          <w:szCs w:val="22"/>
        </w:rPr>
        <w:t xml:space="preserve">: </w:t>
      </w:r>
      <w:r w:rsidRPr="0088780C">
        <w:rPr>
          <w:snapToGrid w:val="0"/>
          <w:kern w:val="22"/>
          <w:szCs w:val="22"/>
        </w:rPr>
        <w:t>1482-1484.</w:t>
      </w:r>
    </w:p>
    <w:p w14:paraId="47B6B89A" w14:textId="77777777" w:rsidR="007B1249" w:rsidRPr="0088780C" w:rsidRDefault="007B1249"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Kideys A. E. 1994. Recent dramatic changes in the Black Sea ecosystem: The reason for the sharp decrease in Turkish anchovy fisheries. Journal of Marine Systems 5: 171-181.</w:t>
      </w:r>
    </w:p>
    <w:p w14:paraId="482A87E6" w14:textId="77777777" w:rsidR="007B1249" w:rsidRPr="0088780C" w:rsidRDefault="007B1249"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 xml:space="preserve">Kovalev A.V., M.G. Mazzocchi, I. Siokou-Frangou &amp; </w:t>
      </w:r>
      <w:r w:rsidRPr="0088780C">
        <w:rPr>
          <w:snapToGrid w:val="0"/>
          <w:kern w:val="22"/>
          <w:szCs w:val="22"/>
          <w:u w:val="single"/>
        </w:rPr>
        <w:t>A.E. Kideys</w:t>
      </w:r>
      <w:r w:rsidRPr="0088780C">
        <w:rPr>
          <w:snapToGrid w:val="0"/>
          <w:kern w:val="22"/>
          <w:szCs w:val="22"/>
        </w:rPr>
        <w:t xml:space="preserve"> 2001. Zooplankton of the Black Sea and the Eastern Mediterranean: Similarities and dissimilarities. </w:t>
      </w:r>
      <w:r w:rsidRPr="0088780C">
        <w:rPr>
          <w:bCs/>
          <w:snapToGrid w:val="0"/>
          <w:kern w:val="22"/>
          <w:szCs w:val="22"/>
        </w:rPr>
        <w:t>Mediterranean Marine Science</w:t>
      </w:r>
      <w:r w:rsidRPr="0088780C">
        <w:rPr>
          <w:snapToGrid w:val="0"/>
          <w:kern w:val="22"/>
          <w:szCs w:val="22"/>
        </w:rPr>
        <w:t xml:space="preserve"> 2: 69-77.</w:t>
      </w:r>
    </w:p>
    <w:p w14:paraId="4A3616CB" w14:textId="77777777" w:rsidR="007B1249" w:rsidRPr="0088780C" w:rsidRDefault="007B1249"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Kovalev A. V., A. D. Gubanova, A. E Kideys, V. V. Melnikov, U. Niermann, N. A. Ostrovskaya,  I. Yu. Prusova</w:t>
      </w:r>
      <w:r w:rsidRPr="0088780C">
        <w:rPr>
          <w:snapToGrid w:val="0"/>
          <w:kern w:val="22"/>
          <w:szCs w:val="22"/>
          <w:vertAlign w:val="superscript"/>
        </w:rPr>
        <w:t xml:space="preserve"> </w:t>
      </w:r>
      <w:r w:rsidRPr="0088780C">
        <w:rPr>
          <w:snapToGrid w:val="0"/>
          <w:kern w:val="22"/>
          <w:szCs w:val="22"/>
        </w:rPr>
        <w:t>, V. A. Skryabin, Z. Uysal &amp; Ju. A. Zagorodnyaya 1998. Long-term changes in the  biomass and composition of fodder zooplankton in coastal regions of the Black Sea during the period 1957-1996. In: NATO TU-Black Sea Project: Ecosystem Modeling as a Management Tool for the Black Sea, Symposium on Scientific Results, L. Ivanov &amp; T. Oguz (eds.), Kluwer Academic Publishers, pp.209-220.</w:t>
      </w:r>
    </w:p>
    <w:p w14:paraId="03082095" w14:textId="77777777" w:rsidR="007B1249" w:rsidRPr="0088780C" w:rsidRDefault="007B1249" w:rsidP="001013AF">
      <w:pPr>
        <w:suppressLineNumbers/>
        <w:suppressAutoHyphens/>
        <w:kinsoku w:val="0"/>
        <w:overflowPunct w:val="0"/>
        <w:autoSpaceDE w:val="0"/>
        <w:autoSpaceDN w:val="0"/>
        <w:adjustRightInd w:val="0"/>
        <w:spacing w:after="120"/>
        <w:ind w:left="720" w:hanging="720"/>
        <w:rPr>
          <w:rFonts w:eastAsiaTheme="minorHAnsi"/>
          <w:snapToGrid w:val="0"/>
          <w:kern w:val="22"/>
          <w:szCs w:val="22"/>
        </w:rPr>
      </w:pPr>
      <w:r w:rsidRPr="00E7219D">
        <w:rPr>
          <w:rFonts w:eastAsiaTheme="minorHAnsi"/>
          <w:snapToGrid w:val="0"/>
          <w:kern w:val="22"/>
          <w:szCs w:val="22"/>
          <w:lang w:val="fr-FR"/>
        </w:rPr>
        <w:t xml:space="preserve">Moncheva, S., Gotsis-Skretas, O., Pagou, K. </w:t>
      </w:r>
      <w:r w:rsidRPr="00E7219D">
        <w:rPr>
          <w:rFonts w:eastAsiaTheme="minorHAnsi"/>
          <w:iCs/>
          <w:snapToGrid w:val="0"/>
          <w:kern w:val="22"/>
          <w:szCs w:val="22"/>
          <w:lang w:val="fr-FR"/>
        </w:rPr>
        <w:t>et al</w:t>
      </w:r>
      <w:r w:rsidRPr="00E7219D">
        <w:rPr>
          <w:rFonts w:eastAsiaTheme="minorHAnsi"/>
          <w:snapToGrid w:val="0"/>
          <w:kern w:val="22"/>
          <w:szCs w:val="22"/>
          <w:lang w:val="fr-FR"/>
        </w:rPr>
        <w:t xml:space="preserve">., 1999. </w:t>
      </w:r>
      <w:r w:rsidRPr="0088780C">
        <w:rPr>
          <w:rFonts w:eastAsiaTheme="minorHAnsi"/>
          <w:iCs/>
          <w:snapToGrid w:val="0"/>
          <w:kern w:val="22"/>
          <w:szCs w:val="22"/>
        </w:rPr>
        <w:t>Phytoplankton blooms - A key issue in Black Sea and Mediterranean coastal ecosystems: Similarities and differences</w:t>
      </w:r>
      <w:r w:rsidRPr="0088780C">
        <w:rPr>
          <w:rFonts w:eastAsiaTheme="minorHAnsi"/>
          <w:snapToGrid w:val="0"/>
          <w:kern w:val="22"/>
          <w:szCs w:val="22"/>
        </w:rPr>
        <w:t>, Proceedings of the conference on Oceanography of the Eastern Mediterranean and Black Sea. Similarities and differences of two interconnected basins, Athens 23-27 February 1999: 419.</w:t>
      </w:r>
    </w:p>
    <w:p w14:paraId="69FD0196" w14:textId="77777777" w:rsidR="007B1249" w:rsidRPr="0088780C" w:rsidRDefault="007B1249" w:rsidP="001013AF">
      <w:pPr>
        <w:suppressLineNumbers/>
        <w:suppressAutoHyphens/>
        <w:kinsoku w:val="0"/>
        <w:overflowPunct w:val="0"/>
        <w:autoSpaceDE w:val="0"/>
        <w:autoSpaceDN w:val="0"/>
        <w:adjustRightInd w:val="0"/>
        <w:spacing w:after="120"/>
        <w:ind w:left="720" w:hanging="720"/>
        <w:rPr>
          <w:rFonts w:eastAsiaTheme="minorHAnsi"/>
          <w:snapToGrid w:val="0"/>
          <w:kern w:val="22"/>
          <w:szCs w:val="22"/>
        </w:rPr>
      </w:pPr>
      <w:r w:rsidRPr="0088780C">
        <w:rPr>
          <w:rFonts w:eastAsiaTheme="minorHAnsi"/>
          <w:snapToGrid w:val="0"/>
          <w:kern w:val="22"/>
          <w:szCs w:val="22"/>
        </w:rPr>
        <w:t xml:space="preserve">Petranu, A., Apas, M., Bodeanu, N., Bologa, A.S., Dumitrache, C., Moldoveanu, Maria,Radu, G., Tiganus, V., 1999. </w:t>
      </w:r>
      <w:r w:rsidRPr="0088780C">
        <w:rPr>
          <w:rFonts w:eastAsiaTheme="minorHAnsi"/>
          <w:i/>
          <w:iCs/>
          <w:snapToGrid w:val="0"/>
          <w:kern w:val="22"/>
          <w:szCs w:val="22"/>
        </w:rPr>
        <w:t>Status and evolution of the Romanian Black Sea coastal ecosystem</w:t>
      </w:r>
      <w:r w:rsidRPr="0088780C">
        <w:rPr>
          <w:rFonts w:eastAsiaTheme="minorHAnsi"/>
          <w:snapToGrid w:val="0"/>
          <w:kern w:val="22"/>
          <w:szCs w:val="22"/>
        </w:rPr>
        <w:t xml:space="preserve">, Environmental Degradation of the Black Sea: Challenges and Remedies (S. Besiktepe </w:t>
      </w:r>
      <w:r w:rsidRPr="0088780C">
        <w:rPr>
          <w:rFonts w:eastAsiaTheme="minorHAnsi"/>
          <w:i/>
          <w:iCs/>
          <w:snapToGrid w:val="0"/>
          <w:kern w:val="22"/>
          <w:szCs w:val="22"/>
        </w:rPr>
        <w:t>et al</w:t>
      </w:r>
      <w:r w:rsidRPr="0088780C">
        <w:rPr>
          <w:rFonts w:eastAsiaTheme="minorHAnsi"/>
          <w:snapToGrid w:val="0"/>
          <w:kern w:val="22"/>
          <w:szCs w:val="22"/>
        </w:rPr>
        <w:t>. eds.), Kluwer Academic Publ., Printed in the Netherlands: 175-195.</w:t>
      </w:r>
    </w:p>
    <w:p w14:paraId="7811614B" w14:textId="77777777" w:rsidR="007B1249" w:rsidRPr="0088780C" w:rsidRDefault="007B1249" w:rsidP="001013AF">
      <w:pPr>
        <w:suppressLineNumbers/>
        <w:suppressAutoHyphens/>
        <w:kinsoku w:val="0"/>
        <w:overflowPunct w:val="0"/>
        <w:autoSpaceDE w:val="0"/>
        <w:autoSpaceDN w:val="0"/>
        <w:adjustRightInd w:val="0"/>
        <w:spacing w:after="120"/>
        <w:ind w:left="720" w:hanging="720"/>
        <w:rPr>
          <w:rFonts w:eastAsiaTheme="minorHAnsi"/>
          <w:snapToGrid w:val="0"/>
          <w:kern w:val="22"/>
          <w:szCs w:val="22"/>
        </w:rPr>
      </w:pPr>
      <w:r w:rsidRPr="0088780C">
        <w:rPr>
          <w:rFonts w:eastAsiaTheme="minorHAnsi"/>
          <w:snapToGrid w:val="0"/>
          <w:kern w:val="22"/>
          <w:szCs w:val="22"/>
        </w:rPr>
        <w:t xml:space="preserve">Simonov, A.I., Riabinin, A.I., and Gershanovich, D.E. (eds), 1992. </w:t>
      </w:r>
      <w:r w:rsidRPr="0088780C">
        <w:rPr>
          <w:rFonts w:eastAsiaTheme="minorHAnsi"/>
          <w:i/>
          <w:iCs/>
          <w:snapToGrid w:val="0"/>
          <w:kern w:val="22"/>
          <w:szCs w:val="22"/>
        </w:rPr>
        <w:t>Hydrometeorology and hydrochemistry of the USSR's seas</w:t>
      </w:r>
      <w:r w:rsidRPr="0088780C">
        <w:rPr>
          <w:rFonts w:eastAsiaTheme="minorHAnsi"/>
          <w:snapToGrid w:val="0"/>
          <w:kern w:val="22"/>
          <w:szCs w:val="22"/>
        </w:rPr>
        <w:t>, T. IV. The Black Sea, Vol. 2, Hydrochemical conditions and oceanological fundamentals of biological productivity forming, Gydrometeoizdat Publishers, Sankt-Peterburg, 220 pp. (in Russian).</w:t>
      </w:r>
    </w:p>
    <w:p w14:paraId="0647B36D" w14:textId="77777777" w:rsidR="007B1249" w:rsidRPr="0088780C" w:rsidRDefault="007B1249" w:rsidP="001013AF">
      <w:pPr>
        <w:suppressLineNumbers/>
        <w:suppressAutoHyphens/>
        <w:kinsoku w:val="0"/>
        <w:overflowPunct w:val="0"/>
        <w:autoSpaceDE w:val="0"/>
        <w:autoSpaceDN w:val="0"/>
        <w:adjustRightInd w:val="0"/>
        <w:spacing w:after="120"/>
        <w:ind w:left="720" w:hanging="720"/>
        <w:rPr>
          <w:rFonts w:eastAsia="Times New Roman"/>
          <w:snapToGrid w:val="0"/>
          <w:kern w:val="22"/>
          <w:szCs w:val="22"/>
          <w:lang w:eastAsia="ru-RU"/>
        </w:rPr>
      </w:pPr>
      <w:r w:rsidRPr="0088780C">
        <w:rPr>
          <w:rFonts w:eastAsiaTheme="minorHAnsi"/>
          <w:snapToGrid w:val="0"/>
          <w:kern w:val="22"/>
          <w:szCs w:val="22"/>
        </w:rPr>
        <w:t xml:space="preserve">Sukhanova, I.N., Maksimova, O.V. and Nezlin, N.P., 1998. </w:t>
      </w:r>
      <w:r w:rsidRPr="0088780C">
        <w:rPr>
          <w:rFonts w:eastAsiaTheme="minorHAnsi"/>
          <w:iCs/>
          <w:snapToGrid w:val="0"/>
          <w:kern w:val="22"/>
          <w:szCs w:val="22"/>
        </w:rPr>
        <w:t>Abundance and biomass of phytoplankton and chlorophyll concentration in eastern Mediterranean in late summer</w:t>
      </w:r>
      <w:r w:rsidRPr="0088780C">
        <w:rPr>
          <w:rFonts w:eastAsiaTheme="minorHAnsi"/>
          <w:snapToGrid w:val="0"/>
          <w:kern w:val="22"/>
          <w:szCs w:val="22"/>
        </w:rPr>
        <w:t xml:space="preserve"> / In: The eastern Mediterranean as a laboratory basin for the assessment of contrasting ecosystems (P. Malanotte-Rizzoli, and V.N. Eremeev), Kluwer Academic Publishers: 169-179.</w:t>
      </w:r>
    </w:p>
    <w:p w14:paraId="2E619AB4" w14:textId="77777777" w:rsidR="007B1249" w:rsidRPr="0088780C" w:rsidRDefault="007B1249"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 xml:space="preserve">Yunev O.A. , V. I. Vedernikov, O. Basturk, A. Yilmaz, A. E. Kideys, S. Moncheva &amp; S. K. Konovalov 2002. Long-term variations of surface chlorophyll-a and primary production levels in the open Black Sea. Marine Ecology Progress Series </w:t>
      </w:r>
      <w:r w:rsidRPr="0088780C">
        <w:rPr>
          <w:bCs/>
          <w:snapToGrid w:val="0"/>
          <w:kern w:val="22"/>
          <w:szCs w:val="22"/>
        </w:rPr>
        <w:t>230: 11-28</w:t>
      </w:r>
      <w:r w:rsidRPr="0088780C">
        <w:rPr>
          <w:snapToGrid w:val="0"/>
          <w:kern w:val="22"/>
          <w:szCs w:val="22"/>
        </w:rPr>
        <w:t>.</w:t>
      </w:r>
    </w:p>
    <w:p w14:paraId="41C013C5" w14:textId="77777777" w:rsidR="007B1249" w:rsidRPr="0088780C" w:rsidRDefault="007B1249" w:rsidP="001013AF">
      <w:pPr>
        <w:suppressLineNumbers/>
        <w:suppressAutoHyphens/>
        <w:kinsoku w:val="0"/>
        <w:overflowPunct w:val="0"/>
        <w:autoSpaceDE w:val="0"/>
        <w:autoSpaceDN w:val="0"/>
        <w:spacing w:after="120"/>
        <w:ind w:left="720" w:hanging="720"/>
        <w:rPr>
          <w:rFonts w:eastAsia="Times New Roman"/>
          <w:snapToGrid w:val="0"/>
          <w:kern w:val="22"/>
          <w:szCs w:val="22"/>
          <w:lang w:eastAsia="ru-RU"/>
        </w:rPr>
      </w:pPr>
      <w:r w:rsidRPr="0088780C">
        <w:rPr>
          <w:rFonts w:eastAsia="Times New Roman"/>
          <w:snapToGrid w:val="0"/>
          <w:kern w:val="22"/>
          <w:szCs w:val="22"/>
          <w:lang w:eastAsia="ru-RU"/>
        </w:rPr>
        <w:t>Zaitsev Yu.P., Alexandrov B.G. 1997. Recent man-made changes in the Black Sea ecosystem.  Sensitivly to Change: Black Sea, Baltic Sea and North Sea. Dordrecht: Kluwer Academic Publ.: 25-31.</w:t>
      </w:r>
    </w:p>
    <w:p w14:paraId="5CDE678F" w14:textId="77777777" w:rsidR="007B1249" w:rsidRPr="0088780C" w:rsidRDefault="007B1249"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Zaitsev Yu., Mamaev V. 1997. Biological diversity in the Black Sea: a study of change and declined.- Black Sea Environment Series, Vo. 3: 208 pp.</w:t>
      </w:r>
    </w:p>
    <w:p w14:paraId="773769BE" w14:textId="080F65E3" w:rsidR="00345301" w:rsidRPr="0088780C" w:rsidRDefault="00345301" w:rsidP="001013AF">
      <w:pPr>
        <w:pStyle w:val="Default"/>
        <w:widowControl/>
        <w:suppressLineNumbers/>
        <w:suppressAutoHyphens/>
        <w:kinsoku w:val="0"/>
        <w:overflowPunct w:val="0"/>
        <w:jc w:val="center"/>
        <w:rPr>
          <w:b/>
          <w:smallCaps/>
          <w:snapToGrid w:val="0"/>
          <w:color w:val="auto"/>
          <w:kern w:val="22"/>
          <w:sz w:val="22"/>
          <w:szCs w:val="22"/>
          <w:lang w:val="en-GB"/>
        </w:rPr>
      </w:pPr>
      <w:r w:rsidRPr="0088780C">
        <w:rPr>
          <w:b/>
          <w:smallCaps/>
          <w:snapToGrid w:val="0"/>
          <w:color w:val="auto"/>
          <w:kern w:val="22"/>
          <w:sz w:val="22"/>
          <w:szCs w:val="22"/>
          <w:lang w:val="en-GB"/>
        </w:rPr>
        <w:t>Caspian Sea</w:t>
      </w:r>
    </w:p>
    <w:p w14:paraId="23E08880" w14:textId="77777777" w:rsidR="00345301" w:rsidRPr="0088780C" w:rsidRDefault="00345301" w:rsidP="001013AF">
      <w:pPr>
        <w:suppressLineNumbers/>
        <w:suppressAutoHyphens/>
        <w:kinsoku w:val="0"/>
        <w:overflowPunct w:val="0"/>
        <w:autoSpaceDE w:val="0"/>
        <w:autoSpaceDN w:val="0"/>
        <w:jc w:val="center"/>
        <w:rPr>
          <w:rFonts w:eastAsia="Times New Roman"/>
          <w:b/>
          <w:caps/>
          <w:snapToGrid w:val="0"/>
          <w:kern w:val="22"/>
          <w:szCs w:val="22"/>
        </w:rPr>
      </w:pPr>
    </w:p>
    <w:p w14:paraId="77E14E52" w14:textId="3617CED5" w:rsidR="00345301" w:rsidRPr="0088780C" w:rsidRDefault="00345301" w:rsidP="001013AF">
      <w:pPr>
        <w:pStyle w:val="Default"/>
        <w:widowControl/>
        <w:suppressLineNumbers/>
        <w:suppressAutoHyphens/>
        <w:kinsoku w:val="0"/>
        <w:overflowPunct w:val="0"/>
        <w:rPr>
          <w:i/>
          <w:snapToGrid w:val="0"/>
          <w:color w:val="auto"/>
          <w:kern w:val="22"/>
          <w:sz w:val="22"/>
          <w:szCs w:val="22"/>
          <w:lang w:val="en-GB"/>
        </w:rPr>
      </w:pPr>
      <w:r w:rsidRPr="0088780C">
        <w:rPr>
          <w:i/>
          <w:snapToGrid w:val="0"/>
          <w:color w:val="auto"/>
          <w:kern w:val="22"/>
          <w:sz w:val="22"/>
          <w:szCs w:val="22"/>
          <w:lang w:val="en-GB"/>
        </w:rPr>
        <w:t>The workshop participants recognized the unique and vulnerable ecological and biological characteristics of the Caspian</w:t>
      </w:r>
      <w:r w:rsidR="00556F30" w:rsidRPr="0088780C">
        <w:rPr>
          <w:i/>
          <w:snapToGrid w:val="0"/>
          <w:color w:val="auto"/>
          <w:kern w:val="22"/>
          <w:sz w:val="22"/>
          <w:szCs w:val="22"/>
          <w:lang w:val="en-GB"/>
        </w:rPr>
        <w:t xml:space="preserve"> Sea at</w:t>
      </w:r>
      <w:r w:rsidRPr="0088780C">
        <w:rPr>
          <w:i/>
          <w:snapToGrid w:val="0"/>
          <w:color w:val="auto"/>
          <w:kern w:val="22"/>
          <w:sz w:val="22"/>
          <w:szCs w:val="22"/>
          <w:lang w:val="en-GB"/>
        </w:rPr>
        <w:t xml:space="preserve"> a global scale</w:t>
      </w:r>
      <w:r w:rsidR="00242637" w:rsidRPr="0088780C">
        <w:rPr>
          <w:i/>
          <w:snapToGrid w:val="0"/>
          <w:color w:val="auto"/>
          <w:kern w:val="22"/>
          <w:sz w:val="22"/>
          <w:szCs w:val="22"/>
          <w:lang w:val="en-GB"/>
        </w:rPr>
        <w:t>,</w:t>
      </w:r>
      <w:r w:rsidRPr="0088780C">
        <w:rPr>
          <w:i/>
          <w:snapToGrid w:val="0"/>
          <w:color w:val="auto"/>
          <w:kern w:val="22"/>
          <w:sz w:val="22"/>
          <w:szCs w:val="22"/>
          <w:lang w:val="en-GB"/>
        </w:rPr>
        <w:t xml:space="preserve"> as follows:</w:t>
      </w:r>
    </w:p>
    <w:p w14:paraId="198685FE" w14:textId="77777777" w:rsidR="00345301" w:rsidRPr="0088780C" w:rsidRDefault="00345301" w:rsidP="001013AF">
      <w:pPr>
        <w:pStyle w:val="Default"/>
        <w:widowControl/>
        <w:suppressLineNumbers/>
        <w:suppressAutoHyphens/>
        <w:kinsoku w:val="0"/>
        <w:overflowPunct w:val="0"/>
        <w:rPr>
          <w:snapToGrid w:val="0"/>
          <w:color w:val="auto"/>
          <w:kern w:val="22"/>
          <w:sz w:val="22"/>
          <w:szCs w:val="22"/>
          <w:lang w:val="en-GB"/>
        </w:rPr>
      </w:pPr>
    </w:p>
    <w:p w14:paraId="58CF31D2" w14:textId="77777777" w:rsidR="00345301" w:rsidRPr="0088780C" w:rsidRDefault="00345301" w:rsidP="001013AF">
      <w:pPr>
        <w:pStyle w:val="Default"/>
        <w:widowControl/>
        <w:suppressLineNumbers/>
        <w:suppressAutoHyphens/>
        <w:kinsoku w:val="0"/>
        <w:overflowPunct w:val="0"/>
        <w:spacing w:after="120"/>
        <w:jc w:val="both"/>
        <w:rPr>
          <w:b/>
          <w:i/>
          <w:snapToGrid w:val="0"/>
          <w:kern w:val="22"/>
          <w:sz w:val="22"/>
          <w:szCs w:val="22"/>
          <w:u w:val="single"/>
          <w:lang w:val="en-GB"/>
        </w:rPr>
      </w:pPr>
      <w:r w:rsidRPr="0088780C">
        <w:rPr>
          <w:b/>
          <w:i/>
          <w:snapToGrid w:val="0"/>
          <w:kern w:val="22"/>
          <w:sz w:val="22"/>
          <w:szCs w:val="22"/>
          <w:u w:val="single"/>
          <w:lang w:val="en-GB"/>
        </w:rPr>
        <w:t>Geological and oceanographic context</w:t>
      </w:r>
    </w:p>
    <w:p w14:paraId="50B61533" w14:textId="0FEA7570" w:rsidR="00345301" w:rsidRPr="0088780C" w:rsidRDefault="00345301" w:rsidP="001013AF">
      <w:pPr>
        <w:pStyle w:val="Default"/>
        <w:widowControl/>
        <w:suppressLineNumbers/>
        <w:suppressAutoHyphens/>
        <w:kinsoku w:val="0"/>
        <w:overflowPunct w:val="0"/>
        <w:spacing w:after="120"/>
        <w:jc w:val="both"/>
        <w:rPr>
          <w:snapToGrid w:val="0"/>
          <w:color w:val="auto"/>
          <w:kern w:val="22"/>
          <w:sz w:val="22"/>
          <w:szCs w:val="22"/>
          <w:lang w:val="en-GB"/>
        </w:rPr>
      </w:pPr>
      <w:r w:rsidRPr="0088780C">
        <w:rPr>
          <w:b/>
          <w:bCs/>
          <w:snapToGrid w:val="0"/>
          <w:color w:val="auto"/>
          <w:kern w:val="22"/>
          <w:sz w:val="22"/>
          <w:szCs w:val="22"/>
          <w:lang w:val="en-GB"/>
        </w:rPr>
        <w:t>1.</w:t>
      </w:r>
      <w:r w:rsidRPr="0088780C">
        <w:rPr>
          <w:b/>
          <w:bCs/>
          <w:snapToGrid w:val="0"/>
          <w:color w:val="auto"/>
          <w:kern w:val="22"/>
          <w:sz w:val="22"/>
          <w:szCs w:val="22"/>
          <w:lang w:val="en-GB"/>
        </w:rPr>
        <w:tab/>
        <w:t>The Caspian Sea is the largest land-locked water body in the world with a 7,000 km coastline and a surface area of 436,000 km.</w:t>
      </w:r>
      <w:r w:rsidRPr="0088780C">
        <w:rPr>
          <w:snapToGrid w:val="0"/>
          <w:color w:val="auto"/>
          <w:kern w:val="22"/>
          <w:sz w:val="22"/>
          <w:szCs w:val="22"/>
          <w:lang w:val="en-GB"/>
        </w:rPr>
        <w:t xml:space="preserve"> It is shared by five littoral States: Azerbaijan</w:t>
      </w:r>
      <w:r w:rsidR="00F2154D" w:rsidRPr="0088780C">
        <w:rPr>
          <w:snapToGrid w:val="0"/>
          <w:color w:val="auto"/>
          <w:kern w:val="22"/>
          <w:sz w:val="22"/>
          <w:szCs w:val="22"/>
          <w:lang w:val="en-GB"/>
        </w:rPr>
        <w:t>,</w:t>
      </w:r>
      <w:r w:rsidRPr="0088780C">
        <w:rPr>
          <w:snapToGrid w:val="0"/>
          <w:color w:val="auto"/>
          <w:kern w:val="22"/>
          <w:sz w:val="22"/>
          <w:szCs w:val="22"/>
          <w:lang w:val="en-GB"/>
        </w:rPr>
        <w:t xml:space="preserve"> Kazakhstan, Iran, Russian Federation and Turkmenistan. </w:t>
      </w:r>
    </w:p>
    <w:p w14:paraId="7683EA9D" w14:textId="19A0A0C2" w:rsidR="00345301" w:rsidRPr="0088780C" w:rsidRDefault="00345301" w:rsidP="001013AF">
      <w:pPr>
        <w:pStyle w:val="Default"/>
        <w:widowControl/>
        <w:suppressLineNumbers/>
        <w:suppressAutoHyphens/>
        <w:kinsoku w:val="0"/>
        <w:overflowPunct w:val="0"/>
        <w:spacing w:after="120"/>
        <w:jc w:val="both"/>
        <w:rPr>
          <w:snapToGrid w:val="0"/>
          <w:color w:val="auto"/>
          <w:kern w:val="22"/>
          <w:sz w:val="22"/>
          <w:szCs w:val="22"/>
          <w:lang w:val="en-GB"/>
        </w:rPr>
      </w:pPr>
      <w:r w:rsidRPr="0088780C">
        <w:rPr>
          <w:b/>
          <w:bCs/>
          <w:snapToGrid w:val="0"/>
          <w:color w:val="auto"/>
          <w:kern w:val="22"/>
          <w:sz w:val="22"/>
          <w:szCs w:val="22"/>
          <w:lang w:val="en-GB"/>
        </w:rPr>
        <w:t>2.</w:t>
      </w:r>
      <w:r w:rsidRPr="0088780C">
        <w:rPr>
          <w:b/>
          <w:bCs/>
          <w:snapToGrid w:val="0"/>
          <w:color w:val="auto"/>
          <w:kern w:val="22"/>
          <w:sz w:val="22"/>
          <w:szCs w:val="22"/>
          <w:lang w:val="en-GB"/>
        </w:rPr>
        <w:tab/>
        <w:t xml:space="preserve">The Caspian Sea is a remnant of the ancient northern gulf of the </w:t>
      </w:r>
      <w:r w:rsidR="00F2154D" w:rsidRPr="0088780C">
        <w:rPr>
          <w:b/>
          <w:bCs/>
          <w:snapToGrid w:val="0"/>
          <w:color w:val="auto"/>
          <w:kern w:val="22"/>
          <w:sz w:val="22"/>
          <w:szCs w:val="22"/>
          <w:lang w:val="en-GB"/>
        </w:rPr>
        <w:t>Tethys</w:t>
      </w:r>
      <w:r w:rsidRPr="0088780C">
        <w:rPr>
          <w:b/>
          <w:bCs/>
          <w:snapToGrid w:val="0"/>
          <w:color w:val="auto"/>
          <w:kern w:val="22"/>
          <w:sz w:val="22"/>
          <w:szCs w:val="22"/>
          <w:lang w:val="en-GB"/>
        </w:rPr>
        <w:t xml:space="preserve"> Ocean, which was connected to the precursors of the modern Atlantic and the Indo-Pacific</w:t>
      </w:r>
      <w:r w:rsidRPr="0088780C">
        <w:rPr>
          <w:snapToGrid w:val="0"/>
          <w:color w:val="auto"/>
          <w:kern w:val="22"/>
          <w:sz w:val="22"/>
          <w:szCs w:val="22"/>
          <w:lang w:val="en-GB"/>
        </w:rPr>
        <w:t>. It is thus the most isolated part of the world ocean</w:t>
      </w:r>
      <w:r w:rsidR="00F2154D" w:rsidRPr="0088780C">
        <w:rPr>
          <w:snapToGrid w:val="0"/>
          <w:color w:val="auto"/>
          <w:kern w:val="22"/>
          <w:sz w:val="22"/>
          <w:szCs w:val="22"/>
          <w:lang w:val="en-GB"/>
        </w:rPr>
        <w:t>, both in terms of area and time</w:t>
      </w:r>
      <w:r w:rsidRPr="0088780C">
        <w:rPr>
          <w:snapToGrid w:val="0"/>
          <w:color w:val="auto"/>
          <w:kern w:val="22"/>
          <w:sz w:val="22"/>
          <w:szCs w:val="22"/>
          <w:lang w:val="en-GB"/>
        </w:rPr>
        <w:t xml:space="preserve">. Since its general separation from the world ocean, the Caspian </w:t>
      </w:r>
      <w:r w:rsidR="00F2154D" w:rsidRPr="0088780C">
        <w:rPr>
          <w:snapToGrid w:val="0"/>
          <w:color w:val="auto"/>
          <w:kern w:val="22"/>
          <w:sz w:val="22"/>
          <w:szCs w:val="22"/>
          <w:lang w:val="en-GB"/>
        </w:rPr>
        <w:t>Sea b</w:t>
      </w:r>
      <w:r w:rsidRPr="0088780C">
        <w:rPr>
          <w:snapToGrid w:val="0"/>
          <w:color w:val="auto"/>
          <w:kern w:val="22"/>
          <w:sz w:val="22"/>
          <w:szCs w:val="22"/>
          <w:lang w:val="en-GB"/>
        </w:rPr>
        <w:t xml:space="preserve">asin underwent a long </w:t>
      </w:r>
      <w:r w:rsidR="00F2154D" w:rsidRPr="0088780C">
        <w:rPr>
          <w:snapToGrid w:val="0"/>
          <w:color w:val="auto"/>
          <w:kern w:val="22"/>
          <w:sz w:val="22"/>
          <w:szCs w:val="22"/>
          <w:lang w:val="en-GB"/>
        </w:rPr>
        <w:t xml:space="preserve">period </w:t>
      </w:r>
      <w:r w:rsidRPr="0088780C">
        <w:rPr>
          <w:snapToGrid w:val="0"/>
          <w:color w:val="auto"/>
          <w:kern w:val="22"/>
          <w:sz w:val="22"/>
          <w:szCs w:val="22"/>
          <w:lang w:val="en-GB"/>
        </w:rPr>
        <w:t xml:space="preserve">of shrinkage, growth, strong salinity changes, losing and re-establishing connection with the Black Sea </w:t>
      </w:r>
      <w:r w:rsidR="00F2154D" w:rsidRPr="0088780C">
        <w:rPr>
          <w:snapToGrid w:val="0"/>
          <w:color w:val="auto"/>
          <w:kern w:val="22"/>
          <w:sz w:val="22"/>
          <w:szCs w:val="22"/>
          <w:lang w:val="en-GB"/>
        </w:rPr>
        <w:t>b</w:t>
      </w:r>
      <w:r w:rsidRPr="0088780C">
        <w:rPr>
          <w:snapToGrid w:val="0"/>
          <w:color w:val="auto"/>
          <w:kern w:val="22"/>
          <w:sz w:val="22"/>
          <w:szCs w:val="22"/>
          <w:lang w:val="en-GB"/>
        </w:rPr>
        <w:t>asin.</w:t>
      </w:r>
    </w:p>
    <w:p w14:paraId="6C1E2ADE" w14:textId="4243E295" w:rsidR="00345301" w:rsidRPr="0088780C" w:rsidRDefault="00345301" w:rsidP="001013AF">
      <w:pPr>
        <w:pStyle w:val="Default"/>
        <w:widowControl/>
        <w:suppressLineNumbers/>
        <w:suppressAutoHyphens/>
        <w:kinsoku w:val="0"/>
        <w:overflowPunct w:val="0"/>
        <w:jc w:val="both"/>
        <w:rPr>
          <w:snapToGrid w:val="0"/>
          <w:color w:val="auto"/>
          <w:kern w:val="22"/>
          <w:sz w:val="22"/>
          <w:szCs w:val="22"/>
          <w:lang w:val="en-GB"/>
        </w:rPr>
      </w:pPr>
      <w:r w:rsidRPr="0088780C">
        <w:rPr>
          <w:b/>
          <w:bCs/>
          <w:snapToGrid w:val="0"/>
          <w:color w:val="auto"/>
          <w:kern w:val="22"/>
          <w:sz w:val="22"/>
          <w:szCs w:val="22"/>
          <w:lang w:val="en-GB"/>
        </w:rPr>
        <w:t>3.</w:t>
      </w:r>
      <w:r w:rsidRPr="0088780C">
        <w:rPr>
          <w:b/>
          <w:bCs/>
          <w:snapToGrid w:val="0"/>
          <w:color w:val="auto"/>
          <w:kern w:val="22"/>
          <w:sz w:val="22"/>
          <w:szCs w:val="22"/>
          <w:lang w:val="en-GB"/>
        </w:rPr>
        <w:tab/>
        <w:t xml:space="preserve">The isolation of the Caspian </w:t>
      </w:r>
      <w:r w:rsidR="00F2154D" w:rsidRPr="0088780C">
        <w:rPr>
          <w:b/>
          <w:bCs/>
          <w:snapToGrid w:val="0"/>
          <w:color w:val="auto"/>
          <w:kern w:val="22"/>
          <w:sz w:val="22"/>
          <w:szCs w:val="22"/>
          <w:lang w:val="en-GB"/>
        </w:rPr>
        <w:t>Sea b</w:t>
      </w:r>
      <w:r w:rsidRPr="0088780C">
        <w:rPr>
          <w:b/>
          <w:bCs/>
          <w:snapToGrid w:val="0"/>
          <w:color w:val="auto"/>
          <w:kern w:val="22"/>
          <w:sz w:val="22"/>
          <w:szCs w:val="22"/>
          <w:lang w:val="en-GB"/>
        </w:rPr>
        <w:t>asin together with its climatic and salinity gradients has created a unique ecological system with some 400 species endemic to the Caspian waters.</w:t>
      </w:r>
      <w:r w:rsidRPr="0088780C">
        <w:rPr>
          <w:snapToGrid w:val="0"/>
          <w:color w:val="auto"/>
          <w:kern w:val="22"/>
          <w:sz w:val="22"/>
          <w:szCs w:val="22"/>
          <w:lang w:val="en-GB"/>
        </w:rPr>
        <w:t xml:space="preserve"> The Sea’s</w:t>
      </w:r>
      <w:r w:rsidRPr="0088780C">
        <w:rPr>
          <w:b/>
          <w:snapToGrid w:val="0"/>
          <w:color w:val="auto"/>
          <w:kern w:val="22"/>
          <w:sz w:val="22"/>
          <w:szCs w:val="22"/>
          <w:lang w:val="en-GB"/>
        </w:rPr>
        <w:t xml:space="preserve"> </w:t>
      </w:r>
      <w:r w:rsidRPr="0088780C">
        <w:rPr>
          <w:bCs/>
          <w:snapToGrid w:val="0"/>
          <w:color w:val="auto"/>
          <w:kern w:val="22"/>
          <w:sz w:val="22"/>
          <w:szCs w:val="22"/>
          <w:lang w:val="en-GB"/>
        </w:rPr>
        <w:t>diversity of</w:t>
      </w:r>
      <w:r w:rsidRPr="0088780C">
        <w:rPr>
          <w:b/>
          <w:snapToGrid w:val="0"/>
          <w:color w:val="auto"/>
          <w:kern w:val="22"/>
          <w:sz w:val="22"/>
          <w:szCs w:val="22"/>
          <w:lang w:val="en-GB"/>
        </w:rPr>
        <w:t xml:space="preserve"> </w:t>
      </w:r>
      <w:r w:rsidRPr="0088780C">
        <w:rPr>
          <w:snapToGrid w:val="0"/>
          <w:color w:val="auto"/>
          <w:kern w:val="22"/>
          <w:sz w:val="22"/>
          <w:szCs w:val="22"/>
          <w:lang w:val="en-GB"/>
        </w:rPr>
        <w:t>biotopes and biotic and abiotic conditions support a large number of interconnected ecosystems. Freshwater ecosystems exist in deltas and estuaries of inflowing rivers. Oligohaline ecosystems (salinity 0.5 – 5 g/l) characterize the Northern Caspian. The waters of the Middle and Southern Caspian comprise a mesohaline ecosystem, (average salinity 12 g/l) whilst the Gulf of Kara-Bogaz-Gol</w:t>
      </w:r>
      <w:r w:rsidR="00F2154D" w:rsidRPr="0088780C">
        <w:rPr>
          <w:snapToGrid w:val="0"/>
          <w:color w:val="auto"/>
          <w:kern w:val="22"/>
          <w:sz w:val="22"/>
          <w:szCs w:val="22"/>
          <w:lang w:val="en-GB"/>
        </w:rPr>
        <w:t>,</w:t>
      </w:r>
      <w:r w:rsidRPr="0088780C">
        <w:rPr>
          <w:snapToGrid w:val="0"/>
          <w:color w:val="auto"/>
          <w:kern w:val="22"/>
          <w:sz w:val="22"/>
          <w:szCs w:val="22"/>
          <w:lang w:val="en-GB"/>
        </w:rPr>
        <w:t xml:space="preserve"> on </w:t>
      </w:r>
      <w:r w:rsidR="00F2154D" w:rsidRPr="0088780C">
        <w:rPr>
          <w:snapToGrid w:val="0"/>
          <w:color w:val="auto"/>
          <w:kern w:val="22"/>
          <w:sz w:val="22"/>
          <w:szCs w:val="22"/>
          <w:lang w:val="en-GB"/>
        </w:rPr>
        <w:t xml:space="preserve">the </w:t>
      </w:r>
      <w:r w:rsidRPr="0088780C">
        <w:rPr>
          <w:snapToGrid w:val="0"/>
          <w:color w:val="auto"/>
          <w:kern w:val="22"/>
          <w:sz w:val="22"/>
          <w:szCs w:val="22"/>
          <w:lang w:val="en-GB"/>
        </w:rPr>
        <w:t>eastern shoreline</w:t>
      </w:r>
      <w:r w:rsidR="00F2154D" w:rsidRPr="0088780C">
        <w:rPr>
          <w:snapToGrid w:val="0"/>
          <w:color w:val="auto"/>
          <w:kern w:val="22"/>
          <w:sz w:val="22"/>
          <w:szCs w:val="22"/>
          <w:lang w:val="en-GB"/>
        </w:rPr>
        <w:t>,</w:t>
      </w:r>
      <w:r w:rsidRPr="0088780C">
        <w:rPr>
          <w:snapToGrid w:val="0"/>
          <w:color w:val="auto"/>
          <w:kern w:val="22"/>
          <w:sz w:val="22"/>
          <w:szCs w:val="22"/>
          <w:lang w:val="en-GB"/>
        </w:rPr>
        <w:t xml:space="preserve"> supports a hypersaline ecosystem (salinity &gt; 40 g l). The northern part of the Sea is shallow</w:t>
      </w:r>
      <w:r w:rsidR="00F2154D" w:rsidRPr="0088780C">
        <w:rPr>
          <w:snapToGrid w:val="0"/>
          <w:color w:val="auto"/>
          <w:kern w:val="22"/>
          <w:sz w:val="22"/>
          <w:szCs w:val="22"/>
          <w:lang w:val="en-GB"/>
        </w:rPr>
        <w:t>,</w:t>
      </w:r>
      <w:r w:rsidRPr="0088780C">
        <w:rPr>
          <w:snapToGrid w:val="0"/>
          <w:color w:val="auto"/>
          <w:kern w:val="22"/>
          <w:sz w:val="22"/>
          <w:szCs w:val="22"/>
          <w:lang w:val="en-GB"/>
        </w:rPr>
        <w:t xml:space="preserve"> with an average depth of 5 m. The middle part has an average depth of 190 m whilst southern areas have depths up to 1,000 m. </w:t>
      </w:r>
    </w:p>
    <w:p w14:paraId="56E7D4F9" w14:textId="77777777" w:rsidR="00345301" w:rsidRPr="0088780C" w:rsidRDefault="00345301" w:rsidP="001013AF">
      <w:pPr>
        <w:pStyle w:val="NormalWeb"/>
        <w:suppressLineNumbers/>
        <w:suppressAutoHyphens/>
        <w:kinsoku w:val="0"/>
        <w:overflowPunct w:val="0"/>
        <w:autoSpaceDE w:val="0"/>
        <w:autoSpaceDN w:val="0"/>
        <w:spacing w:after="0"/>
        <w:jc w:val="both"/>
        <w:rPr>
          <w:b/>
          <w:i/>
          <w:snapToGrid w:val="0"/>
          <w:kern w:val="22"/>
          <w:sz w:val="22"/>
          <w:szCs w:val="22"/>
          <w:u w:val="single"/>
          <w:lang w:val="en-GB"/>
        </w:rPr>
      </w:pPr>
      <w:r w:rsidRPr="0088780C">
        <w:rPr>
          <w:b/>
          <w:i/>
          <w:snapToGrid w:val="0"/>
          <w:kern w:val="22"/>
          <w:sz w:val="22"/>
          <w:szCs w:val="22"/>
          <w:u w:val="single"/>
          <w:lang w:val="en-GB"/>
        </w:rPr>
        <w:t>Marine and coastal biodiversity in the Caspian Sea</w:t>
      </w:r>
    </w:p>
    <w:p w14:paraId="16E24633" w14:textId="77777777" w:rsidR="00345301" w:rsidRPr="0088780C" w:rsidRDefault="00345301" w:rsidP="001013AF">
      <w:pPr>
        <w:pStyle w:val="Default"/>
        <w:widowControl/>
        <w:suppressLineNumbers/>
        <w:suppressAutoHyphens/>
        <w:kinsoku w:val="0"/>
        <w:overflowPunct w:val="0"/>
        <w:jc w:val="both"/>
        <w:rPr>
          <w:snapToGrid w:val="0"/>
          <w:color w:val="auto"/>
          <w:kern w:val="22"/>
          <w:sz w:val="22"/>
          <w:szCs w:val="22"/>
          <w:lang w:val="en-GB"/>
        </w:rPr>
      </w:pPr>
      <w:r w:rsidRPr="0088780C">
        <w:rPr>
          <w:snapToGrid w:val="0"/>
          <w:color w:val="auto"/>
          <w:kern w:val="22"/>
          <w:sz w:val="22"/>
          <w:szCs w:val="22"/>
          <w:lang w:val="en-GB"/>
        </w:rPr>
        <w:t>4.</w:t>
      </w:r>
      <w:r w:rsidRPr="0088780C">
        <w:rPr>
          <w:snapToGrid w:val="0"/>
          <w:color w:val="auto"/>
          <w:kern w:val="22"/>
          <w:sz w:val="22"/>
          <w:szCs w:val="22"/>
          <w:lang w:val="en-GB"/>
        </w:rPr>
        <w:tab/>
      </w:r>
      <w:r w:rsidRPr="0088780C">
        <w:rPr>
          <w:b/>
          <w:bCs/>
          <w:snapToGrid w:val="0"/>
          <w:color w:val="auto"/>
          <w:kern w:val="22"/>
          <w:sz w:val="22"/>
          <w:szCs w:val="22"/>
          <w:lang w:val="en-GB"/>
        </w:rPr>
        <w:t>The biological diversity of the Caspian Sea and its coastal zone makes the region particularly significant.</w:t>
      </w:r>
      <w:r w:rsidRPr="0088780C">
        <w:rPr>
          <w:snapToGrid w:val="0"/>
          <w:color w:val="auto"/>
          <w:kern w:val="22"/>
          <w:sz w:val="22"/>
          <w:szCs w:val="22"/>
          <w:lang w:val="en-GB"/>
        </w:rPr>
        <w:t xml:space="preserve"> One of the most important characteristics of the Caspian Sea’s biodiversity is the relatively high level of</w:t>
      </w:r>
      <w:r w:rsidRPr="0088780C">
        <w:rPr>
          <w:b/>
          <w:snapToGrid w:val="0"/>
          <w:color w:val="auto"/>
          <w:kern w:val="22"/>
          <w:sz w:val="22"/>
          <w:szCs w:val="22"/>
          <w:lang w:val="en-GB"/>
        </w:rPr>
        <w:t xml:space="preserve"> </w:t>
      </w:r>
      <w:r w:rsidRPr="0088780C">
        <w:rPr>
          <w:bCs/>
          <w:snapToGrid w:val="0"/>
          <w:color w:val="auto"/>
          <w:kern w:val="22"/>
          <w:sz w:val="22"/>
          <w:szCs w:val="22"/>
          <w:lang w:val="en-GB"/>
        </w:rPr>
        <w:t>endemic</w:t>
      </w:r>
      <w:r w:rsidRPr="0088780C">
        <w:rPr>
          <w:b/>
          <w:snapToGrid w:val="0"/>
          <w:color w:val="auto"/>
          <w:kern w:val="22"/>
          <w:sz w:val="22"/>
          <w:szCs w:val="22"/>
          <w:lang w:val="en-GB"/>
        </w:rPr>
        <w:t xml:space="preserve"> </w:t>
      </w:r>
      <w:r w:rsidRPr="0088780C">
        <w:rPr>
          <w:snapToGrid w:val="0"/>
          <w:color w:val="auto"/>
          <w:kern w:val="22"/>
          <w:sz w:val="22"/>
          <w:szCs w:val="22"/>
          <w:lang w:val="en-GB"/>
        </w:rPr>
        <w:t>species among its fauna. The highest number of endemic species across the various taxa is found in the mid Caspian Sea region, while the greatest diversity is found in the northern section of the Caspian Basin. The coastal region is characterized by a wide range of habitats; these include habitats in vast river systems and extensive wetlands such as the deltas of the Volga, Ural and Kura rivers, the wetland systems along the Iranian coast and the exceptionally saline bay of the Kara-Bogaz- Gol Gulf (SOE 2010).</w:t>
      </w:r>
    </w:p>
    <w:p w14:paraId="3A0AF5AB" w14:textId="20E4B559" w:rsidR="00345301" w:rsidRPr="0088780C" w:rsidRDefault="00345301" w:rsidP="001013AF">
      <w:pPr>
        <w:pStyle w:val="Default"/>
        <w:widowControl/>
        <w:suppressLineNumbers/>
        <w:suppressAutoHyphens/>
        <w:kinsoku w:val="0"/>
        <w:overflowPunct w:val="0"/>
        <w:jc w:val="both"/>
        <w:rPr>
          <w:snapToGrid w:val="0"/>
          <w:color w:val="auto"/>
          <w:kern w:val="22"/>
          <w:sz w:val="22"/>
          <w:szCs w:val="22"/>
          <w:lang w:val="en-GB"/>
        </w:rPr>
      </w:pPr>
      <w:r w:rsidRPr="0088780C">
        <w:rPr>
          <w:b/>
          <w:bCs/>
          <w:snapToGrid w:val="0"/>
          <w:color w:val="auto"/>
          <w:kern w:val="22"/>
          <w:sz w:val="22"/>
          <w:szCs w:val="22"/>
          <w:lang w:val="en-GB"/>
        </w:rPr>
        <w:t>5.</w:t>
      </w:r>
      <w:r w:rsidRPr="0088780C">
        <w:rPr>
          <w:b/>
          <w:bCs/>
          <w:snapToGrid w:val="0"/>
          <w:color w:val="auto"/>
          <w:kern w:val="22"/>
          <w:sz w:val="22"/>
          <w:szCs w:val="22"/>
          <w:lang w:val="en-GB"/>
        </w:rPr>
        <w:tab/>
        <w:t>One of the Caspian Sea’s unique features is the relative instability of its sea level.</w:t>
      </w:r>
      <w:r w:rsidRPr="0088780C">
        <w:rPr>
          <w:snapToGrid w:val="0"/>
          <w:color w:val="auto"/>
          <w:kern w:val="22"/>
          <w:sz w:val="22"/>
          <w:szCs w:val="22"/>
          <w:lang w:val="en-GB"/>
        </w:rPr>
        <w:t xml:space="preserve"> Nearly 130 rivers drain into the Caspian Sea with an annual input of approximately 300 km</w:t>
      </w:r>
      <w:r w:rsidRPr="0088780C">
        <w:rPr>
          <w:snapToGrid w:val="0"/>
          <w:color w:val="auto"/>
          <w:kern w:val="22"/>
          <w:sz w:val="22"/>
          <w:szCs w:val="22"/>
          <w:vertAlign w:val="superscript"/>
          <w:lang w:val="en-GB"/>
        </w:rPr>
        <w:t>2</w:t>
      </w:r>
      <w:r w:rsidRPr="0088780C">
        <w:rPr>
          <w:snapToGrid w:val="0"/>
          <w:color w:val="auto"/>
          <w:kern w:val="22"/>
          <w:sz w:val="22"/>
          <w:szCs w:val="22"/>
          <w:lang w:val="en-GB"/>
        </w:rPr>
        <w:t>. These rivers are estimated to have once sustained millions of hectares of spawning habitat for the Caspian’s anadromous fish species. The main rivers ranked according to annual input are the Volga River (80%)</w:t>
      </w:r>
      <w:r w:rsidR="00F2154D" w:rsidRPr="0088780C">
        <w:rPr>
          <w:snapToGrid w:val="0"/>
          <w:color w:val="auto"/>
          <w:kern w:val="22"/>
          <w:sz w:val="22"/>
          <w:szCs w:val="22"/>
          <w:lang w:val="en-GB"/>
        </w:rPr>
        <w:t>;</w:t>
      </w:r>
      <w:r w:rsidRPr="0088780C">
        <w:rPr>
          <w:snapToGrid w:val="0"/>
          <w:color w:val="auto"/>
          <w:kern w:val="22"/>
          <w:sz w:val="22"/>
          <w:szCs w:val="22"/>
          <w:lang w:val="en-GB"/>
        </w:rPr>
        <w:t xml:space="preserve"> </w:t>
      </w:r>
      <w:r w:rsidR="00F2154D" w:rsidRPr="0088780C">
        <w:rPr>
          <w:snapToGrid w:val="0"/>
          <w:color w:val="auto"/>
          <w:kern w:val="22"/>
          <w:sz w:val="22"/>
          <w:szCs w:val="22"/>
          <w:lang w:val="en-GB"/>
        </w:rPr>
        <w:t xml:space="preserve">the Kura River, the Sefidrud River, and others (combined 10%); </w:t>
      </w:r>
      <w:r w:rsidRPr="0088780C">
        <w:rPr>
          <w:snapToGrid w:val="0"/>
          <w:color w:val="auto"/>
          <w:kern w:val="22"/>
          <w:sz w:val="22"/>
          <w:szCs w:val="22"/>
          <w:lang w:val="en-GB"/>
        </w:rPr>
        <w:t xml:space="preserve">the Ural River (5%); the Terek, Sulak, and Samur  (combined 5%). The wetlands in the region play a significant role as </w:t>
      </w:r>
      <w:r w:rsidRPr="0088780C">
        <w:rPr>
          <w:bCs/>
          <w:snapToGrid w:val="0"/>
          <w:color w:val="auto"/>
          <w:kern w:val="22"/>
          <w:sz w:val="22"/>
          <w:szCs w:val="22"/>
          <w:lang w:val="en-GB"/>
        </w:rPr>
        <w:t>feeding and resting area</w:t>
      </w:r>
      <w:r w:rsidR="00F2154D" w:rsidRPr="0088780C">
        <w:rPr>
          <w:bCs/>
          <w:snapToGrid w:val="0"/>
          <w:color w:val="auto"/>
          <w:kern w:val="22"/>
          <w:sz w:val="22"/>
          <w:szCs w:val="22"/>
          <w:lang w:val="en-GB"/>
        </w:rPr>
        <w:t>s</w:t>
      </w:r>
      <w:r w:rsidRPr="0088780C">
        <w:rPr>
          <w:bCs/>
          <w:snapToGrid w:val="0"/>
          <w:color w:val="auto"/>
          <w:kern w:val="22"/>
          <w:sz w:val="22"/>
          <w:szCs w:val="22"/>
          <w:lang w:val="en-GB"/>
        </w:rPr>
        <w:t xml:space="preserve"> for migratory birds</w:t>
      </w:r>
      <w:r w:rsidRPr="0088780C">
        <w:rPr>
          <w:snapToGrid w:val="0"/>
          <w:color w:val="auto"/>
          <w:kern w:val="22"/>
          <w:sz w:val="22"/>
          <w:szCs w:val="22"/>
          <w:lang w:val="en-GB"/>
        </w:rPr>
        <w:t xml:space="preserve">. </w:t>
      </w:r>
    </w:p>
    <w:p w14:paraId="21892476" w14:textId="00FB7622" w:rsidR="00345301" w:rsidRPr="0088780C" w:rsidRDefault="00345301" w:rsidP="001013AF">
      <w:pPr>
        <w:pStyle w:val="Default"/>
        <w:widowControl/>
        <w:suppressLineNumbers/>
        <w:suppressAutoHyphens/>
        <w:kinsoku w:val="0"/>
        <w:overflowPunct w:val="0"/>
        <w:jc w:val="both"/>
        <w:rPr>
          <w:b/>
          <w:bCs/>
          <w:snapToGrid w:val="0"/>
          <w:color w:val="auto"/>
          <w:kern w:val="22"/>
          <w:sz w:val="22"/>
          <w:szCs w:val="22"/>
          <w:lang w:val="en-GB"/>
        </w:rPr>
      </w:pPr>
      <w:r w:rsidRPr="0088780C">
        <w:rPr>
          <w:b/>
          <w:bCs/>
          <w:snapToGrid w:val="0"/>
          <w:color w:val="auto"/>
          <w:kern w:val="22"/>
          <w:sz w:val="22"/>
          <w:szCs w:val="22"/>
          <w:lang w:val="en-GB"/>
        </w:rPr>
        <w:t>6.</w:t>
      </w:r>
      <w:r w:rsidRPr="0088780C">
        <w:rPr>
          <w:b/>
          <w:bCs/>
          <w:snapToGrid w:val="0"/>
          <w:color w:val="auto"/>
          <w:kern w:val="22"/>
          <w:sz w:val="22"/>
          <w:szCs w:val="22"/>
          <w:lang w:val="en-GB"/>
        </w:rPr>
        <w:tab/>
        <w:t xml:space="preserve">The Caspian biodiversity today is estimated at 1800-2000 species, though the numbers vary </w:t>
      </w:r>
      <w:r w:rsidR="00F2154D" w:rsidRPr="0088780C">
        <w:rPr>
          <w:b/>
          <w:bCs/>
          <w:snapToGrid w:val="0"/>
          <w:color w:val="auto"/>
          <w:kern w:val="22"/>
          <w:sz w:val="22"/>
          <w:szCs w:val="22"/>
          <w:lang w:val="en-GB"/>
        </w:rPr>
        <w:t xml:space="preserve">considerably </w:t>
      </w:r>
      <w:r w:rsidRPr="0088780C">
        <w:rPr>
          <w:b/>
          <w:bCs/>
          <w:snapToGrid w:val="0"/>
          <w:color w:val="auto"/>
          <w:kern w:val="22"/>
          <w:sz w:val="22"/>
          <w:szCs w:val="22"/>
          <w:lang w:val="en-GB"/>
        </w:rPr>
        <w:t xml:space="preserve">in different sources. </w:t>
      </w:r>
      <w:r w:rsidRPr="0088780C">
        <w:rPr>
          <w:snapToGrid w:val="0"/>
          <w:color w:val="auto"/>
          <w:kern w:val="22"/>
          <w:sz w:val="22"/>
          <w:szCs w:val="22"/>
          <w:lang w:val="en-GB"/>
        </w:rPr>
        <w:t xml:space="preserve">The first comprehensive checklist of Caspian flora and fauna dates back to the early 1960s (Zenkevich, 1963). It showed that most diverse in the Caspian were crustaceans and fishes, and </w:t>
      </w:r>
      <w:r w:rsidR="00FB14D4" w:rsidRPr="0088780C">
        <w:rPr>
          <w:snapToGrid w:val="0"/>
          <w:color w:val="auto"/>
          <w:kern w:val="22"/>
          <w:sz w:val="22"/>
          <w:szCs w:val="22"/>
          <w:lang w:val="en-GB"/>
        </w:rPr>
        <w:t xml:space="preserve">that </w:t>
      </w:r>
      <w:r w:rsidRPr="0088780C">
        <w:rPr>
          <w:snapToGrid w:val="0"/>
          <w:color w:val="auto"/>
          <w:kern w:val="22"/>
          <w:sz w:val="22"/>
          <w:szCs w:val="22"/>
          <w:lang w:val="en-GB"/>
        </w:rPr>
        <w:t xml:space="preserve">47% of all species were endemics. </w:t>
      </w:r>
      <w:r w:rsidR="00285DD3" w:rsidRPr="0088780C">
        <w:rPr>
          <w:snapToGrid w:val="0"/>
          <w:color w:val="auto"/>
          <w:kern w:val="22"/>
          <w:sz w:val="22"/>
          <w:szCs w:val="22"/>
          <w:lang w:val="en-GB"/>
        </w:rPr>
        <w:t xml:space="preserve">Twenty-five years later, </w:t>
      </w:r>
      <w:r w:rsidRPr="0088780C">
        <w:rPr>
          <w:snapToGrid w:val="0"/>
          <w:color w:val="auto"/>
          <w:kern w:val="22"/>
          <w:sz w:val="22"/>
          <w:szCs w:val="22"/>
          <w:lang w:val="en-GB"/>
        </w:rPr>
        <w:t>Zenkevich</w:t>
      </w:r>
      <w:r w:rsidR="00285DD3" w:rsidRPr="0088780C">
        <w:rPr>
          <w:snapToGrid w:val="0"/>
          <w:color w:val="auto"/>
          <w:kern w:val="22"/>
          <w:sz w:val="22"/>
          <w:szCs w:val="22"/>
          <w:lang w:val="en-GB"/>
        </w:rPr>
        <w:t>’s initial list</w:t>
      </w:r>
      <w:r w:rsidRPr="0088780C">
        <w:rPr>
          <w:snapToGrid w:val="0"/>
          <w:color w:val="auto"/>
          <w:kern w:val="22"/>
          <w:sz w:val="22"/>
          <w:szCs w:val="22"/>
          <w:lang w:val="en-GB"/>
        </w:rPr>
        <w:t xml:space="preserve"> (1963) had almost doubled (reported </w:t>
      </w:r>
      <w:r w:rsidR="00C652E6" w:rsidRPr="0088780C">
        <w:rPr>
          <w:snapToGrid w:val="0"/>
          <w:color w:val="auto"/>
          <w:kern w:val="22"/>
          <w:sz w:val="22"/>
          <w:szCs w:val="22"/>
          <w:lang w:val="en-GB"/>
        </w:rPr>
        <w:t xml:space="preserve">as </w:t>
      </w:r>
      <w:r w:rsidRPr="0088780C">
        <w:rPr>
          <w:snapToGrid w:val="0"/>
          <w:color w:val="auto"/>
          <w:kern w:val="22"/>
          <w:sz w:val="22"/>
          <w:szCs w:val="22"/>
          <w:lang w:val="en-GB"/>
        </w:rPr>
        <w:t>1354 plant, animal and more than 122 fish species in different scientific publications). In Kasymov (1994) the Caspian general species check-list includes 1839 species, among them</w:t>
      </w:r>
      <w:r w:rsidR="00285DD3" w:rsidRPr="0088780C">
        <w:rPr>
          <w:snapToGrid w:val="0"/>
          <w:color w:val="auto"/>
          <w:kern w:val="22"/>
          <w:sz w:val="22"/>
          <w:szCs w:val="22"/>
          <w:lang w:val="en-GB"/>
        </w:rPr>
        <w:t>:</w:t>
      </w:r>
      <w:r w:rsidRPr="0088780C">
        <w:rPr>
          <w:snapToGrid w:val="0"/>
          <w:color w:val="auto"/>
          <w:kern w:val="22"/>
          <w:sz w:val="22"/>
          <w:szCs w:val="22"/>
          <w:lang w:val="en-GB"/>
        </w:rPr>
        <w:t xml:space="preserve"> </w:t>
      </w:r>
      <w:r w:rsidR="00285DD3" w:rsidRPr="0088780C">
        <w:rPr>
          <w:snapToGrid w:val="0"/>
          <w:color w:val="auto"/>
          <w:kern w:val="22"/>
          <w:sz w:val="22"/>
          <w:szCs w:val="22"/>
          <w:lang w:val="en-GB"/>
        </w:rPr>
        <w:t xml:space="preserve">1423 species of </w:t>
      </w:r>
      <w:r w:rsidRPr="0088780C">
        <w:rPr>
          <w:snapToGrid w:val="0"/>
          <w:color w:val="auto"/>
          <w:kern w:val="22"/>
          <w:sz w:val="22"/>
          <w:szCs w:val="22"/>
          <w:lang w:val="en-GB"/>
        </w:rPr>
        <w:t xml:space="preserve">invertebrates, or 77% of the fauna, </w:t>
      </w:r>
      <w:r w:rsidR="00285DD3" w:rsidRPr="0088780C">
        <w:rPr>
          <w:snapToGrid w:val="0"/>
          <w:color w:val="auto"/>
          <w:kern w:val="22"/>
          <w:sz w:val="22"/>
          <w:szCs w:val="22"/>
          <w:lang w:val="en-GB"/>
        </w:rPr>
        <w:t xml:space="preserve">101 species of </w:t>
      </w:r>
      <w:r w:rsidRPr="0088780C">
        <w:rPr>
          <w:snapToGrid w:val="0"/>
          <w:color w:val="auto"/>
          <w:kern w:val="22"/>
          <w:sz w:val="22"/>
          <w:szCs w:val="22"/>
          <w:lang w:val="en-GB"/>
        </w:rPr>
        <w:t>fish,  312 species</w:t>
      </w:r>
      <w:r w:rsidR="00285DD3" w:rsidRPr="0088780C">
        <w:rPr>
          <w:snapToGrid w:val="0"/>
          <w:color w:val="auto"/>
          <w:kern w:val="22"/>
          <w:sz w:val="22"/>
          <w:szCs w:val="22"/>
          <w:lang w:val="en-GB"/>
        </w:rPr>
        <w:t xml:space="preserve"> of birds</w:t>
      </w:r>
      <w:r w:rsidRPr="0088780C">
        <w:rPr>
          <w:snapToGrid w:val="0"/>
          <w:color w:val="auto"/>
          <w:kern w:val="22"/>
          <w:sz w:val="22"/>
          <w:szCs w:val="22"/>
          <w:lang w:val="en-GB"/>
        </w:rPr>
        <w:t xml:space="preserve">, </w:t>
      </w:r>
      <w:r w:rsidR="00285DD3" w:rsidRPr="0088780C">
        <w:rPr>
          <w:snapToGrid w:val="0"/>
          <w:color w:val="auto"/>
          <w:kern w:val="22"/>
          <w:sz w:val="22"/>
          <w:szCs w:val="22"/>
          <w:lang w:val="en-GB"/>
        </w:rPr>
        <w:t xml:space="preserve">1 </w:t>
      </w:r>
      <w:r w:rsidRPr="0088780C">
        <w:rPr>
          <w:snapToGrid w:val="0"/>
          <w:color w:val="auto"/>
          <w:kern w:val="22"/>
          <w:sz w:val="22"/>
          <w:szCs w:val="22"/>
          <w:lang w:val="en-GB"/>
        </w:rPr>
        <w:t>mammal species</w:t>
      </w:r>
      <w:r w:rsidR="00285DD3" w:rsidRPr="0088780C">
        <w:rPr>
          <w:snapToGrid w:val="0"/>
          <w:color w:val="auto"/>
          <w:kern w:val="22"/>
          <w:sz w:val="22"/>
          <w:szCs w:val="22"/>
          <w:lang w:val="en-GB"/>
        </w:rPr>
        <w:t>,</w:t>
      </w:r>
      <w:r w:rsidRPr="0088780C">
        <w:rPr>
          <w:snapToGrid w:val="0"/>
          <w:color w:val="auto"/>
          <w:kern w:val="22"/>
          <w:sz w:val="22"/>
          <w:szCs w:val="22"/>
          <w:lang w:val="en-GB"/>
        </w:rPr>
        <w:t xml:space="preserve"> 315 species</w:t>
      </w:r>
      <w:r w:rsidR="00285DD3" w:rsidRPr="0088780C">
        <w:rPr>
          <w:snapToGrid w:val="0"/>
          <w:color w:val="auto"/>
          <w:kern w:val="22"/>
          <w:sz w:val="22"/>
          <w:szCs w:val="22"/>
          <w:lang w:val="en-GB"/>
        </w:rPr>
        <w:t xml:space="preserve"> of zooplankton</w:t>
      </w:r>
      <w:r w:rsidRPr="0088780C">
        <w:rPr>
          <w:snapToGrid w:val="0"/>
          <w:color w:val="auto"/>
          <w:kern w:val="22"/>
          <w:sz w:val="22"/>
          <w:szCs w:val="22"/>
          <w:lang w:val="en-GB"/>
        </w:rPr>
        <w:t xml:space="preserve">; </w:t>
      </w:r>
      <w:r w:rsidR="00285DD3" w:rsidRPr="0088780C">
        <w:rPr>
          <w:snapToGrid w:val="0"/>
          <w:color w:val="auto"/>
          <w:kern w:val="22"/>
          <w:sz w:val="22"/>
          <w:szCs w:val="22"/>
          <w:lang w:val="en-GB"/>
        </w:rPr>
        <w:t xml:space="preserve">566 species of </w:t>
      </w:r>
      <w:r w:rsidRPr="0088780C">
        <w:rPr>
          <w:snapToGrid w:val="0"/>
          <w:color w:val="auto"/>
          <w:kern w:val="22"/>
          <w:sz w:val="22"/>
          <w:szCs w:val="22"/>
          <w:lang w:val="en-GB"/>
        </w:rPr>
        <w:t xml:space="preserve">microbenthos; </w:t>
      </w:r>
      <w:r w:rsidR="00285DD3" w:rsidRPr="0088780C">
        <w:rPr>
          <w:snapToGrid w:val="0"/>
          <w:color w:val="auto"/>
          <w:kern w:val="22"/>
          <w:sz w:val="22"/>
          <w:szCs w:val="22"/>
          <w:lang w:val="en-GB"/>
        </w:rPr>
        <w:t xml:space="preserve">and 306 species of </w:t>
      </w:r>
      <w:r w:rsidRPr="0088780C">
        <w:rPr>
          <w:snapToGrid w:val="0"/>
          <w:color w:val="auto"/>
          <w:kern w:val="22"/>
          <w:sz w:val="22"/>
          <w:szCs w:val="22"/>
          <w:lang w:val="en-GB"/>
        </w:rPr>
        <w:t xml:space="preserve">macrozoobenthos. Flora consists of 733 species, of which 728 are micro- and </w:t>
      </w:r>
      <w:r w:rsidR="00A876F3" w:rsidRPr="0088780C">
        <w:rPr>
          <w:snapToGrid w:val="0"/>
          <w:color w:val="auto"/>
          <w:kern w:val="22"/>
          <w:sz w:val="22"/>
          <w:szCs w:val="22"/>
          <w:lang w:val="en-GB"/>
        </w:rPr>
        <w:t xml:space="preserve">macroalagae, and 5 species are </w:t>
      </w:r>
      <w:r w:rsidRPr="0088780C">
        <w:rPr>
          <w:snapToGrid w:val="0"/>
          <w:color w:val="auto"/>
          <w:kern w:val="22"/>
          <w:sz w:val="22"/>
          <w:szCs w:val="22"/>
          <w:lang w:val="en-GB"/>
        </w:rPr>
        <w:t xml:space="preserve">aquatic plants. Salmonov (1987) reports </w:t>
      </w:r>
      <w:r w:rsidR="00C652E6" w:rsidRPr="0088780C">
        <w:rPr>
          <w:snapToGrid w:val="0"/>
          <w:color w:val="auto"/>
          <w:kern w:val="22"/>
          <w:sz w:val="22"/>
          <w:szCs w:val="22"/>
          <w:lang w:val="en-GB"/>
        </w:rPr>
        <w:t xml:space="preserve">557 microalgae, a figure </w:t>
      </w:r>
      <w:r w:rsidRPr="0088780C">
        <w:rPr>
          <w:snapToGrid w:val="0"/>
          <w:color w:val="auto"/>
          <w:kern w:val="22"/>
          <w:sz w:val="22"/>
          <w:szCs w:val="22"/>
          <w:lang w:val="en-GB"/>
        </w:rPr>
        <w:t xml:space="preserve">much higher </w:t>
      </w:r>
      <w:r w:rsidR="00C652E6" w:rsidRPr="0088780C">
        <w:rPr>
          <w:snapToGrid w:val="0"/>
          <w:color w:val="auto"/>
          <w:kern w:val="22"/>
          <w:sz w:val="22"/>
          <w:szCs w:val="22"/>
          <w:lang w:val="en-GB"/>
        </w:rPr>
        <w:t xml:space="preserve">than the </w:t>
      </w:r>
      <w:r w:rsidRPr="0088780C">
        <w:rPr>
          <w:snapToGrid w:val="0"/>
          <w:color w:val="auto"/>
          <w:kern w:val="22"/>
          <w:sz w:val="22"/>
          <w:szCs w:val="22"/>
          <w:lang w:val="en-GB"/>
        </w:rPr>
        <w:t xml:space="preserve">number of phytoplankton species </w:t>
      </w:r>
      <w:r w:rsidR="00C652E6" w:rsidRPr="0088780C">
        <w:rPr>
          <w:snapToGrid w:val="0"/>
          <w:color w:val="auto"/>
          <w:kern w:val="22"/>
          <w:sz w:val="22"/>
          <w:szCs w:val="22"/>
          <w:lang w:val="en-GB"/>
        </w:rPr>
        <w:t>published</w:t>
      </w:r>
      <w:r w:rsidRPr="0088780C">
        <w:rPr>
          <w:snapToGrid w:val="0"/>
          <w:color w:val="auto"/>
          <w:kern w:val="22"/>
          <w:sz w:val="22"/>
          <w:szCs w:val="22"/>
          <w:lang w:val="en-GB"/>
        </w:rPr>
        <w:t xml:space="preserve"> elsewhere.</w:t>
      </w:r>
    </w:p>
    <w:p w14:paraId="684FBB5F" w14:textId="29B1175C" w:rsidR="00345301" w:rsidRPr="0088780C" w:rsidRDefault="00345301" w:rsidP="001013AF">
      <w:pPr>
        <w:pStyle w:val="Default"/>
        <w:widowControl/>
        <w:suppressLineNumbers/>
        <w:suppressAutoHyphens/>
        <w:kinsoku w:val="0"/>
        <w:overflowPunct w:val="0"/>
        <w:jc w:val="both"/>
        <w:rPr>
          <w:snapToGrid w:val="0"/>
          <w:color w:val="auto"/>
          <w:kern w:val="22"/>
          <w:sz w:val="22"/>
          <w:szCs w:val="22"/>
          <w:lang w:val="en-GB"/>
        </w:rPr>
      </w:pPr>
      <w:r w:rsidRPr="0088780C">
        <w:rPr>
          <w:b/>
          <w:bCs/>
          <w:snapToGrid w:val="0"/>
          <w:color w:val="auto"/>
          <w:kern w:val="22"/>
          <w:sz w:val="22"/>
          <w:szCs w:val="22"/>
          <w:lang w:val="en-GB"/>
        </w:rPr>
        <w:t>7.</w:t>
      </w:r>
      <w:r w:rsidRPr="0088780C">
        <w:rPr>
          <w:b/>
          <w:bCs/>
          <w:snapToGrid w:val="0"/>
          <w:color w:val="auto"/>
          <w:kern w:val="22"/>
          <w:sz w:val="22"/>
          <w:szCs w:val="22"/>
          <w:lang w:val="en-GB"/>
        </w:rPr>
        <w:tab/>
        <w:t>The Caspian seal is the only marine mammal in the Caspian Sea,</w:t>
      </w:r>
      <w:r w:rsidRPr="0088780C">
        <w:rPr>
          <w:snapToGrid w:val="0"/>
          <w:color w:val="auto"/>
          <w:kern w:val="22"/>
          <w:sz w:val="22"/>
          <w:szCs w:val="22"/>
          <w:lang w:val="en-GB"/>
        </w:rPr>
        <w:t xml:space="preserve"> feeding on kilka </w:t>
      </w:r>
      <w:r w:rsidR="002E1E36" w:rsidRPr="0088780C">
        <w:rPr>
          <w:snapToGrid w:val="0"/>
          <w:color w:val="auto"/>
          <w:kern w:val="22"/>
          <w:sz w:val="22"/>
          <w:szCs w:val="22"/>
          <w:lang w:val="en-GB"/>
        </w:rPr>
        <w:t>(</w:t>
      </w:r>
      <w:r w:rsidR="002E1E36" w:rsidRPr="0088780C">
        <w:rPr>
          <w:rFonts w:eastAsiaTheme="minorHAnsi"/>
          <w:snapToGrid w:val="0"/>
          <w:kern w:val="22"/>
          <w:sz w:val="22"/>
          <w:szCs w:val="22"/>
          <w:lang w:val="en-GB"/>
        </w:rPr>
        <w:t>Clupeonella)</w:t>
      </w:r>
      <w:r w:rsidR="002E1E36" w:rsidRPr="0088780C">
        <w:rPr>
          <w:snapToGrid w:val="0"/>
          <w:color w:val="auto"/>
          <w:kern w:val="22"/>
          <w:sz w:val="22"/>
          <w:szCs w:val="22"/>
          <w:lang w:val="en-GB"/>
        </w:rPr>
        <w:t xml:space="preserve"> </w:t>
      </w:r>
      <w:r w:rsidRPr="0088780C">
        <w:rPr>
          <w:snapToGrid w:val="0"/>
          <w:color w:val="auto"/>
          <w:kern w:val="22"/>
          <w:sz w:val="22"/>
          <w:szCs w:val="22"/>
          <w:lang w:val="en-GB"/>
        </w:rPr>
        <w:t>and other small fish. It is an endemic species in the Caspian and, because of inherent relevant biological properties, is considered vulnerable. During its life span, the Caspian seal migrates from the frozen North Caspian in winter to the South Caspian in summer, and then returns to the north to give birth to pups on the ice. During these migrations, the Caspian seal can be found in all locations in the sea. From a population estimated at more than one million in the early years of the twentieth century, population estimates now vary between 110 000 and 350 000.</w:t>
      </w:r>
    </w:p>
    <w:p w14:paraId="446AA203" w14:textId="737FF1AB" w:rsidR="00345301" w:rsidRPr="0088780C" w:rsidRDefault="00345301" w:rsidP="001013AF">
      <w:pPr>
        <w:pStyle w:val="Default"/>
        <w:widowControl/>
        <w:suppressLineNumbers/>
        <w:suppressAutoHyphens/>
        <w:kinsoku w:val="0"/>
        <w:overflowPunct w:val="0"/>
        <w:jc w:val="both"/>
        <w:rPr>
          <w:snapToGrid w:val="0"/>
          <w:color w:val="auto"/>
          <w:kern w:val="22"/>
          <w:sz w:val="22"/>
          <w:szCs w:val="22"/>
          <w:lang w:val="en-GB"/>
        </w:rPr>
      </w:pPr>
      <w:r w:rsidRPr="0088780C">
        <w:rPr>
          <w:b/>
          <w:bCs/>
          <w:snapToGrid w:val="0"/>
          <w:color w:val="auto"/>
          <w:kern w:val="22"/>
          <w:sz w:val="22"/>
          <w:szCs w:val="22"/>
          <w:lang w:val="en-GB"/>
        </w:rPr>
        <w:t>8.</w:t>
      </w:r>
      <w:r w:rsidRPr="0088780C">
        <w:rPr>
          <w:b/>
          <w:bCs/>
          <w:snapToGrid w:val="0"/>
          <w:color w:val="auto"/>
          <w:kern w:val="22"/>
          <w:sz w:val="22"/>
          <w:szCs w:val="22"/>
          <w:lang w:val="en-GB"/>
        </w:rPr>
        <w:tab/>
      </w:r>
      <w:r w:rsidRPr="0088780C">
        <w:rPr>
          <w:rFonts w:eastAsiaTheme="minorHAnsi"/>
          <w:b/>
          <w:bCs/>
          <w:snapToGrid w:val="0"/>
          <w:kern w:val="22"/>
          <w:sz w:val="22"/>
          <w:szCs w:val="22"/>
          <w:lang w:val="en-GB"/>
        </w:rPr>
        <w:t xml:space="preserve">The </w:t>
      </w:r>
      <w:r w:rsidR="002E1E36" w:rsidRPr="0088780C">
        <w:rPr>
          <w:rFonts w:eastAsiaTheme="minorHAnsi"/>
          <w:b/>
          <w:bCs/>
          <w:snapToGrid w:val="0"/>
          <w:kern w:val="22"/>
          <w:sz w:val="22"/>
          <w:szCs w:val="22"/>
          <w:lang w:val="en-GB"/>
        </w:rPr>
        <w:t xml:space="preserve">Caspian </w:t>
      </w:r>
      <w:r w:rsidRPr="0088780C">
        <w:rPr>
          <w:rFonts w:eastAsiaTheme="minorHAnsi"/>
          <w:b/>
          <w:bCs/>
          <w:snapToGrid w:val="0"/>
          <w:kern w:val="22"/>
          <w:sz w:val="22"/>
          <w:szCs w:val="22"/>
          <w:lang w:val="en-GB"/>
        </w:rPr>
        <w:t>Sea contains 147 species of fish, at least 30 of which are diadromous, including six species of sturgeon, 18 species of Caspian herring and the Caspian salmon</w:t>
      </w:r>
      <w:r w:rsidRPr="0088780C">
        <w:rPr>
          <w:rFonts w:eastAsiaTheme="minorHAnsi"/>
          <w:snapToGrid w:val="0"/>
          <w:kern w:val="22"/>
          <w:sz w:val="22"/>
          <w:szCs w:val="22"/>
          <w:lang w:val="en-GB"/>
        </w:rPr>
        <w:t xml:space="preserve">. Most of the sturgeon species present in the Caspian comprise genetically distinct sub-populations. Three sub-populations of Beluga sturgeon (H. </w:t>
      </w:r>
      <w:r w:rsidRPr="0088780C">
        <w:rPr>
          <w:rFonts w:eastAsiaTheme="minorHAnsi"/>
          <w:i/>
          <w:iCs/>
          <w:snapToGrid w:val="0"/>
          <w:kern w:val="22"/>
          <w:sz w:val="22"/>
          <w:szCs w:val="22"/>
          <w:lang w:val="en-GB"/>
        </w:rPr>
        <w:t xml:space="preserve">huso) </w:t>
      </w:r>
      <w:r w:rsidRPr="0088780C">
        <w:rPr>
          <w:rFonts w:eastAsiaTheme="minorHAnsi"/>
          <w:snapToGrid w:val="0"/>
          <w:kern w:val="22"/>
          <w:sz w:val="22"/>
          <w:szCs w:val="22"/>
          <w:lang w:val="en-GB"/>
        </w:rPr>
        <w:t xml:space="preserve">have been identified. Northern and southern populations of </w:t>
      </w:r>
      <w:r w:rsidRPr="0088780C">
        <w:rPr>
          <w:rFonts w:eastAsiaTheme="minorHAnsi"/>
          <w:i/>
          <w:iCs/>
          <w:snapToGrid w:val="0"/>
          <w:kern w:val="22"/>
          <w:sz w:val="22"/>
          <w:szCs w:val="22"/>
          <w:lang w:val="en-GB"/>
        </w:rPr>
        <w:t xml:space="preserve">Acipencer stallatus </w:t>
      </w:r>
      <w:r w:rsidRPr="0088780C">
        <w:rPr>
          <w:rFonts w:eastAsiaTheme="minorHAnsi"/>
          <w:snapToGrid w:val="0"/>
          <w:kern w:val="22"/>
          <w:sz w:val="22"/>
          <w:szCs w:val="22"/>
          <w:lang w:val="en-GB"/>
        </w:rPr>
        <w:t xml:space="preserve">are genetically distinct from each other and have distinct spawning periods in spring and winter. A distinct population of the Persian Sturgeon </w:t>
      </w:r>
      <w:r w:rsidRPr="0088780C">
        <w:rPr>
          <w:rFonts w:eastAsiaTheme="minorHAnsi"/>
          <w:i/>
          <w:iCs/>
          <w:snapToGrid w:val="0"/>
          <w:kern w:val="22"/>
          <w:sz w:val="22"/>
          <w:szCs w:val="22"/>
          <w:lang w:val="en-GB"/>
        </w:rPr>
        <w:t>A. persicus</w:t>
      </w:r>
      <w:r w:rsidRPr="0088780C">
        <w:rPr>
          <w:rFonts w:eastAsiaTheme="minorHAnsi"/>
          <w:snapToGrid w:val="0"/>
          <w:kern w:val="22"/>
          <w:sz w:val="22"/>
          <w:szCs w:val="22"/>
          <w:lang w:val="en-GB"/>
        </w:rPr>
        <w:t xml:space="preserve"> exists in the southern part of the Sea. Different populations of Russian sturgeon (A. </w:t>
      </w:r>
      <w:r w:rsidRPr="0088780C">
        <w:rPr>
          <w:rFonts w:eastAsiaTheme="minorHAnsi"/>
          <w:i/>
          <w:iCs/>
          <w:snapToGrid w:val="0"/>
          <w:kern w:val="22"/>
          <w:sz w:val="22"/>
          <w:szCs w:val="22"/>
          <w:lang w:val="en-GB"/>
        </w:rPr>
        <w:t xml:space="preserve">gueldenstaedti) </w:t>
      </w:r>
      <w:r w:rsidRPr="0088780C">
        <w:rPr>
          <w:rFonts w:eastAsiaTheme="minorHAnsi"/>
          <w:snapToGrid w:val="0"/>
          <w:kern w:val="22"/>
          <w:sz w:val="22"/>
          <w:szCs w:val="22"/>
          <w:lang w:val="en-GB"/>
        </w:rPr>
        <w:t xml:space="preserve">have also been identified. The Caspian contains more than 90% of the world’s sturgeon resources. All five species present in the Caspian are classified as </w:t>
      </w:r>
      <w:r w:rsidRPr="0088780C">
        <w:rPr>
          <w:rFonts w:eastAsiaTheme="minorHAnsi"/>
          <w:bCs/>
          <w:snapToGrid w:val="0"/>
          <w:kern w:val="22"/>
          <w:sz w:val="22"/>
          <w:szCs w:val="22"/>
          <w:lang w:val="en-GB"/>
        </w:rPr>
        <w:t>Endangered</w:t>
      </w:r>
      <w:r w:rsidRPr="0088780C">
        <w:rPr>
          <w:rFonts w:eastAsiaTheme="minorHAnsi"/>
          <w:snapToGrid w:val="0"/>
          <w:kern w:val="22"/>
          <w:sz w:val="22"/>
          <w:szCs w:val="22"/>
          <w:lang w:val="en-GB"/>
        </w:rPr>
        <w:t xml:space="preserve"> on the IUCN Red List. The genetically distinct populations of Caspian salmon (S. </w:t>
      </w:r>
      <w:r w:rsidRPr="0088780C">
        <w:rPr>
          <w:rFonts w:eastAsiaTheme="minorHAnsi"/>
          <w:i/>
          <w:iCs/>
          <w:snapToGrid w:val="0"/>
          <w:kern w:val="22"/>
          <w:sz w:val="22"/>
          <w:szCs w:val="22"/>
          <w:lang w:val="en-GB"/>
        </w:rPr>
        <w:t xml:space="preserve">trutta caspius) </w:t>
      </w:r>
      <w:r w:rsidRPr="0088780C">
        <w:rPr>
          <w:rFonts w:eastAsiaTheme="minorHAnsi"/>
          <w:snapToGrid w:val="0"/>
          <w:kern w:val="22"/>
          <w:sz w:val="22"/>
          <w:szCs w:val="22"/>
          <w:lang w:val="en-GB"/>
        </w:rPr>
        <w:t xml:space="preserve">are also likely to exist. Three species of kilka also support important fisheries: the </w:t>
      </w:r>
      <w:r w:rsidR="002E1E36" w:rsidRPr="0088780C">
        <w:rPr>
          <w:rFonts w:eastAsiaTheme="minorHAnsi"/>
          <w:snapToGrid w:val="0"/>
          <w:kern w:val="22"/>
          <w:sz w:val="22"/>
          <w:szCs w:val="22"/>
          <w:lang w:val="en-GB"/>
        </w:rPr>
        <w:t>c</w:t>
      </w:r>
      <w:r w:rsidRPr="0088780C">
        <w:rPr>
          <w:rFonts w:eastAsiaTheme="minorHAnsi"/>
          <w:snapToGrid w:val="0"/>
          <w:kern w:val="22"/>
          <w:sz w:val="22"/>
          <w:szCs w:val="22"/>
          <w:lang w:val="en-GB"/>
        </w:rPr>
        <w:t xml:space="preserve">ommon kilka (Clupeonella </w:t>
      </w:r>
      <w:r w:rsidRPr="0088780C">
        <w:rPr>
          <w:rFonts w:eastAsiaTheme="minorHAnsi"/>
          <w:i/>
          <w:iCs/>
          <w:snapToGrid w:val="0"/>
          <w:kern w:val="22"/>
          <w:sz w:val="22"/>
          <w:szCs w:val="22"/>
          <w:lang w:val="en-GB"/>
        </w:rPr>
        <w:t xml:space="preserve">cultriventris caspia); </w:t>
      </w:r>
      <w:r w:rsidRPr="0088780C">
        <w:rPr>
          <w:rFonts w:eastAsiaTheme="minorHAnsi"/>
          <w:snapToGrid w:val="0"/>
          <w:kern w:val="22"/>
          <w:sz w:val="22"/>
          <w:szCs w:val="22"/>
          <w:lang w:val="en-GB"/>
        </w:rPr>
        <w:t xml:space="preserve">the </w:t>
      </w:r>
      <w:r w:rsidR="002E1E36" w:rsidRPr="0088780C">
        <w:rPr>
          <w:rFonts w:eastAsiaTheme="minorHAnsi"/>
          <w:snapToGrid w:val="0"/>
          <w:kern w:val="22"/>
          <w:sz w:val="22"/>
          <w:szCs w:val="22"/>
          <w:lang w:val="en-GB"/>
        </w:rPr>
        <w:t>b</w:t>
      </w:r>
      <w:r w:rsidRPr="0088780C">
        <w:rPr>
          <w:rFonts w:eastAsiaTheme="minorHAnsi"/>
          <w:snapToGrid w:val="0"/>
          <w:kern w:val="22"/>
          <w:sz w:val="22"/>
          <w:szCs w:val="22"/>
          <w:lang w:val="en-GB"/>
        </w:rPr>
        <w:t xml:space="preserve">ig-eye kilka (Clupeonella </w:t>
      </w:r>
      <w:r w:rsidRPr="0088780C">
        <w:rPr>
          <w:rFonts w:eastAsiaTheme="minorHAnsi"/>
          <w:i/>
          <w:iCs/>
          <w:snapToGrid w:val="0"/>
          <w:kern w:val="22"/>
          <w:sz w:val="22"/>
          <w:szCs w:val="22"/>
          <w:lang w:val="en-GB"/>
        </w:rPr>
        <w:t xml:space="preserve">grimmi) </w:t>
      </w:r>
      <w:r w:rsidRPr="0088780C">
        <w:rPr>
          <w:rFonts w:eastAsiaTheme="minorHAnsi"/>
          <w:snapToGrid w:val="0"/>
          <w:kern w:val="22"/>
          <w:sz w:val="22"/>
          <w:szCs w:val="22"/>
          <w:lang w:val="en-GB"/>
        </w:rPr>
        <w:t xml:space="preserve">and the anchovy kilka (Clupeonella </w:t>
      </w:r>
      <w:r w:rsidRPr="0088780C">
        <w:rPr>
          <w:rFonts w:eastAsiaTheme="minorHAnsi"/>
          <w:i/>
          <w:iCs/>
          <w:snapToGrid w:val="0"/>
          <w:kern w:val="22"/>
          <w:sz w:val="22"/>
          <w:szCs w:val="22"/>
          <w:lang w:val="en-GB"/>
        </w:rPr>
        <w:t xml:space="preserve">engrauliformes). </w:t>
      </w:r>
      <w:r w:rsidRPr="0088780C">
        <w:rPr>
          <w:snapToGrid w:val="0"/>
          <w:color w:val="auto"/>
          <w:kern w:val="22"/>
          <w:sz w:val="22"/>
          <w:szCs w:val="22"/>
          <w:lang w:val="en-GB"/>
        </w:rPr>
        <w:t>There are also 18 species and subspecies of herring in the Caspian</w:t>
      </w:r>
      <w:r w:rsidR="002E1E36" w:rsidRPr="0088780C">
        <w:rPr>
          <w:snapToGrid w:val="0"/>
          <w:color w:val="auto"/>
          <w:kern w:val="22"/>
          <w:sz w:val="22"/>
          <w:szCs w:val="22"/>
          <w:lang w:val="en-GB"/>
        </w:rPr>
        <w:t>,</w:t>
      </w:r>
      <w:r w:rsidRPr="0088780C">
        <w:rPr>
          <w:snapToGrid w:val="0"/>
          <w:color w:val="auto"/>
          <w:kern w:val="22"/>
          <w:sz w:val="22"/>
          <w:szCs w:val="22"/>
          <w:lang w:val="en-GB"/>
        </w:rPr>
        <w:t xml:space="preserve"> of which two are anadromous, spawning mainly in the Volga River: the black-backed shad (Alosa </w:t>
      </w:r>
      <w:r w:rsidRPr="0088780C">
        <w:rPr>
          <w:i/>
          <w:iCs/>
          <w:snapToGrid w:val="0"/>
          <w:color w:val="auto"/>
          <w:kern w:val="22"/>
          <w:sz w:val="22"/>
          <w:szCs w:val="22"/>
          <w:lang w:val="en-GB"/>
        </w:rPr>
        <w:t xml:space="preserve">kessleri kessleri) </w:t>
      </w:r>
      <w:r w:rsidRPr="0088780C">
        <w:rPr>
          <w:snapToGrid w:val="0"/>
          <w:color w:val="auto"/>
          <w:kern w:val="22"/>
          <w:sz w:val="22"/>
          <w:szCs w:val="22"/>
          <w:lang w:val="en-GB"/>
        </w:rPr>
        <w:t>and the Volga shad (</w:t>
      </w:r>
      <w:r w:rsidRPr="0088780C">
        <w:rPr>
          <w:i/>
          <w:iCs/>
          <w:snapToGrid w:val="0"/>
          <w:color w:val="auto"/>
          <w:kern w:val="22"/>
          <w:sz w:val="22"/>
          <w:szCs w:val="22"/>
          <w:lang w:val="en-GB"/>
        </w:rPr>
        <w:t xml:space="preserve">Alosa volgensis). </w:t>
      </w:r>
      <w:r w:rsidRPr="0088780C">
        <w:rPr>
          <w:snapToGrid w:val="0"/>
          <w:color w:val="auto"/>
          <w:kern w:val="22"/>
          <w:sz w:val="22"/>
          <w:szCs w:val="22"/>
          <w:lang w:val="en-GB"/>
        </w:rPr>
        <w:t>The black-backed shad is now the only commercially important species whose spawning grounds are located in the lower stretches of the Volga River below the dams (SOE 2010).</w:t>
      </w:r>
    </w:p>
    <w:p w14:paraId="3558C463" w14:textId="635030B6" w:rsidR="00345301" w:rsidRPr="0088780C" w:rsidRDefault="00345301" w:rsidP="001013AF">
      <w:pPr>
        <w:pStyle w:val="Default"/>
        <w:widowControl/>
        <w:suppressLineNumbers/>
        <w:suppressAutoHyphens/>
        <w:kinsoku w:val="0"/>
        <w:overflowPunct w:val="0"/>
        <w:jc w:val="both"/>
        <w:rPr>
          <w:snapToGrid w:val="0"/>
          <w:color w:val="auto"/>
          <w:kern w:val="22"/>
          <w:sz w:val="22"/>
          <w:szCs w:val="22"/>
          <w:lang w:val="en-GB"/>
        </w:rPr>
      </w:pPr>
      <w:r w:rsidRPr="0088780C">
        <w:rPr>
          <w:b/>
          <w:bCs/>
          <w:snapToGrid w:val="0"/>
          <w:color w:val="auto"/>
          <w:kern w:val="22"/>
          <w:sz w:val="22"/>
          <w:szCs w:val="22"/>
          <w:lang w:val="en-GB"/>
        </w:rPr>
        <w:t>9.</w:t>
      </w:r>
      <w:r w:rsidRPr="0088780C">
        <w:rPr>
          <w:b/>
          <w:bCs/>
          <w:snapToGrid w:val="0"/>
          <w:color w:val="auto"/>
          <w:kern w:val="22"/>
          <w:sz w:val="22"/>
          <w:szCs w:val="22"/>
          <w:lang w:val="en-GB"/>
        </w:rPr>
        <w:tab/>
        <w:t>Nearly every commercial fishery for anadromous species in the Caspian has essentially collapsed.</w:t>
      </w:r>
      <w:r w:rsidRPr="0088780C">
        <w:rPr>
          <w:snapToGrid w:val="0"/>
          <w:color w:val="auto"/>
          <w:kern w:val="22"/>
          <w:sz w:val="22"/>
          <w:szCs w:val="22"/>
          <w:lang w:val="en-GB"/>
        </w:rPr>
        <w:t xml:space="preserve"> Landings of sturgeon (all five species) declined by 95% from 16,500 tonnes to 500 tonnes between 1990 and 2010. The Caspian </w:t>
      </w:r>
      <w:r w:rsidR="002E1E36" w:rsidRPr="0088780C">
        <w:rPr>
          <w:snapToGrid w:val="0"/>
          <w:color w:val="auto"/>
          <w:kern w:val="22"/>
          <w:sz w:val="22"/>
          <w:szCs w:val="22"/>
          <w:lang w:val="en-GB"/>
        </w:rPr>
        <w:t>s</w:t>
      </w:r>
      <w:r w:rsidRPr="0088780C">
        <w:rPr>
          <w:snapToGrid w:val="0"/>
          <w:color w:val="auto"/>
          <w:kern w:val="22"/>
          <w:sz w:val="22"/>
          <w:szCs w:val="22"/>
          <w:lang w:val="en-GB"/>
        </w:rPr>
        <w:t>almon, once caught in commercial quantities</w:t>
      </w:r>
      <w:r w:rsidR="002E1E36" w:rsidRPr="0088780C">
        <w:rPr>
          <w:snapToGrid w:val="0"/>
          <w:color w:val="auto"/>
          <w:kern w:val="22"/>
          <w:sz w:val="22"/>
          <w:szCs w:val="22"/>
          <w:lang w:val="en-GB"/>
        </w:rPr>
        <w:t>,</w:t>
      </w:r>
      <w:r w:rsidRPr="0088780C">
        <w:rPr>
          <w:snapToGrid w:val="0"/>
          <w:color w:val="auto"/>
          <w:kern w:val="22"/>
          <w:sz w:val="22"/>
          <w:szCs w:val="22"/>
          <w:lang w:val="en-GB"/>
        </w:rPr>
        <w:t xml:space="preserve"> now barely survives in extremely small numbers (TDA, 2007, Khodorevskaya, 2012). Between 1980 and 2000, 55-70 million sturgeon fingerlings were released into the Volga River alone. In the late 1990s Azerbaijan and Iran together released up to 45 million in any one year. However, these efforts did not halt the decline in the fishery. </w:t>
      </w:r>
      <w:r w:rsidRPr="0088780C">
        <w:rPr>
          <w:snapToGrid w:val="0"/>
          <w:color w:val="auto"/>
          <w:kern w:val="22"/>
          <w:sz w:val="22"/>
          <w:szCs w:val="22"/>
          <w:shd w:val="clear" w:color="auto" w:fill="FFFFFF"/>
          <w:lang w:val="en-GB"/>
        </w:rPr>
        <w:t xml:space="preserve">Three species of kilka </w:t>
      </w:r>
      <w:r w:rsidRPr="0088780C">
        <w:rPr>
          <w:b/>
          <w:snapToGrid w:val="0"/>
          <w:color w:val="auto"/>
          <w:kern w:val="22"/>
          <w:sz w:val="22"/>
          <w:szCs w:val="22"/>
          <w:shd w:val="clear" w:color="auto" w:fill="FFFFFF"/>
          <w:lang w:val="en-GB"/>
        </w:rPr>
        <w:t>(</w:t>
      </w:r>
      <w:r w:rsidRPr="0088780C">
        <w:rPr>
          <w:rStyle w:val="Emphasis"/>
          <w:b w:val="0"/>
          <w:snapToGrid w:val="0"/>
          <w:color w:val="auto"/>
          <w:kern w:val="22"/>
          <w:sz w:val="22"/>
          <w:szCs w:val="22"/>
          <w:bdr w:val="none" w:sz="0" w:space="0" w:color="auto" w:frame="1"/>
          <w:shd w:val="clear" w:color="auto" w:fill="FFFFFF"/>
          <w:lang w:val="en-GB"/>
        </w:rPr>
        <w:t>Clupeonella</w:t>
      </w:r>
      <w:r w:rsidRPr="0088780C">
        <w:rPr>
          <w:rStyle w:val="apple-converted-space"/>
          <w:snapToGrid w:val="0"/>
          <w:color w:val="auto"/>
          <w:kern w:val="22"/>
          <w:sz w:val="22"/>
          <w:szCs w:val="22"/>
          <w:shd w:val="clear" w:color="auto" w:fill="FFFFFF"/>
          <w:lang w:val="en-GB"/>
        </w:rPr>
        <w:t> </w:t>
      </w:r>
      <w:r w:rsidRPr="0088780C">
        <w:rPr>
          <w:snapToGrid w:val="0"/>
          <w:color w:val="auto"/>
          <w:kern w:val="22"/>
          <w:sz w:val="22"/>
          <w:szCs w:val="22"/>
          <w:shd w:val="clear" w:color="auto" w:fill="FFFFFF"/>
          <w:lang w:val="en-GB"/>
        </w:rPr>
        <w:t>spp.) in the Caspian Sea are important commercially, accounting in the past decade for more than 80% of the total catch, as well as being a crucial part of the food chain. Their sustainable management is vital to the fisheries and to the ecosystem health of the Caspian basin.</w:t>
      </w:r>
      <w:r w:rsidRPr="0088780C">
        <w:rPr>
          <w:rStyle w:val="apple-converted-space"/>
          <w:snapToGrid w:val="0"/>
          <w:color w:val="auto"/>
          <w:kern w:val="22"/>
          <w:sz w:val="22"/>
          <w:szCs w:val="22"/>
          <w:shd w:val="clear" w:color="auto" w:fill="FFFFFF"/>
          <w:lang w:val="en-GB"/>
        </w:rPr>
        <w:t> </w:t>
      </w:r>
      <w:r w:rsidRPr="0088780C">
        <w:rPr>
          <w:snapToGrid w:val="0"/>
          <w:color w:val="auto"/>
          <w:kern w:val="22"/>
          <w:sz w:val="22"/>
          <w:szCs w:val="22"/>
          <w:lang w:val="en-GB"/>
        </w:rPr>
        <w:t>Iranian, Azerbaijan and Russian kilka catches also plummeted strikingly from 1999 to 2005 (Kideys et al. 2005, Mamedov, 2006, Daskalov, Mamedov, 2007). Catches of kilka have further declined 84% between 2003 and 2007. Concern over the collapse of these important fisheries during the past three decades and the loss of biodiversity and ecosystem resilience is a concern both for the region and internationally.</w:t>
      </w:r>
      <w:r w:rsidR="00F34B82" w:rsidRPr="0088780C">
        <w:rPr>
          <w:snapToGrid w:val="0"/>
          <w:color w:val="auto"/>
          <w:kern w:val="22"/>
          <w:sz w:val="22"/>
          <w:szCs w:val="22"/>
          <w:lang w:val="en-GB"/>
        </w:rPr>
        <w:t xml:space="preserve"> </w:t>
      </w:r>
    </w:p>
    <w:p w14:paraId="366C5517" w14:textId="4A3EF627" w:rsidR="00345301" w:rsidRPr="0088780C" w:rsidRDefault="00345301" w:rsidP="001013AF">
      <w:pPr>
        <w:pStyle w:val="Default"/>
        <w:widowControl/>
        <w:suppressLineNumbers/>
        <w:suppressAutoHyphens/>
        <w:kinsoku w:val="0"/>
        <w:overflowPunct w:val="0"/>
        <w:jc w:val="both"/>
        <w:rPr>
          <w:snapToGrid w:val="0"/>
          <w:color w:val="auto"/>
          <w:kern w:val="22"/>
          <w:sz w:val="22"/>
          <w:szCs w:val="22"/>
          <w:lang w:val="en-GB"/>
        </w:rPr>
      </w:pPr>
      <w:r w:rsidRPr="0088780C">
        <w:rPr>
          <w:b/>
          <w:bCs/>
          <w:snapToGrid w:val="0"/>
          <w:color w:val="auto"/>
          <w:kern w:val="22"/>
          <w:sz w:val="22"/>
          <w:szCs w:val="22"/>
          <w:lang w:val="en-GB"/>
        </w:rPr>
        <w:t>10.</w:t>
      </w:r>
      <w:r w:rsidRPr="0088780C">
        <w:rPr>
          <w:b/>
          <w:bCs/>
          <w:snapToGrid w:val="0"/>
          <w:color w:val="auto"/>
          <w:kern w:val="22"/>
          <w:sz w:val="22"/>
          <w:szCs w:val="22"/>
          <w:lang w:val="en-GB"/>
        </w:rPr>
        <w:tab/>
        <w:t>The Caspian Sea is highly susceptible to invasions of alien species</w:t>
      </w:r>
      <w:r w:rsidRPr="0088780C">
        <w:rPr>
          <w:snapToGrid w:val="0"/>
          <w:color w:val="auto"/>
          <w:kern w:val="22"/>
          <w:sz w:val="22"/>
          <w:szCs w:val="22"/>
          <w:lang w:val="en-GB"/>
        </w:rPr>
        <w:t xml:space="preserve">. As the Caspian Sea has been </w:t>
      </w:r>
      <w:r w:rsidR="003D53EF" w:rsidRPr="0088780C">
        <w:rPr>
          <w:snapToGrid w:val="0"/>
          <w:color w:val="auto"/>
          <w:kern w:val="22"/>
          <w:sz w:val="22"/>
          <w:szCs w:val="22"/>
          <w:lang w:val="en-GB"/>
        </w:rPr>
        <w:t xml:space="preserve">isolated for a </w:t>
      </w:r>
      <w:r w:rsidRPr="0088780C">
        <w:rPr>
          <w:snapToGrid w:val="0"/>
          <w:color w:val="auto"/>
          <w:kern w:val="22"/>
          <w:sz w:val="22"/>
          <w:szCs w:val="22"/>
          <w:lang w:val="en-GB"/>
        </w:rPr>
        <w:t xml:space="preserve">long time, invasions of alien species has a dramatic impact on the ecosystem (36 established </w:t>
      </w:r>
      <w:r w:rsidR="003D53EF" w:rsidRPr="0088780C">
        <w:rPr>
          <w:snapToGrid w:val="0"/>
          <w:color w:val="auto"/>
          <w:kern w:val="22"/>
          <w:sz w:val="22"/>
          <w:szCs w:val="22"/>
          <w:lang w:val="en-GB"/>
        </w:rPr>
        <w:t>invasive alien</w:t>
      </w:r>
      <w:r w:rsidRPr="0088780C">
        <w:rPr>
          <w:snapToGrid w:val="0"/>
          <w:color w:val="auto"/>
          <w:kern w:val="22"/>
          <w:sz w:val="22"/>
          <w:szCs w:val="22"/>
          <w:lang w:val="en-GB"/>
        </w:rPr>
        <w:t xml:space="preserve"> species; Karpinsky, 2010). </w:t>
      </w:r>
      <w:r w:rsidR="003D53EF" w:rsidRPr="0088780C">
        <w:rPr>
          <w:snapToGrid w:val="0"/>
          <w:color w:val="auto"/>
          <w:kern w:val="22"/>
          <w:sz w:val="22"/>
          <w:szCs w:val="22"/>
          <w:lang w:val="en-GB"/>
        </w:rPr>
        <w:t>The</w:t>
      </w:r>
      <w:r w:rsidRPr="0088780C">
        <w:rPr>
          <w:snapToGrid w:val="0"/>
          <w:color w:val="auto"/>
          <w:kern w:val="22"/>
          <w:sz w:val="22"/>
          <w:szCs w:val="22"/>
          <w:lang w:val="en-GB"/>
        </w:rPr>
        <w:t xml:space="preserve"> unique dynamic nature of the Caspian Sea allowed for partial adjust</w:t>
      </w:r>
      <w:r w:rsidR="003D53EF" w:rsidRPr="0088780C">
        <w:rPr>
          <w:snapToGrid w:val="0"/>
          <w:color w:val="auto"/>
          <w:kern w:val="22"/>
          <w:sz w:val="22"/>
          <w:szCs w:val="22"/>
          <w:lang w:val="en-GB"/>
        </w:rPr>
        <w:t>ment</w:t>
      </w:r>
      <w:r w:rsidRPr="0088780C">
        <w:rPr>
          <w:snapToGrid w:val="0"/>
          <w:color w:val="auto"/>
          <w:kern w:val="22"/>
          <w:sz w:val="22"/>
          <w:szCs w:val="22"/>
          <w:lang w:val="en-GB"/>
        </w:rPr>
        <w:t xml:space="preserve"> to new conditions but biological invasions along with climate change and sea level variation remain the major global factors that make Caspian Sea biodiversity particularly vulnerable.</w:t>
      </w:r>
    </w:p>
    <w:p w14:paraId="75091118" w14:textId="77777777" w:rsidR="00345301" w:rsidRPr="0088780C" w:rsidRDefault="00345301" w:rsidP="001013AF">
      <w:pPr>
        <w:pStyle w:val="Default"/>
        <w:widowControl/>
        <w:suppressLineNumbers/>
        <w:suppressAutoHyphens/>
        <w:kinsoku w:val="0"/>
        <w:overflowPunct w:val="0"/>
        <w:rPr>
          <w:b/>
          <w:snapToGrid w:val="0"/>
          <w:color w:val="auto"/>
          <w:kern w:val="22"/>
          <w:sz w:val="22"/>
          <w:szCs w:val="22"/>
          <w:lang w:val="en-GB"/>
        </w:rPr>
      </w:pPr>
    </w:p>
    <w:p w14:paraId="77E1B954" w14:textId="77777777" w:rsidR="00345301" w:rsidRPr="0088780C" w:rsidRDefault="00345301" w:rsidP="001013AF">
      <w:pPr>
        <w:pStyle w:val="Default"/>
        <w:widowControl/>
        <w:suppressLineNumbers/>
        <w:suppressAutoHyphens/>
        <w:kinsoku w:val="0"/>
        <w:overflowPunct w:val="0"/>
        <w:rPr>
          <w:b/>
          <w:snapToGrid w:val="0"/>
          <w:color w:val="auto"/>
          <w:kern w:val="22"/>
          <w:sz w:val="22"/>
          <w:szCs w:val="22"/>
          <w:lang w:val="en-GB"/>
        </w:rPr>
      </w:pPr>
      <w:r w:rsidRPr="0088780C">
        <w:rPr>
          <w:b/>
          <w:snapToGrid w:val="0"/>
          <w:color w:val="auto"/>
          <w:kern w:val="22"/>
          <w:sz w:val="22"/>
          <w:szCs w:val="22"/>
          <w:lang w:val="en-GB"/>
        </w:rPr>
        <w:t>References:</w:t>
      </w:r>
    </w:p>
    <w:p w14:paraId="298FD636" w14:textId="77777777" w:rsidR="00345301" w:rsidRPr="0088780C" w:rsidRDefault="00345301" w:rsidP="001013AF">
      <w:pPr>
        <w:pStyle w:val="Default"/>
        <w:widowControl/>
        <w:suppressLineNumbers/>
        <w:suppressAutoHyphens/>
        <w:kinsoku w:val="0"/>
        <w:overflowPunct w:val="0"/>
        <w:rPr>
          <w:snapToGrid w:val="0"/>
          <w:color w:val="auto"/>
          <w:kern w:val="22"/>
          <w:sz w:val="22"/>
          <w:szCs w:val="22"/>
          <w:lang w:val="en-GB"/>
        </w:rPr>
      </w:pPr>
    </w:p>
    <w:p w14:paraId="7E40FCE3" w14:textId="0A4517E6" w:rsidR="00345301" w:rsidRPr="0088780C" w:rsidRDefault="00345301" w:rsidP="001013AF">
      <w:pPr>
        <w:pStyle w:val="Default"/>
        <w:widowControl/>
        <w:suppressLineNumbers/>
        <w:suppressAutoHyphens/>
        <w:kinsoku w:val="0"/>
        <w:overflowPunct w:val="0"/>
        <w:spacing w:after="120"/>
        <w:rPr>
          <w:rStyle w:val="A14"/>
          <w:rFonts w:cs="Times New Roman"/>
          <w:snapToGrid w:val="0"/>
          <w:color w:val="auto"/>
          <w:kern w:val="22"/>
          <w:sz w:val="22"/>
          <w:szCs w:val="22"/>
          <w:lang w:val="en-GB"/>
        </w:rPr>
      </w:pPr>
      <w:r w:rsidRPr="0088780C">
        <w:rPr>
          <w:rStyle w:val="A14"/>
          <w:rFonts w:cs="Times New Roman"/>
          <w:snapToGrid w:val="0"/>
          <w:color w:val="auto"/>
          <w:kern w:val="22"/>
          <w:sz w:val="22"/>
          <w:szCs w:val="22"/>
          <w:lang w:val="en-GB"/>
        </w:rPr>
        <w:t>C</w:t>
      </w:r>
      <w:r w:rsidR="00B05FEF" w:rsidRPr="0088780C">
        <w:rPr>
          <w:rStyle w:val="A14"/>
          <w:rFonts w:cs="Times New Roman"/>
          <w:snapToGrid w:val="0"/>
          <w:color w:val="auto"/>
          <w:kern w:val="22"/>
          <w:sz w:val="22"/>
          <w:szCs w:val="22"/>
          <w:lang w:val="en-GB"/>
        </w:rPr>
        <w:t xml:space="preserve">aspian </w:t>
      </w:r>
      <w:r w:rsidRPr="0088780C">
        <w:rPr>
          <w:rStyle w:val="A14"/>
          <w:rFonts w:cs="Times New Roman"/>
          <w:snapToGrid w:val="0"/>
          <w:color w:val="auto"/>
          <w:kern w:val="22"/>
          <w:sz w:val="22"/>
          <w:szCs w:val="22"/>
          <w:lang w:val="en-GB"/>
        </w:rPr>
        <w:t>E</w:t>
      </w:r>
      <w:r w:rsidR="00B05FEF" w:rsidRPr="0088780C">
        <w:rPr>
          <w:rStyle w:val="A14"/>
          <w:rFonts w:cs="Times New Roman"/>
          <w:snapToGrid w:val="0"/>
          <w:color w:val="auto"/>
          <w:kern w:val="22"/>
          <w:sz w:val="22"/>
          <w:szCs w:val="22"/>
          <w:lang w:val="en-GB"/>
        </w:rPr>
        <w:t xml:space="preserve">nvironment </w:t>
      </w:r>
      <w:r w:rsidRPr="0088780C">
        <w:rPr>
          <w:rStyle w:val="A14"/>
          <w:rFonts w:cs="Times New Roman"/>
          <w:snapToGrid w:val="0"/>
          <w:color w:val="auto"/>
          <w:kern w:val="22"/>
          <w:sz w:val="22"/>
          <w:szCs w:val="22"/>
          <w:lang w:val="en-GB"/>
        </w:rPr>
        <w:t>P</w:t>
      </w:r>
      <w:r w:rsidR="00B05FEF" w:rsidRPr="0088780C">
        <w:rPr>
          <w:rStyle w:val="A14"/>
          <w:rFonts w:cs="Times New Roman"/>
          <w:snapToGrid w:val="0"/>
          <w:color w:val="auto"/>
          <w:kern w:val="22"/>
          <w:sz w:val="22"/>
          <w:szCs w:val="22"/>
          <w:lang w:val="en-GB"/>
        </w:rPr>
        <w:t xml:space="preserve">rogramme (CEP). </w:t>
      </w:r>
      <w:r w:rsidRPr="0088780C">
        <w:rPr>
          <w:rStyle w:val="A14"/>
          <w:rFonts w:cs="Times New Roman"/>
          <w:snapToGrid w:val="0"/>
          <w:color w:val="auto"/>
          <w:kern w:val="22"/>
          <w:sz w:val="22"/>
          <w:szCs w:val="22"/>
          <w:lang w:val="en-GB"/>
        </w:rPr>
        <w:t xml:space="preserve">2007a. </w:t>
      </w:r>
      <w:bookmarkStart w:id="1" w:name="_Hlk485718259"/>
      <w:r w:rsidRPr="0088780C">
        <w:rPr>
          <w:rStyle w:val="A14"/>
          <w:rFonts w:cs="Times New Roman"/>
          <w:snapToGrid w:val="0"/>
          <w:color w:val="auto"/>
          <w:kern w:val="22"/>
          <w:sz w:val="22"/>
          <w:szCs w:val="22"/>
          <w:lang w:val="en-GB"/>
        </w:rPr>
        <w:t>Transboundary Diagnostic Analysis Re</w:t>
      </w:r>
      <w:r w:rsidRPr="0088780C">
        <w:rPr>
          <w:rStyle w:val="A14"/>
          <w:rFonts w:cs="Times New Roman"/>
          <w:snapToGrid w:val="0"/>
          <w:color w:val="auto"/>
          <w:kern w:val="22"/>
          <w:sz w:val="22"/>
          <w:szCs w:val="22"/>
          <w:lang w:val="en-GB"/>
        </w:rPr>
        <w:softHyphen/>
        <w:t>visit</w:t>
      </w:r>
      <w:bookmarkEnd w:id="1"/>
      <w:r w:rsidRPr="0088780C">
        <w:rPr>
          <w:rStyle w:val="A14"/>
          <w:rFonts w:cs="Times New Roman"/>
          <w:snapToGrid w:val="0"/>
          <w:color w:val="auto"/>
          <w:kern w:val="22"/>
          <w:sz w:val="22"/>
          <w:szCs w:val="22"/>
          <w:lang w:val="en-GB"/>
        </w:rPr>
        <w:t>, (last accessed 05 November 2010)</w:t>
      </w:r>
    </w:p>
    <w:p w14:paraId="1E327BC4" w14:textId="77777777" w:rsidR="00345301" w:rsidRPr="0088780C" w:rsidRDefault="00345301" w:rsidP="001013AF">
      <w:pPr>
        <w:pStyle w:val="Default"/>
        <w:widowControl/>
        <w:suppressLineNumbers/>
        <w:shd w:val="clear" w:color="auto" w:fill="FFFFFF" w:themeFill="background1"/>
        <w:suppressAutoHyphens/>
        <w:kinsoku w:val="0"/>
        <w:overflowPunct w:val="0"/>
        <w:spacing w:after="120"/>
        <w:rPr>
          <w:snapToGrid w:val="0"/>
          <w:color w:val="auto"/>
          <w:kern w:val="22"/>
          <w:sz w:val="22"/>
          <w:szCs w:val="22"/>
          <w:shd w:val="clear" w:color="auto" w:fill="EFF2F7"/>
          <w:lang w:val="en-GB"/>
        </w:rPr>
      </w:pPr>
      <w:r w:rsidRPr="0088780C">
        <w:rPr>
          <w:snapToGrid w:val="0"/>
          <w:color w:val="auto"/>
          <w:kern w:val="22"/>
          <w:sz w:val="22"/>
          <w:szCs w:val="22"/>
          <w:shd w:val="clear" w:color="auto" w:fill="FFFFFF" w:themeFill="background1"/>
          <w:lang w:val="en-GB"/>
        </w:rPr>
        <w:t>Daskalov, G. M., and Mamedov, E. V. 2007. Integrated fisheries assessment and possible causes for the collapse of anchovy kilka in the Caspian Sea. – ICES Journal of Marine Science, 64: 503–511</w:t>
      </w:r>
    </w:p>
    <w:p w14:paraId="782DFAA3" w14:textId="77777777" w:rsidR="00345301" w:rsidRPr="0088780C" w:rsidRDefault="00345301" w:rsidP="001013AF">
      <w:pPr>
        <w:pStyle w:val="Default"/>
        <w:widowControl/>
        <w:suppressLineNumbers/>
        <w:shd w:val="clear" w:color="auto" w:fill="FFFFFF" w:themeFill="background1"/>
        <w:suppressAutoHyphens/>
        <w:kinsoku w:val="0"/>
        <w:overflowPunct w:val="0"/>
        <w:spacing w:after="120"/>
        <w:rPr>
          <w:snapToGrid w:val="0"/>
          <w:color w:val="auto"/>
          <w:kern w:val="22"/>
          <w:sz w:val="22"/>
          <w:szCs w:val="22"/>
          <w:shd w:val="clear" w:color="auto" w:fill="FFFFFF"/>
          <w:lang w:val="en-GB"/>
        </w:rPr>
      </w:pPr>
      <w:r w:rsidRPr="0088780C">
        <w:rPr>
          <w:snapToGrid w:val="0"/>
          <w:color w:val="auto"/>
          <w:kern w:val="22"/>
          <w:sz w:val="22"/>
          <w:szCs w:val="22"/>
          <w:shd w:val="clear" w:color="auto" w:fill="FFFFFF"/>
          <w:lang w:val="en-GB"/>
        </w:rPr>
        <w:t>Daskalov, G. M., and Mamedov, E. V. 2007. Integrated fisheries assessment and possible causes for the collapse of anchovy kilka in the Caspian Sea. – ICES Journal of Marine Science, 64: 503–511.</w:t>
      </w:r>
    </w:p>
    <w:p w14:paraId="59667F6D" w14:textId="77777777" w:rsidR="00345301" w:rsidRPr="0088780C" w:rsidRDefault="00345301" w:rsidP="001013AF">
      <w:pPr>
        <w:pStyle w:val="Default"/>
        <w:widowControl/>
        <w:suppressLineNumbers/>
        <w:shd w:val="clear" w:color="auto" w:fill="FFFFFF" w:themeFill="background1"/>
        <w:suppressAutoHyphens/>
        <w:kinsoku w:val="0"/>
        <w:overflowPunct w:val="0"/>
        <w:spacing w:after="120"/>
        <w:rPr>
          <w:snapToGrid w:val="0"/>
          <w:color w:val="auto"/>
          <w:kern w:val="22"/>
          <w:sz w:val="22"/>
          <w:szCs w:val="22"/>
          <w:shd w:val="clear" w:color="auto" w:fill="FFFFFF"/>
          <w:lang w:val="en-GB"/>
        </w:rPr>
      </w:pPr>
      <w:r w:rsidRPr="0088780C">
        <w:rPr>
          <w:snapToGrid w:val="0"/>
          <w:color w:val="auto"/>
          <w:kern w:val="22"/>
          <w:sz w:val="22"/>
          <w:szCs w:val="22"/>
          <w:shd w:val="clear" w:color="auto" w:fill="FFFFFF"/>
          <w:lang w:val="en-GB"/>
        </w:rPr>
        <w:t>Karpinsky, M.G.2010, On Peculiarities of Introduction of Marine Species into the Caspian Sea, Moscow Russia.</w:t>
      </w:r>
    </w:p>
    <w:p w14:paraId="6BCE17BD" w14:textId="77777777" w:rsidR="00345301" w:rsidRPr="0088780C" w:rsidRDefault="00345301" w:rsidP="001013AF">
      <w:pPr>
        <w:pStyle w:val="Default"/>
        <w:widowControl/>
        <w:suppressLineNumbers/>
        <w:suppressAutoHyphens/>
        <w:kinsoku w:val="0"/>
        <w:overflowPunct w:val="0"/>
        <w:spacing w:after="120"/>
        <w:rPr>
          <w:snapToGrid w:val="0"/>
          <w:color w:val="auto"/>
          <w:kern w:val="22"/>
          <w:sz w:val="22"/>
          <w:szCs w:val="22"/>
          <w:lang w:val="en-GB"/>
        </w:rPr>
      </w:pPr>
      <w:r w:rsidRPr="0088780C">
        <w:rPr>
          <w:snapToGrid w:val="0"/>
          <w:color w:val="auto"/>
          <w:kern w:val="22"/>
          <w:sz w:val="22"/>
          <w:szCs w:val="22"/>
          <w:lang w:val="en-GB"/>
        </w:rPr>
        <w:t>Kasymov, A.G. 1994. Ecology of the Caspian Sea. Baku. 238 p.</w:t>
      </w:r>
    </w:p>
    <w:p w14:paraId="0FBD6DE5" w14:textId="77777777" w:rsidR="00345301" w:rsidRPr="0088780C" w:rsidRDefault="00345301" w:rsidP="001013AF">
      <w:pPr>
        <w:pStyle w:val="Default"/>
        <w:widowControl/>
        <w:suppressLineNumbers/>
        <w:suppressAutoHyphens/>
        <w:kinsoku w:val="0"/>
        <w:overflowPunct w:val="0"/>
        <w:spacing w:after="120"/>
        <w:rPr>
          <w:iCs/>
          <w:snapToGrid w:val="0"/>
          <w:color w:val="auto"/>
          <w:kern w:val="22"/>
          <w:sz w:val="22"/>
          <w:szCs w:val="22"/>
          <w:lang w:val="en-GB"/>
        </w:rPr>
      </w:pPr>
      <w:r w:rsidRPr="0088780C">
        <w:rPr>
          <w:snapToGrid w:val="0"/>
          <w:color w:val="auto"/>
          <w:kern w:val="22"/>
          <w:sz w:val="22"/>
          <w:szCs w:val="22"/>
          <w:lang w:val="en-GB"/>
        </w:rPr>
        <w:t xml:space="preserve">Kideys A.E., A. Roohi, S. Bagheri, G. Finenko, L. Kamburska 2005. Impacts of Invasive Ctenophores on the Fisheries of the Black Sea and Caspian Sea. </w:t>
      </w:r>
      <w:r w:rsidRPr="0088780C">
        <w:rPr>
          <w:bCs/>
          <w:i/>
          <w:snapToGrid w:val="0"/>
          <w:color w:val="auto"/>
          <w:kern w:val="22"/>
          <w:sz w:val="22"/>
          <w:szCs w:val="22"/>
          <w:lang w:val="en-GB"/>
        </w:rPr>
        <w:t>Oceanography</w:t>
      </w:r>
      <w:r w:rsidRPr="0088780C">
        <w:rPr>
          <w:i/>
          <w:snapToGrid w:val="0"/>
          <w:color w:val="auto"/>
          <w:kern w:val="22"/>
          <w:sz w:val="22"/>
          <w:szCs w:val="22"/>
          <w:lang w:val="en-GB"/>
        </w:rPr>
        <w:t xml:space="preserve">-Black Sea Special Issue, </w:t>
      </w:r>
      <w:r w:rsidRPr="0088780C">
        <w:rPr>
          <w:iCs/>
          <w:snapToGrid w:val="0"/>
          <w:color w:val="auto"/>
          <w:kern w:val="22"/>
          <w:sz w:val="22"/>
          <w:szCs w:val="22"/>
          <w:lang w:val="en-GB"/>
        </w:rPr>
        <w:t>18(2):76-85</w:t>
      </w:r>
    </w:p>
    <w:p w14:paraId="7FE68531" w14:textId="7373718E" w:rsidR="00345301" w:rsidRPr="0088780C" w:rsidRDefault="00345301" w:rsidP="001013AF">
      <w:pPr>
        <w:pStyle w:val="Default"/>
        <w:widowControl/>
        <w:suppressLineNumbers/>
        <w:suppressAutoHyphens/>
        <w:kinsoku w:val="0"/>
        <w:overflowPunct w:val="0"/>
        <w:spacing w:after="120"/>
        <w:rPr>
          <w:iCs/>
          <w:snapToGrid w:val="0"/>
          <w:color w:val="auto"/>
          <w:kern w:val="22"/>
          <w:sz w:val="22"/>
          <w:szCs w:val="22"/>
          <w:lang w:val="en-GB"/>
        </w:rPr>
      </w:pPr>
      <w:r w:rsidRPr="0088780C">
        <w:rPr>
          <w:iCs/>
          <w:snapToGrid w:val="0"/>
          <w:color w:val="auto"/>
          <w:kern w:val="22"/>
          <w:sz w:val="22"/>
          <w:szCs w:val="22"/>
          <w:lang w:val="en-GB"/>
        </w:rPr>
        <w:t xml:space="preserve">Khodorevskaya, R.P., Kalmykov, V.A., Zhilin, A.A., Current conditions of sturgeon reserves in Caspian basin and preservation measures, Vestn. Astrakh. Gos. Tekhn. Univ., Ser. Ryb. Khoz., 2012, </w:t>
      </w:r>
      <w:r w:rsidR="00F743B2" w:rsidRPr="0088780C">
        <w:rPr>
          <w:iCs/>
          <w:snapToGrid w:val="0"/>
          <w:color w:val="auto"/>
          <w:kern w:val="22"/>
          <w:sz w:val="22"/>
          <w:szCs w:val="22"/>
          <w:lang w:val="en-GB"/>
        </w:rPr>
        <w:t>No.</w:t>
      </w:r>
      <w:r w:rsidRPr="0088780C">
        <w:rPr>
          <w:iCs/>
          <w:snapToGrid w:val="0"/>
          <w:color w:val="auto"/>
          <w:kern w:val="22"/>
          <w:sz w:val="22"/>
          <w:szCs w:val="22"/>
          <w:lang w:val="en-GB"/>
        </w:rPr>
        <w:t xml:space="preserve"> 1, pp. 99–106.</w:t>
      </w:r>
    </w:p>
    <w:p w14:paraId="4DFB19BF" w14:textId="470D5619" w:rsidR="00345301" w:rsidRPr="0088780C" w:rsidRDefault="00345301" w:rsidP="001013AF">
      <w:pPr>
        <w:pStyle w:val="Default"/>
        <w:widowControl/>
        <w:suppressLineNumbers/>
        <w:suppressAutoHyphens/>
        <w:kinsoku w:val="0"/>
        <w:overflowPunct w:val="0"/>
        <w:spacing w:after="120"/>
        <w:rPr>
          <w:snapToGrid w:val="0"/>
          <w:color w:val="auto"/>
          <w:kern w:val="22"/>
          <w:sz w:val="22"/>
          <w:szCs w:val="22"/>
          <w:shd w:val="clear" w:color="auto" w:fill="FFFFFF"/>
          <w:lang w:val="en-GB"/>
        </w:rPr>
      </w:pPr>
      <w:r w:rsidRPr="0088780C">
        <w:rPr>
          <w:snapToGrid w:val="0"/>
          <w:color w:val="auto"/>
          <w:kern w:val="22"/>
          <w:sz w:val="22"/>
          <w:szCs w:val="22"/>
          <w:shd w:val="clear" w:color="auto" w:fill="FFFFFF"/>
          <w:lang w:val="en-GB"/>
        </w:rPr>
        <w:t>Mamedov, E.V. The biology and abundance of kilka (</w:t>
      </w:r>
      <w:r w:rsidRPr="0088780C">
        <w:rPr>
          <w:rStyle w:val="Emphasis"/>
          <w:b w:val="0"/>
          <w:i/>
          <w:snapToGrid w:val="0"/>
          <w:color w:val="auto"/>
          <w:kern w:val="22"/>
          <w:sz w:val="22"/>
          <w:szCs w:val="22"/>
          <w:bdr w:val="none" w:sz="0" w:space="0" w:color="auto" w:frame="1"/>
          <w:shd w:val="clear" w:color="auto" w:fill="FFFFFF"/>
          <w:lang w:val="en-GB"/>
        </w:rPr>
        <w:t>Clupeonella</w:t>
      </w:r>
      <w:r w:rsidRPr="0088780C">
        <w:rPr>
          <w:rStyle w:val="apple-converted-space"/>
          <w:snapToGrid w:val="0"/>
          <w:color w:val="auto"/>
          <w:kern w:val="22"/>
          <w:sz w:val="22"/>
          <w:szCs w:val="22"/>
          <w:shd w:val="clear" w:color="auto" w:fill="FFFFFF"/>
          <w:lang w:val="en-GB"/>
        </w:rPr>
        <w:t> </w:t>
      </w:r>
      <w:r w:rsidRPr="0088780C">
        <w:rPr>
          <w:snapToGrid w:val="0"/>
          <w:color w:val="auto"/>
          <w:kern w:val="22"/>
          <w:sz w:val="22"/>
          <w:szCs w:val="22"/>
          <w:shd w:val="clear" w:color="auto" w:fill="FFFFFF"/>
          <w:lang w:val="en-GB"/>
        </w:rPr>
        <w:t>spp.) along the coast of Azerbaijan, Caspian Sea .</w:t>
      </w:r>
      <w:r w:rsidRPr="0088780C">
        <w:rPr>
          <w:rStyle w:val="apple-converted-space"/>
          <w:snapToGrid w:val="0"/>
          <w:color w:val="auto"/>
          <w:kern w:val="22"/>
          <w:sz w:val="22"/>
          <w:szCs w:val="22"/>
          <w:shd w:val="clear" w:color="auto" w:fill="FFFFFF"/>
          <w:lang w:val="en-GB"/>
        </w:rPr>
        <w:t> </w:t>
      </w:r>
      <w:r w:rsidRPr="0088780C">
        <w:rPr>
          <w:rStyle w:val="Emphasis"/>
          <w:b w:val="0"/>
          <w:snapToGrid w:val="0"/>
          <w:color w:val="auto"/>
          <w:kern w:val="22"/>
          <w:sz w:val="22"/>
          <w:szCs w:val="22"/>
          <w:bdr w:val="none" w:sz="0" w:space="0" w:color="auto" w:frame="1"/>
          <w:shd w:val="clear" w:color="auto" w:fill="FFFFFF"/>
          <w:lang w:val="en-GB"/>
        </w:rPr>
        <w:t>ICES J Mar Sci</w:t>
      </w:r>
      <w:r w:rsidRPr="0088780C">
        <w:rPr>
          <w:rStyle w:val="apple-converted-space"/>
          <w:snapToGrid w:val="0"/>
          <w:color w:val="auto"/>
          <w:kern w:val="22"/>
          <w:sz w:val="22"/>
          <w:szCs w:val="22"/>
          <w:shd w:val="clear" w:color="auto" w:fill="FFFFFF"/>
          <w:lang w:val="en-GB"/>
        </w:rPr>
        <w:t> </w:t>
      </w:r>
      <w:r w:rsidRPr="0088780C">
        <w:rPr>
          <w:snapToGrid w:val="0"/>
          <w:color w:val="auto"/>
          <w:kern w:val="22"/>
          <w:sz w:val="22"/>
          <w:szCs w:val="22"/>
          <w:shd w:val="clear" w:color="auto" w:fill="FFFFFF"/>
          <w:lang w:val="en-GB"/>
        </w:rPr>
        <w:t>2006; 63 (9): 1665-1673</w:t>
      </w:r>
    </w:p>
    <w:p w14:paraId="65E2DFC8" w14:textId="77777777" w:rsidR="00345301" w:rsidRPr="0088780C" w:rsidRDefault="00345301" w:rsidP="001013AF">
      <w:pPr>
        <w:pStyle w:val="Default"/>
        <w:widowControl/>
        <w:suppressLineNumbers/>
        <w:suppressAutoHyphens/>
        <w:kinsoku w:val="0"/>
        <w:overflowPunct w:val="0"/>
        <w:spacing w:after="120"/>
        <w:rPr>
          <w:snapToGrid w:val="0"/>
          <w:color w:val="auto"/>
          <w:kern w:val="22"/>
          <w:sz w:val="22"/>
          <w:szCs w:val="22"/>
          <w:lang w:val="en-GB"/>
        </w:rPr>
      </w:pPr>
      <w:r w:rsidRPr="0088780C">
        <w:rPr>
          <w:snapToGrid w:val="0"/>
          <w:color w:val="auto"/>
          <w:kern w:val="22"/>
          <w:sz w:val="22"/>
          <w:szCs w:val="22"/>
          <w:lang w:val="en-GB"/>
        </w:rPr>
        <w:t>Salmanov, M.A. 1987. The Role ol Microflora and Phytoplankton in Production Processes in the Caspian Sea. Nauka Publishing. Moscow.</w:t>
      </w:r>
    </w:p>
    <w:p w14:paraId="495F06FF" w14:textId="3BD7DF87" w:rsidR="003D53EF" w:rsidRPr="0088780C" w:rsidRDefault="003D53EF" w:rsidP="001013AF">
      <w:pPr>
        <w:pStyle w:val="Default"/>
        <w:widowControl/>
        <w:suppressLineNumbers/>
        <w:suppressAutoHyphens/>
        <w:kinsoku w:val="0"/>
        <w:overflowPunct w:val="0"/>
        <w:spacing w:after="120"/>
        <w:rPr>
          <w:snapToGrid w:val="0"/>
          <w:color w:val="auto"/>
          <w:kern w:val="22"/>
          <w:sz w:val="22"/>
          <w:szCs w:val="22"/>
          <w:lang w:val="en-GB"/>
        </w:rPr>
      </w:pPr>
      <w:r w:rsidRPr="0088780C">
        <w:rPr>
          <w:rStyle w:val="A14"/>
          <w:rFonts w:cs="Times New Roman"/>
          <w:snapToGrid w:val="0"/>
          <w:color w:val="auto"/>
          <w:kern w:val="22"/>
          <w:sz w:val="22"/>
          <w:szCs w:val="22"/>
          <w:lang w:val="en-GB"/>
        </w:rPr>
        <w:t xml:space="preserve">United Nations Environment Programme 1995. Regional Review </w:t>
      </w:r>
      <w:r w:rsidR="00D8482D" w:rsidRPr="0088780C">
        <w:rPr>
          <w:rStyle w:val="A14"/>
          <w:rFonts w:cs="Times New Roman"/>
          <w:snapToGrid w:val="0"/>
          <w:color w:val="auto"/>
          <w:kern w:val="22"/>
          <w:sz w:val="22"/>
          <w:szCs w:val="22"/>
          <w:lang w:val="en-GB"/>
        </w:rPr>
        <w:t>“</w:t>
      </w:r>
      <w:r w:rsidRPr="0088780C">
        <w:rPr>
          <w:rStyle w:val="A14"/>
          <w:rFonts w:cs="Times New Roman"/>
          <w:snapToGrid w:val="0"/>
          <w:color w:val="auto"/>
          <w:kern w:val="22"/>
          <w:sz w:val="22"/>
          <w:szCs w:val="22"/>
          <w:lang w:val="en-GB"/>
        </w:rPr>
        <w:t>Implications of cli</w:t>
      </w:r>
      <w:r w:rsidRPr="0088780C">
        <w:rPr>
          <w:rStyle w:val="A14"/>
          <w:rFonts w:cs="Times New Roman"/>
          <w:snapToGrid w:val="0"/>
          <w:color w:val="auto"/>
          <w:kern w:val="22"/>
          <w:sz w:val="22"/>
          <w:szCs w:val="22"/>
          <w:lang w:val="en-GB"/>
        </w:rPr>
        <w:softHyphen/>
        <w:t>mate change in the Caspian Sea region</w:t>
      </w:r>
      <w:r w:rsidR="00D8482D" w:rsidRPr="0088780C">
        <w:rPr>
          <w:rStyle w:val="A14"/>
          <w:rFonts w:cs="Times New Roman"/>
          <w:snapToGrid w:val="0"/>
          <w:color w:val="auto"/>
          <w:kern w:val="22"/>
          <w:sz w:val="22"/>
          <w:szCs w:val="22"/>
          <w:lang w:val="en-GB"/>
        </w:rPr>
        <w:t>”</w:t>
      </w:r>
    </w:p>
    <w:p w14:paraId="5D9C3F60" w14:textId="1347B894" w:rsidR="003D53EF" w:rsidRPr="0088780C" w:rsidRDefault="003D53EF" w:rsidP="001013AF">
      <w:pPr>
        <w:pStyle w:val="Default"/>
        <w:widowControl/>
        <w:suppressLineNumbers/>
        <w:suppressAutoHyphens/>
        <w:kinsoku w:val="0"/>
        <w:overflowPunct w:val="0"/>
        <w:spacing w:after="120"/>
        <w:rPr>
          <w:snapToGrid w:val="0"/>
          <w:color w:val="auto"/>
          <w:kern w:val="22"/>
          <w:sz w:val="22"/>
          <w:szCs w:val="22"/>
          <w:lang w:val="en-GB"/>
        </w:rPr>
      </w:pPr>
      <w:r w:rsidRPr="0088780C">
        <w:rPr>
          <w:rStyle w:val="A14"/>
          <w:rFonts w:cs="Times New Roman"/>
          <w:snapToGrid w:val="0"/>
          <w:color w:val="auto"/>
          <w:kern w:val="22"/>
          <w:sz w:val="22"/>
          <w:szCs w:val="22"/>
          <w:lang w:val="en-GB"/>
        </w:rPr>
        <w:t xml:space="preserve">United Nations Environment Programme. 2008. </w:t>
      </w:r>
      <w:r w:rsidRPr="0088780C">
        <w:rPr>
          <w:snapToGrid w:val="0"/>
          <w:color w:val="auto"/>
          <w:kern w:val="22"/>
          <w:sz w:val="22"/>
          <w:szCs w:val="22"/>
          <w:lang w:val="en-GB"/>
        </w:rPr>
        <w:t>Strategic Convention Action Programme.</w:t>
      </w:r>
    </w:p>
    <w:p w14:paraId="4E381E71" w14:textId="4180D351" w:rsidR="003D53EF" w:rsidRPr="0088780C" w:rsidRDefault="003D53EF" w:rsidP="001013AF">
      <w:pPr>
        <w:pStyle w:val="Default"/>
        <w:widowControl/>
        <w:suppressLineNumbers/>
        <w:suppressAutoHyphens/>
        <w:kinsoku w:val="0"/>
        <w:overflowPunct w:val="0"/>
        <w:spacing w:after="120"/>
        <w:rPr>
          <w:snapToGrid w:val="0"/>
          <w:color w:val="auto"/>
          <w:kern w:val="22"/>
          <w:sz w:val="22"/>
          <w:szCs w:val="22"/>
          <w:lang w:val="en-GB"/>
        </w:rPr>
      </w:pPr>
      <w:r w:rsidRPr="0088780C">
        <w:rPr>
          <w:rStyle w:val="A14"/>
          <w:rFonts w:cs="Times New Roman"/>
          <w:snapToGrid w:val="0"/>
          <w:color w:val="auto"/>
          <w:kern w:val="22"/>
          <w:sz w:val="22"/>
          <w:szCs w:val="22"/>
          <w:lang w:val="en-GB"/>
        </w:rPr>
        <w:t>United Nations Environment Programme</w:t>
      </w:r>
      <w:r w:rsidRPr="0088780C">
        <w:rPr>
          <w:snapToGrid w:val="0"/>
          <w:color w:val="auto"/>
          <w:kern w:val="22"/>
          <w:sz w:val="22"/>
          <w:szCs w:val="22"/>
          <w:lang w:val="en-GB"/>
        </w:rPr>
        <w:t xml:space="preserve">. 2010. State of the Environment of the Caspian Sea.   </w:t>
      </w:r>
    </w:p>
    <w:p w14:paraId="3516C9DE" w14:textId="77777777" w:rsidR="00345301" w:rsidRPr="0088780C" w:rsidRDefault="00345301" w:rsidP="001013AF">
      <w:pPr>
        <w:pStyle w:val="Default"/>
        <w:widowControl/>
        <w:suppressLineNumbers/>
        <w:suppressAutoHyphens/>
        <w:kinsoku w:val="0"/>
        <w:overflowPunct w:val="0"/>
        <w:spacing w:after="120"/>
        <w:rPr>
          <w:iCs/>
          <w:snapToGrid w:val="0"/>
          <w:color w:val="auto"/>
          <w:kern w:val="22"/>
          <w:sz w:val="22"/>
          <w:szCs w:val="22"/>
          <w:lang w:val="en-GB"/>
        </w:rPr>
      </w:pPr>
      <w:r w:rsidRPr="0088780C">
        <w:rPr>
          <w:snapToGrid w:val="0"/>
          <w:color w:val="auto"/>
          <w:kern w:val="22"/>
          <w:sz w:val="22"/>
          <w:szCs w:val="22"/>
          <w:lang w:val="en-GB"/>
        </w:rPr>
        <w:t>Zenkevich, LA. 1963. Biology of the Seas of USSR. Moscow: Publisher AN USSR. 739 pp. (In Russian)</w:t>
      </w:r>
    </w:p>
    <w:p w14:paraId="464B2044" w14:textId="77777777" w:rsidR="00345301" w:rsidRPr="0088780C" w:rsidRDefault="00345301" w:rsidP="001013AF">
      <w:pPr>
        <w:pStyle w:val="Default"/>
        <w:widowControl/>
        <w:suppressLineNumbers/>
        <w:suppressAutoHyphens/>
        <w:kinsoku w:val="0"/>
        <w:overflowPunct w:val="0"/>
        <w:spacing w:after="120"/>
        <w:rPr>
          <w:iCs/>
          <w:snapToGrid w:val="0"/>
          <w:color w:val="auto"/>
          <w:kern w:val="22"/>
          <w:sz w:val="22"/>
          <w:szCs w:val="22"/>
          <w:lang w:val="en-GB"/>
        </w:rPr>
      </w:pPr>
    </w:p>
    <w:p w14:paraId="4B21A9A5" w14:textId="77777777" w:rsidR="00345301" w:rsidRPr="0088780C" w:rsidRDefault="00345301" w:rsidP="001013AF">
      <w:pPr>
        <w:pStyle w:val="Default"/>
        <w:widowControl/>
        <w:suppressLineNumbers/>
        <w:suppressAutoHyphens/>
        <w:kinsoku w:val="0"/>
        <w:overflowPunct w:val="0"/>
        <w:spacing w:after="120"/>
        <w:rPr>
          <w:rStyle w:val="A14"/>
          <w:rFonts w:cs="Times New Roman"/>
          <w:snapToGrid w:val="0"/>
          <w:color w:val="auto"/>
          <w:kern w:val="22"/>
          <w:sz w:val="22"/>
          <w:szCs w:val="22"/>
          <w:lang w:val="en-GB"/>
        </w:rPr>
      </w:pPr>
    </w:p>
    <w:p w14:paraId="6575E9B8" w14:textId="77777777" w:rsidR="00345301" w:rsidRPr="0088780C" w:rsidRDefault="00345301" w:rsidP="001013AF">
      <w:pPr>
        <w:pStyle w:val="Default"/>
        <w:widowControl/>
        <w:suppressLineNumbers/>
        <w:suppressAutoHyphens/>
        <w:kinsoku w:val="0"/>
        <w:overflowPunct w:val="0"/>
        <w:rPr>
          <w:snapToGrid w:val="0"/>
          <w:color w:val="auto"/>
          <w:kern w:val="22"/>
          <w:sz w:val="22"/>
          <w:szCs w:val="22"/>
          <w:lang w:val="en-GB"/>
        </w:rPr>
      </w:pPr>
    </w:p>
    <w:p w14:paraId="567E600D" w14:textId="77777777" w:rsidR="00345301" w:rsidRPr="0088780C" w:rsidRDefault="00345301" w:rsidP="001013AF">
      <w:pPr>
        <w:suppressLineNumbers/>
        <w:suppressAutoHyphens/>
        <w:kinsoku w:val="0"/>
        <w:overflowPunct w:val="0"/>
        <w:autoSpaceDE w:val="0"/>
        <w:autoSpaceDN w:val="0"/>
        <w:jc w:val="left"/>
        <w:rPr>
          <w:i/>
          <w:snapToGrid w:val="0"/>
          <w:kern w:val="22"/>
          <w:szCs w:val="22"/>
        </w:rPr>
      </w:pPr>
    </w:p>
    <w:p w14:paraId="0CB135A9" w14:textId="77777777" w:rsidR="007B1249" w:rsidRPr="0088780C" w:rsidRDefault="007B1249" w:rsidP="001013AF">
      <w:pPr>
        <w:suppressLineNumbers/>
        <w:suppressAutoHyphens/>
        <w:kinsoku w:val="0"/>
        <w:overflowPunct w:val="0"/>
        <w:autoSpaceDE w:val="0"/>
        <w:autoSpaceDN w:val="0"/>
        <w:jc w:val="left"/>
        <w:rPr>
          <w:i/>
          <w:snapToGrid w:val="0"/>
          <w:kern w:val="22"/>
          <w:szCs w:val="22"/>
        </w:rPr>
      </w:pPr>
      <w:r w:rsidRPr="0088780C">
        <w:rPr>
          <w:i/>
          <w:snapToGrid w:val="0"/>
          <w:kern w:val="22"/>
          <w:szCs w:val="22"/>
        </w:rPr>
        <w:br w:type="page"/>
      </w:r>
    </w:p>
    <w:p w14:paraId="670A2600" w14:textId="73D6A628" w:rsidR="009D7FD6" w:rsidRPr="0088780C" w:rsidRDefault="009D7FD6" w:rsidP="001013AF">
      <w:pPr>
        <w:suppressLineNumbers/>
        <w:suppressAutoHyphens/>
        <w:kinsoku w:val="0"/>
        <w:overflowPunct w:val="0"/>
        <w:autoSpaceDE w:val="0"/>
        <w:autoSpaceDN w:val="0"/>
        <w:jc w:val="center"/>
        <w:rPr>
          <w:i/>
          <w:snapToGrid w:val="0"/>
          <w:kern w:val="22"/>
          <w:szCs w:val="22"/>
        </w:rPr>
      </w:pPr>
      <w:r w:rsidRPr="0088780C">
        <w:rPr>
          <w:i/>
          <w:snapToGrid w:val="0"/>
          <w:kern w:val="22"/>
          <w:szCs w:val="22"/>
        </w:rPr>
        <w:t>Annex IV</w:t>
      </w:r>
    </w:p>
    <w:p w14:paraId="4333FEA4" w14:textId="4324B455" w:rsidR="00DB3C52" w:rsidRPr="0088780C" w:rsidRDefault="00DB3C52" w:rsidP="001013AF">
      <w:pPr>
        <w:suppressLineNumbers/>
        <w:suppressAutoHyphens/>
        <w:kinsoku w:val="0"/>
        <w:overflowPunct w:val="0"/>
        <w:autoSpaceDE w:val="0"/>
        <w:autoSpaceDN w:val="0"/>
        <w:jc w:val="center"/>
        <w:rPr>
          <w:b/>
          <w:snapToGrid w:val="0"/>
          <w:kern w:val="22"/>
          <w:szCs w:val="22"/>
          <w:lang w:eastAsia="ko-KR"/>
        </w:rPr>
      </w:pPr>
      <w:r w:rsidRPr="0088780C">
        <w:rPr>
          <w:b/>
          <w:snapToGrid w:val="0"/>
          <w:kern w:val="22"/>
          <w:szCs w:val="22"/>
        </w:rPr>
        <w:t xml:space="preserve">MAP </w:t>
      </w:r>
      <w:r w:rsidR="00180DA7" w:rsidRPr="0088780C">
        <w:rPr>
          <w:b/>
          <w:snapToGrid w:val="0"/>
          <w:kern w:val="22"/>
          <w:szCs w:val="22"/>
        </w:rPr>
        <w:t>OF</w:t>
      </w:r>
      <w:r w:rsidRPr="0088780C">
        <w:rPr>
          <w:b/>
          <w:snapToGrid w:val="0"/>
          <w:kern w:val="22"/>
          <w:szCs w:val="22"/>
        </w:rPr>
        <w:t xml:space="preserve"> </w:t>
      </w:r>
      <w:r w:rsidR="00383B27" w:rsidRPr="0088780C">
        <w:rPr>
          <w:b/>
          <w:snapToGrid w:val="0"/>
          <w:kern w:val="22"/>
          <w:szCs w:val="22"/>
        </w:rPr>
        <w:t xml:space="preserve">THE </w:t>
      </w:r>
      <w:r w:rsidR="00087D3D" w:rsidRPr="0088780C">
        <w:rPr>
          <w:b/>
          <w:snapToGrid w:val="0"/>
          <w:kern w:val="22"/>
          <w:szCs w:val="22"/>
        </w:rPr>
        <w:t xml:space="preserve">AREAS MEETING </w:t>
      </w:r>
      <w:r w:rsidRPr="0088780C">
        <w:rPr>
          <w:b/>
          <w:snapToGrid w:val="0"/>
          <w:kern w:val="22"/>
          <w:szCs w:val="22"/>
        </w:rPr>
        <w:t>EBSA</w:t>
      </w:r>
      <w:r w:rsidR="00087D3D" w:rsidRPr="0088780C">
        <w:rPr>
          <w:b/>
          <w:snapToGrid w:val="0"/>
          <w:kern w:val="22"/>
          <w:szCs w:val="22"/>
        </w:rPr>
        <w:t xml:space="preserve"> CRITE</w:t>
      </w:r>
      <w:r w:rsidR="00E32C6C" w:rsidRPr="0088780C">
        <w:rPr>
          <w:b/>
          <w:snapToGrid w:val="0"/>
          <w:kern w:val="22"/>
          <w:szCs w:val="22"/>
        </w:rPr>
        <w:t xml:space="preserve">RIA IN THE </w:t>
      </w:r>
      <w:r w:rsidR="007068A6" w:rsidRPr="0088780C">
        <w:rPr>
          <w:b/>
          <w:snapToGrid w:val="0"/>
          <w:kern w:val="22"/>
          <w:szCs w:val="22"/>
        </w:rPr>
        <w:t>BLACK SEA AND CASPIAN SEA</w:t>
      </w:r>
      <w:r w:rsidR="00927C81" w:rsidRPr="0088780C">
        <w:rPr>
          <w:b/>
          <w:snapToGrid w:val="0"/>
          <w:kern w:val="22"/>
          <w:szCs w:val="22"/>
        </w:rPr>
        <w:t xml:space="preserve"> </w:t>
      </w:r>
      <w:r w:rsidR="00770A5F" w:rsidRPr="0088780C">
        <w:rPr>
          <w:b/>
          <w:snapToGrid w:val="0"/>
          <w:kern w:val="22"/>
          <w:szCs w:val="22"/>
        </w:rPr>
        <w:t>AS AGRE</w:t>
      </w:r>
      <w:r w:rsidRPr="0088780C">
        <w:rPr>
          <w:b/>
          <w:snapToGrid w:val="0"/>
          <w:kern w:val="22"/>
          <w:szCs w:val="22"/>
          <w:lang w:eastAsia="ko-KR"/>
        </w:rPr>
        <w:t>ED BY THE WORKSHOP PLENARY</w:t>
      </w:r>
    </w:p>
    <w:p w14:paraId="3CBCA4BB" w14:textId="77777777" w:rsidR="000A7597" w:rsidRPr="0088780C" w:rsidRDefault="000A7597" w:rsidP="001013AF">
      <w:pPr>
        <w:suppressLineNumbers/>
        <w:suppressAutoHyphens/>
        <w:kinsoku w:val="0"/>
        <w:overflowPunct w:val="0"/>
        <w:autoSpaceDE w:val="0"/>
        <w:autoSpaceDN w:val="0"/>
        <w:jc w:val="center"/>
        <w:rPr>
          <w:b/>
          <w:snapToGrid w:val="0"/>
          <w:kern w:val="22"/>
          <w:szCs w:val="22"/>
          <w:lang w:eastAsia="ko-KR"/>
        </w:rPr>
      </w:pPr>
    </w:p>
    <w:p w14:paraId="2C087AE4" w14:textId="77777777" w:rsidR="008B21D2" w:rsidRPr="0088780C" w:rsidRDefault="008B21D2" w:rsidP="001013AF">
      <w:pPr>
        <w:suppressLineNumbers/>
        <w:suppressAutoHyphens/>
        <w:kinsoku w:val="0"/>
        <w:overflowPunct w:val="0"/>
        <w:autoSpaceDE w:val="0"/>
        <w:autoSpaceDN w:val="0"/>
        <w:jc w:val="center"/>
        <w:rPr>
          <w:snapToGrid w:val="0"/>
          <w:kern w:val="22"/>
          <w:szCs w:val="22"/>
          <w:lang w:eastAsia="ko-KR"/>
        </w:rPr>
      </w:pPr>
    </w:p>
    <w:p w14:paraId="5C5F5850" w14:textId="7D7455CC" w:rsidR="009164F0" w:rsidRPr="0088780C" w:rsidRDefault="00D1434E" w:rsidP="001013AF">
      <w:pPr>
        <w:suppressLineNumbers/>
        <w:suppressAutoHyphens/>
        <w:kinsoku w:val="0"/>
        <w:overflowPunct w:val="0"/>
        <w:autoSpaceDE w:val="0"/>
        <w:autoSpaceDN w:val="0"/>
        <w:jc w:val="center"/>
        <w:rPr>
          <w:snapToGrid w:val="0"/>
          <w:kern w:val="22"/>
          <w:szCs w:val="22"/>
          <w:lang w:eastAsia="ko-KR"/>
        </w:rPr>
      </w:pPr>
      <w:r w:rsidRPr="0088780C">
        <w:rPr>
          <w:noProof/>
          <w:snapToGrid w:val="0"/>
          <w:kern w:val="22"/>
          <w:szCs w:val="22"/>
          <w:lang w:eastAsia="zh-CN"/>
        </w:rPr>
        <w:drawing>
          <wp:inline distT="0" distB="0" distL="0" distR="0" wp14:anchorId="730C6346" wp14:editId="3D49717C">
            <wp:extent cx="5486411" cy="45720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SA_Report_Overview.png"/>
                    <pic:cNvPicPr/>
                  </pic:nvPicPr>
                  <pic:blipFill>
                    <a:blip r:embed="rId62">
                      <a:extLst>
                        <a:ext uri="{28A0092B-C50C-407E-A947-70E740481C1C}">
                          <a14:useLocalDpi xmlns:a14="http://schemas.microsoft.com/office/drawing/2010/main" val="0"/>
                        </a:ext>
                      </a:extLst>
                    </a:blip>
                    <a:stretch>
                      <a:fillRect/>
                    </a:stretch>
                  </pic:blipFill>
                  <pic:spPr>
                    <a:xfrm>
                      <a:off x="0" y="0"/>
                      <a:ext cx="5486411" cy="4572009"/>
                    </a:xfrm>
                    <a:prstGeom prst="rect">
                      <a:avLst/>
                    </a:prstGeom>
                  </pic:spPr>
                </pic:pic>
              </a:graphicData>
            </a:graphic>
          </wp:inline>
        </w:drawing>
      </w:r>
    </w:p>
    <w:p w14:paraId="50CBECF2" w14:textId="77777777" w:rsidR="009164F0" w:rsidRPr="0088780C" w:rsidRDefault="009164F0" w:rsidP="001013AF">
      <w:pPr>
        <w:suppressLineNumbers/>
        <w:suppressAutoHyphens/>
        <w:kinsoku w:val="0"/>
        <w:overflowPunct w:val="0"/>
        <w:autoSpaceDE w:val="0"/>
        <w:autoSpaceDN w:val="0"/>
        <w:jc w:val="center"/>
        <w:rPr>
          <w:b/>
          <w:snapToGrid w:val="0"/>
          <w:kern w:val="22"/>
          <w:szCs w:val="22"/>
          <w:lang w:eastAsia="ko-KR"/>
        </w:rPr>
      </w:pPr>
      <w:r w:rsidRPr="0088780C">
        <w:rPr>
          <w:b/>
          <w:snapToGrid w:val="0"/>
          <w:kern w:val="22"/>
          <w:szCs w:val="22"/>
          <w:lang w:eastAsia="ko-KR"/>
        </w:rPr>
        <w:br w:type="page"/>
      </w:r>
    </w:p>
    <w:p w14:paraId="3A4DF1BB" w14:textId="60C19968" w:rsidR="009164F0" w:rsidRPr="0088780C" w:rsidRDefault="00457FAD" w:rsidP="001013AF">
      <w:pPr>
        <w:suppressLineNumbers/>
        <w:suppressAutoHyphens/>
        <w:kinsoku w:val="0"/>
        <w:overflowPunct w:val="0"/>
        <w:autoSpaceDE w:val="0"/>
        <w:autoSpaceDN w:val="0"/>
        <w:jc w:val="center"/>
        <w:rPr>
          <w:i/>
          <w:snapToGrid w:val="0"/>
          <w:kern w:val="22"/>
          <w:szCs w:val="22"/>
        </w:rPr>
      </w:pPr>
      <w:r w:rsidRPr="0088780C">
        <w:rPr>
          <w:i/>
          <w:snapToGrid w:val="0"/>
          <w:kern w:val="22"/>
          <w:szCs w:val="22"/>
        </w:rPr>
        <w:t>Annex V</w:t>
      </w:r>
    </w:p>
    <w:p w14:paraId="5B3F6966" w14:textId="77777777" w:rsidR="006A5004" w:rsidRPr="0088780C" w:rsidRDefault="006A5004" w:rsidP="001013AF">
      <w:pPr>
        <w:suppressLineNumbers/>
        <w:suppressAutoHyphens/>
        <w:kinsoku w:val="0"/>
        <w:overflowPunct w:val="0"/>
        <w:autoSpaceDE w:val="0"/>
        <w:autoSpaceDN w:val="0"/>
        <w:jc w:val="center"/>
        <w:rPr>
          <w:i/>
          <w:snapToGrid w:val="0"/>
          <w:kern w:val="22"/>
          <w:szCs w:val="22"/>
        </w:rPr>
      </w:pPr>
    </w:p>
    <w:p w14:paraId="2ABB5F6C" w14:textId="3101DE7F" w:rsidR="006A5004" w:rsidRPr="0088780C" w:rsidRDefault="006A5004" w:rsidP="001013AF">
      <w:pPr>
        <w:suppressLineNumbers/>
        <w:suppressAutoHyphens/>
        <w:kinsoku w:val="0"/>
        <w:overflowPunct w:val="0"/>
        <w:autoSpaceDE w:val="0"/>
        <w:autoSpaceDN w:val="0"/>
        <w:jc w:val="center"/>
        <w:rPr>
          <w:b/>
          <w:snapToGrid w:val="0"/>
          <w:kern w:val="22"/>
          <w:szCs w:val="22"/>
          <w:lang w:eastAsia="ko-KR"/>
        </w:rPr>
      </w:pPr>
      <w:r w:rsidRPr="0088780C">
        <w:rPr>
          <w:b/>
          <w:snapToGrid w:val="0"/>
          <w:kern w:val="22"/>
          <w:szCs w:val="22"/>
        </w:rPr>
        <w:t xml:space="preserve">DESCRIPTION OF AREAS MEETING </w:t>
      </w:r>
      <w:r w:rsidR="00787F60" w:rsidRPr="0088780C">
        <w:rPr>
          <w:b/>
          <w:snapToGrid w:val="0"/>
          <w:kern w:val="22"/>
          <w:szCs w:val="22"/>
        </w:rPr>
        <w:t xml:space="preserve">THE </w:t>
      </w:r>
      <w:r w:rsidRPr="0088780C">
        <w:rPr>
          <w:b/>
          <w:snapToGrid w:val="0"/>
          <w:kern w:val="22"/>
          <w:szCs w:val="22"/>
        </w:rPr>
        <w:t xml:space="preserve">EBSA CRITERIA IN THE </w:t>
      </w:r>
      <w:r w:rsidR="007068A6" w:rsidRPr="0088780C">
        <w:rPr>
          <w:b/>
          <w:snapToGrid w:val="0"/>
          <w:kern w:val="22"/>
          <w:szCs w:val="22"/>
        </w:rPr>
        <w:t xml:space="preserve">BLACK SEA AND </w:t>
      </w:r>
      <w:r w:rsidR="00787F60" w:rsidRPr="0088780C">
        <w:rPr>
          <w:b/>
          <w:snapToGrid w:val="0"/>
          <w:kern w:val="22"/>
          <w:szCs w:val="22"/>
        </w:rPr>
        <w:t xml:space="preserve">THE </w:t>
      </w:r>
      <w:r w:rsidR="007068A6" w:rsidRPr="0088780C">
        <w:rPr>
          <w:b/>
          <w:snapToGrid w:val="0"/>
          <w:kern w:val="22"/>
          <w:szCs w:val="22"/>
        </w:rPr>
        <w:t>CASPIAN SEA</w:t>
      </w:r>
      <w:r w:rsidRPr="0088780C">
        <w:rPr>
          <w:b/>
          <w:snapToGrid w:val="0"/>
          <w:kern w:val="22"/>
          <w:szCs w:val="22"/>
        </w:rPr>
        <w:t xml:space="preserve"> </w:t>
      </w:r>
      <w:r w:rsidRPr="0088780C">
        <w:rPr>
          <w:b/>
          <w:snapToGrid w:val="0"/>
          <w:kern w:val="22"/>
          <w:szCs w:val="22"/>
          <w:lang w:eastAsia="ko-KR"/>
        </w:rPr>
        <w:t>AS AGREED BY THE WORKSHOP PLENARY</w:t>
      </w:r>
    </w:p>
    <w:p w14:paraId="71488541" w14:textId="77777777" w:rsidR="006A5004" w:rsidRPr="0088780C" w:rsidRDefault="006A5004" w:rsidP="001013AF">
      <w:pPr>
        <w:suppressLineNumbers/>
        <w:suppressAutoHyphens/>
        <w:kinsoku w:val="0"/>
        <w:overflowPunct w:val="0"/>
        <w:autoSpaceDE w:val="0"/>
        <w:autoSpaceDN w:val="0"/>
        <w:jc w:val="center"/>
        <w:rPr>
          <w:i/>
          <w:snapToGrid w:val="0"/>
          <w:kern w:val="22"/>
          <w:szCs w:val="22"/>
        </w:rPr>
      </w:pPr>
    </w:p>
    <w:p w14:paraId="0A3905D0" w14:textId="7E2726C9" w:rsidR="00B52FF4" w:rsidRPr="0088780C" w:rsidRDefault="00B52FF4" w:rsidP="001013AF">
      <w:pPr>
        <w:suppressLineNumbers/>
        <w:suppressAutoHyphens/>
        <w:kinsoku w:val="0"/>
        <w:overflowPunct w:val="0"/>
        <w:autoSpaceDE w:val="0"/>
        <w:autoSpaceDN w:val="0"/>
        <w:jc w:val="left"/>
        <w:rPr>
          <w:b/>
          <w:snapToGrid w:val="0"/>
          <w:kern w:val="22"/>
          <w:szCs w:val="22"/>
          <w:lang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310"/>
      </w:tblGrid>
      <w:tr w:rsidR="00B52FF4" w:rsidRPr="0088780C" w14:paraId="732307E9" w14:textId="77777777" w:rsidTr="00CA6AC3">
        <w:trPr>
          <w:cantSplit/>
          <w:jc w:val="center"/>
        </w:trPr>
        <w:tc>
          <w:tcPr>
            <w:tcW w:w="1384" w:type="dxa"/>
            <w:vAlign w:val="center"/>
          </w:tcPr>
          <w:p w14:paraId="48A0A4A6" w14:textId="77777777"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Area No.</w:t>
            </w:r>
          </w:p>
        </w:tc>
        <w:tc>
          <w:tcPr>
            <w:tcW w:w="7310" w:type="dxa"/>
            <w:vAlign w:val="center"/>
          </w:tcPr>
          <w:tbl>
            <w:tblPr>
              <w:tblW w:w="0" w:type="auto"/>
              <w:tblLook w:val="0000" w:firstRow="0" w:lastRow="0" w:firstColumn="0" w:lastColumn="0" w:noHBand="0" w:noVBand="0"/>
            </w:tblPr>
            <w:tblGrid>
              <w:gridCol w:w="222"/>
              <w:gridCol w:w="6496"/>
            </w:tblGrid>
            <w:tr w:rsidR="00B52FF4" w:rsidRPr="0088780C" w14:paraId="4F7A8C7C" w14:textId="77777777" w:rsidTr="00AD0BD2">
              <w:trPr>
                <w:trHeight w:val="224"/>
              </w:trPr>
              <w:tc>
                <w:tcPr>
                  <w:tcW w:w="0" w:type="auto"/>
                  <w:tcBorders>
                    <w:top w:val="nil"/>
                    <w:left w:val="nil"/>
                    <w:bottom w:val="nil"/>
                    <w:right w:val="nil"/>
                  </w:tcBorders>
                </w:tcPr>
                <w:p w14:paraId="55D954F6" w14:textId="77777777" w:rsidR="00B52FF4" w:rsidRPr="0088780C" w:rsidRDefault="00B52FF4" w:rsidP="00CA6AC3">
                  <w:pPr>
                    <w:suppressLineNumbers/>
                    <w:suppressAutoHyphens/>
                    <w:kinsoku w:val="0"/>
                    <w:overflowPunct w:val="0"/>
                    <w:autoSpaceDE w:val="0"/>
                    <w:autoSpaceDN w:val="0"/>
                    <w:adjustRightInd w:val="0"/>
                    <w:rPr>
                      <w:snapToGrid w:val="0"/>
                      <w:color w:val="000000"/>
                      <w:kern w:val="22"/>
                      <w:szCs w:val="22"/>
                      <w:lang w:eastAsia="en-CA"/>
                    </w:rPr>
                  </w:pPr>
                </w:p>
              </w:tc>
              <w:tc>
                <w:tcPr>
                  <w:tcW w:w="0" w:type="auto"/>
                  <w:tcBorders>
                    <w:top w:val="nil"/>
                    <w:left w:val="nil"/>
                    <w:bottom w:val="nil"/>
                    <w:right w:val="nil"/>
                  </w:tcBorders>
                </w:tcPr>
                <w:p w14:paraId="0D9D4759" w14:textId="77777777" w:rsidR="00B52FF4" w:rsidRPr="0088780C" w:rsidRDefault="00B52FF4" w:rsidP="00CA6AC3">
                  <w:pPr>
                    <w:suppressLineNumbers/>
                    <w:suppressAutoHyphens/>
                    <w:kinsoku w:val="0"/>
                    <w:overflowPunct w:val="0"/>
                    <w:autoSpaceDE w:val="0"/>
                    <w:autoSpaceDN w:val="0"/>
                    <w:adjustRightInd w:val="0"/>
                    <w:jc w:val="center"/>
                    <w:rPr>
                      <w:snapToGrid w:val="0"/>
                      <w:color w:val="000000"/>
                      <w:kern w:val="22"/>
                      <w:szCs w:val="22"/>
                      <w:lang w:eastAsia="en-CA"/>
                    </w:rPr>
                  </w:pPr>
                  <w:r w:rsidRPr="0088780C">
                    <w:rPr>
                      <w:bCs/>
                      <w:snapToGrid w:val="0"/>
                      <w:color w:val="000000"/>
                      <w:kern w:val="22"/>
                      <w:szCs w:val="22"/>
                      <w:lang w:eastAsia="en-CA"/>
                    </w:rPr>
                    <w:t xml:space="preserve">Area Name </w:t>
                  </w:r>
                </w:p>
                <w:p w14:paraId="19182CC7" w14:textId="6DCF4869" w:rsidR="00B52FF4" w:rsidRPr="0088780C" w:rsidRDefault="00B52FF4" w:rsidP="00CA6AC3">
                  <w:pPr>
                    <w:suppressLineNumbers/>
                    <w:suppressAutoHyphens/>
                    <w:kinsoku w:val="0"/>
                    <w:overflowPunct w:val="0"/>
                    <w:autoSpaceDE w:val="0"/>
                    <w:autoSpaceDN w:val="0"/>
                    <w:adjustRightInd w:val="0"/>
                    <w:jc w:val="center"/>
                    <w:rPr>
                      <w:bCs/>
                      <w:snapToGrid w:val="0"/>
                      <w:color w:val="000000"/>
                      <w:kern w:val="22"/>
                      <w:szCs w:val="22"/>
                      <w:lang w:eastAsia="en-CA"/>
                    </w:rPr>
                  </w:pPr>
                  <w:r w:rsidRPr="0088780C">
                    <w:rPr>
                      <w:bCs/>
                      <w:snapToGrid w:val="0"/>
                      <w:color w:val="000000"/>
                      <w:kern w:val="22"/>
                      <w:szCs w:val="22"/>
                      <w:lang w:eastAsia="en-CA"/>
                    </w:rPr>
                    <w:t>(See the detailed description of each area in the appendix to this annex)</w:t>
                  </w:r>
                </w:p>
              </w:tc>
            </w:tr>
          </w:tbl>
          <w:p w14:paraId="2B6C41BF" w14:textId="77777777" w:rsidR="00B52FF4" w:rsidRPr="0088780C" w:rsidRDefault="00B52FF4" w:rsidP="00CA6AC3">
            <w:pPr>
              <w:suppressLineNumbers/>
              <w:suppressAutoHyphens/>
              <w:kinsoku w:val="0"/>
              <w:overflowPunct w:val="0"/>
              <w:autoSpaceDE w:val="0"/>
              <w:autoSpaceDN w:val="0"/>
              <w:rPr>
                <w:snapToGrid w:val="0"/>
                <w:kern w:val="22"/>
                <w:szCs w:val="22"/>
              </w:rPr>
            </w:pPr>
          </w:p>
        </w:tc>
      </w:tr>
      <w:tr w:rsidR="00B52FF4" w:rsidRPr="0088780C" w14:paraId="131B03E1" w14:textId="77777777" w:rsidTr="00CA6AC3">
        <w:trPr>
          <w:cantSplit/>
          <w:jc w:val="center"/>
        </w:trPr>
        <w:tc>
          <w:tcPr>
            <w:tcW w:w="1384" w:type="dxa"/>
          </w:tcPr>
          <w:p w14:paraId="21F37972" w14:textId="6DE13D15"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1</w:t>
            </w:r>
          </w:p>
        </w:tc>
        <w:tc>
          <w:tcPr>
            <w:tcW w:w="7310" w:type="dxa"/>
          </w:tcPr>
          <w:p w14:paraId="1486D160" w14:textId="4419D9C8"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Ropotamo</w:t>
            </w:r>
          </w:p>
        </w:tc>
      </w:tr>
      <w:tr w:rsidR="00B52FF4" w:rsidRPr="0088780C" w14:paraId="6296CDC7" w14:textId="77777777" w:rsidTr="00CA6AC3">
        <w:trPr>
          <w:cantSplit/>
          <w:jc w:val="center"/>
        </w:trPr>
        <w:tc>
          <w:tcPr>
            <w:tcW w:w="1384" w:type="dxa"/>
          </w:tcPr>
          <w:p w14:paraId="0E708477" w14:textId="74F12E02"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2</w:t>
            </w:r>
          </w:p>
        </w:tc>
        <w:tc>
          <w:tcPr>
            <w:tcW w:w="7310" w:type="dxa"/>
          </w:tcPr>
          <w:p w14:paraId="0D9685C7" w14:textId="77777777" w:rsidR="00B52FF4" w:rsidRPr="0088780C" w:rsidRDefault="00B52FF4" w:rsidP="00CA6AC3">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Kaliakra</w:t>
            </w:r>
          </w:p>
        </w:tc>
      </w:tr>
      <w:tr w:rsidR="00B52FF4" w:rsidRPr="00E7219D" w14:paraId="4F82BD1D" w14:textId="77777777" w:rsidTr="00CA6AC3">
        <w:trPr>
          <w:cantSplit/>
          <w:jc w:val="center"/>
        </w:trPr>
        <w:tc>
          <w:tcPr>
            <w:tcW w:w="1384" w:type="dxa"/>
          </w:tcPr>
          <w:p w14:paraId="4E6124C2" w14:textId="2B630AC0"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3</w:t>
            </w:r>
          </w:p>
        </w:tc>
        <w:tc>
          <w:tcPr>
            <w:tcW w:w="7310" w:type="dxa"/>
          </w:tcPr>
          <w:p w14:paraId="7FCBFBAB" w14:textId="77777777" w:rsidR="00B52FF4" w:rsidRPr="00E7219D" w:rsidRDefault="00B52FF4" w:rsidP="00CA6AC3">
            <w:pPr>
              <w:suppressLineNumbers/>
              <w:suppressAutoHyphens/>
              <w:kinsoku w:val="0"/>
              <w:overflowPunct w:val="0"/>
              <w:autoSpaceDE w:val="0"/>
              <w:autoSpaceDN w:val="0"/>
              <w:rPr>
                <w:snapToGrid w:val="0"/>
                <w:kern w:val="22"/>
                <w:szCs w:val="22"/>
                <w:lang w:val="fr-FR"/>
              </w:rPr>
            </w:pPr>
            <w:r w:rsidRPr="00E7219D">
              <w:rPr>
                <w:rFonts w:eastAsia="MS Mincho"/>
                <w:snapToGrid w:val="0"/>
                <w:kern w:val="22"/>
                <w:szCs w:val="22"/>
                <w:lang w:val="fr-FR"/>
              </w:rPr>
              <w:t>Vama Veche – 2 Mai Marine Reserve</w:t>
            </w:r>
          </w:p>
        </w:tc>
      </w:tr>
      <w:tr w:rsidR="00B52FF4" w:rsidRPr="0088780C" w14:paraId="39ACFEF3" w14:textId="77777777" w:rsidTr="00CA6AC3">
        <w:trPr>
          <w:cantSplit/>
          <w:jc w:val="center"/>
        </w:trPr>
        <w:tc>
          <w:tcPr>
            <w:tcW w:w="1384" w:type="dxa"/>
          </w:tcPr>
          <w:p w14:paraId="659DF440" w14:textId="11A021AC"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4</w:t>
            </w:r>
          </w:p>
        </w:tc>
        <w:tc>
          <w:tcPr>
            <w:tcW w:w="7310" w:type="dxa"/>
          </w:tcPr>
          <w:p w14:paraId="77B0189C" w14:textId="7CBBDBFD" w:rsidR="00B52FF4" w:rsidRPr="0088780C" w:rsidRDefault="009F7354" w:rsidP="00CA6AC3">
            <w:pPr>
              <w:suppressLineNumbers/>
              <w:suppressAutoHyphens/>
              <w:kinsoku w:val="0"/>
              <w:overflowPunct w:val="0"/>
              <w:autoSpaceDE w:val="0"/>
              <w:autoSpaceDN w:val="0"/>
              <w:rPr>
                <w:snapToGrid w:val="0"/>
                <w:kern w:val="22"/>
                <w:szCs w:val="22"/>
              </w:rPr>
            </w:pPr>
            <w:r w:rsidRPr="0088780C">
              <w:rPr>
                <w:snapToGrid w:val="0"/>
                <w:kern w:val="22"/>
                <w:szCs w:val="22"/>
              </w:rPr>
              <w:t>Danube Delta Marine Area</w:t>
            </w:r>
          </w:p>
        </w:tc>
      </w:tr>
      <w:tr w:rsidR="00B52FF4" w:rsidRPr="0088780C" w14:paraId="2BBFBBB6" w14:textId="77777777" w:rsidTr="00CA6AC3">
        <w:trPr>
          <w:cantSplit/>
          <w:jc w:val="center"/>
        </w:trPr>
        <w:tc>
          <w:tcPr>
            <w:tcW w:w="1384" w:type="dxa"/>
          </w:tcPr>
          <w:p w14:paraId="3CBD87DE" w14:textId="4738869F"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5</w:t>
            </w:r>
          </w:p>
        </w:tc>
        <w:tc>
          <w:tcPr>
            <w:tcW w:w="7310" w:type="dxa"/>
          </w:tcPr>
          <w:p w14:paraId="4E123673" w14:textId="5E915202" w:rsidR="00B52FF4" w:rsidRPr="0088780C" w:rsidRDefault="009F7354" w:rsidP="00CA6AC3">
            <w:pPr>
              <w:suppressLineNumbers/>
              <w:suppressAutoHyphens/>
              <w:kinsoku w:val="0"/>
              <w:overflowPunct w:val="0"/>
              <w:autoSpaceDE w:val="0"/>
              <w:autoSpaceDN w:val="0"/>
              <w:rPr>
                <w:snapToGrid w:val="0"/>
                <w:kern w:val="22"/>
                <w:szCs w:val="22"/>
              </w:rPr>
            </w:pPr>
            <w:r w:rsidRPr="0088780C">
              <w:rPr>
                <w:snapToGrid w:val="0"/>
                <w:kern w:val="22"/>
                <w:szCs w:val="22"/>
              </w:rPr>
              <w:t>Zernov’s Phy</w:t>
            </w:r>
            <w:r w:rsidR="00B52FF4" w:rsidRPr="0088780C">
              <w:rPr>
                <w:snapToGrid w:val="0"/>
                <w:kern w:val="22"/>
                <w:szCs w:val="22"/>
              </w:rPr>
              <w:t>l</w:t>
            </w:r>
            <w:r w:rsidRPr="0088780C">
              <w:rPr>
                <w:snapToGrid w:val="0"/>
                <w:kern w:val="22"/>
                <w:szCs w:val="22"/>
              </w:rPr>
              <w:t>l</w:t>
            </w:r>
            <w:r w:rsidR="00B52FF4" w:rsidRPr="0088780C">
              <w:rPr>
                <w:snapToGrid w:val="0"/>
                <w:kern w:val="22"/>
                <w:szCs w:val="22"/>
              </w:rPr>
              <w:t xml:space="preserve">ophora </w:t>
            </w:r>
            <w:r w:rsidR="000D31EA" w:rsidRPr="0088780C">
              <w:rPr>
                <w:snapToGrid w:val="0"/>
                <w:kern w:val="22"/>
                <w:szCs w:val="22"/>
              </w:rPr>
              <w:t>F</w:t>
            </w:r>
            <w:r w:rsidR="00B52FF4" w:rsidRPr="0088780C">
              <w:rPr>
                <w:snapToGrid w:val="0"/>
                <w:kern w:val="22"/>
                <w:szCs w:val="22"/>
              </w:rPr>
              <w:t>ield</w:t>
            </w:r>
          </w:p>
        </w:tc>
      </w:tr>
      <w:tr w:rsidR="00B52FF4" w:rsidRPr="0088780C" w14:paraId="4CAB03A9" w14:textId="77777777" w:rsidTr="00CA6AC3">
        <w:trPr>
          <w:cantSplit/>
          <w:jc w:val="center"/>
        </w:trPr>
        <w:tc>
          <w:tcPr>
            <w:tcW w:w="1384" w:type="dxa"/>
          </w:tcPr>
          <w:p w14:paraId="7590F81A" w14:textId="0804052D"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6</w:t>
            </w:r>
          </w:p>
        </w:tc>
        <w:tc>
          <w:tcPr>
            <w:tcW w:w="7310" w:type="dxa"/>
          </w:tcPr>
          <w:p w14:paraId="558AE61F" w14:textId="4C17E541"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The Small Phyllophora Field</w:t>
            </w:r>
          </w:p>
        </w:tc>
      </w:tr>
      <w:tr w:rsidR="00B52FF4" w:rsidRPr="0088780C" w14:paraId="5C9F538F" w14:textId="77777777" w:rsidTr="00CA6AC3">
        <w:trPr>
          <w:cantSplit/>
          <w:jc w:val="center"/>
        </w:trPr>
        <w:tc>
          <w:tcPr>
            <w:tcW w:w="1384" w:type="dxa"/>
          </w:tcPr>
          <w:p w14:paraId="57B84069" w14:textId="1D4738C9"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7</w:t>
            </w:r>
          </w:p>
        </w:tc>
        <w:tc>
          <w:tcPr>
            <w:tcW w:w="7310" w:type="dxa"/>
          </w:tcPr>
          <w:p w14:paraId="528BEA10" w14:textId="4BC2BFE9"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Balaklava</w:t>
            </w:r>
          </w:p>
        </w:tc>
      </w:tr>
      <w:tr w:rsidR="00B52FF4" w:rsidRPr="0088780C" w14:paraId="1577DC53" w14:textId="77777777" w:rsidTr="00CA6AC3">
        <w:trPr>
          <w:cantSplit/>
          <w:jc w:val="center"/>
        </w:trPr>
        <w:tc>
          <w:tcPr>
            <w:tcW w:w="1384" w:type="dxa"/>
          </w:tcPr>
          <w:p w14:paraId="6755766E" w14:textId="505A3BA7"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8</w:t>
            </w:r>
          </w:p>
        </w:tc>
        <w:tc>
          <w:tcPr>
            <w:tcW w:w="7310" w:type="dxa"/>
          </w:tcPr>
          <w:p w14:paraId="54AD3FDD" w14:textId="09492A8F" w:rsidR="00B52FF4" w:rsidRPr="0088780C" w:rsidRDefault="00B52FF4" w:rsidP="00CA6AC3">
            <w:pPr>
              <w:suppressLineNumbers/>
              <w:suppressAutoHyphens/>
              <w:kinsoku w:val="0"/>
              <w:overflowPunct w:val="0"/>
              <w:autoSpaceDE w:val="0"/>
              <w:autoSpaceDN w:val="0"/>
              <w:rPr>
                <w:snapToGrid w:val="0"/>
                <w:kern w:val="22"/>
                <w:szCs w:val="22"/>
              </w:rPr>
            </w:pPr>
            <w:r w:rsidRPr="0088780C">
              <w:rPr>
                <w:rFonts w:eastAsia="MS Mincho"/>
                <w:snapToGrid w:val="0"/>
                <w:color w:val="000000" w:themeColor="text1"/>
                <w:kern w:val="22"/>
                <w:szCs w:val="22"/>
              </w:rPr>
              <w:t>Yagorlytsky Bay</w:t>
            </w:r>
          </w:p>
        </w:tc>
      </w:tr>
      <w:tr w:rsidR="00B52FF4" w:rsidRPr="0088780C" w14:paraId="34DA8678" w14:textId="77777777" w:rsidTr="00CA6AC3">
        <w:trPr>
          <w:cantSplit/>
          <w:jc w:val="center"/>
        </w:trPr>
        <w:tc>
          <w:tcPr>
            <w:tcW w:w="1384" w:type="dxa"/>
          </w:tcPr>
          <w:p w14:paraId="324C2A3B" w14:textId="078F9C12"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9</w:t>
            </w:r>
          </w:p>
        </w:tc>
        <w:tc>
          <w:tcPr>
            <w:tcW w:w="7310" w:type="dxa"/>
          </w:tcPr>
          <w:p w14:paraId="2EFCD740"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 xml:space="preserve">Kuban Delta </w:t>
            </w:r>
          </w:p>
        </w:tc>
      </w:tr>
      <w:tr w:rsidR="00B52FF4" w:rsidRPr="0088780C" w14:paraId="2F7D70D8" w14:textId="77777777" w:rsidTr="00CA6AC3">
        <w:trPr>
          <w:cantSplit/>
          <w:jc w:val="center"/>
        </w:trPr>
        <w:tc>
          <w:tcPr>
            <w:tcW w:w="1384" w:type="dxa"/>
          </w:tcPr>
          <w:p w14:paraId="3E6589BA" w14:textId="63C13EB5"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10</w:t>
            </w:r>
          </w:p>
        </w:tc>
        <w:tc>
          <w:tcPr>
            <w:tcW w:w="7310" w:type="dxa"/>
          </w:tcPr>
          <w:p w14:paraId="58618022" w14:textId="2D360EC0"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Taman Bay and the Kerch Strait</w:t>
            </w:r>
          </w:p>
        </w:tc>
      </w:tr>
      <w:tr w:rsidR="00B52FF4" w:rsidRPr="0088780C" w14:paraId="73DC1AFB" w14:textId="77777777" w:rsidTr="00CA6AC3">
        <w:trPr>
          <w:cantSplit/>
          <w:jc w:val="center"/>
        </w:trPr>
        <w:tc>
          <w:tcPr>
            <w:tcW w:w="1384" w:type="dxa"/>
          </w:tcPr>
          <w:p w14:paraId="7A5ED5CC" w14:textId="1BF366F3"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11</w:t>
            </w:r>
          </w:p>
        </w:tc>
        <w:tc>
          <w:tcPr>
            <w:tcW w:w="7310" w:type="dxa"/>
          </w:tcPr>
          <w:p w14:paraId="233CF051" w14:textId="637F0BC5" w:rsidR="008A1329" w:rsidRPr="0088780C" w:rsidRDefault="000D31EA" w:rsidP="00CA6AC3">
            <w:pPr>
              <w:suppressLineNumbers/>
              <w:suppressAutoHyphens/>
              <w:kinsoku w:val="0"/>
              <w:overflowPunct w:val="0"/>
              <w:autoSpaceDE w:val="0"/>
              <w:autoSpaceDN w:val="0"/>
              <w:rPr>
                <w:snapToGrid w:val="0"/>
                <w:kern w:val="22"/>
                <w:szCs w:val="22"/>
              </w:rPr>
            </w:pPr>
            <w:r w:rsidRPr="0088780C">
              <w:rPr>
                <w:rFonts w:eastAsia="MS Mincho"/>
                <w:snapToGrid w:val="0"/>
                <w:kern w:val="22"/>
                <w:szCs w:val="22"/>
              </w:rPr>
              <w:t>Northern Part of the Caucasian Black Sea Coast</w:t>
            </w:r>
          </w:p>
        </w:tc>
      </w:tr>
      <w:tr w:rsidR="00B52FF4" w:rsidRPr="0088780C" w14:paraId="772C8C31" w14:textId="77777777" w:rsidTr="00CA6AC3">
        <w:trPr>
          <w:cantSplit/>
          <w:jc w:val="center"/>
        </w:trPr>
        <w:tc>
          <w:tcPr>
            <w:tcW w:w="1384" w:type="dxa"/>
          </w:tcPr>
          <w:p w14:paraId="5E03FAEE" w14:textId="30AF5E32"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12</w:t>
            </w:r>
          </w:p>
        </w:tc>
        <w:tc>
          <w:tcPr>
            <w:tcW w:w="7310" w:type="dxa"/>
          </w:tcPr>
          <w:p w14:paraId="59BE5E17" w14:textId="54D1B107" w:rsidR="00B52FF4" w:rsidRPr="0088780C" w:rsidRDefault="003E25EF" w:rsidP="00CA6AC3">
            <w:pPr>
              <w:suppressLineNumbers/>
              <w:suppressAutoHyphens/>
              <w:kinsoku w:val="0"/>
              <w:overflowPunct w:val="0"/>
              <w:autoSpaceDE w:val="0"/>
              <w:autoSpaceDN w:val="0"/>
              <w:rPr>
                <w:snapToGrid w:val="0"/>
                <w:kern w:val="22"/>
                <w:szCs w:val="22"/>
              </w:rPr>
            </w:pPr>
            <w:r w:rsidRPr="0088780C">
              <w:rPr>
                <w:rFonts w:eastAsia="MS Mincho"/>
                <w:snapToGrid w:val="0"/>
                <w:kern w:val="22"/>
                <w:szCs w:val="22"/>
              </w:rPr>
              <w:t>Kolkheti Marine Area</w:t>
            </w:r>
          </w:p>
        </w:tc>
      </w:tr>
      <w:tr w:rsidR="00B52FF4" w:rsidRPr="0088780C" w14:paraId="52EC1CCF" w14:textId="77777777" w:rsidTr="00CA6AC3">
        <w:trPr>
          <w:cantSplit/>
          <w:jc w:val="center"/>
        </w:trPr>
        <w:tc>
          <w:tcPr>
            <w:tcW w:w="1384" w:type="dxa"/>
          </w:tcPr>
          <w:p w14:paraId="030B2CF7" w14:textId="52BD668D"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13</w:t>
            </w:r>
          </w:p>
        </w:tc>
        <w:tc>
          <w:tcPr>
            <w:tcW w:w="7310" w:type="dxa"/>
          </w:tcPr>
          <w:p w14:paraId="5EC8A844"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 xml:space="preserve">Sarpi </w:t>
            </w:r>
          </w:p>
        </w:tc>
      </w:tr>
      <w:tr w:rsidR="00B52FF4" w:rsidRPr="0088780C" w14:paraId="321F1887" w14:textId="77777777" w:rsidTr="00CA6AC3">
        <w:trPr>
          <w:cantSplit/>
          <w:jc w:val="center"/>
        </w:trPr>
        <w:tc>
          <w:tcPr>
            <w:tcW w:w="1384" w:type="dxa"/>
          </w:tcPr>
          <w:p w14:paraId="471A1574" w14:textId="47140684"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14</w:t>
            </w:r>
          </w:p>
        </w:tc>
        <w:tc>
          <w:tcPr>
            <w:tcW w:w="7310" w:type="dxa"/>
          </w:tcPr>
          <w:p w14:paraId="4EB5DE54" w14:textId="0DE0B95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Artvin-Arhavi</w:t>
            </w:r>
          </w:p>
        </w:tc>
      </w:tr>
      <w:tr w:rsidR="00B52FF4" w:rsidRPr="0088780C" w14:paraId="2AE5D969" w14:textId="77777777" w:rsidTr="00CA6AC3">
        <w:trPr>
          <w:cantSplit/>
          <w:jc w:val="center"/>
        </w:trPr>
        <w:tc>
          <w:tcPr>
            <w:tcW w:w="1384" w:type="dxa"/>
          </w:tcPr>
          <w:p w14:paraId="6DFCCEFA" w14:textId="664AC0E1"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15</w:t>
            </w:r>
          </w:p>
        </w:tc>
        <w:tc>
          <w:tcPr>
            <w:tcW w:w="7310" w:type="dxa"/>
          </w:tcPr>
          <w:p w14:paraId="169D4828" w14:textId="3A015BCA" w:rsidR="00B52FF4" w:rsidRPr="0088780C" w:rsidRDefault="003A65E4" w:rsidP="00CA6AC3">
            <w:pPr>
              <w:suppressLineNumbers/>
              <w:suppressAutoHyphens/>
              <w:kinsoku w:val="0"/>
              <w:overflowPunct w:val="0"/>
              <w:autoSpaceDE w:val="0"/>
              <w:autoSpaceDN w:val="0"/>
              <w:rPr>
                <w:snapToGrid w:val="0"/>
                <w:kern w:val="22"/>
                <w:szCs w:val="22"/>
              </w:rPr>
            </w:pPr>
            <w:r w:rsidRPr="0088780C">
              <w:rPr>
                <w:snapToGrid w:val="0"/>
                <w:kern w:val="22"/>
                <w:szCs w:val="22"/>
              </w:rPr>
              <w:t>Trabzon-Sürmene</w:t>
            </w:r>
          </w:p>
        </w:tc>
      </w:tr>
      <w:tr w:rsidR="00B52FF4" w:rsidRPr="0088780C" w14:paraId="6C3F8C04" w14:textId="77777777" w:rsidTr="00CA6AC3">
        <w:trPr>
          <w:cantSplit/>
          <w:jc w:val="center"/>
        </w:trPr>
        <w:tc>
          <w:tcPr>
            <w:tcW w:w="1384" w:type="dxa"/>
          </w:tcPr>
          <w:p w14:paraId="4ED2516F" w14:textId="5CD66A27"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16</w:t>
            </w:r>
          </w:p>
        </w:tc>
        <w:tc>
          <w:tcPr>
            <w:tcW w:w="7310" w:type="dxa"/>
          </w:tcPr>
          <w:p w14:paraId="758AE351"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 xml:space="preserve">Trabzon-Arsin </w:t>
            </w:r>
          </w:p>
        </w:tc>
      </w:tr>
      <w:tr w:rsidR="00B52FF4" w:rsidRPr="0088780C" w14:paraId="1FCDD114" w14:textId="77777777" w:rsidTr="00CA6AC3">
        <w:trPr>
          <w:cantSplit/>
          <w:jc w:val="center"/>
        </w:trPr>
        <w:tc>
          <w:tcPr>
            <w:tcW w:w="1384" w:type="dxa"/>
          </w:tcPr>
          <w:p w14:paraId="5CEB5D61" w14:textId="28B34205" w:rsidR="00B52FF4" w:rsidRPr="0088780C" w:rsidRDefault="00B52FF4"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17</w:t>
            </w:r>
          </w:p>
        </w:tc>
        <w:tc>
          <w:tcPr>
            <w:tcW w:w="7310" w:type="dxa"/>
          </w:tcPr>
          <w:p w14:paraId="4C6A29AE" w14:textId="47C205D5" w:rsidR="00B52FF4" w:rsidRPr="0088780C" w:rsidRDefault="00130BAE" w:rsidP="00CA6AC3">
            <w:pPr>
              <w:suppressLineNumbers/>
              <w:suppressAutoHyphens/>
              <w:kinsoku w:val="0"/>
              <w:overflowPunct w:val="0"/>
              <w:autoSpaceDE w:val="0"/>
              <w:autoSpaceDN w:val="0"/>
              <w:rPr>
                <w:snapToGrid w:val="0"/>
                <w:kern w:val="22"/>
                <w:szCs w:val="22"/>
              </w:rPr>
            </w:pPr>
            <w:r w:rsidRPr="0088780C">
              <w:rPr>
                <w:snapToGrid w:val="0"/>
                <w:kern w:val="22"/>
                <w:szCs w:val="22"/>
              </w:rPr>
              <w:t>Giresun – Tirebolu</w:t>
            </w:r>
          </w:p>
        </w:tc>
      </w:tr>
      <w:tr w:rsidR="00B52FF4" w:rsidRPr="0088780C" w14:paraId="53236B38" w14:textId="77777777" w:rsidTr="00CA6AC3">
        <w:trPr>
          <w:cantSplit/>
          <w:jc w:val="center"/>
        </w:trPr>
        <w:tc>
          <w:tcPr>
            <w:tcW w:w="1384" w:type="dxa"/>
          </w:tcPr>
          <w:p w14:paraId="35DAB014" w14:textId="7FF88A36"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18</w:t>
            </w:r>
          </w:p>
        </w:tc>
        <w:tc>
          <w:tcPr>
            <w:tcW w:w="7310" w:type="dxa"/>
          </w:tcPr>
          <w:p w14:paraId="21A1B181" w14:textId="7CDB35FF"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 xml:space="preserve">Pre-estuarine Area of the Ural </w:t>
            </w:r>
            <w:r w:rsidR="00CD1456" w:rsidRPr="0088780C">
              <w:rPr>
                <w:snapToGrid w:val="0"/>
                <w:kern w:val="22"/>
                <w:szCs w:val="22"/>
              </w:rPr>
              <w:t>R</w:t>
            </w:r>
            <w:r w:rsidRPr="0088780C">
              <w:rPr>
                <w:snapToGrid w:val="0"/>
                <w:kern w:val="22"/>
                <w:szCs w:val="22"/>
              </w:rPr>
              <w:t>iver</w:t>
            </w:r>
          </w:p>
        </w:tc>
      </w:tr>
      <w:tr w:rsidR="00B52FF4" w:rsidRPr="0088780C" w14:paraId="3E4A5982" w14:textId="77777777" w:rsidTr="00CA6AC3">
        <w:trPr>
          <w:cantSplit/>
          <w:jc w:val="center"/>
        </w:trPr>
        <w:tc>
          <w:tcPr>
            <w:tcW w:w="1384" w:type="dxa"/>
          </w:tcPr>
          <w:p w14:paraId="10D51684" w14:textId="00B36590"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19</w:t>
            </w:r>
          </w:p>
        </w:tc>
        <w:tc>
          <w:tcPr>
            <w:tcW w:w="7310" w:type="dxa"/>
          </w:tcPr>
          <w:p w14:paraId="59CD9141"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Komsomol Bay</w:t>
            </w:r>
          </w:p>
        </w:tc>
      </w:tr>
      <w:tr w:rsidR="00B52FF4" w:rsidRPr="0088780C" w14:paraId="0D7B3AD9" w14:textId="77777777" w:rsidTr="00CA6AC3">
        <w:trPr>
          <w:cantSplit/>
          <w:jc w:val="center"/>
        </w:trPr>
        <w:tc>
          <w:tcPr>
            <w:tcW w:w="1384" w:type="dxa"/>
          </w:tcPr>
          <w:p w14:paraId="4558A379" w14:textId="7D4BE468"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20</w:t>
            </w:r>
          </w:p>
        </w:tc>
        <w:tc>
          <w:tcPr>
            <w:tcW w:w="7310" w:type="dxa"/>
          </w:tcPr>
          <w:p w14:paraId="74842B3A" w14:textId="1865615E"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 xml:space="preserve">Caspian Seal Breeding Grounds </w:t>
            </w:r>
          </w:p>
        </w:tc>
      </w:tr>
      <w:tr w:rsidR="00B52FF4" w:rsidRPr="0088780C" w14:paraId="21034CDE" w14:textId="77777777" w:rsidTr="00CA6AC3">
        <w:trPr>
          <w:cantSplit/>
          <w:jc w:val="center"/>
        </w:trPr>
        <w:tc>
          <w:tcPr>
            <w:tcW w:w="1384" w:type="dxa"/>
          </w:tcPr>
          <w:p w14:paraId="4B8D442A" w14:textId="6386523B"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21</w:t>
            </w:r>
          </w:p>
        </w:tc>
        <w:tc>
          <w:tcPr>
            <w:tcW w:w="7310" w:type="dxa"/>
          </w:tcPr>
          <w:p w14:paraId="057CD4FB"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Kendirli Bay</w:t>
            </w:r>
          </w:p>
        </w:tc>
      </w:tr>
      <w:tr w:rsidR="00B52FF4" w:rsidRPr="0088780C" w14:paraId="71AC55CF" w14:textId="77777777" w:rsidTr="00CA6AC3">
        <w:trPr>
          <w:cantSplit/>
          <w:jc w:val="center"/>
        </w:trPr>
        <w:tc>
          <w:tcPr>
            <w:tcW w:w="1384" w:type="dxa"/>
          </w:tcPr>
          <w:p w14:paraId="16A8B685" w14:textId="330D8EC1"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22</w:t>
            </w:r>
          </w:p>
        </w:tc>
        <w:tc>
          <w:tcPr>
            <w:tcW w:w="7310" w:type="dxa"/>
          </w:tcPr>
          <w:p w14:paraId="616EC5EF"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Karabogazgol Strait</w:t>
            </w:r>
          </w:p>
        </w:tc>
      </w:tr>
      <w:tr w:rsidR="00B52FF4" w:rsidRPr="0088780C" w14:paraId="41516CA2" w14:textId="77777777" w:rsidTr="00CA6AC3">
        <w:trPr>
          <w:cantSplit/>
          <w:jc w:val="center"/>
        </w:trPr>
        <w:tc>
          <w:tcPr>
            <w:tcW w:w="1384" w:type="dxa"/>
          </w:tcPr>
          <w:p w14:paraId="7B64ED4B" w14:textId="2A2A5C7A"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23</w:t>
            </w:r>
          </w:p>
        </w:tc>
        <w:tc>
          <w:tcPr>
            <w:tcW w:w="7310" w:type="dxa"/>
          </w:tcPr>
          <w:p w14:paraId="69F04344"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Turkmenbashi Gulf</w:t>
            </w:r>
          </w:p>
        </w:tc>
      </w:tr>
      <w:tr w:rsidR="00B52FF4" w:rsidRPr="0088780C" w14:paraId="02A81967" w14:textId="77777777" w:rsidTr="00CA6AC3">
        <w:trPr>
          <w:cantSplit/>
          <w:jc w:val="center"/>
        </w:trPr>
        <w:tc>
          <w:tcPr>
            <w:tcW w:w="1384" w:type="dxa"/>
          </w:tcPr>
          <w:p w14:paraId="6BC15006" w14:textId="362A9068"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24</w:t>
            </w:r>
          </w:p>
        </w:tc>
        <w:tc>
          <w:tcPr>
            <w:tcW w:w="7310" w:type="dxa"/>
          </w:tcPr>
          <w:p w14:paraId="7227F9D3" w14:textId="5FEA3752" w:rsidR="00B52FF4" w:rsidRPr="0088780C" w:rsidRDefault="00140CA4" w:rsidP="00CA6AC3">
            <w:pPr>
              <w:suppressLineNumbers/>
              <w:suppressAutoHyphens/>
              <w:kinsoku w:val="0"/>
              <w:overflowPunct w:val="0"/>
              <w:autoSpaceDE w:val="0"/>
              <w:autoSpaceDN w:val="0"/>
              <w:rPr>
                <w:snapToGrid w:val="0"/>
                <w:kern w:val="22"/>
                <w:szCs w:val="22"/>
              </w:rPr>
            </w:pPr>
            <w:r w:rsidRPr="0088780C">
              <w:rPr>
                <w:snapToGrid w:val="0"/>
                <w:kern w:val="22"/>
                <w:szCs w:val="22"/>
              </w:rPr>
              <w:t>Turkmen Aylagy</w:t>
            </w:r>
          </w:p>
        </w:tc>
      </w:tr>
      <w:tr w:rsidR="00B52FF4" w:rsidRPr="0088780C" w14:paraId="36CF66C4" w14:textId="77777777" w:rsidTr="00CA6AC3">
        <w:trPr>
          <w:cantSplit/>
          <w:jc w:val="center"/>
        </w:trPr>
        <w:tc>
          <w:tcPr>
            <w:tcW w:w="1384" w:type="dxa"/>
          </w:tcPr>
          <w:p w14:paraId="05E340BD" w14:textId="19F2C8B0"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25</w:t>
            </w:r>
          </w:p>
        </w:tc>
        <w:tc>
          <w:tcPr>
            <w:tcW w:w="7310" w:type="dxa"/>
          </w:tcPr>
          <w:p w14:paraId="7A374E9A"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Miankaleh-Esenguly</w:t>
            </w:r>
          </w:p>
        </w:tc>
      </w:tr>
      <w:tr w:rsidR="00B52FF4" w:rsidRPr="0088780C" w14:paraId="06D8C745" w14:textId="77777777" w:rsidTr="00CA6AC3">
        <w:trPr>
          <w:cantSplit/>
          <w:jc w:val="center"/>
        </w:trPr>
        <w:tc>
          <w:tcPr>
            <w:tcW w:w="1384" w:type="dxa"/>
          </w:tcPr>
          <w:p w14:paraId="4DA64F6F" w14:textId="1209D8CA"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26</w:t>
            </w:r>
          </w:p>
        </w:tc>
        <w:tc>
          <w:tcPr>
            <w:tcW w:w="7310" w:type="dxa"/>
          </w:tcPr>
          <w:p w14:paraId="00423430"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 xml:space="preserve">Sefidroud Delta </w:t>
            </w:r>
          </w:p>
        </w:tc>
      </w:tr>
      <w:tr w:rsidR="00B52FF4" w:rsidRPr="0088780C" w14:paraId="1FD69EDF" w14:textId="77777777" w:rsidTr="00CA6AC3">
        <w:trPr>
          <w:cantSplit/>
          <w:jc w:val="center"/>
        </w:trPr>
        <w:tc>
          <w:tcPr>
            <w:tcW w:w="1384" w:type="dxa"/>
          </w:tcPr>
          <w:p w14:paraId="45614D87" w14:textId="1ECE707C"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27</w:t>
            </w:r>
          </w:p>
        </w:tc>
        <w:tc>
          <w:tcPr>
            <w:tcW w:w="7310" w:type="dxa"/>
          </w:tcPr>
          <w:p w14:paraId="40E80362"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Anzali Wetlands Complex</w:t>
            </w:r>
          </w:p>
        </w:tc>
      </w:tr>
      <w:tr w:rsidR="00B52FF4" w:rsidRPr="0088780C" w14:paraId="6697118C" w14:textId="77777777" w:rsidTr="00CA6AC3">
        <w:trPr>
          <w:cantSplit/>
          <w:jc w:val="center"/>
        </w:trPr>
        <w:tc>
          <w:tcPr>
            <w:tcW w:w="1384" w:type="dxa"/>
          </w:tcPr>
          <w:p w14:paraId="07998371" w14:textId="48018428"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28</w:t>
            </w:r>
          </w:p>
        </w:tc>
        <w:tc>
          <w:tcPr>
            <w:tcW w:w="7310" w:type="dxa"/>
          </w:tcPr>
          <w:p w14:paraId="275442E5" w14:textId="0132ED11" w:rsidR="00B52FF4" w:rsidRPr="0088780C" w:rsidRDefault="00833482" w:rsidP="00CA6AC3">
            <w:pPr>
              <w:suppressLineNumbers/>
              <w:suppressAutoHyphens/>
              <w:kinsoku w:val="0"/>
              <w:overflowPunct w:val="0"/>
              <w:autoSpaceDE w:val="0"/>
              <w:autoSpaceDN w:val="0"/>
              <w:jc w:val="left"/>
              <w:rPr>
                <w:snapToGrid w:val="0"/>
                <w:kern w:val="22"/>
                <w:szCs w:val="22"/>
              </w:rPr>
            </w:pPr>
            <w:r w:rsidRPr="0088780C">
              <w:rPr>
                <w:rFonts w:eastAsia="Times New Roman"/>
                <w:snapToGrid w:val="0"/>
                <w:color w:val="000000"/>
                <w:kern w:val="22"/>
                <w:szCs w:val="22"/>
              </w:rPr>
              <w:t>G</w:t>
            </w:r>
            <w:r w:rsidR="00C56922" w:rsidRPr="0088780C">
              <w:rPr>
                <w:rFonts w:eastAsia="Times New Roman"/>
                <w:snapToGrid w:val="0"/>
                <w:color w:val="000000"/>
                <w:kern w:val="22"/>
                <w:szCs w:val="22"/>
              </w:rPr>
              <w:t>izilz</w:t>
            </w:r>
            <w:r w:rsidRPr="0088780C">
              <w:rPr>
                <w:rFonts w:eastAsia="Times New Roman"/>
                <w:snapToGrid w:val="0"/>
                <w:color w:val="000000"/>
                <w:kern w:val="22"/>
                <w:szCs w:val="22"/>
              </w:rPr>
              <w:t>gach Bay</w:t>
            </w:r>
            <w:r w:rsidR="00CD1456" w:rsidRPr="0088780C">
              <w:rPr>
                <w:rFonts w:eastAsia="Times New Roman"/>
                <w:snapToGrid w:val="0"/>
                <w:color w:val="000000"/>
                <w:kern w:val="22"/>
                <w:szCs w:val="22"/>
              </w:rPr>
              <w:t xml:space="preserve"> Complex</w:t>
            </w:r>
          </w:p>
        </w:tc>
      </w:tr>
      <w:tr w:rsidR="00B52FF4" w:rsidRPr="0088780C" w14:paraId="7825C009" w14:textId="77777777" w:rsidTr="00CA6AC3">
        <w:trPr>
          <w:cantSplit/>
          <w:jc w:val="center"/>
        </w:trPr>
        <w:tc>
          <w:tcPr>
            <w:tcW w:w="1384" w:type="dxa"/>
          </w:tcPr>
          <w:p w14:paraId="4C891734" w14:textId="63C4E1DE"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29</w:t>
            </w:r>
          </w:p>
        </w:tc>
        <w:tc>
          <w:tcPr>
            <w:tcW w:w="7310" w:type="dxa"/>
          </w:tcPr>
          <w:p w14:paraId="424BFC95"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Kura Delta</w:t>
            </w:r>
          </w:p>
        </w:tc>
      </w:tr>
      <w:tr w:rsidR="00B52FF4" w:rsidRPr="0088780C" w14:paraId="1AC3DDBE" w14:textId="77777777" w:rsidTr="00CA6AC3">
        <w:trPr>
          <w:cantSplit/>
          <w:jc w:val="center"/>
        </w:trPr>
        <w:tc>
          <w:tcPr>
            <w:tcW w:w="1384" w:type="dxa"/>
          </w:tcPr>
          <w:p w14:paraId="5B45064A" w14:textId="655615EE"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30</w:t>
            </w:r>
          </w:p>
        </w:tc>
        <w:tc>
          <w:tcPr>
            <w:tcW w:w="7310" w:type="dxa"/>
          </w:tcPr>
          <w:p w14:paraId="020F29D1"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Samur-Yalama</w:t>
            </w:r>
          </w:p>
        </w:tc>
      </w:tr>
      <w:tr w:rsidR="00B52FF4" w:rsidRPr="0088780C" w14:paraId="4817CDA4" w14:textId="77777777" w:rsidTr="00CA6AC3">
        <w:trPr>
          <w:cantSplit/>
          <w:jc w:val="center"/>
        </w:trPr>
        <w:tc>
          <w:tcPr>
            <w:tcW w:w="1384" w:type="dxa"/>
          </w:tcPr>
          <w:p w14:paraId="671E78F2" w14:textId="329430C4"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31</w:t>
            </w:r>
          </w:p>
        </w:tc>
        <w:tc>
          <w:tcPr>
            <w:tcW w:w="7310" w:type="dxa"/>
          </w:tcPr>
          <w:p w14:paraId="1712D23B" w14:textId="77777777"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Kizlyar Bay</w:t>
            </w:r>
          </w:p>
        </w:tc>
      </w:tr>
      <w:tr w:rsidR="00B52FF4" w:rsidRPr="0088780C" w14:paraId="051B087D" w14:textId="77777777" w:rsidTr="00CA6AC3">
        <w:trPr>
          <w:cantSplit/>
          <w:jc w:val="center"/>
        </w:trPr>
        <w:tc>
          <w:tcPr>
            <w:tcW w:w="1384" w:type="dxa"/>
          </w:tcPr>
          <w:p w14:paraId="5438ECDC" w14:textId="7A1F98DB"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32</w:t>
            </w:r>
          </w:p>
        </w:tc>
        <w:tc>
          <w:tcPr>
            <w:tcW w:w="7310" w:type="dxa"/>
          </w:tcPr>
          <w:p w14:paraId="26E39D6C" w14:textId="19BD49F8" w:rsidR="00B52FF4" w:rsidRPr="0088780C" w:rsidRDefault="00B52FF4" w:rsidP="00CA6AC3">
            <w:pPr>
              <w:suppressLineNumbers/>
              <w:suppressAutoHyphens/>
              <w:kinsoku w:val="0"/>
              <w:overflowPunct w:val="0"/>
              <w:autoSpaceDE w:val="0"/>
              <w:autoSpaceDN w:val="0"/>
              <w:jc w:val="left"/>
              <w:rPr>
                <w:snapToGrid w:val="0"/>
                <w:kern w:val="22"/>
                <w:szCs w:val="22"/>
              </w:rPr>
            </w:pPr>
            <w:r w:rsidRPr="0088780C">
              <w:rPr>
                <w:snapToGrid w:val="0"/>
                <w:kern w:val="22"/>
                <w:szCs w:val="22"/>
              </w:rPr>
              <w:t>Malyi  Zhemchyzhnyi (</w:t>
            </w:r>
            <w:r w:rsidR="00D8482D" w:rsidRPr="0088780C">
              <w:rPr>
                <w:snapToGrid w:val="0"/>
                <w:kern w:val="22"/>
                <w:szCs w:val="22"/>
              </w:rPr>
              <w:t>“</w:t>
            </w:r>
            <w:r w:rsidRPr="0088780C">
              <w:rPr>
                <w:snapToGrid w:val="0"/>
                <w:kern w:val="22"/>
                <w:szCs w:val="22"/>
              </w:rPr>
              <w:t>Small Pearl</w:t>
            </w:r>
            <w:r w:rsidR="00D8482D" w:rsidRPr="0088780C">
              <w:rPr>
                <w:snapToGrid w:val="0"/>
                <w:kern w:val="22"/>
                <w:szCs w:val="22"/>
              </w:rPr>
              <w:t>”</w:t>
            </w:r>
            <w:r w:rsidR="008B3F3D" w:rsidRPr="0088780C">
              <w:rPr>
                <w:snapToGrid w:val="0"/>
                <w:kern w:val="22"/>
                <w:szCs w:val="22"/>
              </w:rPr>
              <w:t>)</w:t>
            </w:r>
            <w:r w:rsidRPr="0088780C">
              <w:rPr>
                <w:snapToGrid w:val="0"/>
                <w:kern w:val="22"/>
                <w:szCs w:val="22"/>
              </w:rPr>
              <w:t xml:space="preserve"> Island</w:t>
            </w:r>
          </w:p>
        </w:tc>
      </w:tr>
      <w:tr w:rsidR="00B52FF4" w:rsidRPr="0088780C" w14:paraId="39545418" w14:textId="77777777" w:rsidTr="00CA6AC3">
        <w:trPr>
          <w:cantSplit/>
          <w:jc w:val="center"/>
        </w:trPr>
        <w:tc>
          <w:tcPr>
            <w:tcW w:w="1384" w:type="dxa"/>
          </w:tcPr>
          <w:p w14:paraId="79214520" w14:textId="63490D20" w:rsidR="00B52FF4" w:rsidRPr="0088780C" w:rsidRDefault="008A0572" w:rsidP="00CA6AC3">
            <w:pPr>
              <w:suppressLineNumbers/>
              <w:suppressAutoHyphens/>
              <w:kinsoku w:val="0"/>
              <w:overflowPunct w:val="0"/>
              <w:autoSpaceDE w:val="0"/>
              <w:autoSpaceDN w:val="0"/>
              <w:jc w:val="center"/>
              <w:rPr>
                <w:snapToGrid w:val="0"/>
                <w:kern w:val="22"/>
                <w:szCs w:val="22"/>
              </w:rPr>
            </w:pPr>
            <w:r w:rsidRPr="0088780C">
              <w:rPr>
                <w:snapToGrid w:val="0"/>
                <w:kern w:val="22"/>
                <w:szCs w:val="22"/>
              </w:rPr>
              <w:t>33</w:t>
            </w:r>
          </w:p>
        </w:tc>
        <w:tc>
          <w:tcPr>
            <w:tcW w:w="7310" w:type="dxa"/>
          </w:tcPr>
          <w:p w14:paraId="0C65D2CA" w14:textId="0DCB69B1" w:rsidR="00B52FF4" w:rsidRPr="0088780C" w:rsidRDefault="00B52FF4" w:rsidP="00CA6AC3">
            <w:pPr>
              <w:suppressLineNumbers/>
              <w:suppressAutoHyphens/>
              <w:kinsoku w:val="0"/>
              <w:overflowPunct w:val="0"/>
              <w:autoSpaceDE w:val="0"/>
              <w:autoSpaceDN w:val="0"/>
              <w:rPr>
                <w:snapToGrid w:val="0"/>
                <w:kern w:val="22"/>
                <w:szCs w:val="22"/>
              </w:rPr>
            </w:pPr>
            <w:r w:rsidRPr="0088780C">
              <w:rPr>
                <w:snapToGrid w:val="0"/>
                <w:kern w:val="22"/>
                <w:szCs w:val="22"/>
              </w:rPr>
              <w:t>Pre-estuarine Area of the Volga River</w:t>
            </w:r>
          </w:p>
        </w:tc>
      </w:tr>
    </w:tbl>
    <w:p w14:paraId="6BB4FF9D" w14:textId="2C27B434" w:rsidR="00657064" w:rsidRPr="0088780C" w:rsidRDefault="00657064" w:rsidP="001013AF">
      <w:pPr>
        <w:suppressLineNumbers/>
        <w:suppressAutoHyphens/>
        <w:kinsoku w:val="0"/>
        <w:overflowPunct w:val="0"/>
        <w:autoSpaceDE w:val="0"/>
        <w:autoSpaceDN w:val="0"/>
        <w:jc w:val="left"/>
        <w:rPr>
          <w:bCs/>
          <w:snapToGrid w:val="0"/>
          <w:kern w:val="22"/>
          <w:szCs w:val="22"/>
          <w:lang w:eastAsia="ko-KR"/>
        </w:rPr>
      </w:pPr>
    </w:p>
    <w:p w14:paraId="549111D5" w14:textId="77777777" w:rsidR="00B52FF4" w:rsidRPr="0088780C" w:rsidRDefault="00B52FF4" w:rsidP="001013AF">
      <w:pPr>
        <w:suppressLineNumbers/>
        <w:suppressAutoHyphens/>
        <w:kinsoku w:val="0"/>
        <w:overflowPunct w:val="0"/>
        <w:autoSpaceDE w:val="0"/>
        <w:autoSpaceDN w:val="0"/>
        <w:jc w:val="left"/>
        <w:rPr>
          <w:i/>
          <w:snapToGrid w:val="0"/>
          <w:kern w:val="22"/>
          <w:szCs w:val="22"/>
          <w:lang w:eastAsia="ko-KR"/>
        </w:rPr>
      </w:pPr>
      <w:r w:rsidRPr="0088780C">
        <w:rPr>
          <w:i/>
          <w:snapToGrid w:val="0"/>
          <w:kern w:val="22"/>
          <w:szCs w:val="22"/>
          <w:lang w:eastAsia="ko-KR"/>
        </w:rPr>
        <w:br w:type="page"/>
      </w:r>
    </w:p>
    <w:p w14:paraId="19BF09DF" w14:textId="3F07DE76" w:rsidR="00657064" w:rsidRPr="0088780C" w:rsidRDefault="00457FAD" w:rsidP="001013AF">
      <w:pPr>
        <w:pStyle w:val="bodytextnoindent"/>
        <w:suppressLineNumbers/>
        <w:suppressAutoHyphens/>
        <w:kinsoku w:val="0"/>
        <w:overflowPunct w:val="0"/>
        <w:autoSpaceDE w:val="0"/>
        <w:autoSpaceDN w:val="0"/>
        <w:jc w:val="center"/>
        <w:rPr>
          <w:i/>
          <w:snapToGrid w:val="0"/>
          <w:kern w:val="22"/>
          <w:szCs w:val="22"/>
          <w:lang w:eastAsia="ko-KR"/>
        </w:rPr>
      </w:pPr>
      <w:r w:rsidRPr="0088780C">
        <w:rPr>
          <w:i/>
          <w:snapToGrid w:val="0"/>
          <w:kern w:val="22"/>
          <w:szCs w:val="22"/>
          <w:lang w:eastAsia="ko-KR"/>
        </w:rPr>
        <w:t>Appendix to Annex V</w:t>
      </w:r>
    </w:p>
    <w:p w14:paraId="50EA6FC6" w14:textId="063B782C" w:rsidR="00657064" w:rsidRPr="0088780C" w:rsidRDefault="00657064" w:rsidP="001013AF">
      <w:pPr>
        <w:pStyle w:val="bodytextnoindent"/>
        <w:suppressLineNumbers/>
        <w:suppressAutoHyphens/>
        <w:kinsoku w:val="0"/>
        <w:overflowPunct w:val="0"/>
        <w:autoSpaceDE w:val="0"/>
        <w:autoSpaceDN w:val="0"/>
        <w:jc w:val="center"/>
        <w:rPr>
          <w:b/>
          <w:snapToGrid w:val="0"/>
          <w:kern w:val="22"/>
          <w:szCs w:val="22"/>
          <w:lang w:eastAsia="ko-KR"/>
        </w:rPr>
      </w:pPr>
      <w:r w:rsidRPr="0088780C">
        <w:rPr>
          <w:b/>
          <w:snapToGrid w:val="0"/>
          <w:kern w:val="22"/>
          <w:szCs w:val="22"/>
          <w:lang w:eastAsia="ko-KR"/>
        </w:rPr>
        <w:t xml:space="preserve">DESCRIPTION OF AREAS MEETING THE EBSA CRITERIA IN THE </w:t>
      </w:r>
      <w:r w:rsidR="007068A6" w:rsidRPr="0088780C">
        <w:rPr>
          <w:b/>
          <w:snapToGrid w:val="0"/>
          <w:kern w:val="22"/>
          <w:szCs w:val="22"/>
          <w:lang w:eastAsia="ko-KR"/>
        </w:rPr>
        <w:t xml:space="preserve">BLACK SEA AND </w:t>
      </w:r>
      <w:r w:rsidR="00787F60" w:rsidRPr="0088780C">
        <w:rPr>
          <w:b/>
          <w:snapToGrid w:val="0"/>
          <w:kern w:val="22"/>
          <w:szCs w:val="22"/>
          <w:lang w:eastAsia="ko-KR"/>
        </w:rPr>
        <w:t xml:space="preserve">THE </w:t>
      </w:r>
      <w:r w:rsidR="007068A6" w:rsidRPr="0088780C">
        <w:rPr>
          <w:b/>
          <w:snapToGrid w:val="0"/>
          <w:kern w:val="22"/>
          <w:szCs w:val="22"/>
          <w:lang w:eastAsia="ko-KR"/>
        </w:rPr>
        <w:t>CASPIAN SEA</w:t>
      </w:r>
      <w:r w:rsidRPr="0088780C">
        <w:rPr>
          <w:b/>
          <w:snapToGrid w:val="0"/>
          <w:kern w:val="22"/>
          <w:szCs w:val="22"/>
          <w:lang w:eastAsia="ko-KR"/>
        </w:rPr>
        <w:t xml:space="preserve"> AS AGREED BY THE WORKSHOP PLENARY</w:t>
      </w:r>
    </w:p>
    <w:p w14:paraId="32A95FEA" w14:textId="793E8344"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1: Ropotamo</w:t>
      </w:r>
    </w:p>
    <w:p w14:paraId="26D1644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A00000F" w14:textId="4FA26BED"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Abstract</w:t>
      </w:r>
    </w:p>
    <w:p w14:paraId="7D0F0F3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area comprises both a coastal and marine area along the </w:t>
      </w:r>
      <w:r w:rsidRPr="0088780C">
        <w:rPr>
          <w:snapToGrid w:val="0"/>
          <w:color w:val="000000"/>
          <w:kern w:val="22"/>
          <w:szCs w:val="22"/>
          <w:lang w:eastAsia="bg-BG"/>
        </w:rPr>
        <w:t>Bulgarian coast of the Black Sea</w:t>
      </w:r>
      <w:r w:rsidRPr="0088780C">
        <w:rPr>
          <w:rFonts w:eastAsia="MS Mincho"/>
          <w:snapToGrid w:val="0"/>
          <w:kern w:val="22"/>
          <w:szCs w:val="22"/>
        </w:rPr>
        <w:t xml:space="preserve">. The terrestrial part includes </w:t>
      </w:r>
      <w:r w:rsidRPr="0088780C">
        <w:rPr>
          <w:snapToGrid w:val="0"/>
          <w:kern w:val="22"/>
          <w:szCs w:val="22"/>
          <w:lang w:eastAsia="bg-BG"/>
        </w:rPr>
        <w:t xml:space="preserve">Ramsar sites, CORINE Biotope sites (under the European Commission) and national protected areas. </w:t>
      </w:r>
      <w:r w:rsidRPr="0088780C">
        <w:rPr>
          <w:snapToGrid w:val="0"/>
          <w:kern w:val="22"/>
          <w:szCs w:val="22"/>
        </w:rPr>
        <w:t>The marine area stretches over 881.91 km</w:t>
      </w:r>
      <w:r w:rsidRPr="0088780C">
        <w:rPr>
          <w:snapToGrid w:val="0"/>
          <w:kern w:val="22"/>
          <w:szCs w:val="22"/>
          <w:vertAlign w:val="superscript"/>
        </w:rPr>
        <w:t>2</w:t>
      </w:r>
      <w:r w:rsidRPr="0088780C">
        <w:rPr>
          <w:snapToGrid w:val="0"/>
          <w:kern w:val="22"/>
          <w:szCs w:val="22"/>
        </w:rPr>
        <w:t xml:space="preserve"> (</w:t>
      </w:r>
      <w:r w:rsidRPr="0088780C">
        <w:rPr>
          <w:snapToGrid w:val="0"/>
          <w:kern w:val="22"/>
          <w:szCs w:val="22"/>
          <w:lang w:eastAsia="bg-BG"/>
        </w:rPr>
        <w:t xml:space="preserve">89.9 % of the total area). It comprises a variety of habitats of high conservation importance, distinguished by high biodiversity, good ecological status and extensive span – including the unique </w:t>
      </w:r>
      <w:r w:rsidRPr="0088780C">
        <w:rPr>
          <w:snapToGrid w:val="0"/>
          <w:kern w:val="22"/>
          <w:szCs w:val="22"/>
        </w:rPr>
        <w:t>European flat oyster</w:t>
      </w:r>
      <w:r w:rsidRPr="0088780C">
        <w:rPr>
          <w:snapToGrid w:val="0"/>
          <w:kern w:val="22"/>
          <w:szCs w:val="22"/>
          <w:lang w:eastAsia="bg-BG"/>
        </w:rPr>
        <w:t xml:space="preserve"> </w:t>
      </w:r>
      <w:r w:rsidRPr="0088780C">
        <w:rPr>
          <w:i/>
          <w:snapToGrid w:val="0"/>
          <w:kern w:val="22"/>
          <w:szCs w:val="22"/>
          <w:lang w:eastAsia="bg-BG"/>
        </w:rPr>
        <w:t>(Ostrea edulis)</w:t>
      </w:r>
      <w:r w:rsidRPr="0088780C">
        <w:rPr>
          <w:snapToGrid w:val="0"/>
          <w:kern w:val="22"/>
          <w:szCs w:val="22"/>
          <w:lang w:eastAsia="bg-BG"/>
        </w:rPr>
        <w:t xml:space="preserve"> biogenic reefs, the rare sciophilic association</w:t>
      </w:r>
      <w:r w:rsidRPr="0088780C">
        <w:rPr>
          <w:i/>
          <w:snapToGrid w:val="0"/>
          <w:kern w:val="22"/>
          <w:szCs w:val="22"/>
          <w:lang w:eastAsia="bg-BG"/>
        </w:rPr>
        <w:t xml:space="preserve"> </w:t>
      </w:r>
      <w:r w:rsidRPr="0088780C">
        <w:rPr>
          <w:snapToGrid w:val="0"/>
          <w:kern w:val="22"/>
          <w:szCs w:val="22"/>
          <w:lang w:eastAsia="bg-BG"/>
        </w:rPr>
        <w:t xml:space="preserve">of the red seaweed </w:t>
      </w:r>
      <w:r w:rsidRPr="0088780C">
        <w:rPr>
          <w:i/>
          <w:snapToGrid w:val="0"/>
          <w:kern w:val="22"/>
          <w:szCs w:val="22"/>
          <w:lang w:eastAsia="bg-BG"/>
        </w:rPr>
        <w:t>Phyllophora crispa</w:t>
      </w:r>
      <w:r w:rsidRPr="0088780C">
        <w:rPr>
          <w:snapToGrid w:val="0"/>
          <w:kern w:val="22"/>
          <w:szCs w:val="22"/>
          <w:lang w:eastAsia="bg-BG"/>
        </w:rPr>
        <w:t xml:space="preserve"> on infralittoral rock, productive communities of photophilic brown macroalgae, mussel banks on sediment, with high diversity of invertebrates and fishes, sandbanks and seagrass meadows. The marine area is an important habitat for shad fish, providing feeding grounds and migration routes to the spawning grounds. It is significant for the protection of the three small cetacean populations that occur in the Black Sea. The area </w:t>
      </w:r>
      <w:r w:rsidRPr="0088780C">
        <w:rPr>
          <w:rFonts w:eastAsia="MS Mincho"/>
          <w:snapToGrid w:val="0"/>
          <w:kern w:val="22"/>
          <w:szCs w:val="22"/>
        </w:rPr>
        <w:t xml:space="preserve">represents </w:t>
      </w:r>
      <w:r w:rsidRPr="0088780C">
        <w:rPr>
          <w:snapToGrid w:val="0"/>
          <w:kern w:val="22"/>
          <w:szCs w:val="22"/>
        </w:rPr>
        <w:t xml:space="preserve">the largest marine protected area within the Natura 2000 ecological network in the Bulgarian Black Sea, namely the </w:t>
      </w:r>
      <w:r w:rsidRPr="0088780C">
        <w:rPr>
          <w:rFonts w:eastAsia="MS Mincho"/>
          <w:snapToGrid w:val="0"/>
          <w:kern w:val="22"/>
          <w:szCs w:val="22"/>
        </w:rPr>
        <w:t>Special Area of Conservation</w:t>
      </w:r>
      <w:r w:rsidRPr="0088780C">
        <w:rPr>
          <w:snapToGrid w:val="0"/>
          <w:kern w:val="22"/>
          <w:szCs w:val="22"/>
        </w:rPr>
        <w:t xml:space="preserve"> (SAC) </w:t>
      </w:r>
      <w:r w:rsidRPr="0088780C">
        <w:rPr>
          <w:rFonts w:eastAsia="MS Mincho"/>
          <w:snapToGrid w:val="0"/>
          <w:kern w:val="22"/>
          <w:szCs w:val="22"/>
        </w:rPr>
        <w:t>Ropotamo</w:t>
      </w:r>
      <w:r w:rsidRPr="0088780C">
        <w:rPr>
          <w:rFonts w:eastAsia="MS Mincho"/>
          <w:b/>
          <w:snapToGrid w:val="0"/>
          <w:kern w:val="22"/>
          <w:szCs w:val="22"/>
        </w:rPr>
        <w:t xml:space="preserve"> </w:t>
      </w:r>
      <w:r w:rsidRPr="0088780C">
        <w:rPr>
          <w:snapToGrid w:val="0"/>
          <w:kern w:val="22"/>
          <w:szCs w:val="22"/>
          <w:lang w:eastAsia="bg-BG"/>
        </w:rPr>
        <w:t>BG0001001, designated under the Habitats Directive.</w:t>
      </w:r>
    </w:p>
    <w:p w14:paraId="45C8CEE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3B59CA0"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Introduction</w:t>
      </w:r>
    </w:p>
    <w:p w14:paraId="29468EE0" w14:textId="6F0879F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Water depths range from 0 m along the shoreline to 75 m at the eastern boundary of the protected site. The seafloor shows a rather complex and variable morphology. In the coastal area down to water depths of 30-35 m, the seafloor morphology is dominated by scattered rocky reefs built up by volcanic rocks. Substrate is dominated by sandy mud in the offshore area, while the coastal area substrates are very heterogeneous, composed of rocky reefs, sands of variou</w:t>
      </w:r>
      <w:r w:rsidR="00CA6AC3" w:rsidRPr="0088780C">
        <w:rPr>
          <w:snapToGrid w:val="0"/>
          <w:kern w:val="22"/>
          <w:szCs w:val="22"/>
        </w:rPr>
        <w:t>s grain size and shelly gravel.</w:t>
      </w:r>
    </w:p>
    <w:p w14:paraId="12E3FEAB"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4FADB10C" w14:textId="7620AC9B"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snapToGrid w:val="0"/>
          <w:kern w:val="22"/>
          <w:szCs w:val="22"/>
        </w:rPr>
        <w:t>The area of conservation comprises a variety of marine habitats of national and European conservation importance, including sandbanks, rocky reefs, seagrass meadows and biogenic reefs. SAC Ropotamo contains the largest shares of the national area of habitat types listed under Annex I of the Habitats Directive, 1170 reefs and 1110 sandbanks, which are slightly covered by sea water all the time, which ranks the site of primary importance for the maintenance and restoration of the favourable conservation status of these habitat types.</w:t>
      </w:r>
    </w:p>
    <w:p w14:paraId="556E0BC6" w14:textId="77777777" w:rsidR="00A876F3" w:rsidRPr="0088780C" w:rsidRDefault="00A876F3" w:rsidP="001013AF">
      <w:pPr>
        <w:pStyle w:val="Default"/>
        <w:widowControl/>
        <w:suppressLineNumbers/>
        <w:suppressAutoHyphens/>
        <w:kinsoku w:val="0"/>
        <w:overflowPunct w:val="0"/>
        <w:jc w:val="both"/>
        <w:rPr>
          <w:snapToGrid w:val="0"/>
          <w:kern w:val="22"/>
          <w:sz w:val="22"/>
          <w:szCs w:val="22"/>
          <w:lang w:val="en-GB"/>
        </w:rPr>
      </w:pPr>
    </w:p>
    <w:p w14:paraId="79C692C7" w14:textId="786E2DB3" w:rsidR="00A876F3" w:rsidRPr="0088780C" w:rsidRDefault="00A876F3" w:rsidP="001013AF">
      <w:pPr>
        <w:pStyle w:val="Default"/>
        <w:widowControl/>
        <w:suppressLineNumbers/>
        <w:suppressAutoHyphens/>
        <w:kinsoku w:val="0"/>
        <w:overflowPunct w:val="0"/>
        <w:jc w:val="both"/>
        <w:rPr>
          <w:i/>
          <w:snapToGrid w:val="0"/>
          <w:kern w:val="22"/>
          <w:sz w:val="22"/>
          <w:szCs w:val="22"/>
          <w:lang w:val="en-GB"/>
        </w:rPr>
      </w:pPr>
      <w:r w:rsidRPr="0088780C">
        <w:rPr>
          <w:snapToGrid w:val="0"/>
          <w:kern w:val="22"/>
          <w:sz w:val="22"/>
          <w:szCs w:val="22"/>
          <w:lang w:val="en-GB"/>
        </w:rPr>
        <w:t xml:space="preserve">Part of the data for this description is provided by the study </w:t>
      </w:r>
      <w:r w:rsidR="00D8482D" w:rsidRPr="0088780C">
        <w:rPr>
          <w:snapToGrid w:val="0"/>
          <w:kern w:val="22"/>
          <w:sz w:val="22"/>
          <w:szCs w:val="22"/>
          <w:lang w:val="en-GB"/>
        </w:rPr>
        <w:t>“</w:t>
      </w:r>
      <w:r w:rsidRPr="0088780C">
        <w:rPr>
          <w:bCs/>
          <w:snapToGrid w:val="0"/>
          <w:kern w:val="22"/>
          <w:sz w:val="22"/>
          <w:szCs w:val="22"/>
          <w:lang w:val="en-GB" w:eastAsia="bg-BG"/>
        </w:rPr>
        <w:t>Benthic Habitat Mapping in the Bulgarian Black Sea</w:t>
      </w:r>
      <w:r w:rsidR="00D8482D" w:rsidRPr="0088780C">
        <w:rPr>
          <w:bCs/>
          <w:snapToGrid w:val="0"/>
          <w:kern w:val="22"/>
          <w:sz w:val="22"/>
          <w:szCs w:val="22"/>
          <w:lang w:val="en-GB" w:eastAsia="bg-BG"/>
        </w:rPr>
        <w:t>”</w:t>
      </w:r>
      <w:r w:rsidRPr="0088780C">
        <w:rPr>
          <w:bCs/>
          <w:snapToGrid w:val="0"/>
          <w:kern w:val="22"/>
          <w:sz w:val="22"/>
          <w:szCs w:val="22"/>
          <w:lang w:val="en-GB" w:eastAsia="bg-BG"/>
        </w:rPr>
        <w:t xml:space="preserve"> </w:t>
      </w:r>
      <w:bookmarkStart w:id="2" w:name="_Hlk481046824"/>
      <w:r w:rsidRPr="0088780C">
        <w:rPr>
          <w:bCs/>
          <w:snapToGrid w:val="0"/>
          <w:kern w:val="22"/>
          <w:sz w:val="22"/>
          <w:szCs w:val="22"/>
          <w:lang w:val="en-GB" w:eastAsia="bg-BG"/>
        </w:rPr>
        <w:t>(project CoCoNet 7FP EC)</w:t>
      </w:r>
      <w:bookmarkEnd w:id="2"/>
      <w:r w:rsidRPr="0088780C">
        <w:rPr>
          <w:bCs/>
          <w:snapToGrid w:val="0"/>
          <w:kern w:val="22"/>
          <w:sz w:val="22"/>
          <w:szCs w:val="22"/>
          <w:lang w:val="en-GB" w:eastAsia="bg-BG"/>
        </w:rPr>
        <w:t>,</w:t>
      </w:r>
      <w:r w:rsidRPr="0088780C">
        <w:rPr>
          <w:snapToGrid w:val="0"/>
          <w:kern w:val="22"/>
          <w:sz w:val="22"/>
          <w:szCs w:val="22"/>
          <w:lang w:val="en-GB" w:eastAsia="bg-BG"/>
        </w:rPr>
        <w:t xml:space="preserve"> which aims to produce benthic habitat maps of the site by integrating acoustic, geological and biological data, using digital terrain models, acoustic surveys and modeling. Further information derives from the scientific studies and terrain surveys carried out in the context of Natura 2000 designation of the site, and cited in the Natura 2000 Standard Data form.</w:t>
      </w:r>
    </w:p>
    <w:p w14:paraId="51F9D30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822962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Location</w:t>
      </w:r>
    </w:p>
    <w:p w14:paraId="61E8313C"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snapToGrid w:val="0"/>
          <w:kern w:val="22"/>
          <w:szCs w:val="22"/>
          <w:lang w:eastAsia="bg-BG"/>
        </w:rPr>
        <w:t>Longitude:</w:t>
      </w:r>
      <w:r w:rsidRPr="0088780C">
        <w:rPr>
          <w:b/>
          <w:bCs/>
          <w:snapToGrid w:val="0"/>
          <w:kern w:val="22"/>
          <w:szCs w:val="22"/>
          <w:lang w:eastAsia="bg-BG"/>
        </w:rPr>
        <w:t xml:space="preserve"> </w:t>
      </w:r>
      <w:r w:rsidRPr="0088780C">
        <w:rPr>
          <w:snapToGrid w:val="0"/>
          <w:kern w:val="22"/>
          <w:szCs w:val="22"/>
          <w:lang w:eastAsia="bg-BG"/>
        </w:rPr>
        <w:t>27.9343</w:t>
      </w:r>
    </w:p>
    <w:p w14:paraId="23B5B26D"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kern w:val="22"/>
          <w:szCs w:val="22"/>
        </w:rPr>
      </w:pPr>
      <w:r w:rsidRPr="0088780C">
        <w:rPr>
          <w:snapToGrid w:val="0"/>
          <w:kern w:val="22"/>
          <w:szCs w:val="22"/>
          <w:lang w:eastAsia="bg-BG"/>
        </w:rPr>
        <w:t>Latitude:</w:t>
      </w:r>
      <w:r w:rsidRPr="0088780C">
        <w:rPr>
          <w:b/>
          <w:bCs/>
          <w:snapToGrid w:val="0"/>
          <w:kern w:val="22"/>
          <w:szCs w:val="22"/>
          <w:lang w:eastAsia="bg-BG"/>
        </w:rPr>
        <w:t xml:space="preserve"> </w:t>
      </w:r>
      <w:r w:rsidRPr="0088780C">
        <w:rPr>
          <w:snapToGrid w:val="0"/>
          <w:kern w:val="22"/>
          <w:szCs w:val="22"/>
          <w:lang w:eastAsia="bg-BG"/>
        </w:rPr>
        <w:t>42.3019</w:t>
      </w:r>
    </w:p>
    <w:p w14:paraId="0C8ABB18" w14:textId="77777777" w:rsidR="00A876F3" w:rsidRPr="0088780C" w:rsidRDefault="00A876F3" w:rsidP="001013AF">
      <w:pPr>
        <w:suppressLineNumbers/>
        <w:suppressAutoHyphens/>
        <w:kinsoku w:val="0"/>
        <w:overflowPunct w:val="0"/>
        <w:autoSpaceDE w:val="0"/>
        <w:autoSpaceDN w:val="0"/>
        <w:rPr>
          <w:snapToGrid w:val="0"/>
          <w:kern w:val="22"/>
          <w:szCs w:val="22"/>
          <w:lang w:eastAsia="bg-BG"/>
        </w:rPr>
      </w:pPr>
      <w:r w:rsidRPr="0088780C">
        <w:rPr>
          <w:snapToGrid w:val="0"/>
          <w:kern w:val="22"/>
          <w:szCs w:val="22"/>
          <w:lang w:eastAsia="bg-BG"/>
        </w:rPr>
        <w:t>Area [ha]:</w:t>
      </w:r>
      <w:r w:rsidRPr="0088780C">
        <w:rPr>
          <w:b/>
          <w:bCs/>
          <w:snapToGrid w:val="0"/>
          <w:kern w:val="22"/>
          <w:szCs w:val="22"/>
          <w:lang w:eastAsia="bg-BG"/>
        </w:rPr>
        <w:t xml:space="preserve"> </w:t>
      </w:r>
      <w:r w:rsidRPr="0088780C">
        <w:rPr>
          <w:snapToGrid w:val="0"/>
          <w:kern w:val="22"/>
          <w:szCs w:val="22"/>
          <w:lang w:eastAsia="bg-BG"/>
        </w:rPr>
        <w:t>98099.76</w:t>
      </w:r>
    </w:p>
    <w:p w14:paraId="413843BD" w14:textId="77777777" w:rsidR="00A876F3" w:rsidRPr="0088780C" w:rsidRDefault="00A876F3" w:rsidP="001013AF">
      <w:pPr>
        <w:suppressLineNumbers/>
        <w:suppressAutoHyphens/>
        <w:kinsoku w:val="0"/>
        <w:overflowPunct w:val="0"/>
        <w:autoSpaceDE w:val="0"/>
        <w:autoSpaceDN w:val="0"/>
        <w:rPr>
          <w:snapToGrid w:val="0"/>
          <w:kern w:val="22"/>
          <w:szCs w:val="22"/>
          <w:lang w:eastAsia="bg-BG"/>
        </w:rPr>
      </w:pPr>
      <w:r w:rsidRPr="0088780C">
        <w:rPr>
          <w:snapToGrid w:val="0"/>
          <w:kern w:val="22"/>
          <w:szCs w:val="22"/>
          <w:lang w:eastAsia="bg-BG"/>
        </w:rPr>
        <w:t>Marine area [%]:</w:t>
      </w:r>
      <w:r w:rsidRPr="0088780C">
        <w:rPr>
          <w:b/>
          <w:bCs/>
          <w:snapToGrid w:val="0"/>
          <w:kern w:val="22"/>
          <w:szCs w:val="22"/>
          <w:lang w:eastAsia="bg-BG"/>
        </w:rPr>
        <w:t xml:space="preserve"> </w:t>
      </w:r>
      <w:r w:rsidRPr="0088780C">
        <w:rPr>
          <w:snapToGrid w:val="0"/>
          <w:kern w:val="22"/>
          <w:szCs w:val="22"/>
          <w:lang w:eastAsia="bg-BG"/>
        </w:rPr>
        <w:t xml:space="preserve">89.9 </w:t>
      </w:r>
      <w:r w:rsidRPr="0088780C">
        <w:rPr>
          <w:bCs/>
          <w:snapToGrid w:val="0"/>
          <w:kern w:val="22"/>
          <w:szCs w:val="22"/>
          <w:lang w:eastAsia="bg-BG"/>
        </w:rPr>
        <w:t>(881.91 km</w:t>
      </w:r>
      <w:r w:rsidRPr="0088780C">
        <w:rPr>
          <w:bCs/>
          <w:snapToGrid w:val="0"/>
          <w:kern w:val="22"/>
          <w:szCs w:val="22"/>
          <w:vertAlign w:val="superscript"/>
          <w:lang w:eastAsia="bg-BG"/>
        </w:rPr>
        <w:t>2</w:t>
      </w:r>
      <w:r w:rsidRPr="0088780C">
        <w:rPr>
          <w:bCs/>
          <w:snapToGrid w:val="0"/>
          <w:kern w:val="22"/>
          <w:szCs w:val="22"/>
          <w:lang w:eastAsia="bg-BG"/>
        </w:rPr>
        <w:t>)</w:t>
      </w:r>
    </w:p>
    <w:p w14:paraId="268B7018" w14:textId="77777777" w:rsidR="00A876F3" w:rsidRPr="0088780C" w:rsidRDefault="00A876F3" w:rsidP="001013AF">
      <w:pPr>
        <w:suppressLineNumbers/>
        <w:suppressAutoHyphens/>
        <w:kinsoku w:val="0"/>
        <w:overflowPunct w:val="0"/>
        <w:autoSpaceDE w:val="0"/>
        <w:autoSpaceDN w:val="0"/>
        <w:rPr>
          <w:snapToGrid w:val="0"/>
          <w:kern w:val="22"/>
          <w:szCs w:val="22"/>
          <w:lang w:eastAsia="bg-BG"/>
        </w:rPr>
      </w:pPr>
    </w:p>
    <w:p w14:paraId="4E5818A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24B72AB2" w14:textId="025FB346"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snapToGrid w:val="0"/>
          <w:kern w:val="22"/>
          <w:szCs w:val="22"/>
          <w:lang w:eastAsia="bg-BG"/>
        </w:rPr>
        <w:t>The site comprises the low lateral branches of the Strandja mountain chain with its outskirts sliding into the Black Sea. The site includes vast areas covered with dunes and with patches of forested dunes between them. The inland area is mostly forested. The Ropotamo River forms a beautiful preserved estuary. The cliffed coast prevails, with an average height of 11-13 m and consists of magmatic rocks and metamorphosed sedimentary rocks, calca</w:t>
      </w:r>
      <w:r w:rsidR="00730089" w:rsidRPr="0088780C">
        <w:rPr>
          <w:snapToGrid w:val="0"/>
          <w:kern w:val="22"/>
          <w:szCs w:val="22"/>
          <w:lang w:eastAsia="bg-BG"/>
        </w:rPr>
        <w:t xml:space="preserve">reous sandstone and limestone. </w:t>
      </w:r>
      <w:r w:rsidRPr="0088780C">
        <w:rPr>
          <w:snapToGrid w:val="0"/>
          <w:kern w:val="22"/>
          <w:szCs w:val="22"/>
          <w:lang w:eastAsia="bg-BG"/>
        </w:rPr>
        <w:t>An accumulative coast is situated in the central parts of the small bays and is of two types: 1) firth type: Ropotamo beach and the beaches of Primorsko, Kiten and Atliman; and 2) lagoon type:  Dyuni beach, Arkutino beach and Stomoplo beach.</w:t>
      </w:r>
      <w:r w:rsidRPr="0088780C">
        <w:rPr>
          <w:rFonts w:eastAsia="MS Mincho"/>
          <w:snapToGrid w:val="0"/>
          <w:kern w:val="22"/>
          <w:szCs w:val="22"/>
        </w:rPr>
        <w:t xml:space="preserve"> </w:t>
      </w:r>
      <w:r w:rsidRPr="0088780C">
        <w:rPr>
          <w:snapToGrid w:val="0"/>
          <w:kern w:val="22"/>
          <w:szCs w:val="22"/>
          <w:lang w:eastAsia="bg-BG"/>
        </w:rPr>
        <w:t>On the seabed are observed rocky banks, made of igneous rocks, at a distance of 600 m to 2200 m from the coastline and with rel</w:t>
      </w:r>
      <w:r w:rsidR="00730089" w:rsidRPr="0088780C">
        <w:rPr>
          <w:snapToGrid w:val="0"/>
          <w:kern w:val="22"/>
          <w:szCs w:val="22"/>
          <w:lang w:eastAsia="bg-BG"/>
        </w:rPr>
        <w:t xml:space="preserve">ative height of 5 m to 12.5 m. </w:t>
      </w:r>
      <w:r w:rsidRPr="0088780C">
        <w:rPr>
          <w:snapToGrid w:val="0"/>
          <w:kern w:val="22"/>
          <w:szCs w:val="22"/>
          <w:lang w:eastAsia="bg-BG"/>
        </w:rPr>
        <w:t xml:space="preserve">The rocky bottom, formed of calcareous sandstone and marl-limestone complex, reveals just before the shore for the abrasive coast type and reaches 600 m to 2200 m from the </w:t>
      </w:r>
      <w:r w:rsidR="00730089" w:rsidRPr="0088780C">
        <w:rPr>
          <w:snapToGrid w:val="0"/>
          <w:kern w:val="22"/>
          <w:szCs w:val="22"/>
          <w:lang w:eastAsia="bg-BG"/>
        </w:rPr>
        <w:t>shoreline. The rocky banks rise</w:t>
      </w:r>
      <w:r w:rsidRPr="0088780C">
        <w:rPr>
          <w:snapToGrid w:val="0"/>
          <w:kern w:val="22"/>
          <w:szCs w:val="22"/>
          <w:lang w:eastAsia="bg-BG"/>
        </w:rPr>
        <w:t xml:space="preserve"> 3 m to 10-15 m above the seabed and reach a depth down to 40 m. On the beach and the underwater coastal slope, medium sands prevail.</w:t>
      </w:r>
    </w:p>
    <w:p w14:paraId="21EDA896"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p>
    <w:p w14:paraId="356945A1" w14:textId="770919CE"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lang w:eastAsia="bg-BG"/>
        </w:rPr>
        <w:t xml:space="preserve">On the rocky reefs in the area there is a biotope of sciophilic macroalgae known as </w:t>
      </w:r>
      <w:r w:rsidR="00D8482D" w:rsidRPr="0088780C">
        <w:rPr>
          <w:snapToGrid w:val="0"/>
          <w:kern w:val="22"/>
          <w:szCs w:val="22"/>
          <w:lang w:eastAsia="bg-BG"/>
        </w:rPr>
        <w:t>“</w:t>
      </w:r>
      <w:r w:rsidRPr="0088780C">
        <w:rPr>
          <w:snapToGrid w:val="0"/>
          <w:kern w:val="22"/>
          <w:szCs w:val="22"/>
          <w:lang w:eastAsia="bg-BG"/>
        </w:rPr>
        <w:t xml:space="preserve">Lower infralittoral with sciophilic </w:t>
      </w:r>
      <w:r w:rsidRPr="0088780C">
        <w:rPr>
          <w:i/>
          <w:snapToGrid w:val="0"/>
          <w:kern w:val="22"/>
          <w:szCs w:val="22"/>
          <w:lang w:eastAsia="bg-BG"/>
        </w:rPr>
        <w:t>Phyllophora crispa</w:t>
      </w:r>
      <w:r w:rsidRPr="0088780C">
        <w:rPr>
          <w:snapToGrid w:val="0"/>
          <w:kern w:val="22"/>
          <w:szCs w:val="22"/>
          <w:lang w:eastAsia="bg-BG"/>
        </w:rPr>
        <w:t xml:space="preserve"> association</w:t>
      </w:r>
      <w:r w:rsidR="00D8482D" w:rsidRPr="0088780C">
        <w:rPr>
          <w:snapToGrid w:val="0"/>
          <w:kern w:val="22"/>
          <w:szCs w:val="22"/>
          <w:lang w:eastAsia="bg-BG"/>
        </w:rPr>
        <w:t>”</w:t>
      </w:r>
      <w:r w:rsidRPr="0088780C">
        <w:rPr>
          <w:snapToGrid w:val="0"/>
          <w:kern w:val="22"/>
          <w:szCs w:val="22"/>
          <w:lang w:eastAsia="bg-BG"/>
        </w:rPr>
        <w:t xml:space="preserve">, which is unique in terms of biodiversity, status and scope for the Bulgarian Black Sea. It is classified as a subtype of habitat 1170 </w:t>
      </w:r>
      <w:r w:rsidRPr="0088780C">
        <w:rPr>
          <w:rFonts w:eastAsia="MS Mincho"/>
          <w:snapToGrid w:val="0"/>
          <w:color w:val="000000"/>
          <w:kern w:val="22"/>
          <w:szCs w:val="22"/>
        </w:rPr>
        <w:t>(for information on Na</w:t>
      </w:r>
      <w:r w:rsidR="00730089" w:rsidRPr="0088780C">
        <w:rPr>
          <w:rFonts w:eastAsia="MS Mincho"/>
          <w:snapToGrid w:val="0"/>
          <w:color w:val="000000"/>
          <w:kern w:val="22"/>
          <w:szCs w:val="22"/>
        </w:rPr>
        <w:t>tura 2000 marine habitat types:</w:t>
      </w:r>
    </w:p>
    <w:p w14:paraId="22A101BD" w14:textId="4E031FCC" w:rsidR="00A876F3" w:rsidRPr="0088780C" w:rsidRDefault="00E7219D" w:rsidP="001013AF">
      <w:pPr>
        <w:suppressLineNumbers/>
        <w:suppressAutoHyphens/>
        <w:kinsoku w:val="0"/>
        <w:overflowPunct w:val="0"/>
        <w:autoSpaceDE w:val="0"/>
        <w:autoSpaceDN w:val="0"/>
        <w:adjustRightInd w:val="0"/>
        <w:rPr>
          <w:snapToGrid w:val="0"/>
          <w:kern w:val="22"/>
          <w:szCs w:val="22"/>
          <w:lang w:eastAsia="bg-BG"/>
        </w:rPr>
      </w:pPr>
      <w:hyperlink r:id="rId63" w:history="1">
        <w:r w:rsidR="00A876F3" w:rsidRPr="0088780C">
          <w:rPr>
            <w:rStyle w:val="Hyperlink"/>
            <w:rFonts w:eastAsia="MS Mincho"/>
            <w:snapToGrid w:val="0"/>
            <w:kern w:val="22"/>
            <w:szCs w:val="22"/>
          </w:rPr>
          <w:t>http://ec.europa.eu/environment/nature/natura2000/marine/docs/appendix_1_habitat.pdf</w:t>
        </w:r>
      </w:hyperlink>
      <w:r w:rsidR="00A876F3" w:rsidRPr="0088780C">
        <w:rPr>
          <w:rFonts w:eastAsia="MS Mincho"/>
          <w:snapToGrid w:val="0"/>
          <w:color w:val="000000"/>
          <w:kern w:val="22"/>
          <w:szCs w:val="22"/>
        </w:rPr>
        <w:t>)</w:t>
      </w:r>
      <w:r w:rsidR="00A876F3" w:rsidRPr="0088780C">
        <w:rPr>
          <w:snapToGrid w:val="0"/>
          <w:kern w:val="22"/>
          <w:szCs w:val="22"/>
          <w:lang w:eastAsia="bg-BG"/>
        </w:rPr>
        <w:t xml:space="preserve">. This is a rare biotope, occurring only in clean and transparent waters at depths exceeding -10 m, and therefore of high conservation significance at the national and regional level. In the area, there are favourable morphological and physico-geographical conditions for extensive development of </w:t>
      </w:r>
      <w:r w:rsidR="00A876F3" w:rsidRPr="0088780C">
        <w:rPr>
          <w:i/>
          <w:snapToGrid w:val="0"/>
          <w:kern w:val="22"/>
          <w:szCs w:val="22"/>
          <w:lang w:eastAsia="bg-BG"/>
        </w:rPr>
        <w:t>Phyllophora crispa</w:t>
      </w:r>
      <w:r w:rsidR="00A876F3" w:rsidRPr="0088780C">
        <w:rPr>
          <w:snapToGrid w:val="0"/>
          <w:kern w:val="22"/>
          <w:szCs w:val="22"/>
          <w:lang w:eastAsia="bg-BG"/>
        </w:rPr>
        <w:t>: a large area of the rocky substrate in optimal depth horizons, low levels of eutrophication, high transparency of the water column and favourable light climate underpinning the development of the sciophilic macroalgae. All along the rocky reefs in the area at de</w:t>
      </w:r>
      <w:r w:rsidR="00730089" w:rsidRPr="0088780C">
        <w:rPr>
          <w:snapToGrid w:val="0"/>
          <w:kern w:val="22"/>
          <w:szCs w:val="22"/>
          <w:lang w:eastAsia="bg-BG"/>
        </w:rPr>
        <w:t xml:space="preserve">pths of 0m to -12 m were found </w:t>
      </w:r>
      <w:r w:rsidR="00A876F3" w:rsidRPr="0088780C">
        <w:rPr>
          <w:snapToGrid w:val="0"/>
          <w:kern w:val="22"/>
          <w:szCs w:val="22"/>
          <w:lang w:eastAsia="bg-BG"/>
        </w:rPr>
        <w:t xml:space="preserve">biotopes of high conservation value - communities of the photophilic brown macroalgae </w:t>
      </w:r>
      <w:r w:rsidR="00A876F3" w:rsidRPr="0088780C">
        <w:rPr>
          <w:i/>
          <w:snapToGrid w:val="0"/>
          <w:kern w:val="22"/>
          <w:szCs w:val="22"/>
          <w:lang w:eastAsia="bg-BG"/>
        </w:rPr>
        <w:t>Cystoseira crinita</w:t>
      </w:r>
      <w:r w:rsidR="00A876F3" w:rsidRPr="0088780C">
        <w:rPr>
          <w:snapToGrid w:val="0"/>
          <w:kern w:val="22"/>
          <w:szCs w:val="22"/>
          <w:lang w:eastAsia="bg-BG"/>
        </w:rPr>
        <w:t xml:space="preserve"> and </w:t>
      </w:r>
      <w:r w:rsidR="00A876F3" w:rsidRPr="0088780C">
        <w:rPr>
          <w:i/>
          <w:snapToGrid w:val="0"/>
          <w:kern w:val="22"/>
          <w:szCs w:val="22"/>
          <w:lang w:eastAsia="bg-BG"/>
        </w:rPr>
        <w:t>Cystoseira barbata</w:t>
      </w:r>
      <w:r w:rsidR="00A876F3" w:rsidRPr="0088780C">
        <w:rPr>
          <w:snapToGrid w:val="0"/>
          <w:kern w:val="22"/>
          <w:szCs w:val="22"/>
          <w:lang w:eastAsia="bg-BG"/>
        </w:rPr>
        <w:t xml:space="preserve">, classified as subtype of habitat 1170. The greater depth of penetration of </w:t>
      </w:r>
      <w:r w:rsidR="00A876F3" w:rsidRPr="0088780C">
        <w:rPr>
          <w:i/>
          <w:snapToGrid w:val="0"/>
          <w:kern w:val="22"/>
          <w:szCs w:val="22"/>
          <w:lang w:eastAsia="bg-BG"/>
        </w:rPr>
        <w:t>C. barbata</w:t>
      </w:r>
      <w:r w:rsidR="00A876F3" w:rsidRPr="0088780C">
        <w:rPr>
          <w:snapToGrid w:val="0"/>
          <w:kern w:val="22"/>
          <w:szCs w:val="22"/>
          <w:lang w:eastAsia="bg-BG"/>
        </w:rPr>
        <w:t xml:space="preserve"> (-12 to -13 m), species and quantitative composition of the macroalgae communities are typical of oligotrophic conditions.</w:t>
      </w:r>
    </w:p>
    <w:p w14:paraId="15CC77BE" w14:textId="77777777" w:rsidR="00A876F3" w:rsidRPr="0088780C" w:rsidRDefault="00A876F3" w:rsidP="001013AF">
      <w:pPr>
        <w:suppressLineNumbers/>
        <w:suppressAutoHyphens/>
        <w:kinsoku w:val="0"/>
        <w:overflowPunct w:val="0"/>
        <w:autoSpaceDE w:val="0"/>
        <w:autoSpaceDN w:val="0"/>
        <w:rPr>
          <w:snapToGrid w:val="0"/>
          <w:kern w:val="22"/>
          <w:szCs w:val="22"/>
          <w:u w:val="single"/>
          <w:lang w:eastAsia="bg-BG"/>
        </w:rPr>
      </w:pPr>
    </w:p>
    <w:p w14:paraId="601A83D2" w14:textId="77777777" w:rsidR="00A876F3" w:rsidRPr="0088780C" w:rsidRDefault="00A876F3" w:rsidP="001013AF">
      <w:pPr>
        <w:suppressLineNumbers/>
        <w:suppressAutoHyphens/>
        <w:kinsoku w:val="0"/>
        <w:overflowPunct w:val="0"/>
        <w:autoSpaceDE w:val="0"/>
        <w:autoSpaceDN w:val="0"/>
        <w:rPr>
          <w:snapToGrid w:val="0"/>
          <w:kern w:val="22"/>
          <w:szCs w:val="22"/>
          <w:lang w:eastAsia="bg-BG"/>
        </w:rPr>
      </w:pPr>
      <w:r w:rsidRPr="0088780C">
        <w:rPr>
          <w:snapToGrid w:val="0"/>
          <w:kern w:val="22"/>
          <w:szCs w:val="22"/>
          <w:lang w:eastAsia="bg-BG"/>
        </w:rPr>
        <w:t xml:space="preserve">The marine area includes mussel banks on sediment (subtype of habitat 1170) with significant area, coverage and biomass of the habitat-forming species the blue mussel or the Mediterranean mussel </w:t>
      </w:r>
      <w:r w:rsidRPr="0088780C">
        <w:rPr>
          <w:i/>
          <w:snapToGrid w:val="0"/>
          <w:kern w:val="22"/>
          <w:szCs w:val="22"/>
          <w:lang w:eastAsia="bg-BG"/>
        </w:rPr>
        <w:t>Mytilus galloprovincialis</w:t>
      </w:r>
      <w:r w:rsidRPr="0088780C">
        <w:rPr>
          <w:snapToGrid w:val="0"/>
          <w:kern w:val="22"/>
          <w:szCs w:val="22"/>
          <w:lang w:eastAsia="bg-BG"/>
        </w:rPr>
        <w:t>, a relatively large average size and good size structure of the black mussels, high diversity of the accompanying invertebrate fauna and fishes. For reference to presented habitats in the area, see Figure 1.</w:t>
      </w:r>
    </w:p>
    <w:p w14:paraId="743FFA49" w14:textId="77777777" w:rsidR="00A876F3" w:rsidRPr="0088780C" w:rsidRDefault="00A876F3" w:rsidP="001013AF">
      <w:pPr>
        <w:suppressLineNumbers/>
        <w:suppressAutoHyphens/>
        <w:kinsoku w:val="0"/>
        <w:overflowPunct w:val="0"/>
        <w:autoSpaceDE w:val="0"/>
        <w:autoSpaceDN w:val="0"/>
        <w:rPr>
          <w:snapToGrid w:val="0"/>
          <w:kern w:val="22"/>
          <w:szCs w:val="22"/>
          <w:lang w:eastAsia="bg-BG"/>
        </w:rPr>
      </w:pPr>
    </w:p>
    <w:p w14:paraId="5571AB0B" w14:textId="77777777" w:rsidR="00A876F3" w:rsidRPr="0088780C" w:rsidRDefault="00A876F3" w:rsidP="001013AF">
      <w:pPr>
        <w:suppressLineNumbers/>
        <w:suppressAutoHyphens/>
        <w:kinsoku w:val="0"/>
        <w:overflowPunct w:val="0"/>
        <w:autoSpaceDE w:val="0"/>
        <w:autoSpaceDN w:val="0"/>
        <w:rPr>
          <w:snapToGrid w:val="0"/>
          <w:kern w:val="22"/>
          <w:szCs w:val="22"/>
          <w:lang w:eastAsia="bg-BG"/>
        </w:rPr>
      </w:pPr>
      <w:r w:rsidRPr="0088780C">
        <w:rPr>
          <w:snapToGrid w:val="0"/>
          <w:kern w:val="22"/>
          <w:szCs w:val="22"/>
          <w:lang w:eastAsia="bg-BG"/>
        </w:rPr>
        <w:t>Modeling and estimations are available in the NATURA 2000 standard form of the designated SPA.</w:t>
      </w:r>
    </w:p>
    <w:p w14:paraId="04BBADD3"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p>
    <w:p w14:paraId="2F082F8D" w14:textId="1E190D86"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snapToGrid w:val="0"/>
          <w:kern w:val="22"/>
          <w:szCs w:val="22"/>
          <w:lang w:eastAsia="bg-BG"/>
        </w:rPr>
        <w:t>The Ropotamo Complex is a designated Ramsar site. Its water areas include the estuary of the river, the adjacent Vodnite Lilii</w:t>
      </w:r>
      <w:r w:rsidRPr="0088780C" w:rsidDel="00B04663">
        <w:rPr>
          <w:snapToGrid w:val="0"/>
          <w:kern w:val="22"/>
          <w:szCs w:val="22"/>
          <w:lang w:eastAsia="bg-BG"/>
        </w:rPr>
        <w:t xml:space="preserve"> </w:t>
      </w:r>
      <w:r w:rsidRPr="0088780C">
        <w:rPr>
          <w:snapToGrid w:val="0"/>
          <w:kern w:val="22"/>
          <w:szCs w:val="22"/>
          <w:lang w:eastAsia="bg-BG"/>
        </w:rPr>
        <w:t xml:space="preserve">(Velyov Vir) Reserve and three coastal lagoons: Arkutino, Alepu and Stamopolu. Ropotamo Reserve and Alepu are also CORINE biotope sites. In addition, the coastal area consists of several national protected areas, including the Ropotamo Reserve (with the aim protection of the unique flora and fauna along the coast) and natural monuments </w:t>
      </w:r>
      <w:r w:rsidR="00D8482D" w:rsidRPr="0088780C">
        <w:rPr>
          <w:snapToGrid w:val="0"/>
          <w:kern w:val="22"/>
          <w:szCs w:val="22"/>
          <w:lang w:eastAsia="bg-BG"/>
        </w:rPr>
        <w:t>“</w:t>
      </w:r>
      <w:r w:rsidRPr="0088780C">
        <w:rPr>
          <w:snapToGrid w:val="0"/>
          <w:kern w:val="22"/>
          <w:szCs w:val="22"/>
          <w:lang w:eastAsia="bg-BG"/>
        </w:rPr>
        <w:t>Alepu Marsh</w:t>
      </w:r>
      <w:r w:rsidR="00D8482D" w:rsidRPr="0088780C">
        <w:rPr>
          <w:snapToGrid w:val="0"/>
          <w:kern w:val="22"/>
          <w:szCs w:val="22"/>
          <w:lang w:eastAsia="bg-BG"/>
        </w:rPr>
        <w:t>”</w:t>
      </w:r>
      <w:r w:rsidRPr="0088780C">
        <w:rPr>
          <w:snapToGrid w:val="0"/>
          <w:kern w:val="22"/>
          <w:szCs w:val="22"/>
          <w:lang w:eastAsia="bg-BG"/>
        </w:rPr>
        <w:t xml:space="preserve"> (with the aim of conserving the natural habitats of protected and rare waterfowl birds and the only locality of water caltrop/water chestnut—</w:t>
      </w:r>
      <w:r w:rsidRPr="0088780C">
        <w:rPr>
          <w:i/>
          <w:snapToGrid w:val="0"/>
          <w:kern w:val="22"/>
          <w:szCs w:val="22"/>
          <w:lang w:eastAsia="bg-BG"/>
        </w:rPr>
        <w:t>Trapa natans</w:t>
      </w:r>
      <w:r w:rsidRPr="0088780C">
        <w:rPr>
          <w:snapToGrid w:val="0"/>
          <w:kern w:val="22"/>
          <w:szCs w:val="22"/>
          <w:lang w:eastAsia="bg-BG"/>
        </w:rPr>
        <w:t>—on the Black Sea coast), as well as the following sites:</w:t>
      </w:r>
      <w:r w:rsidR="00D8482D" w:rsidRPr="0088780C">
        <w:rPr>
          <w:snapToGrid w:val="0"/>
          <w:kern w:val="22"/>
          <w:szCs w:val="22"/>
          <w:lang w:eastAsia="bg-BG"/>
        </w:rPr>
        <w:t>”</w:t>
      </w:r>
      <w:r w:rsidRPr="0088780C">
        <w:rPr>
          <w:snapToGrid w:val="0"/>
          <w:kern w:val="22"/>
          <w:szCs w:val="22"/>
          <w:lang w:eastAsia="bg-BG"/>
        </w:rPr>
        <w:t>Pyasachni dyuni - Mestnost Alepu</w:t>
      </w:r>
      <w:r w:rsidR="00D8482D" w:rsidRPr="0088780C">
        <w:rPr>
          <w:snapToGrid w:val="0"/>
          <w:kern w:val="22"/>
          <w:szCs w:val="22"/>
          <w:lang w:eastAsia="bg-BG"/>
        </w:rPr>
        <w:t>”</w:t>
      </w:r>
      <w:r w:rsidRPr="0088780C">
        <w:rPr>
          <w:snapToGrid w:val="0"/>
          <w:kern w:val="22"/>
          <w:szCs w:val="22"/>
          <w:lang w:eastAsia="bg-BG"/>
        </w:rPr>
        <w:t xml:space="preserve">, </w:t>
      </w:r>
      <w:r w:rsidR="00D8482D" w:rsidRPr="0088780C">
        <w:rPr>
          <w:snapToGrid w:val="0"/>
          <w:kern w:val="22"/>
          <w:szCs w:val="22"/>
          <w:lang w:eastAsia="bg-BG"/>
        </w:rPr>
        <w:t>“</w:t>
      </w:r>
      <w:r w:rsidRPr="0088780C">
        <w:rPr>
          <w:snapToGrid w:val="0"/>
          <w:kern w:val="22"/>
          <w:szCs w:val="22"/>
          <w:lang w:eastAsia="bg-BG"/>
        </w:rPr>
        <w:t>Skalnite Obrazuvania and Fiordite I Tyulenovata Peshtera V Mestnost Maslen Nos</w:t>
      </w:r>
      <w:r w:rsidR="00D8482D" w:rsidRPr="0088780C">
        <w:rPr>
          <w:snapToGrid w:val="0"/>
          <w:kern w:val="22"/>
          <w:szCs w:val="22"/>
          <w:lang w:eastAsia="bg-BG"/>
        </w:rPr>
        <w:t>”</w:t>
      </w:r>
      <w:r w:rsidRPr="0088780C">
        <w:rPr>
          <w:snapToGrid w:val="0"/>
          <w:kern w:val="22"/>
          <w:szCs w:val="22"/>
          <w:lang w:eastAsia="bg-BG"/>
        </w:rPr>
        <w:t>.</w:t>
      </w:r>
    </w:p>
    <w:p w14:paraId="6814FB07"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07EF2E56"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The area overlaps with a marine Important Bird and Biodiversity Area (IBA; BirdLife International 2017a), primarily designated for its importance for two species of pelican, the great white pelican (</w:t>
      </w:r>
      <w:r w:rsidRPr="0088780C">
        <w:rPr>
          <w:rFonts w:eastAsia="MS Mincho"/>
          <w:i/>
          <w:snapToGrid w:val="0"/>
          <w:kern w:val="22"/>
          <w:szCs w:val="22"/>
        </w:rPr>
        <w:t>Pelecanus onocrotalus)</w:t>
      </w:r>
      <w:r w:rsidRPr="0088780C">
        <w:rPr>
          <w:rFonts w:eastAsia="MS Mincho"/>
          <w:snapToGrid w:val="0"/>
          <w:kern w:val="22"/>
          <w:szCs w:val="22"/>
        </w:rPr>
        <w:t xml:space="preserve"> and the Dalmatian pelican (</w:t>
      </w:r>
      <w:r w:rsidRPr="0088780C">
        <w:rPr>
          <w:rFonts w:eastAsia="MS Mincho"/>
          <w:i/>
          <w:snapToGrid w:val="0"/>
          <w:kern w:val="22"/>
          <w:szCs w:val="22"/>
        </w:rPr>
        <w:t>Pelecanus crispus)</w:t>
      </w:r>
      <w:r w:rsidRPr="0088780C">
        <w:rPr>
          <w:rFonts w:eastAsia="MS Mincho"/>
          <w:snapToGrid w:val="0"/>
          <w:kern w:val="22"/>
          <w:szCs w:val="22"/>
        </w:rPr>
        <w:t xml:space="preserve"> (the latter classified as vulnerable on the </w:t>
      </w:r>
      <w:r w:rsidRPr="0088780C">
        <w:rPr>
          <w:rFonts w:eastAsia="MS Mincho"/>
          <w:bCs/>
          <w:snapToGrid w:val="0"/>
          <w:color w:val="000000"/>
          <w:kern w:val="22"/>
          <w:szCs w:val="22"/>
        </w:rPr>
        <w:t xml:space="preserve">IUCN </w:t>
      </w:r>
      <w:r w:rsidRPr="0088780C">
        <w:rPr>
          <w:rFonts w:eastAsia="MS Mincho"/>
          <w:snapToGrid w:val="0"/>
          <w:kern w:val="22"/>
          <w:szCs w:val="22"/>
        </w:rPr>
        <w:t>Red List), and for the pygmy cormorant (</w:t>
      </w:r>
      <w:r w:rsidRPr="0088780C">
        <w:rPr>
          <w:rFonts w:eastAsia="MS Mincho"/>
          <w:i/>
          <w:snapToGrid w:val="0"/>
          <w:kern w:val="22"/>
          <w:szCs w:val="22"/>
        </w:rPr>
        <w:t>Microcarbo pygmaeus)</w:t>
      </w:r>
      <w:r w:rsidRPr="0088780C">
        <w:rPr>
          <w:rFonts w:eastAsia="MS Mincho"/>
          <w:snapToGrid w:val="0"/>
          <w:kern w:val="22"/>
          <w:szCs w:val="22"/>
        </w:rPr>
        <w:t>.</w:t>
      </w:r>
    </w:p>
    <w:p w14:paraId="7DD1573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30B6E6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48978A2F" w14:textId="245F5852"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Assessments of the current conservation status of the protected marine habitat types and species are not available. The ecological status of the coastal waters (sensu the Water Framework Directive) according to the biological quality of elements of the benthic macrophytes and benthic invertebrate fauna is good. However, anthropogenic pressures, including dredging of the sandy seabed for clam harvesting and eutrophication of the marine waters due to input of wastewater from tourism, represent threats to the conservation and maintainance of the features of interest in favourable status. Urgent development and implementation of management plans, including measures for prevention and mitigation of the human impacts, is critically important for retaining good conse</w:t>
      </w:r>
      <w:r w:rsidR="00730089" w:rsidRPr="0088780C">
        <w:rPr>
          <w:rFonts w:eastAsia="MS Mincho"/>
          <w:snapToGrid w:val="0"/>
          <w:kern w:val="22"/>
          <w:szCs w:val="22"/>
        </w:rPr>
        <w:t>rvation prospects for the area.</w:t>
      </w:r>
    </w:p>
    <w:p w14:paraId="789D175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3D94945C" w14:textId="1D82772E"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w:t>
      </w:r>
      <w:r w:rsidR="00730089" w:rsidRPr="0088780C">
        <w:rPr>
          <w:rFonts w:eastAsia="MS Mincho"/>
          <w:b/>
          <w:snapToGrid w:val="0"/>
          <w:kern w:val="22"/>
          <w:szCs w:val="22"/>
        </w:rPr>
        <w:t xml:space="preserve"> area against CBD EBSA Criteria</w:t>
      </w:r>
    </w:p>
    <w:p w14:paraId="080C52BC"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5C8B3DF8" w14:textId="77777777" w:rsidTr="006972AD">
        <w:tc>
          <w:tcPr>
            <w:tcW w:w="779" w:type="pct"/>
            <w:vMerge w:val="restart"/>
            <w:shd w:val="clear" w:color="auto" w:fill="auto"/>
          </w:tcPr>
          <w:p w14:paraId="5BCEAA72" w14:textId="77777777" w:rsidR="00A876F3" w:rsidRPr="0088780C" w:rsidRDefault="00A876F3" w:rsidP="00730089">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226DC171" w14:textId="77777777" w:rsidR="00A876F3" w:rsidRPr="0088780C" w:rsidRDefault="00A876F3" w:rsidP="00730089">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67A2C05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69BA0E4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21C325A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5688E37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55A2555A" w14:textId="77777777" w:rsidTr="006972AD">
        <w:tc>
          <w:tcPr>
            <w:tcW w:w="779" w:type="pct"/>
            <w:vMerge/>
            <w:shd w:val="clear" w:color="auto" w:fill="auto"/>
          </w:tcPr>
          <w:p w14:paraId="64D548F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655CAE2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2F90FAA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67EC001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63CCCAD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428DD14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7CC71488" w14:textId="77777777" w:rsidTr="006972AD">
        <w:tc>
          <w:tcPr>
            <w:tcW w:w="779" w:type="pct"/>
            <w:shd w:val="clear" w:color="auto" w:fill="auto"/>
          </w:tcPr>
          <w:p w14:paraId="4FB13F4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5DD4671F" w14:textId="277F66BD"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3884E72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5DA59E2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5B16B8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7277E63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04C8EE04" w14:textId="77777777" w:rsidTr="006972AD">
        <w:tc>
          <w:tcPr>
            <w:tcW w:w="5000" w:type="pct"/>
            <w:gridSpan w:val="11"/>
            <w:shd w:val="clear" w:color="auto" w:fill="auto"/>
          </w:tcPr>
          <w:p w14:paraId="7C6B95B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i/>
                <w:snapToGrid w:val="0"/>
                <w:color w:val="000000"/>
                <w:kern w:val="22"/>
                <w:szCs w:val="22"/>
              </w:rPr>
              <w:t>Explanation for ranking</w:t>
            </w:r>
          </w:p>
          <w:p w14:paraId="465BBED6" w14:textId="3EBEAB85"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snapToGrid w:val="0"/>
                <w:kern w:val="22"/>
                <w:szCs w:val="22"/>
                <w:lang w:eastAsia="bg-BG"/>
              </w:rPr>
              <w:t xml:space="preserve">Major coverage in the area has the rare biotope of sciophilic macroalgae </w:t>
            </w:r>
            <w:r w:rsidR="00D8482D" w:rsidRPr="0088780C">
              <w:rPr>
                <w:snapToGrid w:val="0"/>
                <w:kern w:val="22"/>
                <w:szCs w:val="22"/>
                <w:lang w:eastAsia="bg-BG"/>
              </w:rPr>
              <w:t>“</w:t>
            </w:r>
            <w:r w:rsidRPr="0088780C">
              <w:rPr>
                <w:snapToGrid w:val="0"/>
                <w:kern w:val="22"/>
                <w:szCs w:val="22"/>
                <w:lang w:eastAsia="bg-BG"/>
              </w:rPr>
              <w:t xml:space="preserve">Lower infralittoral with sciophilic </w:t>
            </w:r>
            <w:r w:rsidRPr="0088780C">
              <w:rPr>
                <w:i/>
                <w:snapToGrid w:val="0"/>
                <w:kern w:val="22"/>
                <w:szCs w:val="22"/>
                <w:lang w:eastAsia="bg-BG"/>
              </w:rPr>
              <w:t>Phyllophora crispa</w:t>
            </w:r>
            <w:r w:rsidRPr="0088780C">
              <w:rPr>
                <w:snapToGrid w:val="0"/>
                <w:kern w:val="22"/>
                <w:szCs w:val="22"/>
                <w:lang w:eastAsia="bg-BG"/>
              </w:rPr>
              <w:t xml:space="preserve"> association</w:t>
            </w:r>
            <w:r w:rsidR="00D8482D" w:rsidRPr="0088780C">
              <w:rPr>
                <w:snapToGrid w:val="0"/>
                <w:kern w:val="22"/>
                <w:szCs w:val="22"/>
                <w:lang w:eastAsia="bg-BG"/>
              </w:rPr>
              <w:t>”</w:t>
            </w:r>
            <w:r w:rsidRPr="0088780C">
              <w:rPr>
                <w:snapToGrid w:val="0"/>
                <w:kern w:val="22"/>
                <w:szCs w:val="22"/>
                <w:lang w:eastAsia="bg-BG"/>
              </w:rPr>
              <w:t>.</w:t>
            </w:r>
          </w:p>
          <w:p w14:paraId="48B4EF7C"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lang w:eastAsia="bg-BG"/>
              </w:rPr>
              <w:t xml:space="preserve">Massive presence of biotopes of high conservation value: communities of the photophilic brown macroalgae </w:t>
            </w:r>
            <w:r w:rsidRPr="0088780C">
              <w:rPr>
                <w:i/>
                <w:snapToGrid w:val="0"/>
                <w:kern w:val="22"/>
                <w:szCs w:val="22"/>
                <w:lang w:eastAsia="bg-BG"/>
              </w:rPr>
              <w:t>Cystoseira crinita</w:t>
            </w:r>
            <w:r w:rsidRPr="0088780C">
              <w:rPr>
                <w:snapToGrid w:val="0"/>
                <w:kern w:val="22"/>
                <w:szCs w:val="22"/>
                <w:lang w:eastAsia="bg-BG"/>
              </w:rPr>
              <w:t xml:space="preserve"> and </w:t>
            </w:r>
            <w:r w:rsidRPr="0088780C">
              <w:rPr>
                <w:i/>
                <w:snapToGrid w:val="0"/>
                <w:kern w:val="22"/>
                <w:szCs w:val="22"/>
                <w:lang w:eastAsia="bg-BG"/>
              </w:rPr>
              <w:t>Cystoseira barbata</w:t>
            </w:r>
            <w:r w:rsidRPr="0088780C">
              <w:rPr>
                <w:snapToGrid w:val="0"/>
                <w:kern w:val="22"/>
                <w:szCs w:val="22"/>
                <w:lang w:eastAsia="bg-BG"/>
              </w:rPr>
              <w:t>, classified as subtype of habitat 1170.</w:t>
            </w:r>
          </w:p>
          <w:p w14:paraId="6054366C"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 xml:space="preserve">The rare red alga </w:t>
            </w:r>
            <w:r w:rsidRPr="0088780C">
              <w:rPr>
                <w:bCs/>
                <w:i/>
                <w:snapToGrid w:val="0"/>
                <w:kern w:val="22"/>
                <w:szCs w:val="22"/>
              </w:rPr>
              <w:t>Phyllophora crispa</w:t>
            </w:r>
            <w:r w:rsidRPr="0088780C">
              <w:rPr>
                <w:bCs/>
                <w:snapToGrid w:val="0"/>
                <w:kern w:val="22"/>
                <w:szCs w:val="22"/>
              </w:rPr>
              <w:t xml:space="preserve"> is encountered in the area. The area harbours a number of other rare species, such as the rare bivalve</w:t>
            </w:r>
            <w:r w:rsidRPr="0088780C">
              <w:rPr>
                <w:snapToGrid w:val="0"/>
                <w:kern w:val="22"/>
                <w:szCs w:val="22"/>
              </w:rPr>
              <w:t xml:space="preserve"> </w:t>
            </w:r>
            <w:r w:rsidRPr="0088780C">
              <w:rPr>
                <w:bCs/>
                <w:snapToGrid w:val="0"/>
                <w:kern w:val="22"/>
                <w:szCs w:val="22"/>
              </w:rPr>
              <w:t xml:space="preserve">Tellina lactea </w:t>
            </w:r>
            <w:r w:rsidRPr="0088780C">
              <w:rPr>
                <w:bCs/>
                <w:i/>
                <w:snapToGrid w:val="0"/>
                <w:kern w:val="22"/>
                <w:szCs w:val="22"/>
              </w:rPr>
              <w:t xml:space="preserve">(Loripes lacteus), </w:t>
            </w:r>
            <w:r w:rsidRPr="0088780C">
              <w:rPr>
                <w:bCs/>
                <w:snapToGrid w:val="0"/>
                <w:kern w:val="22"/>
                <w:szCs w:val="22"/>
              </w:rPr>
              <w:t>rare fishes such as sand goby (</w:t>
            </w:r>
            <w:r w:rsidRPr="0088780C">
              <w:rPr>
                <w:bCs/>
                <w:i/>
                <w:snapToGrid w:val="0"/>
                <w:kern w:val="22"/>
                <w:szCs w:val="22"/>
              </w:rPr>
              <w:t>Pomatoschistus minutus)</w:t>
            </w:r>
            <w:r w:rsidRPr="0088780C">
              <w:rPr>
                <w:bCs/>
                <w:snapToGrid w:val="0"/>
                <w:kern w:val="22"/>
                <w:szCs w:val="22"/>
              </w:rPr>
              <w:t>, grass goby (</w:t>
            </w:r>
            <w:r w:rsidRPr="0088780C">
              <w:rPr>
                <w:bCs/>
                <w:i/>
                <w:snapToGrid w:val="0"/>
                <w:kern w:val="22"/>
                <w:szCs w:val="22"/>
              </w:rPr>
              <w:t>Zosterisessor ophiocephalus)</w:t>
            </w:r>
            <w:r w:rsidRPr="0088780C">
              <w:rPr>
                <w:bCs/>
                <w:snapToGrid w:val="0"/>
                <w:kern w:val="22"/>
                <w:szCs w:val="22"/>
              </w:rPr>
              <w:t xml:space="preserve">, Montagu's blenny </w:t>
            </w:r>
            <w:r w:rsidRPr="0088780C">
              <w:rPr>
                <w:bCs/>
                <w:i/>
                <w:snapToGrid w:val="0"/>
                <w:kern w:val="22"/>
                <w:szCs w:val="22"/>
              </w:rPr>
              <w:t xml:space="preserve">(Coryphoblennius galerita) </w:t>
            </w:r>
            <w:r w:rsidRPr="0088780C">
              <w:rPr>
                <w:bCs/>
                <w:snapToGrid w:val="0"/>
                <w:kern w:val="22"/>
                <w:szCs w:val="22"/>
              </w:rPr>
              <w:t xml:space="preserve">and ocellated wrasse </w:t>
            </w:r>
            <w:r w:rsidRPr="0088780C">
              <w:rPr>
                <w:bCs/>
                <w:i/>
                <w:snapToGrid w:val="0"/>
                <w:kern w:val="22"/>
                <w:szCs w:val="22"/>
              </w:rPr>
              <w:t>(Symphodus ocellatus).</w:t>
            </w:r>
          </w:p>
          <w:p w14:paraId="19B8A6ED" w14:textId="6C2DE3EA"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bCs/>
                <w:snapToGrid w:val="0"/>
                <w:kern w:val="22"/>
                <w:szCs w:val="22"/>
              </w:rPr>
              <w:t xml:space="preserve">The rose-coloured turfs of the calcareous red alga </w:t>
            </w:r>
            <w:r w:rsidRPr="0088780C">
              <w:rPr>
                <w:bCs/>
                <w:i/>
                <w:snapToGrid w:val="0"/>
                <w:kern w:val="22"/>
                <w:szCs w:val="22"/>
              </w:rPr>
              <w:t>Corallina officinalis</w:t>
            </w:r>
            <w:r w:rsidRPr="0088780C">
              <w:rPr>
                <w:bCs/>
                <w:snapToGrid w:val="0"/>
                <w:kern w:val="22"/>
                <w:szCs w:val="22"/>
              </w:rPr>
              <w:t xml:space="preserve"> overgrow the shallow bedrock and boulders, making them look like coral reefs. A rare rocky habitat established in the area is limestone punctured by the boring petricola </w:t>
            </w:r>
            <w:r w:rsidRPr="0088780C">
              <w:rPr>
                <w:bCs/>
                <w:i/>
                <w:snapToGrid w:val="0"/>
                <w:kern w:val="22"/>
                <w:szCs w:val="22"/>
              </w:rPr>
              <w:t>(Petricola lithophaga)</w:t>
            </w:r>
            <w:r w:rsidRPr="0088780C">
              <w:rPr>
                <w:bCs/>
                <w:snapToGrid w:val="0"/>
                <w:kern w:val="22"/>
                <w:szCs w:val="22"/>
              </w:rPr>
              <w:t xml:space="preserve">, a rock-boring bivalve. Another unique, remarkable unknown habitat found in this area is a huge biogenic reef, known as </w:t>
            </w:r>
            <w:r w:rsidR="00D8482D" w:rsidRPr="0088780C">
              <w:rPr>
                <w:bCs/>
                <w:snapToGrid w:val="0"/>
                <w:kern w:val="22"/>
                <w:szCs w:val="22"/>
              </w:rPr>
              <w:t>“</w:t>
            </w:r>
            <w:r w:rsidRPr="0088780C">
              <w:rPr>
                <w:bCs/>
                <w:snapToGrid w:val="0"/>
                <w:kern w:val="22"/>
                <w:szCs w:val="22"/>
              </w:rPr>
              <w:t>Ostrak</w:t>
            </w:r>
            <w:r w:rsidR="00D8482D" w:rsidRPr="0088780C">
              <w:rPr>
                <w:bCs/>
                <w:snapToGrid w:val="0"/>
                <w:kern w:val="22"/>
                <w:szCs w:val="22"/>
              </w:rPr>
              <w:t>”</w:t>
            </w:r>
            <w:r w:rsidRPr="0088780C">
              <w:rPr>
                <w:bCs/>
                <w:snapToGrid w:val="0"/>
                <w:kern w:val="22"/>
                <w:szCs w:val="22"/>
              </w:rPr>
              <w:t xml:space="preserve">, built by the native </w:t>
            </w:r>
            <w:r w:rsidRPr="0088780C">
              <w:rPr>
                <w:snapToGrid w:val="0"/>
                <w:kern w:val="22"/>
                <w:szCs w:val="22"/>
              </w:rPr>
              <w:t xml:space="preserve">European </w:t>
            </w:r>
            <w:r w:rsidRPr="0088780C">
              <w:rPr>
                <w:bCs/>
                <w:snapToGrid w:val="0"/>
                <w:kern w:val="22"/>
                <w:szCs w:val="22"/>
              </w:rPr>
              <w:t xml:space="preserve">flat oyster </w:t>
            </w:r>
            <w:r w:rsidRPr="0088780C">
              <w:rPr>
                <w:bCs/>
                <w:i/>
                <w:snapToGrid w:val="0"/>
                <w:kern w:val="22"/>
                <w:szCs w:val="22"/>
              </w:rPr>
              <w:t xml:space="preserve">Ostrea edulis </w:t>
            </w:r>
            <w:r w:rsidRPr="0088780C">
              <w:rPr>
                <w:bCs/>
                <w:snapToGrid w:val="0"/>
                <w:kern w:val="22"/>
                <w:szCs w:val="22"/>
              </w:rPr>
              <w:t>(</w:t>
            </w:r>
            <w:r w:rsidRPr="0088780C">
              <w:rPr>
                <w:snapToGrid w:val="0"/>
                <w:kern w:val="22"/>
                <w:szCs w:val="22"/>
              </w:rPr>
              <w:t>Todorova V. et al., 2008)</w:t>
            </w:r>
            <w:r w:rsidRPr="0088780C">
              <w:rPr>
                <w:bCs/>
                <w:snapToGrid w:val="0"/>
                <w:kern w:val="22"/>
                <w:szCs w:val="22"/>
              </w:rPr>
              <w:t xml:space="preserve">; tube-building serpulid polychaetes also contribute to the reef structure as cementing elements. Unlike the flat oyster beds commonly known from the intertidal zones of Western Europe and North America, the Black Sea’s </w:t>
            </w:r>
            <w:r w:rsidR="00D8482D" w:rsidRPr="0088780C">
              <w:rPr>
                <w:bCs/>
                <w:snapToGrid w:val="0"/>
                <w:kern w:val="22"/>
                <w:szCs w:val="22"/>
              </w:rPr>
              <w:t>“</w:t>
            </w:r>
            <w:r w:rsidRPr="0088780C">
              <w:rPr>
                <w:bCs/>
                <w:snapToGrid w:val="0"/>
                <w:kern w:val="22"/>
                <w:szCs w:val="22"/>
              </w:rPr>
              <w:t>Ostrak</w:t>
            </w:r>
            <w:r w:rsidR="00D8482D" w:rsidRPr="0088780C">
              <w:rPr>
                <w:bCs/>
                <w:snapToGrid w:val="0"/>
                <w:kern w:val="22"/>
                <w:szCs w:val="22"/>
              </w:rPr>
              <w:t>”</w:t>
            </w:r>
            <w:r w:rsidRPr="0088780C">
              <w:rPr>
                <w:bCs/>
                <w:snapToGrid w:val="0"/>
                <w:kern w:val="22"/>
                <w:szCs w:val="22"/>
              </w:rPr>
              <w:t xml:space="preserve"> are massive, towering biogenic structures, dwarfing the human observer (</w:t>
            </w:r>
            <w:r w:rsidRPr="0088780C">
              <w:rPr>
                <w:snapToGrid w:val="0"/>
                <w:kern w:val="22"/>
                <w:szCs w:val="22"/>
              </w:rPr>
              <w:t>Todorova V. et al., 2008)</w:t>
            </w:r>
            <w:r w:rsidRPr="0088780C">
              <w:rPr>
                <w:bCs/>
                <w:snapToGrid w:val="0"/>
                <w:kern w:val="22"/>
                <w:szCs w:val="22"/>
              </w:rPr>
              <w:t>.</w:t>
            </w:r>
          </w:p>
          <w:p w14:paraId="5BE895D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r>
      <w:tr w:rsidR="00A876F3" w:rsidRPr="0088780C" w14:paraId="4FD49814" w14:textId="77777777" w:rsidTr="006972AD">
        <w:tc>
          <w:tcPr>
            <w:tcW w:w="779" w:type="pct"/>
            <w:shd w:val="clear" w:color="auto" w:fill="auto"/>
          </w:tcPr>
          <w:p w14:paraId="2B5FB691" w14:textId="77777777" w:rsidR="00A876F3" w:rsidRPr="0088780C" w:rsidRDefault="00A876F3" w:rsidP="00730089">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11EBAB7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191E0FC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15048C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005651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1A0513C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732490C2" w14:textId="77777777" w:rsidTr="006972AD">
        <w:tc>
          <w:tcPr>
            <w:tcW w:w="5000" w:type="pct"/>
            <w:gridSpan w:val="11"/>
            <w:shd w:val="clear" w:color="auto" w:fill="auto"/>
          </w:tcPr>
          <w:p w14:paraId="29DB087D"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52E1795A"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rFonts w:eastAsia="MS Mincho"/>
                <w:snapToGrid w:val="0"/>
                <w:color w:val="000000"/>
                <w:kern w:val="22"/>
                <w:szCs w:val="22"/>
              </w:rPr>
              <w:t xml:space="preserve">Various fauna (bottom invertebrates and fishes) and flora (micro- and macro-epiphytes) are associated with the subhabitat of </w:t>
            </w:r>
            <w:r w:rsidRPr="0088780C">
              <w:rPr>
                <w:rFonts w:eastAsia="MS Mincho"/>
                <w:i/>
                <w:iCs/>
                <w:snapToGrid w:val="0"/>
                <w:color w:val="000000"/>
                <w:kern w:val="22"/>
                <w:szCs w:val="22"/>
              </w:rPr>
              <w:t>Cystoseira</w:t>
            </w:r>
            <w:r w:rsidRPr="0088780C">
              <w:rPr>
                <w:rFonts w:eastAsia="MS Mincho"/>
                <w:snapToGrid w:val="0"/>
                <w:color w:val="000000"/>
                <w:kern w:val="22"/>
                <w:szCs w:val="22"/>
              </w:rPr>
              <w:t xml:space="preserve"> spp. on exposed infralittoral bedrock and boulders. The latter is used by the community as a substrate for attachment, trophic basis, shelter and place for reproduction and growth (</w:t>
            </w:r>
            <w:bookmarkStart w:id="3" w:name="_Hlk481085613"/>
            <w:r w:rsidRPr="0088780C">
              <w:rPr>
                <w:rFonts w:eastAsia="MS Mincho"/>
                <w:snapToGrid w:val="0"/>
                <w:color w:val="000000"/>
                <w:kern w:val="22"/>
                <w:szCs w:val="22"/>
              </w:rPr>
              <w:t>Biserkov, V. et al., 2015)</w:t>
            </w:r>
            <w:bookmarkEnd w:id="3"/>
            <w:r w:rsidRPr="0088780C">
              <w:rPr>
                <w:rFonts w:eastAsia="MS Mincho"/>
                <w:snapToGrid w:val="0"/>
                <w:color w:val="000000"/>
                <w:kern w:val="22"/>
                <w:szCs w:val="22"/>
              </w:rPr>
              <w:t>.</w:t>
            </w:r>
          </w:p>
          <w:p w14:paraId="2EF958A6"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snapToGrid w:val="0"/>
                <w:kern w:val="22"/>
                <w:szCs w:val="22"/>
              </w:rPr>
              <w:t xml:space="preserve">Although the muds are not a qualifying feature of SAC Ropotamo, their good ecological status is essential in order to ensure the continuity and the food base of the demersal fishes, such as the turbot </w:t>
            </w:r>
            <w:r w:rsidRPr="0088780C">
              <w:rPr>
                <w:i/>
                <w:snapToGrid w:val="0"/>
                <w:kern w:val="22"/>
                <w:szCs w:val="22"/>
              </w:rPr>
              <w:t>(Scophthalmus maximus)</w:t>
            </w:r>
            <w:r w:rsidRPr="0088780C">
              <w:rPr>
                <w:snapToGrid w:val="0"/>
                <w:kern w:val="22"/>
                <w:szCs w:val="22"/>
              </w:rPr>
              <w:t xml:space="preserve"> and sturgeons </w:t>
            </w:r>
            <w:r w:rsidRPr="0088780C">
              <w:rPr>
                <w:rFonts w:eastAsia="MS Mincho"/>
                <w:snapToGrid w:val="0"/>
                <w:color w:val="000000"/>
                <w:kern w:val="22"/>
                <w:szCs w:val="22"/>
              </w:rPr>
              <w:t>(</w:t>
            </w:r>
            <w:r w:rsidRPr="0088780C">
              <w:rPr>
                <w:bCs/>
                <w:snapToGrid w:val="0"/>
                <w:kern w:val="22"/>
                <w:szCs w:val="22"/>
              </w:rPr>
              <w:t>Todorova V. et al., 2015</w:t>
            </w:r>
            <w:r w:rsidRPr="0088780C">
              <w:rPr>
                <w:rFonts w:eastAsia="MS Mincho"/>
                <w:snapToGrid w:val="0"/>
                <w:color w:val="000000"/>
                <w:kern w:val="22"/>
                <w:szCs w:val="22"/>
              </w:rPr>
              <w:t xml:space="preserve">). </w:t>
            </w:r>
            <w:r w:rsidRPr="0088780C">
              <w:rPr>
                <w:snapToGrid w:val="0"/>
                <w:kern w:val="22"/>
                <w:szCs w:val="22"/>
                <w:lang w:eastAsia="bg-BG"/>
              </w:rPr>
              <w:t>The area is habitat of the shad fishes of the genus Alosa, and in spring it is along the migration routes of the shoals to the spawning grounds in the rivers, and upon completion of the reproductive process, the representatives of the genus inhabit the area, where they actively nurture.</w:t>
            </w:r>
          </w:p>
          <w:p w14:paraId="2EAE634F" w14:textId="78CC0D77" w:rsidR="00A876F3" w:rsidRPr="0088780C" w:rsidRDefault="00A876F3" w:rsidP="00730089">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 xml:space="preserve">The area overlaps with a passage area of global importance for the vulnerable </w:t>
            </w:r>
            <w:r w:rsidRPr="0088780C">
              <w:rPr>
                <w:rFonts w:eastAsia="MS Mincho"/>
                <w:snapToGrid w:val="0"/>
                <w:kern w:val="22"/>
                <w:szCs w:val="22"/>
              </w:rPr>
              <w:t>Dalmatian pelican (</w:t>
            </w:r>
            <w:r w:rsidRPr="0088780C">
              <w:rPr>
                <w:rFonts w:eastAsia="MS Mincho"/>
                <w:i/>
                <w:snapToGrid w:val="0"/>
                <w:kern w:val="22"/>
                <w:szCs w:val="22"/>
              </w:rPr>
              <w:t>Pelecanus crispus)</w:t>
            </w:r>
            <w:r w:rsidRPr="0088780C">
              <w:rPr>
                <w:rFonts w:eastAsia="MS Mincho"/>
                <w:bCs/>
                <w:snapToGrid w:val="0"/>
                <w:color w:val="000000"/>
                <w:kern w:val="22"/>
                <w:szCs w:val="22"/>
              </w:rPr>
              <w:t xml:space="preserve">, and for other species of pelican, such as the </w:t>
            </w:r>
            <w:r w:rsidRPr="0088780C">
              <w:rPr>
                <w:rFonts w:eastAsia="MS Mincho"/>
                <w:snapToGrid w:val="0"/>
                <w:kern w:val="22"/>
                <w:szCs w:val="22"/>
              </w:rPr>
              <w:t>great white pelican (</w:t>
            </w:r>
            <w:r w:rsidRPr="0088780C">
              <w:rPr>
                <w:rFonts w:eastAsia="MS Mincho"/>
                <w:i/>
                <w:snapToGrid w:val="0"/>
                <w:kern w:val="22"/>
                <w:szCs w:val="22"/>
              </w:rPr>
              <w:t xml:space="preserve">Pelecanus onocrotalus). </w:t>
            </w:r>
            <w:r w:rsidRPr="0088780C">
              <w:rPr>
                <w:rFonts w:eastAsia="MS Mincho"/>
                <w:bCs/>
                <w:snapToGrid w:val="0"/>
                <w:color w:val="000000"/>
                <w:kern w:val="22"/>
                <w:szCs w:val="22"/>
              </w:rPr>
              <w:t xml:space="preserve">It is also important for the breeding populations of </w:t>
            </w:r>
            <w:r w:rsidRPr="0088780C">
              <w:rPr>
                <w:rFonts w:eastAsia="MS Mincho"/>
                <w:snapToGrid w:val="0"/>
                <w:kern w:val="22"/>
                <w:szCs w:val="22"/>
              </w:rPr>
              <w:t>pygmy cormorant (</w:t>
            </w:r>
            <w:r w:rsidRPr="0088780C">
              <w:rPr>
                <w:rFonts w:eastAsia="MS Mincho"/>
                <w:i/>
                <w:snapToGrid w:val="0"/>
                <w:kern w:val="22"/>
                <w:szCs w:val="22"/>
              </w:rPr>
              <w:t>Microcarbo pygmaeus)</w:t>
            </w:r>
            <w:r w:rsidRPr="0088780C">
              <w:rPr>
                <w:snapToGrid w:val="0"/>
                <w:kern w:val="22"/>
                <w:szCs w:val="22"/>
              </w:rPr>
              <w:t xml:space="preserve"> (</w:t>
            </w:r>
            <w:r w:rsidRPr="0088780C">
              <w:rPr>
                <w:rFonts w:eastAsia="MS Mincho"/>
                <w:snapToGrid w:val="0"/>
                <w:kern w:val="22"/>
                <w:szCs w:val="22"/>
              </w:rPr>
              <w:t>BirdLife International 2017</w:t>
            </w:r>
            <w:r w:rsidRPr="0088780C">
              <w:rPr>
                <w:snapToGrid w:val="0"/>
                <w:kern w:val="22"/>
                <w:szCs w:val="22"/>
              </w:rPr>
              <w:t>).</w:t>
            </w:r>
          </w:p>
        </w:tc>
      </w:tr>
      <w:tr w:rsidR="00A876F3" w:rsidRPr="0088780C" w14:paraId="68D4AEEA" w14:textId="77777777" w:rsidTr="006972AD">
        <w:tc>
          <w:tcPr>
            <w:tcW w:w="779" w:type="pct"/>
            <w:shd w:val="clear" w:color="auto" w:fill="auto"/>
          </w:tcPr>
          <w:p w14:paraId="5CD2521E" w14:textId="77777777" w:rsidR="00A876F3" w:rsidRPr="0088780C" w:rsidRDefault="00A876F3" w:rsidP="00730089">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0BA53B9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5CECD36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476AFF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849949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19D7048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02838501" w14:textId="77777777" w:rsidTr="006972AD">
        <w:tc>
          <w:tcPr>
            <w:tcW w:w="5000" w:type="pct"/>
            <w:gridSpan w:val="11"/>
            <w:shd w:val="clear" w:color="auto" w:fill="auto"/>
          </w:tcPr>
          <w:p w14:paraId="42472FFC"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40089C61"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 xml:space="preserve">The area of Tsarevo – Lozenets is important as the nucleus of a preserved population of  the rare (and vulnerable at Black Sea regional level and at subregional level, </w:t>
            </w:r>
            <w:r w:rsidRPr="0088780C">
              <w:rPr>
                <w:snapToGrid w:val="0"/>
                <w:kern w:val="22"/>
                <w:szCs w:val="22"/>
              </w:rPr>
              <w:t>according to the IUCN Red List)</w:t>
            </w:r>
            <w:r w:rsidRPr="0088780C">
              <w:rPr>
                <w:bCs/>
                <w:snapToGrid w:val="0"/>
                <w:kern w:val="22"/>
                <w:szCs w:val="22"/>
              </w:rPr>
              <w:t xml:space="preserve"> red algae </w:t>
            </w:r>
            <w:r w:rsidRPr="0088780C">
              <w:rPr>
                <w:bCs/>
                <w:i/>
                <w:snapToGrid w:val="0"/>
                <w:kern w:val="22"/>
                <w:szCs w:val="22"/>
              </w:rPr>
              <w:t>Phyllophora crispa.</w:t>
            </w:r>
          </w:p>
          <w:p w14:paraId="25641A2B"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rFonts w:eastAsia="MS Mincho"/>
                <w:snapToGrid w:val="0"/>
                <w:color w:val="000000"/>
                <w:kern w:val="22"/>
                <w:szCs w:val="22"/>
              </w:rPr>
              <w:t xml:space="preserve">The area is the permanent habitat of significant importance for several </w:t>
            </w:r>
            <w:r w:rsidRPr="0088780C">
              <w:rPr>
                <w:snapToGrid w:val="0"/>
                <w:kern w:val="22"/>
                <w:szCs w:val="22"/>
                <w:lang w:eastAsia="bg-BG"/>
              </w:rPr>
              <w:t xml:space="preserve">small </w:t>
            </w:r>
            <w:r w:rsidRPr="0088780C">
              <w:rPr>
                <w:rFonts w:eastAsia="MS Mincho"/>
                <w:snapToGrid w:val="0"/>
                <w:color w:val="000000"/>
                <w:kern w:val="22"/>
                <w:szCs w:val="22"/>
              </w:rPr>
              <w:t xml:space="preserve">cetacean species. </w:t>
            </w:r>
            <w:r w:rsidRPr="0088780C">
              <w:rPr>
                <w:snapToGrid w:val="0"/>
                <w:kern w:val="22"/>
                <w:szCs w:val="22"/>
              </w:rPr>
              <w:t xml:space="preserve">According to the IUCN Red List, </w:t>
            </w:r>
            <w:r w:rsidRPr="0088780C">
              <w:rPr>
                <w:rFonts w:eastAsia="MS Mincho"/>
                <w:snapToGrid w:val="0"/>
                <w:color w:val="000000"/>
                <w:kern w:val="22"/>
                <w:szCs w:val="22"/>
              </w:rPr>
              <w:t>the</w:t>
            </w:r>
            <w:r w:rsidRPr="0088780C">
              <w:rPr>
                <w:rFonts w:eastAsia="MS Mincho"/>
                <w:b/>
                <w:snapToGrid w:val="0"/>
                <w:color w:val="000000"/>
                <w:kern w:val="22"/>
                <w:szCs w:val="22"/>
              </w:rPr>
              <w:t xml:space="preserve"> </w:t>
            </w:r>
            <w:r w:rsidRPr="0088780C">
              <w:rPr>
                <w:rStyle w:val="Strong"/>
                <w:snapToGrid w:val="0"/>
                <w:kern w:val="22"/>
                <w:szCs w:val="22"/>
              </w:rPr>
              <w:t>common bottlenose dolphin</w:t>
            </w:r>
            <w:r w:rsidRPr="0088780C">
              <w:rPr>
                <w:rFonts w:eastAsia="MS Mincho"/>
                <w:snapToGrid w:val="0"/>
                <w:color w:val="000000"/>
                <w:kern w:val="22"/>
                <w:szCs w:val="22"/>
              </w:rPr>
              <w:t xml:space="preserve"> </w:t>
            </w:r>
            <w:r w:rsidRPr="0088780C">
              <w:rPr>
                <w:rFonts w:eastAsia="MS Mincho"/>
                <w:i/>
                <w:snapToGrid w:val="0"/>
                <w:color w:val="000000"/>
                <w:kern w:val="22"/>
                <w:szCs w:val="22"/>
              </w:rPr>
              <w:t>(</w:t>
            </w:r>
            <w:r w:rsidRPr="0088780C">
              <w:rPr>
                <w:i/>
                <w:snapToGrid w:val="0"/>
                <w:kern w:val="22"/>
                <w:szCs w:val="22"/>
              </w:rPr>
              <w:t>Tursiops truncatus</w:t>
            </w:r>
            <w:r w:rsidRPr="0088780C">
              <w:rPr>
                <w:snapToGrid w:val="0"/>
                <w:kern w:val="22"/>
                <w:szCs w:val="22"/>
              </w:rPr>
              <w:t xml:space="preserve"> </w:t>
            </w:r>
            <w:r w:rsidRPr="0088780C">
              <w:rPr>
                <w:bCs/>
                <w:i/>
                <w:snapToGrid w:val="0"/>
                <w:kern w:val="22"/>
                <w:szCs w:val="22"/>
              </w:rPr>
              <w:t>ponticus)</w:t>
            </w:r>
            <w:r w:rsidRPr="0088780C">
              <w:rPr>
                <w:bCs/>
                <w:snapToGrid w:val="0"/>
                <w:kern w:val="22"/>
                <w:szCs w:val="22"/>
              </w:rPr>
              <w:t xml:space="preserve"> </w:t>
            </w:r>
            <w:r w:rsidRPr="0088780C">
              <w:rPr>
                <w:snapToGrid w:val="0"/>
                <w:kern w:val="22"/>
                <w:szCs w:val="22"/>
              </w:rPr>
              <w:t xml:space="preserve">is endangered </w:t>
            </w:r>
            <w:r w:rsidRPr="0088780C">
              <w:rPr>
                <w:bCs/>
                <w:snapToGrid w:val="0"/>
                <w:kern w:val="22"/>
                <w:szCs w:val="22"/>
              </w:rPr>
              <w:t xml:space="preserve">(Birkun, 2012), </w:t>
            </w:r>
            <w:r w:rsidRPr="0088780C">
              <w:rPr>
                <w:snapToGrid w:val="0"/>
                <w:kern w:val="22"/>
                <w:szCs w:val="22"/>
              </w:rPr>
              <w:t xml:space="preserve">the Black Sea harbour porpoise </w:t>
            </w:r>
            <w:r w:rsidRPr="0088780C">
              <w:rPr>
                <w:i/>
                <w:snapToGrid w:val="0"/>
                <w:kern w:val="22"/>
                <w:szCs w:val="22"/>
              </w:rPr>
              <w:t xml:space="preserve">(Phocoena phocoena relicta) </w:t>
            </w:r>
            <w:r w:rsidRPr="0088780C">
              <w:rPr>
                <w:snapToGrid w:val="0"/>
                <w:kern w:val="22"/>
                <w:szCs w:val="22"/>
              </w:rPr>
              <w:t xml:space="preserve">is endangered </w:t>
            </w:r>
            <w:r w:rsidRPr="0088780C">
              <w:rPr>
                <w:bCs/>
                <w:snapToGrid w:val="0"/>
                <w:kern w:val="22"/>
                <w:szCs w:val="22"/>
              </w:rPr>
              <w:t>(Birkun, Frantzis, 2008) and the</w:t>
            </w:r>
            <w:r w:rsidRPr="0088780C">
              <w:rPr>
                <w:b/>
                <w:bCs/>
                <w:snapToGrid w:val="0"/>
                <w:kern w:val="22"/>
                <w:szCs w:val="22"/>
              </w:rPr>
              <w:t xml:space="preserve"> </w:t>
            </w:r>
            <w:r w:rsidRPr="0088780C">
              <w:rPr>
                <w:rStyle w:val="Strong"/>
                <w:snapToGrid w:val="0"/>
                <w:kern w:val="22"/>
                <w:szCs w:val="22"/>
              </w:rPr>
              <w:t>Black Sea</w:t>
            </w:r>
            <w:r w:rsidRPr="0088780C">
              <w:rPr>
                <w:b/>
                <w:snapToGrid w:val="0"/>
                <w:kern w:val="22"/>
                <w:szCs w:val="22"/>
              </w:rPr>
              <w:t xml:space="preserve"> </w:t>
            </w:r>
            <w:r w:rsidRPr="0088780C">
              <w:rPr>
                <w:snapToGrid w:val="0"/>
                <w:kern w:val="22"/>
                <w:szCs w:val="22"/>
              </w:rPr>
              <w:t>common dolphin</w:t>
            </w:r>
            <w:r w:rsidRPr="0088780C">
              <w:rPr>
                <w:bCs/>
                <w:i/>
                <w:snapToGrid w:val="0"/>
                <w:kern w:val="22"/>
                <w:szCs w:val="22"/>
              </w:rPr>
              <w:t xml:space="preserve"> (Delphinus delphis ponticus)</w:t>
            </w:r>
            <w:r w:rsidRPr="0088780C">
              <w:rPr>
                <w:bCs/>
                <w:snapToGrid w:val="0"/>
                <w:kern w:val="22"/>
                <w:szCs w:val="22"/>
              </w:rPr>
              <w:t xml:space="preserve"> </w:t>
            </w:r>
            <w:r w:rsidRPr="0088780C">
              <w:rPr>
                <w:snapToGrid w:val="0"/>
                <w:kern w:val="22"/>
                <w:szCs w:val="22"/>
              </w:rPr>
              <w:t xml:space="preserve">is vulnerable </w:t>
            </w:r>
            <w:r w:rsidRPr="0088780C">
              <w:rPr>
                <w:bCs/>
                <w:snapToGrid w:val="0"/>
                <w:kern w:val="22"/>
                <w:szCs w:val="22"/>
              </w:rPr>
              <w:t>(Birkun, 2008).</w:t>
            </w:r>
          </w:p>
          <w:p w14:paraId="0C4CB0C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 xml:space="preserve">A globally threatened seabird species listed as vulnerable by IUCN is known to occur in the area (BirdLife International 2017b): the </w:t>
            </w:r>
            <w:r w:rsidRPr="0088780C">
              <w:rPr>
                <w:rFonts w:eastAsia="MS Mincho"/>
                <w:snapToGrid w:val="0"/>
                <w:kern w:val="22"/>
                <w:szCs w:val="22"/>
              </w:rPr>
              <w:t>Dalmatian pelican (</w:t>
            </w:r>
            <w:r w:rsidRPr="0088780C">
              <w:rPr>
                <w:rFonts w:eastAsia="MS Mincho"/>
                <w:i/>
                <w:snapToGrid w:val="0"/>
                <w:kern w:val="22"/>
                <w:szCs w:val="22"/>
              </w:rPr>
              <w:t>Pelecanus crispus)</w:t>
            </w:r>
            <w:r w:rsidRPr="0088780C">
              <w:rPr>
                <w:rFonts w:eastAsia="MS Mincho"/>
                <w:bCs/>
                <w:snapToGrid w:val="0"/>
                <w:color w:val="000000"/>
                <w:kern w:val="22"/>
                <w:szCs w:val="22"/>
              </w:rPr>
              <w:t>. This species is also listed in CITES Appendix I and CMS Appendixes I and II. The area also overlaps with the distribution range of three other vulnerable species, the yelkouan shearwater (</w:t>
            </w:r>
            <w:r w:rsidRPr="0088780C">
              <w:rPr>
                <w:rFonts w:eastAsia="MS Mincho"/>
                <w:bCs/>
                <w:i/>
                <w:snapToGrid w:val="0"/>
                <w:color w:val="000000"/>
                <w:kern w:val="22"/>
                <w:szCs w:val="22"/>
              </w:rPr>
              <w:t>Puffinus yelkouan)</w:t>
            </w:r>
            <w:r w:rsidRPr="0088780C">
              <w:rPr>
                <w:rFonts w:eastAsia="MS Mincho"/>
                <w:bCs/>
                <w:snapToGrid w:val="0"/>
                <w:color w:val="000000"/>
                <w:kern w:val="22"/>
                <w:szCs w:val="22"/>
              </w:rPr>
              <w:t>, the velvet scoter (</w:t>
            </w:r>
            <w:r w:rsidRPr="0088780C">
              <w:rPr>
                <w:rFonts w:eastAsia="MS Mincho"/>
                <w:bCs/>
                <w:i/>
                <w:snapToGrid w:val="0"/>
                <w:color w:val="000000"/>
                <w:kern w:val="22"/>
                <w:szCs w:val="22"/>
              </w:rPr>
              <w:t xml:space="preserve">Melanitta fusca) </w:t>
            </w:r>
            <w:r w:rsidRPr="0088780C">
              <w:rPr>
                <w:rFonts w:eastAsia="MS Mincho"/>
                <w:bCs/>
                <w:snapToGrid w:val="0"/>
                <w:color w:val="000000"/>
                <w:kern w:val="22"/>
                <w:szCs w:val="22"/>
              </w:rPr>
              <w:t>and the horned grebe (</w:t>
            </w:r>
            <w:r w:rsidRPr="0088780C">
              <w:rPr>
                <w:rFonts w:eastAsia="MS Mincho"/>
                <w:bCs/>
                <w:i/>
                <w:snapToGrid w:val="0"/>
                <w:color w:val="000000"/>
                <w:kern w:val="22"/>
                <w:szCs w:val="22"/>
              </w:rPr>
              <w:t>Podiceps auritus)</w:t>
            </w:r>
            <w:r w:rsidRPr="0088780C">
              <w:rPr>
                <w:rFonts w:eastAsia="MS Mincho"/>
                <w:bCs/>
                <w:snapToGrid w:val="0"/>
                <w:color w:val="000000"/>
                <w:kern w:val="22"/>
                <w:szCs w:val="22"/>
              </w:rPr>
              <w:t xml:space="preserve"> (BirdLife International 2017b). All these species are also included in Annex I of the EU Birds Directive.</w:t>
            </w:r>
          </w:p>
          <w:p w14:paraId="75275F6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r>
      <w:tr w:rsidR="00A876F3" w:rsidRPr="0088780C" w14:paraId="7908F023" w14:textId="77777777" w:rsidTr="006972AD">
        <w:tc>
          <w:tcPr>
            <w:tcW w:w="779" w:type="pct"/>
            <w:shd w:val="clear" w:color="auto" w:fill="auto"/>
          </w:tcPr>
          <w:p w14:paraId="0A922CA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24C748A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0C3BEF0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24EAAF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F02854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2EBF396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358DBC91" w14:textId="77777777" w:rsidTr="006972AD">
        <w:tc>
          <w:tcPr>
            <w:tcW w:w="5000" w:type="pct"/>
            <w:gridSpan w:val="11"/>
            <w:shd w:val="clear" w:color="auto" w:fill="auto"/>
          </w:tcPr>
          <w:p w14:paraId="66F16DDE"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5710C0ED"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snapToGrid w:val="0"/>
                <w:kern w:val="22"/>
                <w:szCs w:val="22"/>
                <w:lang w:eastAsia="bg-BG"/>
              </w:rPr>
              <w:t xml:space="preserve">Sciophilic communities, especially </w:t>
            </w:r>
            <w:r w:rsidRPr="0088780C">
              <w:rPr>
                <w:i/>
                <w:snapToGrid w:val="0"/>
                <w:kern w:val="22"/>
                <w:szCs w:val="22"/>
                <w:lang w:eastAsia="bg-BG"/>
              </w:rPr>
              <w:t xml:space="preserve">Phyllophora crispa, </w:t>
            </w:r>
            <w:r w:rsidRPr="0088780C">
              <w:rPr>
                <w:snapToGrid w:val="0"/>
                <w:kern w:val="22"/>
                <w:szCs w:val="22"/>
                <w:lang w:eastAsia="bg-BG"/>
              </w:rPr>
              <w:t xml:space="preserve">are highly sensitive to eutrophication processes leading to transparency </w:t>
            </w:r>
            <w:r w:rsidRPr="0088780C">
              <w:rPr>
                <w:snapToGrid w:val="0"/>
                <w:kern w:val="22"/>
                <w:szCs w:val="22"/>
              </w:rPr>
              <w:t>diminution</w:t>
            </w:r>
            <w:r w:rsidRPr="0088780C">
              <w:rPr>
                <w:snapToGrid w:val="0"/>
                <w:kern w:val="22"/>
                <w:szCs w:val="22"/>
                <w:lang w:eastAsia="bg-BG"/>
              </w:rPr>
              <w:t xml:space="preserve"> and biogenic concentration increase as well as </w:t>
            </w:r>
            <w:r w:rsidRPr="0088780C">
              <w:rPr>
                <w:i/>
                <w:snapToGrid w:val="0"/>
                <w:kern w:val="22"/>
                <w:szCs w:val="22"/>
                <w:lang w:eastAsia="bg-BG"/>
              </w:rPr>
              <w:t>Phyllophora</w:t>
            </w:r>
            <w:r w:rsidRPr="0088780C">
              <w:rPr>
                <w:snapToGrid w:val="0"/>
                <w:kern w:val="22"/>
                <w:szCs w:val="22"/>
                <w:lang w:eastAsia="bg-BG"/>
              </w:rPr>
              <w:t xml:space="preserve"> extraction (</w:t>
            </w:r>
            <w:r w:rsidRPr="0088780C">
              <w:rPr>
                <w:bCs/>
                <w:snapToGrid w:val="0"/>
                <w:kern w:val="22"/>
                <w:szCs w:val="22"/>
                <w:lang w:eastAsia="bg-BG"/>
              </w:rPr>
              <w:t>Todorova V. at al, 2012)</w:t>
            </w:r>
            <w:r w:rsidRPr="0088780C">
              <w:rPr>
                <w:snapToGrid w:val="0"/>
                <w:kern w:val="22"/>
                <w:szCs w:val="22"/>
                <w:lang w:eastAsia="bg-BG"/>
              </w:rPr>
              <w:t>.</w:t>
            </w:r>
          </w:p>
          <w:p w14:paraId="38C637CA" w14:textId="02DA855A"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snapToGrid w:val="0"/>
                <w:kern w:val="22"/>
                <w:szCs w:val="22"/>
                <w:lang w:eastAsia="bg-BG"/>
              </w:rPr>
              <w:t>Mussel banks on sediments have good prospects, given the low levels of anthropogenic pressure (</w:t>
            </w:r>
            <w:r w:rsidRPr="0088780C">
              <w:rPr>
                <w:bCs/>
                <w:snapToGrid w:val="0"/>
                <w:kern w:val="22"/>
                <w:szCs w:val="22"/>
                <w:lang w:eastAsia="bg-BG"/>
              </w:rPr>
              <w:t>Natura 2000 – Standard Data Form</w:t>
            </w:r>
            <w:r w:rsidRPr="0088780C">
              <w:rPr>
                <w:snapToGrid w:val="0"/>
                <w:kern w:val="22"/>
                <w:szCs w:val="22"/>
                <w:lang w:eastAsia="bg-BG"/>
              </w:rPr>
              <w:t>).</w:t>
            </w:r>
          </w:p>
          <w:p w14:paraId="2757053E"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snapToGrid w:val="0"/>
                <w:kern w:val="22"/>
                <w:szCs w:val="22"/>
                <w:lang w:eastAsia="bg-BG"/>
              </w:rPr>
              <w:t xml:space="preserve">Communities of the photophilic brown macroalgae </w:t>
            </w:r>
            <w:r w:rsidRPr="0088780C">
              <w:rPr>
                <w:i/>
                <w:snapToGrid w:val="0"/>
                <w:kern w:val="22"/>
                <w:szCs w:val="22"/>
                <w:lang w:eastAsia="bg-BG"/>
              </w:rPr>
              <w:t xml:space="preserve">Cystoseira species </w:t>
            </w:r>
            <w:r w:rsidRPr="0088780C">
              <w:rPr>
                <w:snapToGrid w:val="0"/>
                <w:kern w:val="22"/>
                <w:szCs w:val="22"/>
                <w:lang w:eastAsia="bg-BG"/>
              </w:rPr>
              <w:t>associations are resilient enough to withstand periods of elevated anthropogenic eutrophication (Berov et al., 2012).</w:t>
            </w:r>
          </w:p>
          <w:p w14:paraId="5070F297"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snapToGrid w:val="0"/>
                <w:kern w:val="22"/>
                <w:szCs w:val="22"/>
                <w:lang w:eastAsia="bg-BG"/>
              </w:rPr>
              <w:t>Considering that the major coverage of the area is represented by habitat 1170, which consists of the above-mentioned three subtypes, the area s</w:t>
            </w:r>
            <w:r w:rsidRPr="0088780C">
              <w:rPr>
                <w:rFonts w:eastAsia="MS Mincho"/>
                <w:snapToGrid w:val="0"/>
                <w:color w:val="000000"/>
                <w:kern w:val="22"/>
                <w:szCs w:val="22"/>
              </w:rPr>
              <w:t>hows some sensitivity, but is</w:t>
            </w:r>
            <w:r w:rsidRPr="0088780C">
              <w:rPr>
                <w:rFonts w:eastAsia="MS Mincho"/>
                <w:bCs/>
                <w:snapToGrid w:val="0"/>
                <w:color w:val="000000"/>
                <w:kern w:val="22"/>
                <w:szCs w:val="22"/>
              </w:rPr>
              <w:t>to some extent still resilient to degradation and human activities.</w:t>
            </w:r>
          </w:p>
          <w:p w14:paraId="1817673F"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Fishes of the genus Alosa are </w:t>
            </w:r>
            <w:r w:rsidRPr="0088780C">
              <w:rPr>
                <w:rFonts w:eastAsia="MS Mincho"/>
                <w:bCs/>
                <w:snapToGrid w:val="0"/>
                <w:color w:val="000000"/>
                <w:kern w:val="22"/>
                <w:szCs w:val="22"/>
              </w:rPr>
              <w:t xml:space="preserve">sensitive to anthropogenic impact, especially regarding human access to reproduction and spawning areas as well as regarding the </w:t>
            </w:r>
            <w:r w:rsidRPr="0088780C">
              <w:rPr>
                <w:snapToGrid w:val="0"/>
                <w:kern w:val="22"/>
                <w:szCs w:val="22"/>
              </w:rPr>
              <w:t>ecological status of their environment.</w:t>
            </w:r>
          </w:p>
          <w:p w14:paraId="54E08DF0"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eastAsia="bg-BG"/>
              </w:rPr>
            </w:pPr>
            <w:r w:rsidRPr="0088780C">
              <w:rPr>
                <w:bCs/>
                <w:snapToGrid w:val="0"/>
                <w:kern w:val="22"/>
                <w:szCs w:val="22"/>
                <w:lang w:eastAsia="bg-BG"/>
              </w:rPr>
              <w:t>Permanently present in the area are the Black Sea</w:t>
            </w:r>
            <w:r w:rsidRPr="0088780C">
              <w:rPr>
                <w:b/>
                <w:snapToGrid w:val="0"/>
                <w:kern w:val="22"/>
                <w:szCs w:val="22"/>
                <w:lang w:eastAsia="bg-BG"/>
              </w:rPr>
              <w:t xml:space="preserve"> </w:t>
            </w:r>
            <w:r w:rsidRPr="0088780C">
              <w:rPr>
                <w:snapToGrid w:val="0"/>
                <w:kern w:val="22"/>
                <w:szCs w:val="22"/>
                <w:lang w:eastAsia="bg-BG"/>
              </w:rPr>
              <w:t>common dolphin</w:t>
            </w:r>
            <w:r w:rsidRPr="0088780C">
              <w:rPr>
                <w:bCs/>
                <w:i/>
                <w:snapToGrid w:val="0"/>
                <w:kern w:val="22"/>
                <w:szCs w:val="22"/>
                <w:lang w:eastAsia="bg-BG"/>
              </w:rPr>
              <w:t xml:space="preserve"> (Delphinus delphis ponticus), </w:t>
            </w:r>
            <w:r w:rsidRPr="0088780C">
              <w:rPr>
                <w:bCs/>
                <w:snapToGrid w:val="0"/>
                <w:kern w:val="22"/>
                <w:szCs w:val="22"/>
                <w:lang w:eastAsia="bg-BG"/>
              </w:rPr>
              <w:t>which is assessed as</w:t>
            </w:r>
            <w:r w:rsidRPr="0088780C">
              <w:rPr>
                <w:snapToGrid w:val="0"/>
                <w:kern w:val="22"/>
                <w:szCs w:val="22"/>
                <w:lang w:eastAsia="bg-BG"/>
              </w:rPr>
              <w:t xml:space="preserve"> vulnerable </w:t>
            </w:r>
            <w:r w:rsidRPr="0088780C">
              <w:rPr>
                <w:bCs/>
                <w:snapToGrid w:val="0"/>
                <w:kern w:val="22"/>
                <w:szCs w:val="22"/>
                <w:lang w:eastAsia="bg-BG"/>
              </w:rPr>
              <w:t>(Birkun, 2008).</w:t>
            </w:r>
          </w:p>
          <w:p w14:paraId="45B216EA"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bCs/>
                <w:snapToGrid w:val="0"/>
                <w:color w:val="000000"/>
                <w:kern w:val="22"/>
                <w:szCs w:val="22"/>
              </w:rPr>
              <w:t xml:space="preserve">The area is important to the vulnerable </w:t>
            </w:r>
            <w:r w:rsidRPr="0088780C">
              <w:rPr>
                <w:rFonts w:eastAsia="MS Mincho"/>
                <w:snapToGrid w:val="0"/>
                <w:kern w:val="22"/>
                <w:szCs w:val="22"/>
              </w:rPr>
              <w:t xml:space="preserve">Dalmatian Pelican </w:t>
            </w:r>
            <w:r w:rsidRPr="0088780C">
              <w:rPr>
                <w:rFonts w:eastAsia="MS Mincho"/>
                <w:i/>
                <w:snapToGrid w:val="0"/>
                <w:kern w:val="22"/>
                <w:szCs w:val="22"/>
              </w:rPr>
              <w:t>Pelecanus crispus</w:t>
            </w:r>
            <w:r w:rsidRPr="0088780C">
              <w:rPr>
                <w:rFonts w:eastAsia="MS Mincho"/>
                <w:bCs/>
                <w:snapToGrid w:val="0"/>
                <w:color w:val="000000"/>
                <w:kern w:val="22"/>
                <w:szCs w:val="22"/>
              </w:rPr>
              <w:t>, a long-lived species with late sexual maturity.</w:t>
            </w:r>
          </w:p>
          <w:p w14:paraId="5C25E9F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r>
      <w:tr w:rsidR="00A876F3" w:rsidRPr="0088780C" w14:paraId="3DD5D9C4" w14:textId="77777777" w:rsidTr="006972AD">
        <w:tc>
          <w:tcPr>
            <w:tcW w:w="779" w:type="pct"/>
            <w:shd w:val="clear" w:color="auto" w:fill="auto"/>
          </w:tcPr>
          <w:p w14:paraId="1987C89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092802E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p w14:paraId="5F03556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684" w:type="pct"/>
            <w:gridSpan w:val="3"/>
            <w:shd w:val="clear" w:color="auto" w:fill="auto"/>
          </w:tcPr>
          <w:p w14:paraId="1DEFCD8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10" w:type="pct"/>
            <w:gridSpan w:val="2"/>
            <w:shd w:val="clear" w:color="auto" w:fill="auto"/>
          </w:tcPr>
          <w:p w14:paraId="13AB57C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F52600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063BC3D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436FBE38" w14:textId="77777777" w:rsidTr="006972AD">
        <w:tc>
          <w:tcPr>
            <w:tcW w:w="5000" w:type="pct"/>
            <w:gridSpan w:val="11"/>
            <w:shd w:val="clear" w:color="auto" w:fill="auto"/>
          </w:tcPr>
          <w:p w14:paraId="20DFC405" w14:textId="369EEE06" w:rsidR="00A876F3" w:rsidRPr="0088780C" w:rsidRDefault="00A876F3" w:rsidP="00730089">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i/>
                <w:snapToGrid w:val="0"/>
                <w:color w:val="000000"/>
                <w:kern w:val="22"/>
                <w:szCs w:val="22"/>
              </w:rPr>
              <w:t>Explanation for ranking</w:t>
            </w:r>
          </w:p>
        </w:tc>
      </w:tr>
      <w:tr w:rsidR="00A876F3" w:rsidRPr="0088780C" w14:paraId="37F5BE07" w14:textId="77777777" w:rsidTr="006972AD">
        <w:tc>
          <w:tcPr>
            <w:tcW w:w="779" w:type="pct"/>
            <w:shd w:val="clear" w:color="auto" w:fill="auto"/>
          </w:tcPr>
          <w:p w14:paraId="30E1525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4F20D84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3A16F61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1DEC7ED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4CAE2D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466BFDD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5895FCFC" w14:textId="77777777" w:rsidTr="006972AD">
        <w:tc>
          <w:tcPr>
            <w:tcW w:w="5000" w:type="pct"/>
            <w:gridSpan w:val="11"/>
            <w:shd w:val="clear" w:color="auto" w:fill="auto"/>
          </w:tcPr>
          <w:p w14:paraId="6987F0BA"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1F2AF5C6" w14:textId="4A817EDE"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snapToGrid w:val="0"/>
                <w:kern w:val="22"/>
                <w:szCs w:val="22"/>
                <w:lang w:eastAsia="bg-BG"/>
              </w:rPr>
              <w:t xml:space="preserve">On the rocky reefs in the area the rare biotope of sciophilic macroalgae </w:t>
            </w:r>
            <w:r w:rsidR="00D8482D" w:rsidRPr="0088780C">
              <w:rPr>
                <w:snapToGrid w:val="0"/>
                <w:kern w:val="22"/>
                <w:szCs w:val="22"/>
                <w:lang w:eastAsia="bg-BG"/>
              </w:rPr>
              <w:t>“</w:t>
            </w:r>
            <w:r w:rsidRPr="0088780C">
              <w:rPr>
                <w:snapToGrid w:val="0"/>
                <w:kern w:val="22"/>
                <w:szCs w:val="22"/>
                <w:lang w:eastAsia="bg-BG"/>
              </w:rPr>
              <w:t xml:space="preserve">Lower infralittoral with sciophilic </w:t>
            </w:r>
            <w:r w:rsidRPr="0088780C">
              <w:rPr>
                <w:i/>
                <w:snapToGrid w:val="0"/>
                <w:kern w:val="22"/>
                <w:szCs w:val="22"/>
                <w:lang w:eastAsia="bg-BG"/>
              </w:rPr>
              <w:t>Phyllophora crispa</w:t>
            </w:r>
            <w:r w:rsidRPr="0088780C">
              <w:rPr>
                <w:snapToGrid w:val="0"/>
                <w:kern w:val="22"/>
                <w:szCs w:val="22"/>
                <w:lang w:eastAsia="bg-BG"/>
              </w:rPr>
              <w:t xml:space="preserve"> association</w:t>
            </w:r>
            <w:r w:rsidR="00D8482D" w:rsidRPr="0088780C">
              <w:rPr>
                <w:snapToGrid w:val="0"/>
                <w:kern w:val="22"/>
                <w:szCs w:val="22"/>
                <w:lang w:eastAsia="bg-BG"/>
              </w:rPr>
              <w:t>”</w:t>
            </w:r>
            <w:r w:rsidRPr="0088780C">
              <w:rPr>
                <w:snapToGrid w:val="0"/>
                <w:kern w:val="22"/>
                <w:szCs w:val="22"/>
                <w:lang w:eastAsia="bg-BG"/>
              </w:rPr>
              <w:t xml:space="preserve">, classified as a subtype of habitat 1170, was discovered. All along the rocky reefs in the area there is a massive presence of biotopes of high conservation value: communities of the photophilic brown macroalgae </w:t>
            </w:r>
            <w:r w:rsidRPr="0088780C">
              <w:rPr>
                <w:i/>
                <w:snapToGrid w:val="0"/>
                <w:kern w:val="22"/>
                <w:szCs w:val="22"/>
                <w:lang w:eastAsia="bg-BG"/>
              </w:rPr>
              <w:t>Cystoseira crinita</w:t>
            </w:r>
            <w:r w:rsidRPr="0088780C">
              <w:rPr>
                <w:snapToGrid w:val="0"/>
                <w:kern w:val="22"/>
                <w:szCs w:val="22"/>
                <w:lang w:eastAsia="bg-BG"/>
              </w:rPr>
              <w:t xml:space="preserve"> and </w:t>
            </w:r>
            <w:r w:rsidRPr="0088780C">
              <w:rPr>
                <w:i/>
                <w:snapToGrid w:val="0"/>
                <w:kern w:val="22"/>
                <w:szCs w:val="22"/>
                <w:lang w:eastAsia="bg-BG"/>
              </w:rPr>
              <w:t>Cystoseira barbata</w:t>
            </w:r>
            <w:r w:rsidRPr="0088780C">
              <w:rPr>
                <w:snapToGrid w:val="0"/>
                <w:kern w:val="22"/>
                <w:szCs w:val="22"/>
                <w:lang w:eastAsia="bg-BG"/>
              </w:rPr>
              <w:t xml:space="preserve">, classified as subtypes of habitat 1170. The marine area includes mussel banks on sediment (subtype of habitat 1170) with significant area, coverage and biomass of the habitat-forming species </w:t>
            </w:r>
            <w:r w:rsidRPr="0088780C">
              <w:rPr>
                <w:i/>
                <w:snapToGrid w:val="0"/>
                <w:kern w:val="22"/>
                <w:szCs w:val="22"/>
                <w:lang w:eastAsia="bg-BG"/>
              </w:rPr>
              <w:t>Mytilus galloprovincialis</w:t>
            </w:r>
            <w:r w:rsidRPr="0088780C">
              <w:rPr>
                <w:snapToGrid w:val="0"/>
                <w:kern w:val="22"/>
                <w:szCs w:val="22"/>
                <w:lang w:eastAsia="bg-BG"/>
              </w:rPr>
              <w:t>, with high diversity of accompanying invertebrate fauna and fishes.</w:t>
            </w:r>
          </w:p>
          <w:p w14:paraId="4E237D7A"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 xml:space="preserve">In the area of Cape Maslen Nos, Ropotamo River estuary sedimentary bottom provides a variety of habitats, such as seagrass meadows of </w:t>
            </w:r>
            <w:r w:rsidRPr="0088780C">
              <w:rPr>
                <w:bCs/>
                <w:i/>
                <w:snapToGrid w:val="0"/>
                <w:kern w:val="22"/>
                <w:szCs w:val="22"/>
              </w:rPr>
              <w:t>Zostera marina</w:t>
            </w:r>
            <w:r w:rsidRPr="0088780C">
              <w:rPr>
                <w:bCs/>
                <w:snapToGrid w:val="0"/>
                <w:kern w:val="22"/>
                <w:szCs w:val="22"/>
              </w:rPr>
              <w:t xml:space="preserve">, </w:t>
            </w:r>
            <w:r w:rsidRPr="0088780C">
              <w:rPr>
                <w:bCs/>
                <w:i/>
                <w:snapToGrid w:val="0"/>
                <w:kern w:val="22"/>
                <w:szCs w:val="22"/>
              </w:rPr>
              <w:t>Zannichellia pedicellata</w:t>
            </w:r>
            <w:r w:rsidRPr="0088780C">
              <w:rPr>
                <w:bCs/>
                <w:snapToGrid w:val="0"/>
                <w:kern w:val="22"/>
                <w:szCs w:val="22"/>
              </w:rPr>
              <w:t xml:space="preserve"> and </w:t>
            </w:r>
            <w:r w:rsidRPr="0088780C">
              <w:rPr>
                <w:bCs/>
                <w:i/>
                <w:snapToGrid w:val="0"/>
                <w:kern w:val="22"/>
                <w:szCs w:val="22"/>
              </w:rPr>
              <w:t>Potamogeton pectinatus</w:t>
            </w:r>
            <w:r w:rsidRPr="0088780C">
              <w:rPr>
                <w:bCs/>
                <w:snapToGrid w:val="0"/>
                <w:kern w:val="22"/>
                <w:szCs w:val="22"/>
              </w:rPr>
              <w:t xml:space="preserve">. Other important habitats are sediments inhabited by Thalassinid crustaceans: fine sands with </w:t>
            </w:r>
            <w:r w:rsidRPr="0088780C">
              <w:rPr>
                <w:bCs/>
                <w:i/>
                <w:snapToGrid w:val="0"/>
                <w:kern w:val="22"/>
                <w:szCs w:val="22"/>
              </w:rPr>
              <w:t>Pestarella candida</w:t>
            </w:r>
            <w:r w:rsidRPr="0088780C">
              <w:rPr>
                <w:bCs/>
                <w:snapToGrid w:val="0"/>
                <w:kern w:val="22"/>
                <w:szCs w:val="22"/>
              </w:rPr>
              <w:t xml:space="preserve"> and sandy silts with Mediterranean mud shrimp (</w:t>
            </w:r>
            <w:r w:rsidRPr="0088780C">
              <w:rPr>
                <w:bCs/>
                <w:i/>
                <w:snapToGrid w:val="0"/>
                <w:kern w:val="22"/>
                <w:szCs w:val="22"/>
              </w:rPr>
              <w:t>Upogebia pusilla)</w:t>
            </w:r>
            <w:r w:rsidRPr="0088780C">
              <w:rPr>
                <w:bCs/>
                <w:snapToGrid w:val="0"/>
                <w:kern w:val="22"/>
                <w:szCs w:val="22"/>
              </w:rPr>
              <w:t>, the former being a rare species.</w:t>
            </w:r>
          </w:p>
          <w:p w14:paraId="42919546"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 xml:space="preserve">In terms of macroalgae diversity, only in </w:t>
            </w:r>
            <w:r w:rsidRPr="0088780C">
              <w:rPr>
                <w:i/>
                <w:snapToGrid w:val="0"/>
                <w:kern w:val="22"/>
                <w:szCs w:val="22"/>
                <w:lang w:eastAsia="bg-BG"/>
              </w:rPr>
              <w:t>Cystoseira sp.</w:t>
            </w:r>
            <w:r w:rsidRPr="0088780C">
              <w:rPr>
                <w:snapToGrid w:val="0"/>
                <w:kern w:val="22"/>
                <w:szCs w:val="22"/>
                <w:lang w:eastAsia="bg-BG"/>
              </w:rPr>
              <w:t>-dominated communities,</w:t>
            </w:r>
            <w:r w:rsidRPr="0088780C">
              <w:rPr>
                <w:bCs/>
                <w:snapToGrid w:val="0"/>
                <w:kern w:val="22"/>
                <w:szCs w:val="22"/>
              </w:rPr>
              <w:t xml:space="preserve"> 61 species in total were identiﬁed in the area, of which: Rhodophyta dominated with 34 species (in 3 classes, 11 orders, 16 families and 20 genera), followed by Chlorophyta – with 15 species (in 2 classes, 4 orders, 4 families and 5 genera), and Ochrophyta – with 12 species (in 1 class, 4 orders, 6 families and 9 genera). In the C. barbata-dominated communities, among the 55 species described in these communities, 24 were found only as epiphytes on C. barbata. In the C. crinita-dominated communities, 48 species were described, of which eight were found only as epiphytes on C. crinita (Berov et al., 2012). These communities provide a habitat for a range of invertebrate epifauna, such as bryozoans, hydroids and ascidians and epiflora, including crustose red algae (</w:t>
            </w:r>
            <w:r w:rsidRPr="0088780C">
              <w:rPr>
                <w:bCs/>
                <w:i/>
                <w:snapToGrid w:val="0"/>
                <w:kern w:val="22"/>
                <w:szCs w:val="22"/>
              </w:rPr>
              <w:t>Dermatolithon cystoseirae</w:t>
            </w:r>
            <w:r w:rsidRPr="0088780C">
              <w:rPr>
                <w:bCs/>
                <w:snapToGrid w:val="0"/>
                <w:kern w:val="22"/>
                <w:szCs w:val="22"/>
              </w:rPr>
              <w:t xml:space="preserve">). Other typical inhabitants are the mussels </w:t>
            </w:r>
            <w:r w:rsidRPr="0088780C">
              <w:rPr>
                <w:bCs/>
                <w:i/>
                <w:snapToGrid w:val="0"/>
                <w:kern w:val="22"/>
                <w:szCs w:val="22"/>
              </w:rPr>
              <w:t>Mytilaster lineatus</w:t>
            </w:r>
            <w:r w:rsidRPr="0088780C">
              <w:rPr>
                <w:bCs/>
                <w:snapToGrid w:val="0"/>
                <w:kern w:val="22"/>
                <w:szCs w:val="22"/>
              </w:rPr>
              <w:t xml:space="preserve">, the snail </w:t>
            </w:r>
            <w:r w:rsidRPr="0088780C">
              <w:rPr>
                <w:bCs/>
                <w:i/>
                <w:snapToGrid w:val="0"/>
                <w:kern w:val="22"/>
                <w:szCs w:val="22"/>
              </w:rPr>
              <w:t>(Tricolia pullus)</w:t>
            </w:r>
            <w:r w:rsidRPr="0088780C">
              <w:rPr>
                <w:bCs/>
                <w:snapToGrid w:val="0"/>
                <w:kern w:val="22"/>
                <w:szCs w:val="22"/>
              </w:rPr>
              <w:t>, the decapods</w:t>
            </w:r>
            <w:r w:rsidRPr="0088780C">
              <w:rPr>
                <w:b/>
                <w:bCs/>
                <w:snapToGrid w:val="0"/>
                <w:kern w:val="22"/>
                <w:szCs w:val="22"/>
              </w:rPr>
              <w:t xml:space="preserve"> </w:t>
            </w:r>
            <w:r w:rsidRPr="0088780C">
              <w:rPr>
                <w:bCs/>
                <w:snapToGrid w:val="0"/>
                <w:kern w:val="22"/>
                <w:szCs w:val="22"/>
              </w:rPr>
              <w:t xml:space="preserve">marbled rock crab </w:t>
            </w:r>
            <w:r w:rsidRPr="0088780C">
              <w:rPr>
                <w:bCs/>
                <w:i/>
                <w:snapToGrid w:val="0"/>
                <w:kern w:val="22"/>
                <w:szCs w:val="22"/>
              </w:rPr>
              <w:t>(Pachygrapsus marmoratus)</w:t>
            </w:r>
            <w:r w:rsidRPr="0088780C">
              <w:rPr>
                <w:bCs/>
                <w:snapToGrid w:val="0"/>
                <w:kern w:val="22"/>
                <w:szCs w:val="22"/>
              </w:rPr>
              <w:t xml:space="preserve">, bristly crab </w:t>
            </w:r>
            <w:r w:rsidRPr="0088780C">
              <w:rPr>
                <w:bCs/>
                <w:i/>
                <w:snapToGrid w:val="0"/>
                <w:kern w:val="22"/>
                <w:szCs w:val="22"/>
              </w:rPr>
              <w:t>(Pilumnus hirtellus)</w:t>
            </w:r>
            <w:r w:rsidRPr="0088780C">
              <w:rPr>
                <w:bCs/>
                <w:snapToGrid w:val="0"/>
                <w:kern w:val="22"/>
                <w:szCs w:val="22"/>
              </w:rPr>
              <w:t xml:space="preserve"> and jaguar round crab</w:t>
            </w:r>
            <w:r w:rsidRPr="0088780C">
              <w:rPr>
                <w:bCs/>
                <w:i/>
                <w:snapToGrid w:val="0"/>
                <w:kern w:val="22"/>
                <w:szCs w:val="22"/>
              </w:rPr>
              <w:t xml:space="preserve"> (Xantho poressa)</w:t>
            </w:r>
            <w:r w:rsidRPr="0088780C">
              <w:rPr>
                <w:bCs/>
                <w:snapToGrid w:val="0"/>
                <w:kern w:val="22"/>
                <w:szCs w:val="22"/>
              </w:rPr>
              <w:t xml:space="preserve">, the sea horse </w:t>
            </w:r>
            <w:r w:rsidRPr="0088780C">
              <w:rPr>
                <w:bCs/>
                <w:i/>
                <w:snapToGrid w:val="0"/>
                <w:kern w:val="22"/>
                <w:szCs w:val="22"/>
              </w:rPr>
              <w:t>(Hippocampus guttulatus)</w:t>
            </w:r>
            <w:r w:rsidRPr="0088780C">
              <w:rPr>
                <w:bCs/>
                <w:snapToGrid w:val="0"/>
                <w:kern w:val="22"/>
                <w:szCs w:val="22"/>
              </w:rPr>
              <w:t xml:space="preserve">, a variety of wrasses, blennies and gobies. Below the Cystoseira zone the rocky seabed is dominated by the blue mussel </w:t>
            </w:r>
            <w:r w:rsidRPr="0088780C">
              <w:rPr>
                <w:bCs/>
                <w:i/>
                <w:snapToGrid w:val="0"/>
                <w:kern w:val="22"/>
                <w:szCs w:val="22"/>
              </w:rPr>
              <w:t>(Mytilus galloprovincialis)</w:t>
            </w:r>
            <w:r w:rsidRPr="0088780C">
              <w:rPr>
                <w:bCs/>
                <w:snapToGrid w:val="0"/>
                <w:kern w:val="22"/>
                <w:szCs w:val="22"/>
              </w:rPr>
              <w:t>. A rare rocky habitat established in the area is limestone punctured by the boring petricola</w:t>
            </w:r>
            <w:r w:rsidRPr="0088780C">
              <w:rPr>
                <w:bCs/>
                <w:i/>
                <w:snapToGrid w:val="0"/>
                <w:kern w:val="22"/>
                <w:szCs w:val="22"/>
              </w:rPr>
              <w:t xml:space="preserve"> (Petricola lithophaga)</w:t>
            </w:r>
            <w:r w:rsidRPr="0088780C">
              <w:rPr>
                <w:rFonts w:eastAsia="MS Mincho"/>
                <w:snapToGrid w:val="0"/>
                <w:color w:val="000000"/>
                <w:kern w:val="22"/>
                <w:szCs w:val="22"/>
              </w:rPr>
              <w:t xml:space="preserve">, a </w:t>
            </w:r>
            <w:r w:rsidRPr="0088780C">
              <w:rPr>
                <w:bCs/>
                <w:snapToGrid w:val="0"/>
                <w:kern w:val="22"/>
                <w:szCs w:val="22"/>
              </w:rPr>
              <w:t>rock-boring bivalve (Todorova V. et al., 2015</w:t>
            </w:r>
            <w:r w:rsidRPr="0088780C">
              <w:rPr>
                <w:rFonts w:eastAsia="MS Mincho"/>
                <w:snapToGrid w:val="0"/>
                <w:color w:val="000000"/>
                <w:kern w:val="22"/>
                <w:szCs w:val="22"/>
              </w:rPr>
              <w:t>)</w:t>
            </w:r>
            <w:r w:rsidRPr="0088780C">
              <w:rPr>
                <w:bCs/>
                <w:i/>
                <w:snapToGrid w:val="0"/>
                <w:kern w:val="22"/>
                <w:szCs w:val="22"/>
              </w:rPr>
              <w:t>.</w:t>
            </w:r>
          </w:p>
          <w:p w14:paraId="6618841B"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The ample trophic resources carried by the Ropotamo River determine the particularly high diversity of gastropods (</w:t>
            </w:r>
            <w:r w:rsidRPr="0088780C">
              <w:rPr>
                <w:bCs/>
                <w:i/>
                <w:snapToGrid w:val="0"/>
                <w:kern w:val="22"/>
                <w:szCs w:val="22"/>
              </w:rPr>
              <w:t>Cyclope neritea, Nassarius nitidus, Rissoa splendida, Bittium reticulatum</w:t>
            </w:r>
            <w:r w:rsidRPr="0088780C">
              <w:rPr>
                <w:bCs/>
                <w:snapToGrid w:val="0"/>
                <w:kern w:val="22"/>
                <w:szCs w:val="22"/>
              </w:rPr>
              <w:t>) and bivalves (</w:t>
            </w:r>
            <w:r w:rsidRPr="0088780C">
              <w:rPr>
                <w:bCs/>
                <w:i/>
                <w:snapToGrid w:val="0"/>
                <w:kern w:val="22"/>
                <w:szCs w:val="22"/>
              </w:rPr>
              <w:t xml:space="preserve">Loripes lacteus, Lentidium mediterraneum, Chamelea gallina, Donax trunculus, Tellina tenuis) </w:t>
            </w:r>
            <w:r w:rsidRPr="0088780C">
              <w:rPr>
                <w:bCs/>
                <w:snapToGrid w:val="0"/>
                <w:kern w:val="22"/>
                <w:szCs w:val="22"/>
              </w:rPr>
              <w:t>and</w:t>
            </w:r>
            <w:r w:rsidRPr="0088780C">
              <w:rPr>
                <w:bCs/>
                <w:i/>
                <w:snapToGrid w:val="0"/>
                <w:kern w:val="22"/>
                <w:szCs w:val="22"/>
              </w:rPr>
              <w:t xml:space="preserve"> </w:t>
            </w:r>
            <w:r w:rsidRPr="0088780C">
              <w:rPr>
                <w:bCs/>
                <w:snapToGrid w:val="0"/>
                <w:kern w:val="22"/>
                <w:szCs w:val="22"/>
              </w:rPr>
              <w:t>lagoon</w:t>
            </w:r>
            <w:r w:rsidRPr="0088780C">
              <w:rPr>
                <w:snapToGrid w:val="0"/>
                <w:color w:val="545454"/>
                <w:kern w:val="22"/>
                <w:szCs w:val="22"/>
                <w:shd w:val="clear" w:color="auto" w:fill="FFFFFF"/>
              </w:rPr>
              <w:t xml:space="preserve"> </w:t>
            </w:r>
            <w:r w:rsidRPr="0088780C">
              <w:rPr>
                <w:bCs/>
                <w:snapToGrid w:val="0"/>
                <w:kern w:val="22"/>
                <w:szCs w:val="22"/>
              </w:rPr>
              <w:t xml:space="preserve">cockle </w:t>
            </w:r>
            <w:r w:rsidRPr="0088780C">
              <w:rPr>
                <w:bCs/>
                <w:i/>
                <w:snapToGrid w:val="0"/>
                <w:kern w:val="22"/>
                <w:szCs w:val="22"/>
              </w:rPr>
              <w:t>(Cerastoderma glaucum</w:t>
            </w:r>
            <w:r w:rsidRPr="0088780C">
              <w:rPr>
                <w:bCs/>
                <w:snapToGrid w:val="0"/>
                <w:kern w:val="22"/>
                <w:szCs w:val="22"/>
              </w:rPr>
              <w:t xml:space="preserve">) that inhabit the sands in front of the estuary </w:t>
            </w:r>
            <w:r w:rsidRPr="0088780C">
              <w:rPr>
                <w:bCs/>
                <w:snapToGrid w:val="0"/>
                <w:kern w:val="22"/>
                <w:szCs w:val="22"/>
                <w:lang w:eastAsia="bg-BG"/>
              </w:rPr>
              <w:t>(</w:t>
            </w:r>
            <w:r w:rsidRPr="0088780C">
              <w:rPr>
                <w:snapToGrid w:val="0"/>
                <w:kern w:val="22"/>
                <w:szCs w:val="22"/>
              </w:rPr>
              <w:t>Todorova V. Et al.,2008</w:t>
            </w:r>
            <w:r w:rsidRPr="0088780C">
              <w:rPr>
                <w:bCs/>
                <w:snapToGrid w:val="0"/>
                <w:kern w:val="22"/>
                <w:szCs w:val="22"/>
                <w:lang w:eastAsia="bg-BG"/>
              </w:rPr>
              <w:t>)</w:t>
            </w:r>
            <w:r w:rsidRPr="0088780C">
              <w:rPr>
                <w:bCs/>
                <w:snapToGrid w:val="0"/>
                <w:kern w:val="22"/>
                <w:szCs w:val="22"/>
              </w:rPr>
              <w:t>.</w:t>
            </w:r>
          </w:p>
          <w:p w14:paraId="5590EC4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33C646C7" w14:textId="3219A911"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rFonts w:eastAsia="MS Mincho"/>
                <w:snapToGrid w:val="0"/>
                <w:color w:val="000000"/>
                <w:kern w:val="22"/>
                <w:szCs w:val="22"/>
              </w:rPr>
              <w:t xml:space="preserve">The area is a permanent habitat of significant importance for </w:t>
            </w:r>
            <w:r w:rsidRPr="0088780C">
              <w:rPr>
                <w:snapToGrid w:val="0"/>
                <w:kern w:val="22"/>
                <w:szCs w:val="22"/>
                <w:lang w:eastAsia="bg-BG"/>
              </w:rPr>
              <w:t xml:space="preserve">the </w:t>
            </w:r>
            <w:r w:rsidRPr="0088780C">
              <w:rPr>
                <w:rStyle w:val="Strong"/>
                <w:snapToGrid w:val="0"/>
                <w:kern w:val="22"/>
                <w:szCs w:val="22"/>
              </w:rPr>
              <w:t>common bottlenose dolphin</w:t>
            </w:r>
            <w:r w:rsidRPr="0088780C">
              <w:rPr>
                <w:rFonts w:eastAsia="MS Mincho"/>
                <w:snapToGrid w:val="0"/>
                <w:color w:val="000000"/>
                <w:kern w:val="22"/>
                <w:szCs w:val="22"/>
              </w:rPr>
              <w:t xml:space="preserve"> (</w:t>
            </w:r>
            <w:r w:rsidRPr="0088780C">
              <w:rPr>
                <w:i/>
                <w:snapToGrid w:val="0"/>
                <w:kern w:val="22"/>
                <w:szCs w:val="22"/>
              </w:rPr>
              <w:t>Tursiops truncatus)</w:t>
            </w:r>
            <w:r w:rsidRPr="0088780C">
              <w:rPr>
                <w:snapToGrid w:val="0"/>
                <w:kern w:val="22"/>
                <w:szCs w:val="22"/>
              </w:rPr>
              <w:t xml:space="preserve"> and Black Sea harbour porpoise </w:t>
            </w:r>
            <w:r w:rsidRPr="0088780C">
              <w:rPr>
                <w:i/>
                <w:snapToGrid w:val="0"/>
                <w:kern w:val="22"/>
                <w:szCs w:val="22"/>
              </w:rPr>
              <w:t>(Phocoena phocoena)</w:t>
            </w:r>
            <w:r w:rsidRPr="0088780C">
              <w:rPr>
                <w:snapToGrid w:val="0"/>
                <w:kern w:val="22"/>
                <w:szCs w:val="22"/>
              </w:rPr>
              <w:t>. Recent line transect surveys (Popov, D., 2017), carried out in April and May 2016,</w:t>
            </w:r>
            <w:r w:rsidRPr="0088780C">
              <w:rPr>
                <w:rStyle w:val="apple-converted-space"/>
                <w:snapToGrid w:val="0"/>
                <w:kern w:val="22"/>
                <w:szCs w:val="22"/>
              </w:rPr>
              <w:t xml:space="preserve"> </w:t>
            </w:r>
            <w:r w:rsidRPr="0088780C">
              <w:rPr>
                <w:snapToGrid w:val="0"/>
                <w:kern w:val="22"/>
                <w:szCs w:val="22"/>
              </w:rPr>
              <w:t xml:space="preserve">recorded the encounter rates per km in the area at 0.32 to 0.54 for </w:t>
            </w:r>
            <w:r w:rsidR="003D6ED2" w:rsidRPr="0088780C">
              <w:rPr>
                <w:snapToGrid w:val="0"/>
                <w:kern w:val="22"/>
                <w:szCs w:val="22"/>
                <w:lang w:eastAsia="bg-BG"/>
              </w:rPr>
              <w:t>harbour porpoise</w:t>
            </w:r>
            <w:r w:rsidRPr="0088780C">
              <w:rPr>
                <w:snapToGrid w:val="0"/>
                <w:kern w:val="22"/>
                <w:szCs w:val="22"/>
                <w:lang w:eastAsia="bg-BG"/>
              </w:rPr>
              <w:t xml:space="preserve">, </w:t>
            </w:r>
            <w:r w:rsidRPr="0088780C">
              <w:rPr>
                <w:snapToGrid w:val="0"/>
                <w:kern w:val="22"/>
                <w:szCs w:val="22"/>
              </w:rPr>
              <w:t xml:space="preserve">0.02 to Tt-0.05 for </w:t>
            </w:r>
            <w:r w:rsidRPr="0088780C">
              <w:rPr>
                <w:snapToGrid w:val="0"/>
                <w:kern w:val="22"/>
                <w:szCs w:val="22"/>
                <w:lang w:eastAsia="bg-BG"/>
              </w:rPr>
              <w:t xml:space="preserve">bottlenose dolphin and </w:t>
            </w:r>
            <w:r w:rsidRPr="0088780C">
              <w:rPr>
                <w:snapToGrid w:val="0"/>
                <w:kern w:val="22"/>
                <w:szCs w:val="22"/>
              </w:rPr>
              <w:t xml:space="preserve">0.02 to 0.23 for common dolphin. </w:t>
            </w:r>
            <w:r w:rsidRPr="0088780C">
              <w:rPr>
                <w:rFonts w:eastAsia="MS Mincho"/>
                <w:snapToGrid w:val="0"/>
                <w:kern w:val="22"/>
                <w:szCs w:val="22"/>
              </w:rPr>
              <w:t xml:space="preserve">Similar </w:t>
            </w:r>
            <w:r w:rsidRPr="0088780C">
              <w:rPr>
                <w:snapToGrid w:val="0"/>
                <w:kern w:val="22"/>
                <w:szCs w:val="22"/>
              </w:rPr>
              <w:t>encounter r</w:t>
            </w:r>
            <w:r w:rsidRPr="0088780C">
              <w:rPr>
                <w:rFonts w:eastAsia="MS Mincho"/>
                <w:snapToGrid w:val="0"/>
                <w:kern w:val="22"/>
                <w:szCs w:val="22"/>
              </w:rPr>
              <w:t xml:space="preserve">ates per km in the adjacent area </w:t>
            </w:r>
            <w:r w:rsidRPr="0088780C">
              <w:rPr>
                <w:rFonts w:eastAsia="Times New Roman"/>
                <w:snapToGrid w:val="0"/>
                <w:kern w:val="22"/>
                <w:szCs w:val="22"/>
              </w:rPr>
              <w:t xml:space="preserve">Strandzha (which is also a NATURA 2000 zone with the code </w:t>
            </w:r>
            <w:r w:rsidRPr="0088780C">
              <w:rPr>
                <w:rFonts w:eastAsia="MS Mincho"/>
                <w:snapToGrid w:val="0"/>
                <w:kern w:val="22"/>
                <w:szCs w:val="22"/>
              </w:rPr>
              <w:t xml:space="preserve">BG0001007) were recorded as </w:t>
            </w:r>
            <w:r w:rsidRPr="0088780C">
              <w:rPr>
                <w:snapToGrid w:val="0"/>
                <w:kern w:val="22"/>
                <w:szCs w:val="22"/>
              </w:rPr>
              <w:t xml:space="preserve">0.14 to 0.25 for </w:t>
            </w:r>
            <w:r w:rsidR="003D6ED2" w:rsidRPr="0088780C">
              <w:rPr>
                <w:snapToGrid w:val="0"/>
                <w:kern w:val="22"/>
                <w:szCs w:val="22"/>
                <w:lang w:eastAsia="bg-BG"/>
              </w:rPr>
              <w:t>harbour porpoise</w:t>
            </w:r>
            <w:r w:rsidRPr="0088780C">
              <w:rPr>
                <w:snapToGrid w:val="0"/>
                <w:kern w:val="22"/>
                <w:szCs w:val="22"/>
                <w:lang w:eastAsia="bg-BG"/>
              </w:rPr>
              <w:t xml:space="preserve">, </w:t>
            </w:r>
            <w:r w:rsidRPr="0088780C">
              <w:rPr>
                <w:snapToGrid w:val="0"/>
                <w:kern w:val="22"/>
                <w:szCs w:val="22"/>
              </w:rPr>
              <w:t xml:space="preserve">0.1 to 0.2 for </w:t>
            </w:r>
            <w:r w:rsidRPr="0088780C">
              <w:rPr>
                <w:snapToGrid w:val="0"/>
                <w:kern w:val="22"/>
                <w:szCs w:val="22"/>
                <w:lang w:eastAsia="bg-BG"/>
              </w:rPr>
              <w:t xml:space="preserve">bottlenose dolphin and </w:t>
            </w:r>
            <w:r w:rsidRPr="0088780C">
              <w:rPr>
                <w:snapToGrid w:val="0"/>
                <w:kern w:val="22"/>
                <w:szCs w:val="22"/>
              </w:rPr>
              <w:t>0.02 for common dolphin.</w:t>
            </w:r>
          </w:p>
        </w:tc>
      </w:tr>
      <w:tr w:rsidR="00A876F3" w:rsidRPr="0088780C" w14:paraId="410BE10A" w14:textId="77777777" w:rsidTr="006972AD">
        <w:tc>
          <w:tcPr>
            <w:tcW w:w="783" w:type="pct"/>
            <w:shd w:val="clear" w:color="auto" w:fill="auto"/>
          </w:tcPr>
          <w:p w14:paraId="0D172E56"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4D59441A"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74966F6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4A3C0FE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7D3B740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385" w:type="pct"/>
            <w:shd w:val="clear" w:color="auto" w:fill="auto"/>
          </w:tcPr>
          <w:p w14:paraId="6CDEF93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r>
      <w:tr w:rsidR="00A876F3" w:rsidRPr="0088780C" w14:paraId="312E6ED7" w14:textId="77777777" w:rsidTr="006972AD">
        <w:tc>
          <w:tcPr>
            <w:tcW w:w="5000" w:type="pct"/>
            <w:gridSpan w:val="11"/>
            <w:shd w:val="clear" w:color="auto" w:fill="auto"/>
          </w:tcPr>
          <w:p w14:paraId="7FC514AC"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73D799A6" w14:textId="0A1E374C" w:rsidR="00A876F3" w:rsidRPr="0088780C" w:rsidRDefault="00A876F3" w:rsidP="00730089">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lang w:eastAsia="bg-BG"/>
              </w:rPr>
              <w:t>The Ropotamo River forms a beautiful natural estuary (Natura 2000 Standard form</w:t>
            </w:r>
            <w:r w:rsidRPr="0088780C">
              <w:rPr>
                <w:rFonts w:eastAsia="MS Mincho"/>
                <w:snapToGrid w:val="0"/>
                <w:color w:val="000000"/>
                <w:kern w:val="22"/>
                <w:szCs w:val="22"/>
              </w:rPr>
              <w:t>).</w:t>
            </w:r>
            <w:r w:rsidRPr="0088780C">
              <w:rPr>
                <w:bCs/>
                <w:snapToGrid w:val="0"/>
                <w:kern w:val="22"/>
                <w:szCs w:val="22"/>
              </w:rPr>
              <w:t xml:space="preserve"> The small secluded bays between Tsarevo and Lozenets possess unique charm and attractiveness. The area has preserved its naturalness and very good ecological conditions, possesses highly varied representative habitats and occurrence of rare and threatened species, clear value for research and monitoring, and aesthetic attractiveness </w:t>
            </w:r>
            <w:r w:rsidRPr="0088780C">
              <w:rPr>
                <w:snapToGrid w:val="0"/>
                <w:kern w:val="22"/>
                <w:szCs w:val="22"/>
                <w:lang w:eastAsia="bg-BG"/>
              </w:rPr>
              <w:t>(</w:t>
            </w:r>
            <w:r w:rsidRPr="0088780C">
              <w:rPr>
                <w:snapToGrid w:val="0"/>
                <w:kern w:val="22"/>
                <w:szCs w:val="22"/>
              </w:rPr>
              <w:t>Todorova V. et al, 2008</w:t>
            </w:r>
            <w:r w:rsidRPr="0088780C">
              <w:rPr>
                <w:rFonts w:eastAsia="MS Mincho"/>
                <w:snapToGrid w:val="0"/>
                <w:kern w:val="22"/>
                <w:szCs w:val="22"/>
              </w:rPr>
              <w:t>).</w:t>
            </w:r>
            <w:r w:rsidRPr="0088780C">
              <w:rPr>
                <w:bCs/>
                <w:snapToGrid w:val="0"/>
                <w:kern w:val="22"/>
                <w:szCs w:val="22"/>
              </w:rPr>
              <w:t xml:space="preserve"> The coasts are characterized by indented fjords and small sheltered bays, delineated by numerous peninsulas ending with unapproachable capes with steep volcanic cliffs. Underwater habitats are equally varied and remarkable. The rocky bottom slopes down vertically to invisible depths at some places (</w:t>
            </w:r>
            <w:r w:rsidRPr="0088780C">
              <w:rPr>
                <w:snapToGrid w:val="0"/>
                <w:kern w:val="22"/>
                <w:szCs w:val="22"/>
              </w:rPr>
              <w:t xml:space="preserve">Todorova V. et al., 2008). </w:t>
            </w:r>
            <w:r w:rsidRPr="0088780C">
              <w:rPr>
                <w:snapToGrid w:val="0"/>
                <w:kern w:val="22"/>
                <w:szCs w:val="22"/>
                <w:lang w:eastAsia="bg-BG"/>
              </w:rPr>
              <w:t>The marine area includes 14% of the national coverage of the mussel banks, and the prospects for maintaining them are good given the low levels of anthropogenic pressure.</w:t>
            </w:r>
          </w:p>
        </w:tc>
      </w:tr>
    </w:tbl>
    <w:p w14:paraId="5D5EF98F"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rPr>
      </w:pPr>
    </w:p>
    <w:p w14:paraId="1F98B96B" w14:textId="4ED6AFF1" w:rsidR="00A876F3" w:rsidRPr="0088780C" w:rsidRDefault="00A876F3" w:rsidP="00730089">
      <w:pPr>
        <w:suppressLineNumbers/>
        <w:suppressAutoHyphens/>
        <w:kinsoku w:val="0"/>
        <w:overflowPunct w:val="0"/>
        <w:autoSpaceDE w:val="0"/>
        <w:autoSpaceDN w:val="0"/>
        <w:adjustRightInd w:val="0"/>
        <w:spacing w:after="60"/>
        <w:ind w:left="720" w:hanging="720"/>
        <w:rPr>
          <w:snapToGrid w:val="0"/>
          <w:kern w:val="22"/>
          <w:szCs w:val="22"/>
        </w:rPr>
      </w:pPr>
      <w:r w:rsidRPr="0088780C">
        <w:rPr>
          <w:rFonts w:eastAsia="MS Mincho"/>
          <w:b/>
          <w:snapToGrid w:val="0"/>
          <w:kern w:val="22"/>
          <w:szCs w:val="22"/>
        </w:rPr>
        <w:t>References</w:t>
      </w:r>
    </w:p>
    <w:p w14:paraId="410E08E0" w14:textId="77777777" w:rsidR="00A876F3" w:rsidRPr="0088780C" w:rsidRDefault="00A876F3" w:rsidP="00730089">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lang w:eastAsia="bg-BG"/>
        </w:rPr>
        <w:t>Berov D., Deyanova D., Georgieva I.,</w:t>
      </w:r>
      <w:r w:rsidRPr="0088780C">
        <w:rPr>
          <w:b/>
          <w:snapToGrid w:val="0"/>
          <w:kern w:val="22"/>
          <w:szCs w:val="22"/>
        </w:rPr>
        <w:t xml:space="preserve"> </w:t>
      </w:r>
      <w:r w:rsidRPr="0088780C">
        <w:rPr>
          <w:snapToGrid w:val="0"/>
          <w:kern w:val="22"/>
          <w:szCs w:val="22"/>
          <w:lang w:eastAsia="bg-BG"/>
        </w:rPr>
        <w:t>Gyosheva B., Hiebaum G, 2012.</w:t>
      </w:r>
      <w:r w:rsidRPr="0088780C">
        <w:rPr>
          <w:b/>
          <w:snapToGrid w:val="0"/>
          <w:kern w:val="22"/>
          <w:szCs w:val="22"/>
        </w:rPr>
        <w:t xml:space="preserve"> </w:t>
      </w:r>
      <w:r w:rsidRPr="0088780C">
        <w:rPr>
          <w:snapToGrid w:val="0"/>
          <w:kern w:val="22"/>
          <w:szCs w:val="22"/>
        </w:rPr>
        <w:t>Cystoseira sp. – Dominated Macroalgal Communities in the SW Black sea (Burgas Bay, Bulgaria). Current State and Possible Long-term Effects of Eutrophication, in Comptes rendus de l’Académie Bulgare des Sciences, Tome 65, No 6, pp. 821-830.</w:t>
      </w:r>
    </w:p>
    <w:p w14:paraId="52774C65" w14:textId="77777777" w:rsidR="00A876F3" w:rsidRPr="0088780C" w:rsidRDefault="00A876F3" w:rsidP="00730089">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BirdLife International, 2017a. Important Bird Areas factsheet: Ropotamo Complex. Downloaded from </w:t>
      </w:r>
      <w:hyperlink r:id="rId64" w:history="1">
        <w:r w:rsidRPr="0088780C">
          <w:rPr>
            <w:rStyle w:val="Hyperlink"/>
            <w:snapToGrid w:val="0"/>
            <w:kern w:val="22"/>
            <w:szCs w:val="22"/>
          </w:rPr>
          <w:t>http://datazone.birdlife.org/site/factsheet/407</w:t>
        </w:r>
      </w:hyperlink>
      <w:r w:rsidRPr="0088780C">
        <w:rPr>
          <w:snapToGrid w:val="0"/>
          <w:kern w:val="22"/>
          <w:szCs w:val="22"/>
        </w:rPr>
        <w:t>.</w:t>
      </w:r>
    </w:p>
    <w:p w14:paraId="45BAA26C" w14:textId="77777777" w:rsidR="00A876F3" w:rsidRPr="0088780C" w:rsidRDefault="00A876F3" w:rsidP="00730089">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BirdLife International. 2017b. IUCN Red List for Birds. Downloaded from </w:t>
      </w:r>
      <w:hyperlink r:id="rId65" w:history="1">
        <w:r w:rsidRPr="0088780C">
          <w:rPr>
            <w:rStyle w:val="Hyperlink"/>
            <w:snapToGrid w:val="0"/>
            <w:kern w:val="22"/>
            <w:szCs w:val="22"/>
          </w:rPr>
          <w:t>http://www.birdlife.org</w:t>
        </w:r>
      </w:hyperlink>
      <w:r w:rsidRPr="0088780C">
        <w:rPr>
          <w:snapToGrid w:val="0"/>
          <w:kern w:val="22"/>
          <w:szCs w:val="22"/>
        </w:rPr>
        <w:t xml:space="preserve"> on 26/04/2017.</w:t>
      </w:r>
    </w:p>
    <w:p w14:paraId="23F5DA02" w14:textId="77777777" w:rsidR="00A876F3" w:rsidRPr="0088780C" w:rsidRDefault="00A876F3" w:rsidP="00730089">
      <w:pPr>
        <w:suppressLineNumbers/>
        <w:suppressAutoHyphens/>
        <w:kinsoku w:val="0"/>
        <w:overflowPunct w:val="0"/>
        <w:autoSpaceDE w:val="0"/>
        <w:autoSpaceDN w:val="0"/>
        <w:adjustRightInd w:val="0"/>
        <w:spacing w:after="60"/>
        <w:ind w:left="720" w:hanging="720"/>
        <w:rPr>
          <w:rStyle w:val="Hyperlink"/>
          <w:snapToGrid w:val="0"/>
          <w:kern w:val="22"/>
          <w:szCs w:val="22"/>
          <w:shd w:val="clear" w:color="auto" w:fill="FFFFFF"/>
        </w:rPr>
      </w:pPr>
      <w:r w:rsidRPr="0088780C">
        <w:rPr>
          <w:snapToGrid w:val="0"/>
          <w:kern w:val="22"/>
          <w:szCs w:val="22"/>
          <w:shd w:val="clear" w:color="auto" w:fill="FFFFFF"/>
        </w:rPr>
        <w:t>Birkun Jr., A.A. 2008.</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Delphinus delphis ssp. ponticus</w:t>
      </w:r>
      <w:r w:rsidRPr="0088780C">
        <w:rPr>
          <w:snapToGrid w:val="0"/>
          <w:kern w:val="22"/>
          <w:szCs w:val="22"/>
          <w:shd w:val="clear" w:color="auto" w:fill="FFFFFF"/>
        </w:rPr>
        <w:t>. The IUCN Red List of Threatened Species. e.T133729A3875256.</w:t>
      </w:r>
      <w:r w:rsidRPr="0088780C">
        <w:rPr>
          <w:rStyle w:val="apple-converted-space"/>
          <w:snapToGrid w:val="0"/>
          <w:kern w:val="22"/>
          <w:szCs w:val="22"/>
          <w:shd w:val="clear" w:color="auto" w:fill="FFFFFF"/>
        </w:rPr>
        <w:t> </w:t>
      </w:r>
      <w:hyperlink r:id="rId66" w:history="1">
        <w:r w:rsidRPr="0088780C">
          <w:rPr>
            <w:rStyle w:val="Hyperlink"/>
            <w:snapToGrid w:val="0"/>
            <w:kern w:val="22"/>
            <w:szCs w:val="22"/>
            <w:shd w:val="clear" w:color="auto" w:fill="FFFFFF"/>
          </w:rPr>
          <w:t>http://dx.doi.org/10.2305/IUCN.UK.2008.RLTS.T133729A3875256.en</w:t>
        </w:r>
      </w:hyperlink>
    </w:p>
    <w:p w14:paraId="29B95139" w14:textId="77777777" w:rsidR="00A876F3" w:rsidRPr="00E7219D" w:rsidRDefault="00A876F3" w:rsidP="00730089">
      <w:pPr>
        <w:suppressLineNumbers/>
        <w:suppressAutoHyphens/>
        <w:kinsoku w:val="0"/>
        <w:overflowPunct w:val="0"/>
        <w:autoSpaceDE w:val="0"/>
        <w:autoSpaceDN w:val="0"/>
        <w:adjustRightInd w:val="0"/>
        <w:spacing w:after="60"/>
        <w:ind w:left="720" w:hanging="720"/>
        <w:rPr>
          <w:snapToGrid w:val="0"/>
          <w:kern w:val="22"/>
          <w:szCs w:val="22"/>
          <w:shd w:val="clear" w:color="auto" w:fill="FFFFFF"/>
          <w:lang w:val="fr-FR"/>
        </w:rPr>
      </w:pPr>
      <w:r w:rsidRPr="0088780C">
        <w:rPr>
          <w:snapToGrid w:val="0"/>
          <w:kern w:val="22"/>
          <w:szCs w:val="22"/>
          <w:shd w:val="clear" w:color="auto" w:fill="FFFFFF"/>
        </w:rPr>
        <w:t>Birkun, A. 2012. </w:t>
      </w:r>
      <w:r w:rsidRPr="0088780C">
        <w:rPr>
          <w:i/>
          <w:iCs/>
          <w:snapToGrid w:val="0"/>
          <w:kern w:val="22"/>
          <w:szCs w:val="22"/>
          <w:shd w:val="clear" w:color="auto" w:fill="FFFFFF"/>
        </w:rPr>
        <w:t>Tursiops truncatus ssp. ponticus</w:t>
      </w:r>
      <w:r w:rsidRPr="0088780C">
        <w:rPr>
          <w:snapToGrid w:val="0"/>
          <w:kern w:val="22"/>
          <w:szCs w:val="22"/>
          <w:shd w:val="clear" w:color="auto" w:fill="FFFFFF"/>
        </w:rPr>
        <w:t xml:space="preserve">. The IUCN Red List of Threatened Species. </w:t>
      </w:r>
      <w:hyperlink r:id="rId67" w:history="1">
        <w:r w:rsidRPr="00E7219D">
          <w:rPr>
            <w:snapToGrid w:val="0"/>
            <w:kern w:val="22"/>
            <w:szCs w:val="22"/>
            <w:shd w:val="clear" w:color="auto" w:fill="FFFFFF"/>
            <w:lang w:val="fr-FR"/>
          </w:rPr>
          <w:t>http://dx.doi.org/10.2305/IUCN.UK.2012.RLTS.T133714A17771698.en</w:t>
        </w:r>
      </w:hyperlink>
      <w:r w:rsidRPr="00E7219D">
        <w:rPr>
          <w:snapToGrid w:val="0"/>
          <w:kern w:val="22"/>
          <w:szCs w:val="22"/>
          <w:shd w:val="clear" w:color="auto" w:fill="FFFFFF"/>
          <w:lang w:val="fr-FR"/>
        </w:rPr>
        <w:t>.</w:t>
      </w:r>
    </w:p>
    <w:p w14:paraId="456DD106" w14:textId="77777777" w:rsidR="00A876F3" w:rsidRPr="00E7219D" w:rsidRDefault="00A876F3" w:rsidP="00730089">
      <w:pPr>
        <w:suppressLineNumbers/>
        <w:suppressAutoHyphens/>
        <w:kinsoku w:val="0"/>
        <w:overflowPunct w:val="0"/>
        <w:autoSpaceDE w:val="0"/>
        <w:autoSpaceDN w:val="0"/>
        <w:adjustRightInd w:val="0"/>
        <w:spacing w:after="60"/>
        <w:ind w:left="720" w:hanging="720"/>
        <w:rPr>
          <w:snapToGrid w:val="0"/>
          <w:kern w:val="22"/>
          <w:szCs w:val="22"/>
          <w:shd w:val="clear" w:color="auto" w:fill="FFFFFF"/>
          <w:lang w:val="fr-FR"/>
        </w:rPr>
      </w:pPr>
      <w:r w:rsidRPr="00E7219D">
        <w:rPr>
          <w:snapToGrid w:val="0"/>
          <w:kern w:val="22"/>
          <w:szCs w:val="22"/>
          <w:shd w:val="clear" w:color="auto" w:fill="FFFFFF"/>
          <w:lang w:val="fr-FR"/>
        </w:rPr>
        <w:t>Birkun Jr., A.A. &amp; Frantzis, A., 2008. </w:t>
      </w:r>
      <w:r w:rsidRPr="0088780C">
        <w:rPr>
          <w:i/>
          <w:iCs/>
          <w:snapToGrid w:val="0"/>
          <w:kern w:val="22"/>
          <w:szCs w:val="22"/>
          <w:shd w:val="clear" w:color="auto" w:fill="FFFFFF"/>
        </w:rPr>
        <w:t>Phocoena phocoena ssp. relicta</w:t>
      </w:r>
      <w:r w:rsidRPr="0088780C">
        <w:rPr>
          <w:snapToGrid w:val="0"/>
          <w:kern w:val="22"/>
          <w:szCs w:val="22"/>
          <w:shd w:val="clear" w:color="auto" w:fill="FFFFFF"/>
        </w:rPr>
        <w:t>. The IUCN Red List of Threatened Species. </w:t>
      </w:r>
      <w:hyperlink r:id="rId68" w:history="1">
        <w:r w:rsidRPr="00E7219D">
          <w:rPr>
            <w:snapToGrid w:val="0"/>
            <w:kern w:val="22"/>
            <w:szCs w:val="22"/>
            <w:shd w:val="clear" w:color="auto" w:fill="FFFFFF"/>
            <w:lang w:val="fr-FR"/>
          </w:rPr>
          <w:t>http://dx.doi.org/10.2305/IUCN.UK.2008.RLTS.T17030A6737111.en</w:t>
        </w:r>
      </w:hyperlink>
      <w:r w:rsidRPr="00E7219D">
        <w:rPr>
          <w:snapToGrid w:val="0"/>
          <w:kern w:val="22"/>
          <w:szCs w:val="22"/>
          <w:shd w:val="clear" w:color="auto" w:fill="FFFFFF"/>
          <w:lang w:val="fr-FR"/>
        </w:rPr>
        <w:t>.</w:t>
      </w:r>
    </w:p>
    <w:p w14:paraId="20F89A70" w14:textId="77777777" w:rsidR="00A876F3" w:rsidRPr="00E7219D" w:rsidRDefault="00A876F3" w:rsidP="00730089">
      <w:pPr>
        <w:suppressLineNumbers/>
        <w:suppressAutoHyphens/>
        <w:kinsoku w:val="0"/>
        <w:overflowPunct w:val="0"/>
        <w:autoSpaceDE w:val="0"/>
        <w:autoSpaceDN w:val="0"/>
        <w:adjustRightInd w:val="0"/>
        <w:spacing w:after="60"/>
        <w:ind w:left="720" w:hanging="720"/>
        <w:rPr>
          <w:rFonts w:eastAsia="MS Mincho"/>
          <w:snapToGrid w:val="0"/>
          <w:kern w:val="22"/>
          <w:szCs w:val="22"/>
          <w:lang w:val="fr-FR"/>
        </w:rPr>
      </w:pPr>
      <w:r w:rsidRPr="00E7219D">
        <w:rPr>
          <w:rFonts w:eastAsia="MS Mincho"/>
          <w:snapToGrid w:val="0"/>
          <w:kern w:val="22"/>
          <w:szCs w:val="22"/>
          <w:lang w:val="fr-FR"/>
        </w:rPr>
        <w:t xml:space="preserve">Biserkov, V. et al. </w:t>
      </w:r>
      <w:r w:rsidRPr="0088780C">
        <w:rPr>
          <w:rFonts w:eastAsia="MS Mincho"/>
          <w:snapToGrid w:val="0"/>
          <w:kern w:val="22"/>
          <w:szCs w:val="22"/>
        </w:rPr>
        <w:t xml:space="preserve">(ed.) 2015. Digital edition of Red Data Book of Republic of Bulgaria. </w:t>
      </w:r>
      <w:r w:rsidRPr="00E7219D">
        <w:rPr>
          <w:rFonts w:eastAsia="MS Mincho"/>
          <w:snapToGrid w:val="0"/>
          <w:kern w:val="22"/>
          <w:szCs w:val="22"/>
          <w:lang w:val="fr-FR"/>
        </w:rPr>
        <w:t xml:space="preserve">Vol. 3 Natural Habitats. BAS &amp; MOEW, Sofia. </w:t>
      </w:r>
      <w:hyperlink r:id="rId69" w:history="1">
        <w:r w:rsidRPr="00E7219D">
          <w:rPr>
            <w:rStyle w:val="Hyperlink"/>
            <w:rFonts w:eastAsia="MS Mincho"/>
            <w:snapToGrid w:val="0"/>
            <w:kern w:val="22"/>
            <w:szCs w:val="22"/>
            <w:lang w:val="fr-FR"/>
          </w:rPr>
          <w:t>http://e-ecodb.bas.bg/rdb/en/vol3/08A3.html</w:t>
        </w:r>
      </w:hyperlink>
      <w:r w:rsidRPr="00E7219D">
        <w:rPr>
          <w:rFonts w:eastAsia="MS Mincho"/>
          <w:snapToGrid w:val="0"/>
          <w:kern w:val="22"/>
          <w:szCs w:val="22"/>
          <w:lang w:val="fr-FR"/>
        </w:rPr>
        <w:t xml:space="preserve"> </w:t>
      </w:r>
    </w:p>
    <w:p w14:paraId="7C498A8F" w14:textId="77777777" w:rsidR="00A876F3" w:rsidRPr="0088780C" w:rsidRDefault="00A876F3" w:rsidP="00730089">
      <w:pPr>
        <w:suppressLineNumbers/>
        <w:suppressAutoHyphens/>
        <w:kinsoku w:val="0"/>
        <w:overflowPunct w:val="0"/>
        <w:autoSpaceDE w:val="0"/>
        <w:autoSpaceDN w:val="0"/>
        <w:adjustRightInd w:val="0"/>
        <w:spacing w:after="60"/>
        <w:ind w:left="720" w:hanging="720"/>
        <w:rPr>
          <w:bCs/>
          <w:snapToGrid w:val="0"/>
          <w:kern w:val="22"/>
          <w:szCs w:val="22"/>
          <w:lang w:eastAsia="bg-BG"/>
        </w:rPr>
      </w:pPr>
      <w:r w:rsidRPr="0088780C">
        <w:rPr>
          <w:bCs/>
          <w:snapToGrid w:val="0"/>
          <w:kern w:val="22"/>
          <w:szCs w:val="22"/>
          <w:lang w:eastAsia="bg-BG"/>
        </w:rPr>
        <w:t>NATURA 2000 – Standard Data Form</w:t>
      </w:r>
    </w:p>
    <w:p w14:paraId="2C5581EB" w14:textId="77777777" w:rsidR="00A876F3" w:rsidRPr="0088780C" w:rsidRDefault="00E7219D" w:rsidP="00730089">
      <w:pPr>
        <w:suppressLineNumbers/>
        <w:suppressAutoHyphens/>
        <w:kinsoku w:val="0"/>
        <w:overflowPunct w:val="0"/>
        <w:autoSpaceDE w:val="0"/>
        <w:autoSpaceDN w:val="0"/>
        <w:adjustRightInd w:val="0"/>
        <w:spacing w:after="60"/>
        <w:ind w:left="720" w:hanging="720"/>
        <w:rPr>
          <w:rStyle w:val="Hyperlink"/>
          <w:bCs/>
          <w:snapToGrid w:val="0"/>
          <w:kern w:val="22"/>
          <w:szCs w:val="22"/>
          <w:lang w:eastAsia="bg-BG"/>
        </w:rPr>
      </w:pPr>
      <w:hyperlink r:id="rId70" w:history="1">
        <w:r w:rsidR="00A876F3" w:rsidRPr="0088780C">
          <w:rPr>
            <w:rStyle w:val="Hyperlink"/>
            <w:bCs/>
            <w:snapToGrid w:val="0"/>
            <w:kern w:val="22"/>
            <w:szCs w:val="22"/>
            <w:lang w:eastAsia="bg-BG"/>
          </w:rPr>
          <w:t>http://natura2000.moew.government.bg/PublicDownloads/Auto/PS_SCI/BG0001001/BG0001001_PS_16.pdf</w:t>
        </w:r>
      </w:hyperlink>
    </w:p>
    <w:p w14:paraId="6765D27C" w14:textId="77777777" w:rsidR="00A876F3" w:rsidRPr="00E7219D" w:rsidRDefault="00A876F3" w:rsidP="00730089">
      <w:pPr>
        <w:suppressLineNumbers/>
        <w:suppressAutoHyphens/>
        <w:kinsoku w:val="0"/>
        <w:overflowPunct w:val="0"/>
        <w:autoSpaceDE w:val="0"/>
        <w:autoSpaceDN w:val="0"/>
        <w:adjustRightInd w:val="0"/>
        <w:spacing w:after="60"/>
        <w:ind w:left="720" w:hanging="720"/>
        <w:rPr>
          <w:snapToGrid w:val="0"/>
          <w:kern w:val="22"/>
          <w:szCs w:val="22"/>
          <w:lang w:val="fr-FR"/>
        </w:rPr>
      </w:pPr>
      <w:r w:rsidRPr="0088780C">
        <w:rPr>
          <w:snapToGrid w:val="0"/>
          <w:kern w:val="22"/>
          <w:szCs w:val="22"/>
        </w:rPr>
        <w:t xml:space="preserve">Popov, D., 2017. Studies of Black Sea Cetaceans along Bulgarian Coast, Technical report for 2016, Green Balkans NGO, Plovdiv. </w:t>
      </w:r>
      <w:hyperlink r:id="rId71" w:history="1">
        <w:r w:rsidRPr="00E7219D">
          <w:rPr>
            <w:rStyle w:val="Hyperlink"/>
            <w:snapToGrid w:val="0"/>
            <w:kern w:val="22"/>
            <w:szCs w:val="22"/>
            <w:lang w:val="fr-FR"/>
          </w:rPr>
          <w:t>http://greenbalkans.org/delfini/en/Publications.c135</w:t>
        </w:r>
      </w:hyperlink>
      <w:r w:rsidRPr="00E7219D">
        <w:rPr>
          <w:snapToGrid w:val="0"/>
          <w:kern w:val="22"/>
          <w:szCs w:val="22"/>
          <w:lang w:val="fr-FR"/>
        </w:rPr>
        <w:t xml:space="preserve"> </w:t>
      </w:r>
    </w:p>
    <w:p w14:paraId="4848CF24" w14:textId="77777777" w:rsidR="00A876F3" w:rsidRPr="0088780C" w:rsidRDefault="00A876F3" w:rsidP="00730089">
      <w:pPr>
        <w:suppressLineNumbers/>
        <w:suppressAutoHyphens/>
        <w:kinsoku w:val="0"/>
        <w:overflowPunct w:val="0"/>
        <w:autoSpaceDE w:val="0"/>
        <w:autoSpaceDN w:val="0"/>
        <w:adjustRightInd w:val="0"/>
        <w:spacing w:after="60"/>
        <w:ind w:left="720" w:hanging="720"/>
        <w:rPr>
          <w:snapToGrid w:val="0"/>
          <w:kern w:val="22"/>
          <w:szCs w:val="22"/>
        </w:rPr>
      </w:pPr>
      <w:r w:rsidRPr="00E7219D">
        <w:rPr>
          <w:bCs/>
          <w:snapToGrid w:val="0"/>
          <w:kern w:val="22"/>
          <w:szCs w:val="22"/>
          <w:lang w:val="fr-FR" w:eastAsia="bg-BG"/>
        </w:rPr>
        <w:t xml:space="preserve">Todorova V. et al., 2012. </w:t>
      </w:r>
      <w:r w:rsidRPr="0088780C">
        <w:rPr>
          <w:bCs/>
          <w:snapToGrid w:val="0"/>
          <w:kern w:val="22"/>
          <w:szCs w:val="22"/>
          <w:lang w:eastAsia="bg-BG"/>
        </w:rPr>
        <w:t xml:space="preserve">Final Report under the Contract N </w:t>
      </w:r>
      <w:r w:rsidRPr="0088780C">
        <w:rPr>
          <w:snapToGrid w:val="0"/>
          <w:kern w:val="22"/>
          <w:szCs w:val="22"/>
        </w:rPr>
        <w:t xml:space="preserve">7976/04.04.2011 between The Enterprise for management of environmental activities in Ministry of Environment and Water and The Institute of Oceanology. Bulgarian Academy of Science on Project Extension of the Natura 2000 Network in Bulgarian Black sea aquatory in order of overcoming the deficiency of marine habitats 1110 Sandbanks which are slightly covered by sea water all the time, 1170 Reefs and species 4125 Alosa immaculatа, 1349 </w:t>
      </w:r>
      <w:r w:rsidRPr="0088780C">
        <w:rPr>
          <w:i/>
          <w:snapToGrid w:val="0"/>
          <w:kern w:val="22"/>
          <w:szCs w:val="22"/>
        </w:rPr>
        <w:t>Tursiops truncatus</w:t>
      </w:r>
      <w:r w:rsidRPr="0088780C">
        <w:rPr>
          <w:snapToGrid w:val="0"/>
          <w:kern w:val="22"/>
          <w:szCs w:val="22"/>
        </w:rPr>
        <w:t xml:space="preserve"> и 1351 </w:t>
      </w:r>
      <w:r w:rsidRPr="0088780C">
        <w:rPr>
          <w:i/>
          <w:snapToGrid w:val="0"/>
          <w:kern w:val="22"/>
          <w:szCs w:val="22"/>
        </w:rPr>
        <w:t>Phocoena phocoena</w:t>
      </w:r>
      <w:r w:rsidRPr="0088780C">
        <w:rPr>
          <w:snapToGrid w:val="0"/>
          <w:kern w:val="22"/>
          <w:szCs w:val="22"/>
        </w:rPr>
        <w:t xml:space="preserve"> and partial filling scientific reserves for marine habitat 1180 Submarine structures made by leaking gases and species 1349 T</w:t>
      </w:r>
      <w:r w:rsidRPr="0088780C">
        <w:rPr>
          <w:i/>
          <w:snapToGrid w:val="0"/>
          <w:kern w:val="22"/>
          <w:szCs w:val="22"/>
        </w:rPr>
        <w:t>ursiops truncatus</w:t>
      </w:r>
      <w:r w:rsidRPr="0088780C">
        <w:rPr>
          <w:snapToGrid w:val="0"/>
          <w:kern w:val="22"/>
          <w:szCs w:val="22"/>
        </w:rPr>
        <w:t xml:space="preserve"> in accordance with conclusions of European Topic Centre on Biological Diversity from Marine seminar, 15 June 2010 (Brindisi, IT).</w:t>
      </w:r>
    </w:p>
    <w:p w14:paraId="2C3F67BA" w14:textId="77777777" w:rsidR="00A876F3" w:rsidRPr="0088780C" w:rsidRDefault="00A876F3" w:rsidP="00730089">
      <w:pPr>
        <w:suppressLineNumbers/>
        <w:suppressAutoHyphens/>
        <w:kinsoku w:val="0"/>
        <w:overflowPunct w:val="0"/>
        <w:autoSpaceDE w:val="0"/>
        <w:autoSpaceDN w:val="0"/>
        <w:adjustRightInd w:val="0"/>
        <w:spacing w:after="60"/>
        <w:ind w:left="720" w:hanging="720"/>
        <w:rPr>
          <w:snapToGrid w:val="0"/>
          <w:kern w:val="22"/>
          <w:szCs w:val="22"/>
        </w:rPr>
      </w:pPr>
      <w:r w:rsidRPr="00E7219D">
        <w:rPr>
          <w:snapToGrid w:val="0"/>
          <w:kern w:val="22"/>
          <w:szCs w:val="22"/>
          <w:lang w:val="fr-FR"/>
        </w:rPr>
        <w:t xml:space="preserve">Todorova V., Dimitrov L., Doncheva V., Trifonova E., Prodanov B., 2015. </w:t>
      </w:r>
      <w:r w:rsidRPr="0088780C">
        <w:rPr>
          <w:bCs/>
          <w:snapToGrid w:val="0"/>
          <w:kern w:val="22"/>
          <w:szCs w:val="22"/>
          <w:lang w:eastAsia="bg-BG"/>
        </w:rPr>
        <w:t>Benthic Habitat Mapping in the Bulgarian Black Sea in Ozhan E. (Ed.) Proceedings of 12</w:t>
      </w:r>
      <w:r w:rsidRPr="0088780C">
        <w:rPr>
          <w:bCs/>
          <w:snapToGrid w:val="0"/>
          <w:kern w:val="22"/>
          <w:szCs w:val="22"/>
          <w:vertAlign w:val="superscript"/>
          <w:lang w:eastAsia="bg-BG"/>
        </w:rPr>
        <w:t>th</w:t>
      </w:r>
      <w:r w:rsidRPr="0088780C">
        <w:rPr>
          <w:bCs/>
          <w:snapToGrid w:val="0"/>
          <w:kern w:val="22"/>
          <w:szCs w:val="22"/>
          <w:lang w:eastAsia="bg-BG"/>
        </w:rPr>
        <w:t xml:space="preserve"> International Conference on the Mediterranean Coastal Environment MEDCOAST’15, 06-10 October 2015, Varna, Bulgaria, vol.1, pp. 251-262. Project CoCoNet 7FP EC. </w:t>
      </w:r>
      <w:hyperlink r:id="rId72" w:history="1">
        <w:r w:rsidRPr="0088780C">
          <w:rPr>
            <w:rStyle w:val="Hyperlink"/>
            <w:snapToGrid w:val="0"/>
            <w:kern w:val="22"/>
            <w:szCs w:val="22"/>
          </w:rPr>
          <w:t>http://coconetgis.ismar.cnr.it</w:t>
        </w:r>
      </w:hyperlink>
      <w:r w:rsidRPr="0088780C">
        <w:rPr>
          <w:snapToGrid w:val="0"/>
          <w:kern w:val="22"/>
          <w:szCs w:val="22"/>
        </w:rPr>
        <w:t xml:space="preserve"> </w:t>
      </w:r>
    </w:p>
    <w:p w14:paraId="177B27A2" w14:textId="77777777" w:rsidR="00A876F3" w:rsidRPr="00E7219D" w:rsidRDefault="00A876F3" w:rsidP="00730089">
      <w:pPr>
        <w:suppressLineNumbers/>
        <w:suppressAutoHyphens/>
        <w:kinsoku w:val="0"/>
        <w:overflowPunct w:val="0"/>
        <w:autoSpaceDE w:val="0"/>
        <w:autoSpaceDN w:val="0"/>
        <w:adjustRightInd w:val="0"/>
        <w:spacing w:after="60"/>
        <w:ind w:left="720" w:hanging="720"/>
        <w:rPr>
          <w:snapToGrid w:val="0"/>
          <w:kern w:val="22"/>
          <w:szCs w:val="22"/>
          <w:lang w:val="fr-FR"/>
        </w:rPr>
      </w:pPr>
      <w:r w:rsidRPr="0088780C">
        <w:rPr>
          <w:snapToGrid w:val="0"/>
          <w:kern w:val="22"/>
          <w:szCs w:val="22"/>
        </w:rPr>
        <w:t xml:space="preserve">Todorova V., Micu D., Klisurov L., 2009. Unique Oyster reefs discovered in the Bulgarian Black Sea. </w:t>
      </w:r>
      <w:r w:rsidRPr="00E7219D">
        <w:rPr>
          <w:snapToGrid w:val="0"/>
          <w:kern w:val="22"/>
          <w:szCs w:val="22"/>
          <w:lang w:val="fr-FR"/>
        </w:rPr>
        <w:t>Comptes Rendus de l’Academie bulgare des Sciences 62 (7), 871-874.</w:t>
      </w:r>
    </w:p>
    <w:p w14:paraId="6AAC3C41" w14:textId="77777777" w:rsidR="00A876F3" w:rsidRPr="0088780C" w:rsidRDefault="00A876F3" w:rsidP="00730089">
      <w:pPr>
        <w:pStyle w:val="ListParagraph"/>
        <w:suppressLineNumbers/>
        <w:tabs>
          <w:tab w:val="left" w:pos="284"/>
        </w:tabs>
        <w:suppressAutoHyphens/>
        <w:kinsoku w:val="0"/>
        <w:overflowPunct w:val="0"/>
        <w:autoSpaceDE w:val="0"/>
        <w:autoSpaceDN w:val="0"/>
        <w:adjustRightInd w:val="0"/>
        <w:spacing w:after="60"/>
        <w:ind w:leftChars="0" w:left="720" w:hanging="720"/>
        <w:rPr>
          <w:snapToGrid w:val="0"/>
          <w:kern w:val="22"/>
          <w:szCs w:val="22"/>
        </w:rPr>
      </w:pPr>
      <w:r w:rsidRPr="00E7219D">
        <w:rPr>
          <w:snapToGrid w:val="0"/>
          <w:kern w:val="22"/>
          <w:szCs w:val="22"/>
          <w:lang w:val="fr-FR"/>
        </w:rPr>
        <w:t xml:space="preserve">Todorova V., Micu D., Panayotov M., Konsulova T., 2008. </w:t>
      </w:r>
      <w:r w:rsidRPr="0088780C">
        <w:rPr>
          <w:snapToGrid w:val="0"/>
          <w:kern w:val="22"/>
          <w:szCs w:val="22"/>
        </w:rPr>
        <w:t>Marine Protected Areas in Bulgaria – Present and Prospects. Publishing House: HelixPress, StenoPublishing House, Varna, ISBN 978-954-449-373-8, pp. 9-13.</w:t>
      </w:r>
    </w:p>
    <w:p w14:paraId="58E0893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38FDF49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019D931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07CB8C85" wp14:editId="26DA81EA">
            <wp:extent cx="5486400" cy="4572000"/>
            <wp:effectExtent l="0" t="0" r="0" b="0"/>
            <wp:docPr id="64552" name="Picture 64552" descr="C:\Users\grekin\AppData\Local\Microsoft\Windows\Temporary Internet Files\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rekin\AppData\Local\Microsoft\Windows\Temporary Internet Files\Content.Word\1.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151F7B7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 xml:space="preserve">Figure 1. </w:t>
      </w:r>
      <w:r w:rsidRPr="0088780C">
        <w:rPr>
          <w:rFonts w:eastAsia="MS Mincho"/>
          <w:snapToGrid w:val="0"/>
          <w:kern w:val="22"/>
          <w:szCs w:val="22"/>
        </w:rPr>
        <w:t>Area meeting the EBSA criteria</w:t>
      </w:r>
    </w:p>
    <w:p w14:paraId="73D170D4"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4E27B79"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3FA7BC5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27B6BF4F" wp14:editId="28D5F040">
            <wp:extent cx="4267200" cy="3009331"/>
            <wp:effectExtent l="0" t="0" r="0" b="635"/>
            <wp:docPr id="64541" name="Picture 64541" descr="ROPOTA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POTAMO"/>
                    <pic:cNvPicPr>
                      <a:picLocks noChangeAspect="1" noChangeArrowheads="1"/>
                    </pic:cNvPicPr>
                  </pic:nvPicPr>
                  <pic:blipFill>
                    <a:blip r:embed="rId74" cstate="print"/>
                    <a:srcRect/>
                    <a:stretch>
                      <a:fillRect/>
                    </a:stretch>
                  </pic:blipFill>
                  <pic:spPr bwMode="auto">
                    <a:xfrm>
                      <a:off x="0" y="0"/>
                      <a:ext cx="4268973" cy="3010581"/>
                    </a:xfrm>
                    <a:prstGeom prst="rect">
                      <a:avLst/>
                    </a:prstGeom>
                    <a:noFill/>
                    <a:ln w="9525">
                      <a:noFill/>
                      <a:miter lim="800000"/>
                      <a:headEnd/>
                      <a:tailEnd/>
                    </a:ln>
                  </pic:spPr>
                </pic:pic>
              </a:graphicData>
            </a:graphic>
          </wp:inline>
        </w:drawing>
      </w:r>
    </w:p>
    <w:p w14:paraId="20F0C785" w14:textId="055CE655" w:rsidR="00A876F3" w:rsidRPr="0088780C" w:rsidRDefault="00A876F3" w:rsidP="001013AF">
      <w:pPr>
        <w:suppressLineNumbers/>
        <w:suppressAutoHyphens/>
        <w:kinsoku w:val="0"/>
        <w:overflowPunct w:val="0"/>
        <w:autoSpaceDE w:val="0"/>
        <w:autoSpaceDN w:val="0"/>
        <w:rPr>
          <w:snapToGrid w:val="0"/>
          <w:kern w:val="22"/>
          <w:szCs w:val="22"/>
          <w:lang w:eastAsia="bg-BG"/>
        </w:rPr>
      </w:pPr>
      <w:r w:rsidRPr="0088780C">
        <w:rPr>
          <w:b/>
          <w:snapToGrid w:val="0"/>
          <w:kern w:val="22"/>
          <w:szCs w:val="22"/>
          <w:lang w:eastAsia="bg-BG"/>
        </w:rPr>
        <w:t>Figure 2</w:t>
      </w:r>
      <w:r w:rsidRPr="0088780C">
        <w:rPr>
          <w:snapToGrid w:val="0"/>
          <w:kern w:val="22"/>
          <w:szCs w:val="22"/>
          <w:lang w:eastAsia="bg-BG"/>
        </w:rPr>
        <w:t xml:space="preserve">. Habitats </w:t>
      </w:r>
      <w:r w:rsidRPr="0088780C">
        <w:rPr>
          <w:snapToGrid w:val="0"/>
          <w:kern w:val="22"/>
          <w:szCs w:val="22"/>
          <w:shd w:val="clear" w:color="auto" w:fill="FFFFFF"/>
        </w:rPr>
        <w:t>in the Ropotamo SAC NATURA 2000 site (</w:t>
      </w:r>
      <w:r w:rsidRPr="0088780C">
        <w:rPr>
          <w:bCs/>
          <w:snapToGrid w:val="0"/>
          <w:kern w:val="22"/>
          <w:szCs w:val="22"/>
          <w:lang w:eastAsia="bg-BG"/>
        </w:rPr>
        <w:t>Todorova V. et al., 2012)</w:t>
      </w:r>
      <w:r w:rsidRPr="0088780C">
        <w:rPr>
          <w:snapToGrid w:val="0"/>
          <w:kern w:val="22"/>
          <w:szCs w:val="22"/>
          <w:shd w:val="clear" w:color="auto" w:fill="FFFFFF"/>
        </w:rPr>
        <w:t>.</w:t>
      </w:r>
    </w:p>
    <w:p w14:paraId="50230D76" w14:textId="36E83598" w:rsidR="00A876F3" w:rsidRPr="0088780C" w:rsidRDefault="00A876F3" w:rsidP="00730089">
      <w:pPr>
        <w:keepNext/>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u w:val="single"/>
        </w:rPr>
        <w:t>Map Legend</w:t>
      </w:r>
      <w:r w:rsidR="00730089" w:rsidRPr="0088780C">
        <w:rPr>
          <w:rFonts w:eastAsia="MS Mincho"/>
          <w:b/>
          <w:bCs/>
          <w:snapToGrid w:val="0"/>
          <w:color w:val="000000"/>
          <w:kern w:val="22"/>
          <w:szCs w:val="22"/>
        </w:rPr>
        <w:t>:</w:t>
      </w:r>
    </w:p>
    <w:p w14:paraId="6BC8410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Green stripes:</w:t>
      </w:r>
      <w:r w:rsidRPr="0088780C">
        <w:rPr>
          <w:rFonts w:eastAsia="MS Mincho"/>
          <w:snapToGrid w:val="0"/>
          <w:kern w:val="22"/>
          <w:szCs w:val="22"/>
        </w:rPr>
        <w:tab/>
        <w:t>Proposed extent of Site of Community Importance</w:t>
      </w:r>
    </w:p>
    <w:p w14:paraId="7C73AF96" w14:textId="70902F5D"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Yellow:</w:t>
      </w:r>
      <w:r w:rsidRPr="0088780C">
        <w:rPr>
          <w:rFonts w:eastAsia="MS Mincho"/>
          <w:snapToGrid w:val="0"/>
          <w:kern w:val="22"/>
          <w:szCs w:val="22"/>
        </w:rPr>
        <w:tab/>
      </w:r>
      <w:r w:rsidRPr="0088780C">
        <w:rPr>
          <w:rFonts w:eastAsia="MS Mincho"/>
          <w:snapToGrid w:val="0"/>
          <w:kern w:val="22"/>
          <w:szCs w:val="22"/>
        </w:rPr>
        <w:tab/>
        <w:t xml:space="preserve">Habitat type 1110 </w:t>
      </w:r>
      <w:r w:rsidR="00D8482D" w:rsidRPr="0088780C">
        <w:rPr>
          <w:rFonts w:eastAsia="MS Mincho"/>
          <w:snapToGrid w:val="0"/>
          <w:kern w:val="22"/>
          <w:szCs w:val="22"/>
        </w:rPr>
        <w:t>“</w:t>
      </w:r>
      <w:r w:rsidRPr="0088780C">
        <w:rPr>
          <w:rFonts w:eastAsia="MS Mincho"/>
          <w:snapToGrid w:val="0"/>
          <w:kern w:val="22"/>
          <w:szCs w:val="22"/>
        </w:rPr>
        <w:t>Sandbanks which are slightly covered by sea water all the time</w:t>
      </w:r>
      <w:r w:rsidR="00D8482D" w:rsidRPr="0088780C">
        <w:rPr>
          <w:rFonts w:eastAsia="MS Mincho"/>
          <w:snapToGrid w:val="0"/>
          <w:kern w:val="22"/>
          <w:szCs w:val="22"/>
        </w:rPr>
        <w:t>”</w:t>
      </w:r>
    </w:p>
    <w:p w14:paraId="7D240C0B" w14:textId="542D45D2"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Black:</w:t>
      </w:r>
      <w:r w:rsidRPr="0088780C">
        <w:rPr>
          <w:rFonts w:eastAsia="MS Mincho"/>
          <w:snapToGrid w:val="0"/>
          <w:kern w:val="22"/>
          <w:szCs w:val="22"/>
        </w:rPr>
        <w:tab/>
      </w:r>
      <w:r w:rsidRPr="0088780C">
        <w:rPr>
          <w:rFonts w:eastAsia="MS Mincho"/>
          <w:snapToGrid w:val="0"/>
          <w:kern w:val="22"/>
          <w:szCs w:val="22"/>
        </w:rPr>
        <w:tab/>
        <w:t xml:space="preserve">Habitat type 1117 </w:t>
      </w:r>
      <w:r w:rsidR="00D8482D" w:rsidRPr="0088780C">
        <w:rPr>
          <w:rFonts w:eastAsia="MS Mincho"/>
          <w:snapToGrid w:val="0"/>
          <w:kern w:val="22"/>
          <w:szCs w:val="22"/>
        </w:rPr>
        <w:t>“</w:t>
      </w:r>
      <w:r w:rsidRPr="0088780C">
        <w:rPr>
          <w:rFonts w:eastAsia="MS Mincho"/>
          <w:snapToGrid w:val="0"/>
          <w:kern w:val="22"/>
          <w:szCs w:val="22"/>
        </w:rPr>
        <w:t>Reefs</w:t>
      </w:r>
      <w:r w:rsidR="00D8482D" w:rsidRPr="0088780C">
        <w:rPr>
          <w:rFonts w:eastAsia="MS Mincho"/>
          <w:snapToGrid w:val="0"/>
          <w:kern w:val="22"/>
          <w:szCs w:val="22"/>
        </w:rPr>
        <w:t>”</w:t>
      </w:r>
      <w:r w:rsidRPr="0088780C">
        <w:rPr>
          <w:rFonts w:eastAsia="MS Mincho"/>
          <w:snapToGrid w:val="0"/>
          <w:kern w:val="22"/>
          <w:szCs w:val="22"/>
        </w:rPr>
        <w:t xml:space="preserve"> - subtype rocky reefs </w:t>
      </w:r>
    </w:p>
    <w:p w14:paraId="6AEEFA41" w14:textId="0D2716EA"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Blue stripes:</w:t>
      </w:r>
      <w:r w:rsidRPr="0088780C">
        <w:rPr>
          <w:rFonts w:eastAsia="MS Mincho"/>
          <w:snapToGrid w:val="0"/>
          <w:kern w:val="22"/>
          <w:szCs w:val="22"/>
        </w:rPr>
        <w:tab/>
        <w:t xml:space="preserve">Habitat type 1117 </w:t>
      </w:r>
      <w:r w:rsidR="00D8482D" w:rsidRPr="0088780C">
        <w:rPr>
          <w:rFonts w:eastAsia="MS Mincho"/>
          <w:snapToGrid w:val="0"/>
          <w:kern w:val="22"/>
          <w:szCs w:val="22"/>
        </w:rPr>
        <w:t>“</w:t>
      </w:r>
      <w:r w:rsidRPr="0088780C">
        <w:rPr>
          <w:rFonts w:eastAsia="MS Mincho"/>
          <w:snapToGrid w:val="0"/>
          <w:kern w:val="22"/>
          <w:szCs w:val="22"/>
        </w:rPr>
        <w:t>Reefs</w:t>
      </w:r>
      <w:r w:rsidR="00D8482D" w:rsidRPr="0088780C">
        <w:rPr>
          <w:rFonts w:eastAsia="MS Mincho"/>
          <w:snapToGrid w:val="0"/>
          <w:kern w:val="22"/>
          <w:szCs w:val="22"/>
        </w:rPr>
        <w:t>”</w:t>
      </w:r>
      <w:r w:rsidRPr="0088780C">
        <w:rPr>
          <w:rFonts w:eastAsia="MS Mincho"/>
          <w:snapToGrid w:val="0"/>
          <w:kern w:val="22"/>
          <w:szCs w:val="22"/>
        </w:rPr>
        <w:t xml:space="preserve"> - subtype mussel beds </w:t>
      </w:r>
    </w:p>
    <w:p w14:paraId="6D037DF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Beige:</w:t>
      </w:r>
      <w:r w:rsidRPr="0088780C">
        <w:rPr>
          <w:rFonts w:eastAsia="MS Mincho"/>
          <w:snapToGrid w:val="0"/>
          <w:kern w:val="22"/>
          <w:szCs w:val="22"/>
        </w:rPr>
        <w:tab/>
      </w:r>
      <w:r w:rsidRPr="0088780C">
        <w:rPr>
          <w:rFonts w:eastAsia="MS Mincho"/>
          <w:snapToGrid w:val="0"/>
          <w:kern w:val="22"/>
          <w:szCs w:val="22"/>
        </w:rPr>
        <w:tab/>
        <w:t xml:space="preserve">Data-deficient </w:t>
      </w:r>
    </w:p>
    <w:p w14:paraId="3A04F57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Blue:</w:t>
      </w:r>
      <w:r w:rsidRPr="0088780C">
        <w:rPr>
          <w:rFonts w:eastAsia="MS Mincho"/>
          <w:snapToGrid w:val="0"/>
          <w:kern w:val="22"/>
          <w:szCs w:val="22"/>
        </w:rPr>
        <w:tab/>
      </w:r>
      <w:r w:rsidRPr="0088780C">
        <w:rPr>
          <w:rFonts w:eastAsia="MS Mincho"/>
          <w:snapToGrid w:val="0"/>
          <w:kern w:val="22"/>
          <w:szCs w:val="22"/>
        </w:rPr>
        <w:tab/>
        <w:t>Depth, with respective range provided in metres</w:t>
      </w:r>
    </w:p>
    <w:p w14:paraId="6B4932F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 </w:t>
      </w:r>
      <w:r w:rsidRPr="0088780C">
        <w:rPr>
          <w:rFonts w:eastAsia="MS Mincho"/>
          <w:b/>
          <w:snapToGrid w:val="0"/>
          <w:kern w:val="22"/>
          <w:szCs w:val="22"/>
        </w:rPr>
        <w:br w:type="page"/>
      </w:r>
    </w:p>
    <w:p w14:paraId="72340C2F" w14:textId="2FA6BD9D"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2: </w:t>
      </w:r>
      <w:r w:rsidRPr="0088780C">
        <w:rPr>
          <w:b/>
          <w:snapToGrid w:val="0"/>
          <w:kern w:val="22"/>
          <w:szCs w:val="22"/>
        </w:rPr>
        <w:t>Kaliakra</w:t>
      </w:r>
    </w:p>
    <w:p w14:paraId="51C44F9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32E896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Abstract</w:t>
      </w:r>
    </w:p>
    <w:p w14:paraId="5B5A390A" w14:textId="63FBE95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encompasses a marine Important Bird and Biodiversity Area, designated primarily for its importance as a migratory corridor for the vulnerable yelkouan shearwater (</w:t>
      </w:r>
      <w:r w:rsidRPr="0088780C">
        <w:rPr>
          <w:rFonts w:eastAsia="MS Mincho"/>
          <w:i/>
          <w:snapToGrid w:val="0"/>
          <w:kern w:val="22"/>
          <w:szCs w:val="22"/>
        </w:rPr>
        <w:t>Puffinus yelkouan)</w:t>
      </w:r>
      <w:r w:rsidRPr="0088780C">
        <w:rPr>
          <w:rFonts w:eastAsia="MS Mincho"/>
          <w:snapToGrid w:val="0"/>
          <w:kern w:val="22"/>
          <w:szCs w:val="22"/>
        </w:rPr>
        <w:t>. The yelkouan shearwater is a Mediterranean endemic with a population estimated between 46,000 and 90,000 individuals, of which some 30 to 40 per cent migrate to the Black Sea during the non-breeding season, occurring near the coast of northern Bulgaria during their migrations. The area also encompasses the non-breeding distribution of two additional vulnerable seabirds – the velvet scoter (</w:t>
      </w:r>
      <w:r w:rsidRPr="0088780C">
        <w:rPr>
          <w:rFonts w:eastAsia="MS Mincho"/>
          <w:i/>
          <w:snapToGrid w:val="0"/>
          <w:kern w:val="22"/>
          <w:szCs w:val="22"/>
        </w:rPr>
        <w:t>Melanitta fusca)</w:t>
      </w:r>
      <w:r w:rsidRPr="0088780C">
        <w:rPr>
          <w:rFonts w:eastAsia="MS Mincho"/>
          <w:snapToGrid w:val="0"/>
          <w:kern w:val="22"/>
          <w:szCs w:val="22"/>
        </w:rPr>
        <w:t xml:space="preserve"> and the horned grebe (</w:t>
      </w:r>
      <w:r w:rsidRPr="0088780C">
        <w:rPr>
          <w:rFonts w:eastAsia="MS Mincho"/>
          <w:i/>
          <w:snapToGrid w:val="0"/>
          <w:kern w:val="22"/>
          <w:szCs w:val="22"/>
        </w:rPr>
        <w:t>Podiceps auritus)</w:t>
      </w:r>
      <w:r w:rsidRPr="0088780C">
        <w:rPr>
          <w:rFonts w:eastAsia="MS Mincho"/>
          <w:snapToGrid w:val="0"/>
          <w:kern w:val="22"/>
          <w:szCs w:val="22"/>
        </w:rPr>
        <w:t xml:space="preserve">. The area is also important for 17 other seabird species and has been designated a Natura 2000 Special Protection Area under the EU Birds Directive and a Special Area of Conservation under the EU Habitats Directive. The area also includes the only national marine and coastal reserve, </w:t>
      </w:r>
      <w:r w:rsidR="00D8482D" w:rsidRPr="0088780C">
        <w:rPr>
          <w:rFonts w:eastAsia="MS Mincho"/>
          <w:snapToGrid w:val="0"/>
          <w:kern w:val="22"/>
          <w:szCs w:val="22"/>
        </w:rPr>
        <w:t>“</w:t>
      </w:r>
      <w:r w:rsidRPr="0088780C">
        <w:rPr>
          <w:rFonts w:eastAsia="MS Mincho"/>
          <w:snapToGrid w:val="0"/>
          <w:kern w:val="22"/>
          <w:szCs w:val="22"/>
        </w:rPr>
        <w:t>Kaliakra</w:t>
      </w:r>
      <w:r w:rsidR="00D8482D" w:rsidRPr="0088780C">
        <w:rPr>
          <w:rFonts w:eastAsia="MS Mincho"/>
          <w:snapToGrid w:val="0"/>
          <w:kern w:val="22"/>
          <w:szCs w:val="22"/>
        </w:rPr>
        <w:t>”</w:t>
      </w:r>
      <w:r w:rsidRPr="0088780C">
        <w:rPr>
          <w:rFonts w:eastAsia="MS Mincho"/>
          <w:snapToGrid w:val="0"/>
          <w:kern w:val="22"/>
          <w:szCs w:val="22"/>
        </w:rPr>
        <w:t>.</w:t>
      </w:r>
    </w:p>
    <w:p w14:paraId="2F4B21F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062680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0A3CCA74" w14:textId="078A04F9"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situated along a 34 km stretch of the northern Bulgarian Black Sea coastline  and contains coastal territory and the adjacent marine area at less then 100 m depth. The coast is fringed with vertical limestone cliffs up to 100 m high, carved with characteristic caves and niches. Some of the rarest ecosystem types in the world, natural hyperhaline lakes, occur in the area. The typical marine habitats comprise sandbanks, seagrass meadows, rocky reefs overgrown by communities of perennial brown and red macroalgae</w:t>
      </w:r>
      <w:r w:rsidRPr="0088780C">
        <w:rPr>
          <w:rFonts w:eastAsia="MS Mincho"/>
          <w:i/>
          <w:snapToGrid w:val="0"/>
          <w:kern w:val="22"/>
          <w:szCs w:val="22"/>
        </w:rPr>
        <w:t>,</w:t>
      </w:r>
      <w:r w:rsidRPr="0088780C">
        <w:rPr>
          <w:rFonts w:eastAsia="MS Mincho"/>
          <w:snapToGrid w:val="0"/>
          <w:kern w:val="22"/>
          <w:szCs w:val="22"/>
        </w:rPr>
        <w:t xml:space="preserve"> soft bedrock with piddocks and mussel beds on sediments (Natura 2000 - Standar</w:t>
      </w:r>
      <w:r w:rsidR="00730089" w:rsidRPr="0088780C">
        <w:rPr>
          <w:rFonts w:eastAsia="MS Mincho"/>
          <w:snapToGrid w:val="0"/>
          <w:kern w:val="22"/>
          <w:szCs w:val="22"/>
        </w:rPr>
        <w:t>d Data Form for SAC BG0000573).</w:t>
      </w:r>
    </w:p>
    <w:p w14:paraId="592F80C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E6B6A4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49D99497" w14:textId="359D634F"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located in the western Black Sea coastal waters between latitudes 43.37</w:t>
      </w:r>
      <w:r w:rsidRPr="0088780C">
        <w:rPr>
          <w:rFonts w:eastAsia="MS Mincho"/>
          <w:snapToGrid w:val="0"/>
          <w:kern w:val="22"/>
          <w:szCs w:val="22"/>
        </w:rPr>
        <w:sym w:font="Symbol" w:char="F0B0"/>
      </w:r>
      <w:r w:rsidRPr="0088780C">
        <w:rPr>
          <w:rFonts w:eastAsia="MS Mincho"/>
          <w:snapToGrid w:val="0"/>
          <w:kern w:val="22"/>
          <w:szCs w:val="22"/>
        </w:rPr>
        <w:t>N and 45.19</w:t>
      </w:r>
      <w:r w:rsidRPr="0088780C">
        <w:rPr>
          <w:rFonts w:eastAsia="MS Mincho"/>
          <w:snapToGrid w:val="0"/>
          <w:kern w:val="22"/>
          <w:szCs w:val="22"/>
        </w:rPr>
        <w:sym w:font="Symbol" w:char="F0B0"/>
      </w:r>
      <w:r w:rsidR="00730089" w:rsidRPr="0088780C">
        <w:rPr>
          <w:rFonts w:eastAsia="MS Mincho"/>
          <w:snapToGrid w:val="0"/>
          <w:kern w:val="22"/>
          <w:szCs w:val="22"/>
        </w:rPr>
        <w:t xml:space="preserve"> N.</w:t>
      </w:r>
    </w:p>
    <w:p w14:paraId="3B263A6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49C2BB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36459CDD" w14:textId="399E069A"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marine features of the area comprise a diversity of coastal and shelf seabed habitats, small cetaceans and shad species (Alosa spp). The sandy bottom extends 1000-1500 m from the shoreline. Underwater meadows with the dwarf eelgrass </w:t>
      </w:r>
      <w:r w:rsidRPr="0088780C">
        <w:rPr>
          <w:rFonts w:eastAsia="MS Mincho"/>
          <w:i/>
          <w:snapToGrid w:val="0"/>
          <w:kern w:val="22"/>
          <w:szCs w:val="22"/>
        </w:rPr>
        <w:t>Zostera noltii</w:t>
      </w:r>
      <w:r w:rsidRPr="0088780C">
        <w:rPr>
          <w:rFonts w:eastAsia="MS Mincho"/>
          <w:snapToGrid w:val="0"/>
          <w:kern w:val="22"/>
          <w:szCs w:val="22"/>
        </w:rPr>
        <w:t xml:space="preserve"> occur in the shallow sands, where they are sheltered from wave action. The sand</w:t>
      </w:r>
      <w:r w:rsidR="009C2BEC" w:rsidRPr="0088780C">
        <w:rPr>
          <w:rFonts w:eastAsia="MS Mincho"/>
          <w:snapToGrid w:val="0"/>
          <w:kern w:val="22"/>
          <w:szCs w:val="22"/>
        </w:rPr>
        <w:t>s</w:t>
      </w:r>
      <w:r w:rsidRPr="0088780C">
        <w:rPr>
          <w:rFonts w:eastAsia="MS Mincho"/>
          <w:snapToGrid w:val="0"/>
          <w:kern w:val="22"/>
          <w:szCs w:val="22"/>
        </w:rPr>
        <w:t xml:space="preserve"> of exposed shorelines are dominated by clams and shrimps. Towards the deep wa</w:t>
      </w:r>
      <w:r w:rsidR="00730089" w:rsidRPr="0088780C">
        <w:rPr>
          <w:rFonts w:eastAsia="MS Mincho"/>
          <w:snapToGrid w:val="0"/>
          <w:kern w:val="22"/>
          <w:szCs w:val="22"/>
        </w:rPr>
        <w:t xml:space="preserve">ter, the seafloor is covered by sandy silt and silty </w:t>
      </w:r>
      <w:r w:rsidRPr="0088780C">
        <w:rPr>
          <w:rFonts w:eastAsia="MS Mincho"/>
          <w:snapToGrid w:val="0"/>
          <w:kern w:val="22"/>
          <w:szCs w:val="22"/>
        </w:rPr>
        <w:t xml:space="preserve">sediments inhabited previously by the bed-forming blue mussel </w:t>
      </w:r>
      <w:r w:rsidRPr="0088780C">
        <w:rPr>
          <w:rFonts w:eastAsia="MS Mincho"/>
          <w:i/>
          <w:snapToGrid w:val="0"/>
          <w:kern w:val="22"/>
          <w:szCs w:val="22"/>
        </w:rPr>
        <w:t>Mytilus galloprovincialis</w:t>
      </w:r>
      <w:r w:rsidRPr="0088780C">
        <w:rPr>
          <w:rFonts w:eastAsia="MS Mincho"/>
          <w:snapToGrid w:val="0"/>
          <w:kern w:val="22"/>
          <w:szCs w:val="22"/>
        </w:rPr>
        <w:t xml:space="preserve">. Currently, the extent and status of mussel beds has deminished due to human pressures such as transboundary eutrophication, mobile bottom-gear fishing and predatory pressure from the invasive alien whelk </w:t>
      </w:r>
      <w:r w:rsidRPr="0088780C">
        <w:rPr>
          <w:rFonts w:eastAsia="MS Mincho"/>
          <w:i/>
          <w:snapToGrid w:val="0"/>
          <w:kern w:val="22"/>
          <w:szCs w:val="22"/>
        </w:rPr>
        <w:t>Rapana venosa</w:t>
      </w:r>
      <w:r w:rsidRPr="0088780C">
        <w:rPr>
          <w:rFonts w:eastAsia="MS Mincho"/>
          <w:snapToGrid w:val="0"/>
          <w:kern w:val="22"/>
          <w:szCs w:val="22"/>
        </w:rPr>
        <w:t xml:space="preserve">. Further offshore, the deeper bottom is covered by a thick shell bed of the horse mussel </w:t>
      </w:r>
      <w:r w:rsidRPr="0088780C">
        <w:rPr>
          <w:rFonts w:eastAsia="MS Mincho"/>
          <w:i/>
          <w:snapToGrid w:val="0"/>
          <w:kern w:val="22"/>
          <w:szCs w:val="22"/>
        </w:rPr>
        <w:t>Modiolula phaseolina</w:t>
      </w:r>
      <w:r w:rsidRPr="0088780C">
        <w:rPr>
          <w:rFonts w:eastAsia="MS Mincho"/>
          <w:snapToGrid w:val="0"/>
          <w:kern w:val="22"/>
          <w:szCs w:val="22"/>
        </w:rPr>
        <w:t>. The rocky bottom, which exte</w:t>
      </w:r>
      <w:r w:rsidR="00730089" w:rsidRPr="0088780C">
        <w:rPr>
          <w:rFonts w:eastAsia="MS Mincho"/>
          <w:snapToGrid w:val="0"/>
          <w:kern w:val="22"/>
          <w:szCs w:val="22"/>
        </w:rPr>
        <w:t xml:space="preserve">nds </w:t>
      </w:r>
      <w:r w:rsidRPr="0088780C">
        <w:rPr>
          <w:rFonts w:eastAsia="MS Mincho"/>
          <w:snapToGrid w:val="0"/>
          <w:kern w:val="22"/>
          <w:szCs w:val="22"/>
        </w:rPr>
        <w:t xml:space="preserve">up to 350 m from the shoreline, is composed of slumped limestone, calcareous sandstones and marls. Dense popullations of the mollusc </w:t>
      </w:r>
      <w:r w:rsidRPr="0088780C">
        <w:rPr>
          <w:rFonts w:eastAsia="MS Mincho"/>
          <w:i/>
          <w:snapToGrid w:val="0"/>
          <w:kern w:val="22"/>
          <w:szCs w:val="22"/>
        </w:rPr>
        <w:t xml:space="preserve">Pholas dactylus, </w:t>
      </w:r>
      <w:r w:rsidRPr="0088780C">
        <w:rPr>
          <w:rFonts w:eastAsia="MS Mincho"/>
          <w:snapToGrid w:val="0"/>
          <w:kern w:val="22"/>
          <w:szCs w:val="22"/>
        </w:rPr>
        <w:t xml:space="preserve">a species protected by the Bern Convention, occur in the soft marl beds. Communities of high conservation importance, such as the perennial brown algae of the genus Cystoseira and the red macroalgae </w:t>
      </w:r>
      <w:r w:rsidRPr="0088780C">
        <w:rPr>
          <w:rFonts w:eastAsia="MS Mincho"/>
          <w:i/>
          <w:snapToGrid w:val="0"/>
          <w:kern w:val="22"/>
          <w:szCs w:val="22"/>
        </w:rPr>
        <w:t xml:space="preserve">Phyllophora crispa, </w:t>
      </w:r>
      <w:r w:rsidRPr="0088780C">
        <w:rPr>
          <w:rFonts w:eastAsia="MS Mincho"/>
          <w:snapToGrid w:val="0"/>
          <w:kern w:val="22"/>
          <w:szCs w:val="22"/>
        </w:rPr>
        <w:t>overgrow the underwater hard rock and boulders (Natura 2000 - Standard Data Form for SAC BG0000573).</w:t>
      </w:r>
    </w:p>
    <w:p w14:paraId="279FA985"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33727FD"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In the limestone rocks from cape Kaliakra to cape Shabla, there are long, partially submerged sea caves, some of which were the habitat of the regionally extinct Mediterranean monk seal (</w:t>
      </w:r>
      <w:r w:rsidRPr="0088780C">
        <w:rPr>
          <w:i/>
          <w:snapToGrid w:val="0"/>
          <w:kern w:val="22"/>
          <w:szCs w:val="22"/>
        </w:rPr>
        <w:t>Monachus monachus)</w:t>
      </w:r>
      <w:r w:rsidRPr="0088780C">
        <w:rPr>
          <w:snapToGrid w:val="0"/>
          <w:kern w:val="22"/>
          <w:szCs w:val="22"/>
        </w:rPr>
        <w:t xml:space="preserve">. The marine area is a suitable habitat for the shad fishes as a migratory corridor to the spawning grounds in the Danube River and as feeding grounds for the juvenile fish and the spawning stock after breeding. The area is also an important feeding ground for populations of the harbour porpoise </w:t>
      </w:r>
      <w:r w:rsidRPr="0088780C">
        <w:rPr>
          <w:i/>
          <w:snapToGrid w:val="0"/>
          <w:kern w:val="22"/>
          <w:szCs w:val="22"/>
        </w:rPr>
        <w:t>Phocoena phocoena relicta</w:t>
      </w:r>
      <w:r w:rsidRPr="0088780C">
        <w:rPr>
          <w:snapToGrid w:val="0"/>
          <w:kern w:val="22"/>
          <w:szCs w:val="22"/>
        </w:rPr>
        <w:t xml:space="preserve"> and the Black Sea bottlenose dolphin </w:t>
      </w:r>
      <w:r w:rsidRPr="0088780C">
        <w:rPr>
          <w:i/>
          <w:snapToGrid w:val="0"/>
          <w:kern w:val="22"/>
          <w:szCs w:val="22"/>
        </w:rPr>
        <w:t>Tursiops truncatus ponticus</w:t>
      </w:r>
      <w:r w:rsidRPr="0088780C">
        <w:rPr>
          <w:snapToGrid w:val="0"/>
          <w:kern w:val="22"/>
          <w:szCs w:val="22"/>
        </w:rPr>
        <w:t xml:space="preserve"> </w:t>
      </w:r>
      <w:r w:rsidRPr="0088780C">
        <w:rPr>
          <w:rFonts w:eastAsia="MS Mincho"/>
          <w:snapToGrid w:val="0"/>
          <w:kern w:val="22"/>
          <w:szCs w:val="22"/>
        </w:rPr>
        <w:t>(Natura 2000 - Standard Data Form for SAC BG0000573). Shallow methane seeps represent another characteristic feature of the area (Todorova et al., 2012).</w:t>
      </w:r>
    </w:p>
    <w:p w14:paraId="6605D22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85AFED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includes one marine Important Bird and Biodiversity Area, designated largely for its importance as a migratory corridor for the vulnerable yelkouan shearwater (</w:t>
      </w:r>
      <w:r w:rsidRPr="0088780C">
        <w:rPr>
          <w:rFonts w:eastAsia="MS Mincho"/>
          <w:i/>
          <w:snapToGrid w:val="0"/>
          <w:kern w:val="22"/>
          <w:szCs w:val="22"/>
        </w:rPr>
        <w:t>Puffinus yelkouan)</w:t>
      </w:r>
      <w:r w:rsidRPr="0088780C">
        <w:rPr>
          <w:rFonts w:eastAsia="MS Mincho"/>
          <w:snapToGrid w:val="0"/>
          <w:kern w:val="22"/>
          <w:szCs w:val="22"/>
        </w:rPr>
        <w:t xml:space="preserve"> (Doğa Derneği 2014). The yelkouan shearwater is a Mediterranean endemic species with a population estimated between 46,000 and 90,000 individuals (Derhé 2012, BirdLife International 2017a), of which some 30 to 40 per cent migrate to the Black Sea during the non-breeding season (Raine et al. 2012, Péron et al. 2013, Seabird Tracking Database 2017), occurring near the coast of Bulgaria during their migrations. Birds from different colonies located in the Mediterranean congregate in the Black Sea during the winter period (September-December) and migrate through the coasts of Bulgaria (Doğa Derneği 2014). Estimates indicate the regular occurrence of more than 1000 yelkouan shearwaters (BirdLife International 2017b). Recent studies of habitat suitability have also confirmed the importance of this coastal area for the species (Ortega &amp; İsfendiyaroğlu 2017; Figure 2).</w:t>
      </w:r>
    </w:p>
    <w:p w14:paraId="25EEBF6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33137E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also includes feeding sites for the Mediterranean endemic subspecies of European shag (</w:t>
      </w:r>
      <w:r w:rsidRPr="0088780C">
        <w:rPr>
          <w:rFonts w:eastAsia="MS Mincho"/>
          <w:i/>
          <w:snapToGrid w:val="0"/>
          <w:kern w:val="22"/>
          <w:szCs w:val="22"/>
        </w:rPr>
        <w:t>Phalacrocorax aristotelis desmarestii)</w:t>
      </w:r>
      <w:r w:rsidRPr="0088780C">
        <w:rPr>
          <w:rFonts w:eastAsia="MS Mincho"/>
          <w:snapToGrid w:val="0"/>
          <w:kern w:val="22"/>
          <w:szCs w:val="22"/>
        </w:rPr>
        <w:t xml:space="preserve"> during the breeding season; a colony of the species can be found in the nearby coast (Doğa Derneği 2014; Figure 3). The area is part of the non-breeding range of two additional vulnerable seabirds – the velvet scoter (</w:t>
      </w:r>
      <w:r w:rsidRPr="0088780C">
        <w:rPr>
          <w:rFonts w:eastAsia="MS Mincho"/>
          <w:i/>
          <w:snapToGrid w:val="0"/>
          <w:kern w:val="22"/>
          <w:szCs w:val="22"/>
        </w:rPr>
        <w:t>Melanitta fusca)</w:t>
      </w:r>
      <w:r w:rsidRPr="0088780C">
        <w:rPr>
          <w:rFonts w:eastAsia="MS Mincho"/>
          <w:snapToGrid w:val="0"/>
          <w:kern w:val="22"/>
          <w:szCs w:val="22"/>
        </w:rPr>
        <w:t xml:space="preserve"> and the horned grebe (</w:t>
      </w:r>
      <w:r w:rsidRPr="0088780C">
        <w:rPr>
          <w:rFonts w:eastAsia="MS Mincho"/>
          <w:i/>
          <w:snapToGrid w:val="0"/>
          <w:kern w:val="22"/>
          <w:szCs w:val="22"/>
        </w:rPr>
        <w:t>Podiceps auritus)</w:t>
      </w:r>
      <w:r w:rsidRPr="0088780C">
        <w:rPr>
          <w:rFonts w:eastAsia="MS Mincho"/>
          <w:snapToGrid w:val="0"/>
          <w:kern w:val="22"/>
          <w:szCs w:val="22"/>
        </w:rPr>
        <w:t xml:space="preserve"> (BirdLife International 2017c). The area is also important for 17 other seabird species BirdLife International 2017b; BirdLife International </w:t>
      </w:r>
      <w:r w:rsidRPr="0088780C">
        <w:rPr>
          <w:rFonts w:eastAsia="MS Mincho"/>
          <w:i/>
          <w:snapToGrid w:val="0"/>
          <w:kern w:val="22"/>
          <w:szCs w:val="22"/>
        </w:rPr>
        <w:t>unpublished data</w:t>
      </w:r>
      <w:r w:rsidRPr="0088780C">
        <w:rPr>
          <w:rFonts w:eastAsia="MS Mincho"/>
          <w:snapToGrid w:val="0"/>
          <w:kern w:val="22"/>
          <w:szCs w:val="22"/>
        </w:rPr>
        <w:t xml:space="preserve">). </w:t>
      </w:r>
    </w:p>
    <w:p w14:paraId="223A1A7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A17267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552C9DF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Assessments of the current conservation status of the protected marine habitat types and species are not available. The ecological status (sensu the Water Framework Directive) of the coastal seabed habitats with macroalgae and invertebrates is estimated as good in the recent period (IO-BAS, 2017). </w:t>
      </w:r>
      <w:r w:rsidRPr="0088780C">
        <w:rPr>
          <w:rFonts w:eastAsia="MS Mincho"/>
          <w:iCs/>
          <w:snapToGrid w:val="0"/>
          <w:kern w:val="22"/>
          <w:szCs w:val="22"/>
        </w:rPr>
        <w:t xml:space="preserve">The main anthropogenic pressures on the marine ecosystem aret </w:t>
      </w:r>
      <w:r w:rsidRPr="0088780C">
        <w:rPr>
          <w:rFonts w:eastAsia="MS Mincho"/>
          <w:snapToGrid w:val="0"/>
          <w:kern w:val="22"/>
          <w:szCs w:val="22"/>
        </w:rPr>
        <w:t>eutrophication and fishing, especially with mobile bottom gear. Shipping, tourism and oil pollution may also represent threats to the conservation and maintainance of the features of interest in favourable status. Therefore, development and implementation of a management plan, including measures for prevention and mitigation of the human impacts, is critically important for the maintenance or restoration of the favourable conservation prospects of the area.</w:t>
      </w:r>
    </w:p>
    <w:p w14:paraId="2BB5FA8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F590466"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fishing activities are the ones most likely to have a negative impact on the vulnerable yelkouan shearwater</w:t>
      </w:r>
      <w:r w:rsidRPr="0088780C">
        <w:rPr>
          <w:snapToGrid w:val="0"/>
          <w:kern w:val="22"/>
          <w:szCs w:val="22"/>
        </w:rPr>
        <w:t>. Mortality</w:t>
      </w:r>
      <w:r w:rsidRPr="0088780C">
        <w:rPr>
          <w:rFonts w:eastAsia="MS Mincho"/>
          <w:snapToGrid w:val="0"/>
          <w:kern w:val="22"/>
          <w:szCs w:val="22"/>
        </w:rPr>
        <w:t xml:space="preserve"> from incidental by-catch is considered the most serious threat to this species (Oppel et al. 2011, BirdLife International 2017b), especially during the non-breeding season (Oppel et al. 2011), when an important percentage of the population is in the Black Sea (Raine et al. 2012).</w:t>
      </w:r>
    </w:p>
    <w:p w14:paraId="150ACAD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A13A73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3F03BDE8" w14:textId="59012ABC"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w:t>
      </w:r>
      <w:r w:rsidR="000A7CC8" w:rsidRPr="0088780C">
        <w:rPr>
          <w:rFonts w:eastAsia="MS Mincho"/>
          <w:b/>
          <w:snapToGrid w:val="0"/>
          <w:kern w:val="22"/>
          <w:szCs w:val="22"/>
        </w:rPr>
        <w:t xml:space="preserve"> area against CBD EBSA Criteria</w:t>
      </w:r>
    </w:p>
    <w:p w14:paraId="0D993298"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3"/>
        <w:gridCol w:w="4223"/>
        <w:gridCol w:w="29"/>
        <w:gridCol w:w="1019"/>
        <w:gridCol w:w="262"/>
        <w:gridCol w:w="29"/>
        <w:gridCol w:w="757"/>
        <w:gridCol w:w="111"/>
        <w:gridCol w:w="676"/>
        <w:gridCol w:w="90"/>
        <w:gridCol w:w="737"/>
      </w:tblGrid>
      <w:tr w:rsidR="00A876F3" w:rsidRPr="0088780C" w14:paraId="742E7F04" w14:textId="77777777" w:rsidTr="006972AD">
        <w:tc>
          <w:tcPr>
            <w:tcW w:w="858" w:type="pct"/>
            <w:vMerge w:val="restart"/>
            <w:shd w:val="clear" w:color="auto" w:fill="auto"/>
          </w:tcPr>
          <w:p w14:paraId="4936A55E" w14:textId="77777777" w:rsidR="00A876F3" w:rsidRPr="0088780C" w:rsidRDefault="00A876F3" w:rsidP="000A7CC8">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5072F12C" w14:textId="77777777" w:rsidR="00A876F3" w:rsidRPr="0088780C" w:rsidRDefault="00A876F3" w:rsidP="000A7CC8">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05" w:type="pct"/>
            <w:vMerge w:val="restart"/>
            <w:shd w:val="clear" w:color="auto" w:fill="auto"/>
          </w:tcPr>
          <w:p w14:paraId="649AFFA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294E54E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37" w:type="pct"/>
            <w:gridSpan w:val="9"/>
            <w:shd w:val="clear" w:color="auto" w:fill="auto"/>
          </w:tcPr>
          <w:p w14:paraId="3D1BF45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74797FF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57A922A0" w14:textId="77777777" w:rsidTr="006972AD">
        <w:tc>
          <w:tcPr>
            <w:tcW w:w="858" w:type="pct"/>
            <w:vMerge/>
            <w:shd w:val="clear" w:color="auto" w:fill="auto"/>
          </w:tcPr>
          <w:p w14:paraId="36CBB27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05" w:type="pct"/>
            <w:vMerge/>
            <w:shd w:val="clear" w:color="auto" w:fill="auto"/>
          </w:tcPr>
          <w:p w14:paraId="3F8A5C5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3A06538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1FBEF93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7C6AD1D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2" w:type="pct"/>
            <w:gridSpan w:val="2"/>
            <w:shd w:val="clear" w:color="auto" w:fill="auto"/>
          </w:tcPr>
          <w:p w14:paraId="290248A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45179A6C" w14:textId="77777777" w:rsidTr="006972AD">
        <w:tc>
          <w:tcPr>
            <w:tcW w:w="858" w:type="pct"/>
            <w:shd w:val="clear" w:color="auto" w:fill="auto"/>
          </w:tcPr>
          <w:p w14:paraId="0EA241A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05" w:type="pct"/>
            <w:shd w:val="clear" w:color="auto" w:fill="auto"/>
          </w:tcPr>
          <w:p w14:paraId="01BE2C65" w14:textId="1E624AF3"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77B9C80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2D3C7EC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4D78F6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2" w:type="pct"/>
            <w:gridSpan w:val="2"/>
            <w:shd w:val="clear" w:color="auto" w:fill="auto"/>
          </w:tcPr>
          <w:p w14:paraId="5CA51B5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467148AF" w14:textId="77777777" w:rsidTr="006972AD">
        <w:tc>
          <w:tcPr>
            <w:tcW w:w="5000" w:type="pct"/>
            <w:gridSpan w:val="11"/>
            <w:shd w:val="clear" w:color="auto" w:fill="auto"/>
          </w:tcPr>
          <w:p w14:paraId="358C00B2"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57036FE0" w14:textId="6B47FC50"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rFonts w:eastAsia="MS Mincho"/>
                <w:snapToGrid w:val="0"/>
                <w:color w:val="000000"/>
                <w:kern w:val="22"/>
                <w:szCs w:val="22"/>
              </w:rPr>
              <w:t xml:space="preserve">Among the typical marine features, the submerged and semi-submerged sea caves represent a rare marine habitat for the Black Sea, previously inhabitated by the regionally extinct Mediterranean monk seal. The regionally endangered red macroalgae </w:t>
            </w:r>
            <w:r w:rsidRPr="0088780C">
              <w:rPr>
                <w:rFonts w:eastAsia="MS Mincho"/>
                <w:i/>
                <w:snapToGrid w:val="0"/>
                <w:color w:val="000000"/>
                <w:kern w:val="22"/>
                <w:szCs w:val="22"/>
              </w:rPr>
              <w:t>Phyllophora crispa</w:t>
            </w:r>
            <w:r w:rsidRPr="0088780C">
              <w:rPr>
                <w:rFonts w:eastAsia="MS Mincho"/>
                <w:snapToGrid w:val="0"/>
                <w:color w:val="000000"/>
                <w:kern w:val="22"/>
                <w:szCs w:val="22"/>
              </w:rPr>
              <w:t xml:space="preserve"> is present in the area (Todorova et al., 2008). Previously, </w:t>
            </w:r>
            <w:r w:rsidRPr="0088780C">
              <w:rPr>
                <w:rFonts w:eastAsia="MS Mincho"/>
                <w:i/>
                <w:snapToGrid w:val="0"/>
                <w:color w:val="000000"/>
                <w:kern w:val="22"/>
                <w:szCs w:val="22"/>
              </w:rPr>
              <w:t>Ph. crispa</w:t>
            </w:r>
            <w:r w:rsidRPr="0088780C">
              <w:rPr>
                <w:rFonts w:eastAsia="MS Mincho"/>
                <w:snapToGrid w:val="0"/>
                <w:color w:val="000000"/>
                <w:kern w:val="22"/>
                <w:szCs w:val="22"/>
              </w:rPr>
              <w:t xml:space="preserve"> formed extensive meadows in the </w:t>
            </w:r>
            <w:r w:rsidR="00C656A2" w:rsidRPr="0088780C">
              <w:rPr>
                <w:rFonts w:eastAsia="MS Mincho"/>
                <w:snapToGrid w:val="0"/>
                <w:color w:val="000000"/>
                <w:kern w:val="22"/>
                <w:szCs w:val="22"/>
              </w:rPr>
              <w:t>north-west</w:t>
            </w:r>
            <w:r w:rsidRPr="0088780C">
              <w:rPr>
                <w:rFonts w:eastAsia="MS Mincho"/>
                <w:snapToGrid w:val="0"/>
                <w:color w:val="000000"/>
                <w:kern w:val="22"/>
                <w:szCs w:val="22"/>
              </w:rPr>
              <w:t xml:space="preserve">ern Black Sea shelf (e.g. the Zernov’s Phyllophora Field, see area </w:t>
            </w:r>
            <w:r w:rsidR="00F743B2" w:rsidRPr="0088780C">
              <w:rPr>
                <w:rFonts w:eastAsia="MS Mincho"/>
                <w:snapToGrid w:val="0"/>
                <w:color w:val="000000"/>
                <w:kern w:val="22"/>
                <w:szCs w:val="22"/>
              </w:rPr>
              <w:t>No.</w:t>
            </w:r>
            <w:r w:rsidRPr="0088780C">
              <w:rPr>
                <w:rFonts w:eastAsia="MS Mincho"/>
                <w:snapToGrid w:val="0"/>
                <w:color w:val="000000"/>
                <w:kern w:val="22"/>
                <w:szCs w:val="22"/>
              </w:rPr>
              <w:t xml:space="preserve"> 5) however, due to overexploitation and eutrophication, the population was nearly exterminated (Zaisev and Alexandrov, 1998).</w:t>
            </w:r>
          </w:p>
          <w:p w14:paraId="39E7BB98"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p>
          <w:p w14:paraId="0A147A2F" w14:textId="281BE699"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rFonts w:eastAsia="MS Mincho"/>
                <w:snapToGrid w:val="0"/>
                <w:color w:val="000000"/>
                <w:kern w:val="22"/>
                <w:szCs w:val="22"/>
              </w:rPr>
              <w:t>Methane seeps occuring in the area represent another rare feature that is not well studied in terms of the associated biodiversi</w:t>
            </w:r>
            <w:r w:rsidR="000A7CC8" w:rsidRPr="0088780C">
              <w:rPr>
                <w:rFonts w:eastAsia="MS Mincho"/>
                <w:snapToGrid w:val="0"/>
                <w:color w:val="000000"/>
                <w:kern w:val="22"/>
                <w:szCs w:val="22"/>
              </w:rPr>
              <w:t>ty, structures and functioning.</w:t>
            </w:r>
          </w:p>
          <w:p w14:paraId="4EA006E2"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p>
          <w:p w14:paraId="6C34F393"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area includes some of the key passage sites for the yelkouan shearwater during their migrations from the Mediterranean into the Black Sea (Doğa Derneği 2014). The area is also used by almost 20 other species of seabirds (Arctic loon </w:t>
            </w:r>
            <w:r w:rsidRPr="0088780C">
              <w:rPr>
                <w:i/>
                <w:snapToGrid w:val="0"/>
                <w:kern w:val="22"/>
                <w:szCs w:val="22"/>
              </w:rPr>
              <w:t>Gavia arctica</w:t>
            </w:r>
            <w:r w:rsidRPr="0088780C">
              <w:rPr>
                <w:snapToGrid w:val="0"/>
                <w:kern w:val="22"/>
                <w:szCs w:val="22"/>
              </w:rPr>
              <w:t xml:space="preserve">, black tern </w:t>
            </w:r>
            <w:r w:rsidRPr="0088780C">
              <w:rPr>
                <w:i/>
                <w:snapToGrid w:val="0"/>
                <w:kern w:val="22"/>
                <w:szCs w:val="22"/>
              </w:rPr>
              <w:t>Chlidonias niger</w:t>
            </w:r>
            <w:r w:rsidRPr="0088780C">
              <w:rPr>
                <w:snapToGrid w:val="0"/>
                <w:kern w:val="22"/>
                <w:szCs w:val="22"/>
              </w:rPr>
              <w:t xml:space="preserve">, black-headed gull </w:t>
            </w:r>
            <w:r w:rsidRPr="0088780C">
              <w:rPr>
                <w:i/>
                <w:snapToGrid w:val="0"/>
                <w:kern w:val="22"/>
                <w:szCs w:val="22"/>
              </w:rPr>
              <w:t>Larus ridibundus</w:t>
            </w:r>
            <w:r w:rsidRPr="0088780C">
              <w:rPr>
                <w:snapToGrid w:val="0"/>
                <w:kern w:val="22"/>
                <w:szCs w:val="22"/>
              </w:rPr>
              <w:t xml:space="preserve">, common tern </w:t>
            </w:r>
            <w:r w:rsidRPr="0088780C">
              <w:rPr>
                <w:i/>
                <w:snapToGrid w:val="0"/>
                <w:kern w:val="22"/>
                <w:szCs w:val="22"/>
              </w:rPr>
              <w:t>Sterna hirundo</w:t>
            </w:r>
            <w:r w:rsidRPr="0088780C">
              <w:rPr>
                <w:snapToGrid w:val="0"/>
                <w:kern w:val="22"/>
                <w:szCs w:val="22"/>
              </w:rPr>
              <w:t xml:space="preserve">, Dalmatian pelican </w:t>
            </w:r>
            <w:r w:rsidRPr="0088780C">
              <w:rPr>
                <w:i/>
                <w:snapToGrid w:val="0"/>
                <w:kern w:val="22"/>
                <w:szCs w:val="22"/>
              </w:rPr>
              <w:t>Pelecanus crispus</w:t>
            </w:r>
            <w:r w:rsidRPr="0088780C">
              <w:rPr>
                <w:snapToGrid w:val="0"/>
                <w:kern w:val="22"/>
                <w:szCs w:val="22"/>
              </w:rPr>
              <w:t xml:space="preserve">, European shag </w:t>
            </w:r>
            <w:r w:rsidRPr="0088780C">
              <w:rPr>
                <w:i/>
                <w:snapToGrid w:val="0"/>
                <w:kern w:val="22"/>
                <w:szCs w:val="22"/>
              </w:rPr>
              <w:t>Phalacrocorax aristotelis</w:t>
            </w:r>
            <w:r w:rsidRPr="0088780C">
              <w:rPr>
                <w:snapToGrid w:val="0"/>
                <w:kern w:val="22"/>
                <w:szCs w:val="22"/>
              </w:rPr>
              <w:t xml:space="preserve">, great cormorant </w:t>
            </w:r>
            <w:r w:rsidRPr="0088780C">
              <w:rPr>
                <w:i/>
                <w:snapToGrid w:val="0"/>
                <w:kern w:val="22"/>
                <w:szCs w:val="22"/>
              </w:rPr>
              <w:t>Phalacrocorax carbo</w:t>
            </w:r>
            <w:r w:rsidRPr="0088780C">
              <w:rPr>
                <w:snapToGrid w:val="0"/>
                <w:kern w:val="22"/>
                <w:szCs w:val="22"/>
              </w:rPr>
              <w:t xml:space="preserve">, great white pelican </w:t>
            </w:r>
            <w:r w:rsidRPr="0088780C">
              <w:rPr>
                <w:i/>
                <w:snapToGrid w:val="0"/>
                <w:kern w:val="22"/>
                <w:szCs w:val="22"/>
              </w:rPr>
              <w:t>Pelecanus onocrotalus</w:t>
            </w:r>
            <w:r w:rsidRPr="0088780C">
              <w:rPr>
                <w:snapToGrid w:val="0"/>
                <w:kern w:val="22"/>
                <w:szCs w:val="22"/>
              </w:rPr>
              <w:t xml:space="preserve">, lesser black-backed gull </w:t>
            </w:r>
            <w:r w:rsidRPr="0088780C">
              <w:rPr>
                <w:i/>
                <w:snapToGrid w:val="0"/>
                <w:kern w:val="22"/>
                <w:szCs w:val="22"/>
              </w:rPr>
              <w:t>Larus fuscus</w:t>
            </w:r>
            <w:r w:rsidRPr="0088780C">
              <w:rPr>
                <w:snapToGrid w:val="0"/>
                <w:kern w:val="22"/>
                <w:szCs w:val="22"/>
              </w:rPr>
              <w:t xml:space="preserve">, little gull </w:t>
            </w:r>
            <w:r w:rsidRPr="0088780C">
              <w:rPr>
                <w:i/>
                <w:snapToGrid w:val="0"/>
                <w:kern w:val="22"/>
                <w:szCs w:val="22"/>
              </w:rPr>
              <w:t>Hydrocoloeus minutus</w:t>
            </w:r>
            <w:r w:rsidRPr="0088780C">
              <w:rPr>
                <w:snapToGrid w:val="0"/>
                <w:kern w:val="22"/>
                <w:szCs w:val="22"/>
              </w:rPr>
              <w:t xml:space="preserve">, Mediterranean gull </w:t>
            </w:r>
            <w:r w:rsidRPr="0088780C">
              <w:rPr>
                <w:i/>
                <w:snapToGrid w:val="0"/>
                <w:kern w:val="22"/>
                <w:szCs w:val="22"/>
              </w:rPr>
              <w:t>Larus melanocephalus</w:t>
            </w:r>
            <w:r w:rsidRPr="0088780C">
              <w:rPr>
                <w:snapToGrid w:val="0"/>
                <w:kern w:val="22"/>
                <w:szCs w:val="22"/>
              </w:rPr>
              <w:t xml:space="preserve">, mew gull </w:t>
            </w:r>
            <w:r w:rsidRPr="0088780C">
              <w:rPr>
                <w:i/>
                <w:snapToGrid w:val="0"/>
                <w:kern w:val="22"/>
                <w:szCs w:val="22"/>
              </w:rPr>
              <w:t>Larus canus</w:t>
            </w:r>
            <w:r w:rsidRPr="0088780C">
              <w:rPr>
                <w:snapToGrid w:val="0"/>
                <w:kern w:val="22"/>
                <w:szCs w:val="22"/>
              </w:rPr>
              <w:t xml:space="preserve">, pygmy cormorant </w:t>
            </w:r>
            <w:r w:rsidRPr="0088780C">
              <w:rPr>
                <w:i/>
                <w:snapToGrid w:val="0"/>
                <w:kern w:val="22"/>
                <w:szCs w:val="22"/>
              </w:rPr>
              <w:t>Microcarbo pygmaeus</w:t>
            </w:r>
            <w:r w:rsidRPr="0088780C">
              <w:rPr>
                <w:snapToGrid w:val="0"/>
                <w:kern w:val="22"/>
                <w:szCs w:val="22"/>
              </w:rPr>
              <w:t xml:space="preserve">, red-throated loon </w:t>
            </w:r>
            <w:r w:rsidRPr="0088780C">
              <w:rPr>
                <w:i/>
                <w:snapToGrid w:val="0"/>
                <w:kern w:val="22"/>
                <w:szCs w:val="22"/>
              </w:rPr>
              <w:t>Gavia stellata</w:t>
            </w:r>
            <w:r w:rsidRPr="0088780C">
              <w:rPr>
                <w:snapToGrid w:val="0"/>
                <w:kern w:val="22"/>
                <w:szCs w:val="22"/>
              </w:rPr>
              <w:t xml:space="preserve">, slender-billed gull </w:t>
            </w:r>
            <w:r w:rsidRPr="0088780C">
              <w:rPr>
                <w:i/>
                <w:snapToGrid w:val="0"/>
                <w:kern w:val="22"/>
                <w:szCs w:val="22"/>
              </w:rPr>
              <w:t>Larus genei</w:t>
            </w:r>
            <w:r w:rsidRPr="0088780C">
              <w:rPr>
                <w:snapToGrid w:val="0"/>
                <w:kern w:val="22"/>
                <w:szCs w:val="22"/>
              </w:rPr>
              <w:t xml:space="preserve">, whiskered tern </w:t>
            </w:r>
            <w:r w:rsidRPr="0088780C">
              <w:rPr>
                <w:i/>
                <w:snapToGrid w:val="0"/>
                <w:kern w:val="22"/>
                <w:szCs w:val="22"/>
              </w:rPr>
              <w:t>Chlidonias hybrida</w:t>
            </w:r>
            <w:r w:rsidRPr="0088780C">
              <w:rPr>
                <w:snapToGrid w:val="0"/>
                <w:kern w:val="22"/>
                <w:szCs w:val="22"/>
              </w:rPr>
              <w:t xml:space="preserve">, white-winged tern </w:t>
            </w:r>
            <w:r w:rsidRPr="0088780C">
              <w:rPr>
                <w:i/>
                <w:snapToGrid w:val="0"/>
                <w:kern w:val="22"/>
                <w:szCs w:val="22"/>
              </w:rPr>
              <w:t>Chlidonias leucopterus</w:t>
            </w:r>
            <w:r w:rsidRPr="0088780C">
              <w:rPr>
                <w:snapToGrid w:val="0"/>
                <w:kern w:val="22"/>
                <w:szCs w:val="22"/>
              </w:rPr>
              <w:t xml:space="preserve">) (BirdLife International 2017b; BirdLife International </w:t>
            </w:r>
            <w:r w:rsidRPr="0088780C">
              <w:rPr>
                <w:i/>
                <w:snapToGrid w:val="0"/>
                <w:kern w:val="22"/>
                <w:szCs w:val="22"/>
              </w:rPr>
              <w:t>unpublished data</w:t>
            </w:r>
            <w:r w:rsidRPr="0088780C">
              <w:rPr>
                <w:snapToGrid w:val="0"/>
                <w:kern w:val="22"/>
                <w:szCs w:val="22"/>
              </w:rPr>
              <w:t xml:space="preserve">). </w:t>
            </w:r>
          </w:p>
        </w:tc>
      </w:tr>
      <w:tr w:rsidR="00A876F3" w:rsidRPr="0088780C" w14:paraId="03AB4673" w14:textId="77777777" w:rsidTr="006972AD">
        <w:tc>
          <w:tcPr>
            <w:tcW w:w="858" w:type="pct"/>
            <w:shd w:val="clear" w:color="auto" w:fill="auto"/>
          </w:tcPr>
          <w:p w14:paraId="02FE4C34" w14:textId="77777777" w:rsidR="00A876F3" w:rsidRPr="0088780C" w:rsidRDefault="00A876F3" w:rsidP="000A7CC8">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05" w:type="pct"/>
            <w:shd w:val="clear" w:color="auto" w:fill="auto"/>
          </w:tcPr>
          <w:p w14:paraId="70BE063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45011C9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6B3791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E39613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3A52559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6DE9428A" w14:textId="77777777" w:rsidTr="006972AD">
        <w:tc>
          <w:tcPr>
            <w:tcW w:w="5000" w:type="pct"/>
            <w:gridSpan w:val="11"/>
            <w:shd w:val="clear" w:color="auto" w:fill="auto"/>
          </w:tcPr>
          <w:p w14:paraId="5CBA5828"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i/>
                <w:snapToGrid w:val="0"/>
                <w:color w:val="000000"/>
                <w:kern w:val="22"/>
                <w:szCs w:val="22"/>
              </w:rPr>
              <w:t>Explanation for ranking</w:t>
            </w:r>
          </w:p>
          <w:p w14:paraId="73D4E114" w14:textId="176742AE" w:rsidR="00A876F3" w:rsidRPr="0088780C" w:rsidRDefault="000A7CC8"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marine area </w:t>
            </w:r>
            <w:r w:rsidR="00A876F3" w:rsidRPr="0088780C">
              <w:rPr>
                <w:snapToGrid w:val="0"/>
                <w:kern w:val="22"/>
                <w:szCs w:val="22"/>
              </w:rPr>
              <w:t>provides suitable habitat for shad fishes, surving as a migratory corridor to the spawning g</w:t>
            </w:r>
            <w:r w:rsidRPr="0088780C">
              <w:rPr>
                <w:snapToGrid w:val="0"/>
                <w:kern w:val="22"/>
                <w:szCs w:val="22"/>
              </w:rPr>
              <w:t xml:space="preserve">rounds in the Danube River and </w:t>
            </w:r>
            <w:r w:rsidR="00A876F3" w:rsidRPr="0088780C">
              <w:rPr>
                <w:snapToGrid w:val="0"/>
                <w:kern w:val="22"/>
                <w:szCs w:val="22"/>
              </w:rPr>
              <w:t xml:space="preserve">as feeding grounds for the juvenile fish and the spawning stock after breeding. As habitat for small Black Sea cetaceans, the area offers abundant food and relatively good environmental conditions for the cetaceans to survive and thrive. During their trophic migrations the small cetaceans are </w:t>
            </w:r>
            <w:r w:rsidR="00A876F3" w:rsidRPr="0088780C">
              <w:rPr>
                <w:rFonts w:eastAsia="MS Mincho"/>
                <w:snapToGrid w:val="0"/>
                <w:kern w:val="22"/>
                <w:szCs w:val="22"/>
              </w:rPr>
              <w:t xml:space="preserve">frequently observed </w:t>
            </w:r>
            <w:r w:rsidR="00A876F3" w:rsidRPr="0088780C">
              <w:rPr>
                <w:snapToGrid w:val="0"/>
                <w:kern w:val="22"/>
                <w:szCs w:val="22"/>
              </w:rPr>
              <w:t>in the coastal waters in front of Cape</w:t>
            </w:r>
            <w:r w:rsidR="00A876F3" w:rsidRPr="0088780C">
              <w:rPr>
                <w:rFonts w:eastAsia="MS Mincho"/>
                <w:snapToGrid w:val="0"/>
                <w:kern w:val="22"/>
                <w:szCs w:val="22"/>
              </w:rPr>
              <w:t xml:space="preserve"> </w:t>
            </w:r>
            <w:r w:rsidR="00A876F3" w:rsidRPr="0088780C">
              <w:rPr>
                <w:snapToGrid w:val="0"/>
                <w:kern w:val="22"/>
                <w:szCs w:val="22"/>
              </w:rPr>
              <w:t xml:space="preserve">Kaliakra </w:t>
            </w:r>
            <w:r w:rsidR="00A876F3" w:rsidRPr="0088780C">
              <w:rPr>
                <w:rFonts w:eastAsia="MS Mincho"/>
                <w:snapToGrid w:val="0"/>
                <w:kern w:val="22"/>
                <w:szCs w:val="22"/>
              </w:rPr>
              <w:t>(pers</w:t>
            </w:r>
            <w:r w:rsidRPr="0088780C">
              <w:rPr>
                <w:rFonts w:eastAsia="MS Mincho"/>
                <w:snapToGrid w:val="0"/>
                <w:kern w:val="22"/>
                <w:szCs w:val="22"/>
              </w:rPr>
              <w:t xml:space="preserve">onal observations and personal </w:t>
            </w:r>
            <w:r w:rsidR="00A876F3" w:rsidRPr="0088780C">
              <w:rPr>
                <w:rFonts w:eastAsia="MS Mincho"/>
                <w:snapToGrid w:val="0"/>
                <w:kern w:val="22"/>
                <w:szCs w:val="22"/>
              </w:rPr>
              <w:t>communication).</w:t>
            </w:r>
          </w:p>
          <w:p w14:paraId="48CBA158"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6F98828"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snapToGrid w:val="0"/>
                <w:kern w:val="22"/>
                <w:szCs w:val="22"/>
              </w:rPr>
              <w:t xml:space="preserve">The area is an important stop-over for a number of bird species. About 80 species belonging to 37 families have been identified in the Kaliakra reserve </w:t>
            </w:r>
            <w:r w:rsidRPr="0088780C">
              <w:rPr>
                <w:rFonts w:eastAsia="MS Mincho"/>
                <w:snapToGrid w:val="0"/>
                <w:kern w:val="22"/>
                <w:szCs w:val="22"/>
              </w:rPr>
              <w:t xml:space="preserve">(Natura 2000 - Standard Data Form for SAC BG0000573). </w:t>
            </w:r>
            <w:r w:rsidRPr="0088780C">
              <w:rPr>
                <w:snapToGrid w:val="0"/>
                <w:kern w:val="22"/>
                <w:szCs w:val="22"/>
              </w:rPr>
              <w:t xml:space="preserve">The area is an important passage site for the yelkouan shearwater </w:t>
            </w:r>
            <w:r w:rsidRPr="0088780C">
              <w:rPr>
                <w:i/>
                <w:snapToGrid w:val="0"/>
                <w:kern w:val="22"/>
                <w:szCs w:val="22"/>
              </w:rPr>
              <w:t>Puffinus yelkouan</w:t>
            </w:r>
            <w:r w:rsidRPr="0088780C">
              <w:rPr>
                <w:snapToGrid w:val="0"/>
                <w:kern w:val="22"/>
                <w:szCs w:val="22"/>
              </w:rPr>
              <w:t xml:space="preserve"> during the non-breeding season (Doğa Derneği 2014). Birds from different colonies located in the Mediterranean congregate in the Black Sea during the winter period (September-December) and migrate through the coasts of Romania and Bulgaria (Doğa Derneği 2014). The area also includes the feeding sites for the Mediterranean endemic subspecies of European shag (</w:t>
            </w:r>
            <w:r w:rsidRPr="0088780C">
              <w:rPr>
                <w:i/>
                <w:snapToGrid w:val="0"/>
                <w:kern w:val="22"/>
                <w:szCs w:val="22"/>
              </w:rPr>
              <w:t xml:space="preserve">Phalacrocorax aristotelis desmarestii) </w:t>
            </w:r>
            <w:r w:rsidRPr="0088780C">
              <w:rPr>
                <w:snapToGrid w:val="0"/>
                <w:kern w:val="22"/>
                <w:szCs w:val="22"/>
              </w:rPr>
              <w:t>during the breeding season; a colony of the species can be found in the nearby coast (Doğa Derneği 2014).</w:t>
            </w:r>
          </w:p>
        </w:tc>
      </w:tr>
      <w:tr w:rsidR="00A876F3" w:rsidRPr="0088780C" w14:paraId="089C9FE1" w14:textId="77777777" w:rsidTr="006972AD">
        <w:tc>
          <w:tcPr>
            <w:tcW w:w="858" w:type="pct"/>
            <w:shd w:val="clear" w:color="auto" w:fill="auto"/>
          </w:tcPr>
          <w:p w14:paraId="28AAAA6F" w14:textId="77777777" w:rsidR="00A876F3" w:rsidRPr="0088780C" w:rsidRDefault="00A876F3" w:rsidP="000A7CC8">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05" w:type="pct"/>
            <w:shd w:val="clear" w:color="auto" w:fill="auto"/>
          </w:tcPr>
          <w:p w14:paraId="3659395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17FAAB3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686E4D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006357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093D1D6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3855F3FB" w14:textId="77777777" w:rsidTr="006972AD">
        <w:tc>
          <w:tcPr>
            <w:tcW w:w="5000" w:type="pct"/>
            <w:gridSpan w:val="11"/>
            <w:shd w:val="clear" w:color="auto" w:fill="auto"/>
          </w:tcPr>
          <w:p w14:paraId="7BAE3E1D"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6691E233"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 xml:space="preserve">The coastal rocky seabed contains significant assemblage of the piddock </w:t>
            </w:r>
            <w:r w:rsidRPr="0088780C">
              <w:rPr>
                <w:i/>
                <w:snapToGrid w:val="0"/>
                <w:kern w:val="22"/>
                <w:szCs w:val="22"/>
              </w:rPr>
              <w:t>Pholas dactylus</w:t>
            </w:r>
            <w:r w:rsidRPr="0088780C">
              <w:rPr>
                <w:snapToGrid w:val="0"/>
                <w:kern w:val="22"/>
                <w:szCs w:val="22"/>
              </w:rPr>
              <w:t>, which is a species protected by the Convention on the Conservation of European Wildlife and Natural Habitats (Bern Convention) and Barcelona Convention Protocol concerning Specially Protected Areas and Biological Diversity in the Mediterranean (SPA/BD Protocol). The marine area  contains habitat for shad fishes</w:t>
            </w:r>
            <w:r w:rsidRPr="0088780C">
              <w:rPr>
                <w:rFonts w:eastAsia="MS Mincho"/>
                <w:snapToGrid w:val="0"/>
                <w:kern w:val="22"/>
                <w:szCs w:val="22"/>
              </w:rPr>
              <w:t xml:space="preserve"> </w:t>
            </w:r>
            <w:r w:rsidRPr="0088780C">
              <w:rPr>
                <w:snapToGrid w:val="0"/>
                <w:kern w:val="22"/>
                <w:szCs w:val="22"/>
              </w:rPr>
              <w:t xml:space="preserve">that </w:t>
            </w:r>
            <w:r w:rsidRPr="0088780C">
              <w:rPr>
                <w:rFonts w:eastAsia="MS Mincho"/>
                <w:snapToGrid w:val="0"/>
                <w:kern w:val="22"/>
                <w:szCs w:val="22"/>
              </w:rPr>
              <w:t>are assessed as either endangered (</w:t>
            </w:r>
            <w:r w:rsidRPr="0088780C">
              <w:rPr>
                <w:rFonts w:eastAsia="MS Mincho"/>
                <w:i/>
                <w:snapToGrid w:val="0"/>
                <w:kern w:val="22"/>
                <w:szCs w:val="22"/>
              </w:rPr>
              <w:t>Alosa maeotica</w:t>
            </w:r>
            <w:r w:rsidRPr="0088780C">
              <w:rPr>
                <w:rFonts w:eastAsia="MS Mincho"/>
                <w:snapToGrid w:val="0"/>
                <w:kern w:val="22"/>
                <w:szCs w:val="22"/>
              </w:rPr>
              <w:t>) or vulnerable (</w:t>
            </w:r>
            <w:r w:rsidRPr="0088780C">
              <w:rPr>
                <w:rFonts w:eastAsia="MS Mincho"/>
                <w:i/>
                <w:snapToGrid w:val="0"/>
                <w:kern w:val="22"/>
                <w:szCs w:val="22"/>
              </w:rPr>
              <w:t>A. pontica, A. caspia</w:t>
            </w:r>
            <w:r w:rsidRPr="0088780C">
              <w:rPr>
                <w:rFonts w:eastAsia="MS Mincho"/>
                <w:snapToGrid w:val="0"/>
                <w:kern w:val="22"/>
                <w:szCs w:val="22"/>
              </w:rPr>
              <w:t>) in the Bulgarian Black Sea (BAS and MOEW, 2015).</w:t>
            </w:r>
          </w:p>
          <w:p w14:paraId="059FBC7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C0EA17C"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A globally threatened seabird species listed as vulnerable by IUCN, yelkouan shearwater (</w:t>
            </w:r>
            <w:r w:rsidRPr="0088780C">
              <w:rPr>
                <w:i/>
                <w:snapToGrid w:val="0"/>
                <w:kern w:val="22"/>
                <w:szCs w:val="22"/>
              </w:rPr>
              <w:t>Puffinus yelkouan),</w:t>
            </w:r>
            <w:r w:rsidRPr="0088780C">
              <w:rPr>
                <w:snapToGrid w:val="0"/>
                <w:kern w:val="22"/>
                <w:szCs w:val="22"/>
              </w:rPr>
              <w:t xml:space="preserve"> is known to occur in the area (BirdLife International 2017). The known distribution range of other two species also overlaps with the site: velvet scoter (</w:t>
            </w:r>
            <w:r w:rsidRPr="0088780C">
              <w:rPr>
                <w:i/>
                <w:snapToGrid w:val="0"/>
                <w:kern w:val="22"/>
                <w:szCs w:val="22"/>
              </w:rPr>
              <w:t>Melanitta fusca)</w:t>
            </w:r>
            <w:r w:rsidRPr="0088780C">
              <w:rPr>
                <w:snapToGrid w:val="0"/>
                <w:kern w:val="22"/>
                <w:szCs w:val="22"/>
              </w:rPr>
              <w:t xml:space="preserve"> and horned grebe (</w:t>
            </w:r>
            <w:r w:rsidRPr="0088780C">
              <w:rPr>
                <w:i/>
                <w:snapToGrid w:val="0"/>
                <w:kern w:val="22"/>
                <w:szCs w:val="22"/>
              </w:rPr>
              <w:t>Podiceps auritus)</w:t>
            </w:r>
            <w:r w:rsidRPr="0088780C">
              <w:rPr>
                <w:snapToGrid w:val="0"/>
                <w:kern w:val="22"/>
                <w:szCs w:val="22"/>
              </w:rPr>
              <w:t xml:space="preserve"> (Figure 2). All these species are also included in Annex I of the EU Birds Directive, as are the slender-billed gull (</w:t>
            </w:r>
            <w:r w:rsidRPr="0088780C">
              <w:rPr>
                <w:i/>
                <w:snapToGrid w:val="0"/>
                <w:kern w:val="22"/>
                <w:szCs w:val="22"/>
              </w:rPr>
              <w:t>Larus genei)</w:t>
            </w:r>
            <w:r w:rsidRPr="0088780C">
              <w:rPr>
                <w:snapToGrid w:val="0"/>
                <w:kern w:val="22"/>
                <w:szCs w:val="22"/>
              </w:rPr>
              <w:t>, Mediterranean gull (</w:t>
            </w:r>
            <w:r w:rsidRPr="0088780C">
              <w:rPr>
                <w:i/>
                <w:snapToGrid w:val="0"/>
                <w:kern w:val="22"/>
                <w:szCs w:val="22"/>
              </w:rPr>
              <w:t>Larus melanocephalus)</w:t>
            </w:r>
            <w:r w:rsidRPr="0088780C">
              <w:rPr>
                <w:snapToGrid w:val="0"/>
                <w:kern w:val="22"/>
                <w:szCs w:val="22"/>
              </w:rPr>
              <w:t>, Mediterranean shag (</w:t>
            </w:r>
            <w:r w:rsidRPr="0088780C">
              <w:rPr>
                <w:i/>
                <w:snapToGrid w:val="0"/>
                <w:kern w:val="22"/>
                <w:szCs w:val="22"/>
              </w:rPr>
              <w:t>Phalacrocorax aristotelis desmarestii)</w:t>
            </w:r>
            <w:r w:rsidRPr="0088780C">
              <w:rPr>
                <w:snapToGrid w:val="0"/>
                <w:kern w:val="22"/>
                <w:szCs w:val="22"/>
              </w:rPr>
              <w:t xml:space="preserve"> and common tern (</w:t>
            </w:r>
            <w:r w:rsidRPr="0088780C">
              <w:rPr>
                <w:i/>
                <w:snapToGrid w:val="0"/>
                <w:kern w:val="22"/>
                <w:szCs w:val="22"/>
              </w:rPr>
              <w:t>Sterna hirundo)</w:t>
            </w:r>
            <w:r w:rsidRPr="0088780C">
              <w:rPr>
                <w:snapToGrid w:val="0"/>
                <w:kern w:val="22"/>
                <w:szCs w:val="22"/>
              </w:rPr>
              <w:t>.</w:t>
            </w:r>
          </w:p>
        </w:tc>
      </w:tr>
      <w:tr w:rsidR="00A876F3" w:rsidRPr="0088780C" w14:paraId="73E487B8" w14:textId="77777777" w:rsidTr="006972AD">
        <w:tc>
          <w:tcPr>
            <w:tcW w:w="858" w:type="pct"/>
            <w:shd w:val="clear" w:color="auto" w:fill="auto"/>
          </w:tcPr>
          <w:p w14:paraId="547DA72B" w14:textId="77777777" w:rsidR="00A876F3" w:rsidRPr="0088780C" w:rsidRDefault="00A876F3" w:rsidP="000A7CC8">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05" w:type="pct"/>
            <w:shd w:val="clear" w:color="auto" w:fill="auto"/>
          </w:tcPr>
          <w:p w14:paraId="7383054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046F04F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21D13E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090440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2" w:type="pct"/>
            <w:gridSpan w:val="2"/>
            <w:shd w:val="clear" w:color="auto" w:fill="auto"/>
          </w:tcPr>
          <w:p w14:paraId="598F921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12654A66" w14:textId="77777777" w:rsidTr="006972AD">
        <w:tc>
          <w:tcPr>
            <w:tcW w:w="5000" w:type="pct"/>
            <w:gridSpan w:val="11"/>
            <w:shd w:val="clear" w:color="auto" w:fill="auto"/>
          </w:tcPr>
          <w:p w14:paraId="2137985B"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i/>
                <w:snapToGrid w:val="0"/>
                <w:color w:val="000000"/>
                <w:kern w:val="22"/>
                <w:szCs w:val="22"/>
              </w:rPr>
              <w:t>Explanation for ranking</w:t>
            </w:r>
          </w:p>
          <w:p w14:paraId="6CDC8DEF" w14:textId="2BCA90B6"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The marine area contains infralittoral</w:t>
            </w:r>
            <w:r w:rsidRPr="0088780C">
              <w:rPr>
                <w:i/>
                <w:snapToGrid w:val="0"/>
                <w:kern w:val="22"/>
                <w:szCs w:val="22"/>
              </w:rPr>
              <w:t xml:space="preserve"> </w:t>
            </w:r>
            <w:r w:rsidRPr="0088780C">
              <w:rPr>
                <w:snapToGrid w:val="0"/>
                <w:kern w:val="22"/>
                <w:szCs w:val="22"/>
              </w:rPr>
              <w:t>rocky bottom overgrown by perennial brown macroalgae Cystoseira spp. and the red alga</w:t>
            </w:r>
            <w:r w:rsidRPr="0088780C">
              <w:rPr>
                <w:i/>
                <w:snapToGrid w:val="0"/>
                <w:kern w:val="22"/>
                <w:szCs w:val="22"/>
              </w:rPr>
              <w:t xml:space="preserve"> Phyllophora crispa., </w:t>
            </w:r>
            <w:r w:rsidRPr="0088780C">
              <w:rPr>
                <w:snapToGrid w:val="0"/>
                <w:kern w:val="22"/>
                <w:szCs w:val="22"/>
              </w:rPr>
              <w:t xml:space="preserve">which require high water transparency and are therefore sensitive to eutrophication </w:t>
            </w:r>
            <w:r w:rsidRPr="0088780C">
              <w:rPr>
                <w:rFonts w:eastAsia="MS Mincho"/>
                <w:snapToGrid w:val="0"/>
                <w:kern w:val="22"/>
                <w:szCs w:val="22"/>
              </w:rPr>
              <w:t xml:space="preserve">(Natura 2000 - Standard Data Form for SAC BG0000573). The marine area contains a large proportion of a population of </w:t>
            </w:r>
            <w:r w:rsidRPr="0088780C">
              <w:rPr>
                <w:rFonts w:eastAsia="MS Mincho"/>
                <w:i/>
                <w:snapToGrid w:val="0"/>
                <w:kern w:val="22"/>
                <w:szCs w:val="22"/>
              </w:rPr>
              <w:t xml:space="preserve">Pholas dactylus, </w:t>
            </w:r>
            <w:r w:rsidRPr="0088780C">
              <w:rPr>
                <w:rFonts w:eastAsia="MS Mincho"/>
                <w:snapToGrid w:val="0"/>
                <w:kern w:val="22"/>
                <w:szCs w:val="22"/>
              </w:rPr>
              <w:t>which is sensitive to habitat loss and degradation due to sealing/smothering of the natural seabed by coastal construction.</w:t>
            </w:r>
          </w:p>
          <w:p w14:paraId="643DF079"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73F4C77"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snapToGrid w:val="0"/>
                <w:kern w:val="22"/>
                <w:szCs w:val="22"/>
              </w:rPr>
              <w:t>The vulnerable yelkouan shearwater is a long-lived species, with low fecundity rates and delayed sexual maturity. As such, the yelkouan shearwater is particularly vulnerable to factors increasing adult mortality rates, such as by-catch in fisheries and other at-sea threats, which are often the major causes of population decline (Anderson et al. 2011; Oppel et al. 2011).</w:t>
            </w:r>
          </w:p>
        </w:tc>
      </w:tr>
      <w:tr w:rsidR="00A876F3" w:rsidRPr="0088780C" w14:paraId="4269A35B" w14:textId="77777777" w:rsidTr="006972AD">
        <w:tc>
          <w:tcPr>
            <w:tcW w:w="858" w:type="pct"/>
            <w:shd w:val="clear" w:color="auto" w:fill="auto"/>
          </w:tcPr>
          <w:p w14:paraId="52E3E46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05" w:type="pct"/>
            <w:shd w:val="clear" w:color="auto" w:fill="auto"/>
          </w:tcPr>
          <w:p w14:paraId="0BBD0EF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6EF4F12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10" w:type="pct"/>
            <w:gridSpan w:val="2"/>
            <w:shd w:val="clear" w:color="auto" w:fill="auto"/>
          </w:tcPr>
          <w:p w14:paraId="45D3441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4E752A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495AFB5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21F42AED" w14:textId="77777777" w:rsidTr="006972AD">
        <w:tc>
          <w:tcPr>
            <w:tcW w:w="5000" w:type="pct"/>
            <w:gridSpan w:val="11"/>
            <w:shd w:val="clear" w:color="auto" w:fill="auto"/>
          </w:tcPr>
          <w:p w14:paraId="69ACB6F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r>
      <w:tr w:rsidR="00A876F3" w:rsidRPr="0088780C" w14:paraId="558F2FAC" w14:textId="77777777" w:rsidTr="006972AD">
        <w:tc>
          <w:tcPr>
            <w:tcW w:w="858" w:type="pct"/>
            <w:shd w:val="clear" w:color="auto" w:fill="auto"/>
          </w:tcPr>
          <w:p w14:paraId="2F1F8FF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05" w:type="pct"/>
            <w:shd w:val="clear" w:color="auto" w:fill="auto"/>
          </w:tcPr>
          <w:p w14:paraId="68E3476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7237359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B10201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4AC401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1F247AF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5B4FEFF1" w14:textId="77777777" w:rsidTr="006972AD">
        <w:tc>
          <w:tcPr>
            <w:tcW w:w="5000" w:type="pct"/>
            <w:gridSpan w:val="11"/>
            <w:shd w:val="clear" w:color="auto" w:fill="auto"/>
          </w:tcPr>
          <w:p w14:paraId="7124CBAC"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2BA67ECB" w14:textId="00CC0AED"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marine part of the site includes a variety of Natura 2000 marine habitat types: 1110 sandbanks, which are partially covered by sea water all the time; 1170 reefs; and 8330 submerged or partially submerged sea caves. The Special Area of Conservation BG0000573 includes 8.5% of the national coverage of the habitat type 1110, represented by several typical biotopes </w:t>
            </w:r>
            <w:r w:rsidR="00D8482D" w:rsidRPr="0088780C">
              <w:rPr>
                <w:rFonts w:eastAsia="MS Mincho"/>
                <w:snapToGrid w:val="0"/>
                <w:color w:val="000000"/>
                <w:kern w:val="22"/>
                <w:szCs w:val="22"/>
              </w:rPr>
              <w:t>“</w:t>
            </w:r>
            <w:r w:rsidRPr="0088780C">
              <w:rPr>
                <w:rFonts w:eastAsia="MS Mincho"/>
                <w:snapToGrid w:val="0"/>
                <w:color w:val="000000"/>
                <w:kern w:val="22"/>
                <w:szCs w:val="22"/>
              </w:rPr>
              <w:t xml:space="preserve">Fine and medium sands with </w:t>
            </w:r>
            <w:r w:rsidRPr="0088780C">
              <w:rPr>
                <w:rFonts w:eastAsia="MS Mincho"/>
                <w:i/>
                <w:snapToGrid w:val="0"/>
                <w:color w:val="000000"/>
                <w:kern w:val="22"/>
                <w:szCs w:val="22"/>
              </w:rPr>
              <w:t>Lentidium mediterraneum</w:t>
            </w:r>
            <w:r w:rsidR="00D8482D" w:rsidRPr="0088780C">
              <w:rPr>
                <w:rFonts w:eastAsia="MS Mincho"/>
                <w:snapToGrid w:val="0"/>
                <w:color w:val="000000"/>
                <w:kern w:val="22"/>
                <w:szCs w:val="22"/>
              </w:rPr>
              <w:t>”</w:t>
            </w:r>
            <w:r w:rsidRPr="0088780C">
              <w:rPr>
                <w:rFonts w:eastAsia="MS Mincho"/>
                <w:snapToGrid w:val="0"/>
                <w:color w:val="000000"/>
                <w:kern w:val="22"/>
                <w:szCs w:val="22"/>
              </w:rPr>
              <w:t xml:space="preserve">, </w:t>
            </w:r>
            <w:r w:rsidR="00D8482D" w:rsidRPr="0088780C">
              <w:rPr>
                <w:rFonts w:eastAsia="MS Mincho"/>
                <w:snapToGrid w:val="0"/>
                <w:color w:val="000000"/>
                <w:kern w:val="22"/>
                <w:szCs w:val="22"/>
              </w:rPr>
              <w:t>“</w:t>
            </w:r>
            <w:r w:rsidRPr="0088780C">
              <w:rPr>
                <w:rFonts w:eastAsia="MS Mincho"/>
                <w:snapToGrid w:val="0"/>
                <w:color w:val="000000"/>
                <w:kern w:val="22"/>
                <w:szCs w:val="22"/>
              </w:rPr>
              <w:t xml:space="preserve">Sands and silty sands with </w:t>
            </w:r>
            <w:r w:rsidRPr="0088780C">
              <w:rPr>
                <w:rFonts w:eastAsia="MS Mincho"/>
                <w:i/>
                <w:snapToGrid w:val="0"/>
                <w:color w:val="000000"/>
                <w:kern w:val="22"/>
                <w:szCs w:val="22"/>
              </w:rPr>
              <w:t>Chamelea gallina</w:t>
            </w:r>
            <w:r w:rsidR="00D8482D" w:rsidRPr="0088780C">
              <w:rPr>
                <w:rFonts w:eastAsia="MS Mincho"/>
                <w:snapToGrid w:val="0"/>
                <w:color w:val="000000"/>
                <w:kern w:val="22"/>
                <w:szCs w:val="22"/>
              </w:rPr>
              <w:t>”</w:t>
            </w:r>
            <w:r w:rsidRPr="0088780C">
              <w:rPr>
                <w:rFonts w:eastAsia="MS Mincho"/>
                <w:snapToGrid w:val="0"/>
                <w:color w:val="000000"/>
                <w:kern w:val="22"/>
                <w:szCs w:val="22"/>
              </w:rPr>
              <w:t xml:space="preserve"> and </w:t>
            </w:r>
            <w:r w:rsidR="00D8482D" w:rsidRPr="0088780C">
              <w:rPr>
                <w:rFonts w:eastAsia="MS Mincho"/>
                <w:snapToGrid w:val="0"/>
                <w:color w:val="000000"/>
                <w:kern w:val="22"/>
                <w:szCs w:val="22"/>
              </w:rPr>
              <w:t>“</w:t>
            </w:r>
            <w:r w:rsidRPr="0088780C">
              <w:rPr>
                <w:rFonts w:eastAsia="MS Mincho"/>
                <w:snapToGrid w:val="0"/>
                <w:color w:val="000000"/>
                <w:kern w:val="22"/>
                <w:szCs w:val="22"/>
              </w:rPr>
              <w:t xml:space="preserve">Silty sands with </w:t>
            </w:r>
            <w:r w:rsidRPr="0088780C">
              <w:rPr>
                <w:rFonts w:eastAsia="MS Mincho"/>
                <w:i/>
                <w:snapToGrid w:val="0"/>
                <w:color w:val="000000"/>
                <w:kern w:val="22"/>
                <w:szCs w:val="22"/>
              </w:rPr>
              <w:t>Upogebia pusilla</w:t>
            </w:r>
            <w:r w:rsidR="00D8482D" w:rsidRPr="0088780C">
              <w:rPr>
                <w:rFonts w:eastAsia="MS Mincho"/>
                <w:snapToGrid w:val="0"/>
                <w:color w:val="000000"/>
                <w:kern w:val="22"/>
                <w:szCs w:val="22"/>
              </w:rPr>
              <w:t>”</w:t>
            </w:r>
            <w:r w:rsidRPr="0088780C">
              <w:rPr>
                <w:rFonts w:eastAsia="MS Mincho"/>
                <w:snapToGrid w:val="0"/>
                <w:color w:val="000000"/>
                <w:kern w:val="22"/>
                <w:szCs w:val="22"/>
              </w:rPr>
              <w:t xml:space="preserve"> (information on Natura 2000 marine habitat types is available at: </w:t>
            </w:r>
            <w:hyperlink r:id="rId75" w:history="1">
              <w:r w:rsidRPr="0088780C">
                <w:rPr>
                  <w:rStyle w:val="Hyperlink"/>
                  <w:rFonts w:eastAsia="MS Mincho"/>
                  <w:snapToGrid w:val="0"/>
                  <w:kern w:val="22"/>
                  <w:szCs w:val="22"/>
                </w:rPr>
                <w:t>http://ec.europa.eu/environment/nature/natura2000/marine/docs/appendix_1_habitat.pdf</w:t>
              </w:r>
            </w:hyperlink>
            <w:r w:rsidRPr="0088780C">
              <w:rPr>
                <w:rFonts w:eastAsia="MS Mincho"/>
                <w:snapToGrid w:val="0"/>
                <w:color w:val="000000"/>
                <w:kern w:val="22"/>
                <w:szCs w:val="22"/>
              </w:rPr>
              <w:t xml:space="preserve">). In places protected from the sea waves along the coast west of Cape Kaliakra (Kavarna, White Lagoon) underwater meadows with the dwarf eelgrass </w:t>
            </w:r>
            <w:r w:rsidRPr="0088780C">
              <w:rPr>
                <w:rFonts w:eastAsia="MS Mincho"/>
                <w:i/>
                <w:snapToGrid w:val="0"/>
                <w:color w:val="000000"/>
                <w:kern w:val="22"/>
                <w:szCs w:val="22"/>
              </w:rPr>
              <w:t>Zostera noltii</w:t>
            </w:r>
            <w:r w:rsidRPr="0088780C">
              <w:rPr>
                <w:rFonts w:eastAsia="MS Mincho"/>
                <w:snapToGrid w:val="0"/>
                <w:color w:val="000000"/>
                <w:kern w:val="22"/>
                <w:szCs w:val="22"/>
              </w:rPr>
              <w:t xml:space="preserve"> occur, and the constructed jetties and piers create favourable conditions for the development of marine grasses. The rocky reefs are represented by a variety of biotopes, including those with high conservation significance, such as the communities of perennial brown algae of the genus Cystoseira on infralittoral rocky bottom. In the lower infralittoral, the red algae </w:t>
            </w:r>
            <w:r w:rsidRPr="0088780C">
              <w:rPr>
                <w:rFonts w:eastAsia="MS Mincho"/>
                <w:i/>
                <w:snapToGrid w:val="0"/>
                <w:color w:val="000000"/>
                <w:kern w:val="22"/>
                <w:szCs w:val="22"/>
              </w:rPr>
              <w:t>Phyllophora crispa</w:t>
            </w:r>
            <w:r w:rsidRPr="0088780C">
              <w:rPr>
                <w:rFonts w:eastAsia="MS Mincho"/>
                <w:snapToGrid w:val="0"/>
                <w:color w:val="000000"/>
                <w:kern w:val="22"/>
                <w:szCs w:val="22"/>
              </w:rPr>
              <w:t xml:space="preserve"> is present (Todorova et al., 2008, 2012).</w:t>
            </w:r>
          </w:p>
          <w:p w14:paraId="2D5B0E95"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194B45F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Soft limestones and marls are inhabited by populations of </w:t>
            </w:r>
            <w:r w:rsidRPr="0088780C">
              <w:rPr>
                <w:rFonts w:eastAsia="MS Mincho"/>
                <w:i/>
                <w:snapToGrid w:val="0"/>
                <w:color w:val="000000"/>
                <w:kern w:val="22"/>
                <w:szCs w:val="22"/>
              </w:rPr>
              <w:t>Pholas dactylus</w:t>
            </w:r>
            <w:r w:rsidRPr="0088780C">
              <w:rPr>
                <w:rFonts w:eastAsia="MS Mincho"/>
                <w:snapToGrid w:val="0"/>
                <w:color w:val="000000"/>
                <w:kern w:val="22"/>
                <w:szCs w:val="22"/>
              </w:rPr>
              <w:t xml:space="preserve">, species protected by the Bern Convention. Another present biotope, a subtype of habitat 1170, are mussel beds of </w:t>
            </w:r>
            <w:r w:rsidRPr="0088780C">
              <w:rPr>
                <w:rFonts w:eastAsia="MS Mincho"/>
                <w:i/>
                <w:snapToGrid w:val="0"/>
                <w:color w:val="000000"/>
                <w:kern w:val="22"/>
                <w:szCs w:val="22"/>
              </w:rPr>
              <w:t>Mytilus galloprovincialis</w:t>
            </w:r>
            <w:r w:rsidRPr="0088780C">
              <w:rPr>
                <w:rFonts w:eastAsia="MS Mincho"/>
                <w:snapToGrid w:val="0"/>
                <w:color w:val="000000"/>
                <w:kern w:val="22"/>
                <w:szCs w:val="22"/>
              </w:rPr>
              <w:t xml:space="preserve"> on sediment (Todorova et al., 2008, 2012).</w:t>
            </w:r>
          </w:p>
          <w:p w14:paraId="77C8EF45"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72902DA3"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Fishes occurring in the area include: </w:t>
            </w:r>
            <w:r w:rsidRPr="0088780C">
              <w:rPr>
                <w:rFonts w:eastAsia="MS Mincho"/>
                <w:i/>
                <w:snapToGrid w:val="0"/>
                <w:color w:val="000000"/>
                <w:kern w:val="22"/>
                <w:szCs w:val="22"/>
              </w:rPr>
              <w:t>Alosa immaculata, Alosa tanaica, Acipenser gueldenstaedtii</w:t>
            </w:r>
            <w:r w:rsidRPr="0088780C">
              <w:rPr>
                <w:rFonts w:eastAsia="MS Mincho"/>
                <w:snapToGrid w:val="0"/>
                <w:color w:val="000000"/>
                <w:kern w:val="22"/>
                <w:szCs w:val="22"/>
              </w:rPr>
              <w:t xml:space="preserve"> (rare), </w:t>
            </w:r>
            <w:r w:rsidRPr="0088780C">
              <w:rPr>
                <w:rFonts w:eastAsia="MS Mincho"/>
                <w:i/>
                <w:snapToGrid w:val="0"/>
                <w:color w:val="000000"/>
                <w:kern w:val="22"/>
                <w:szCs w:val="22"/>
              </w:rPr>
              <w:t>Acipenser stellatus</w:t>
            </w:r>
            <w:r w:rsidRPr="0088780C">
              <w:rPr>
                <w:rFonts w:eastAsia="MS Mincho"/>
                <w:snapToGrid w:val="0"/>
                <w:color w:val="000000"/>
                <w:kern w:val="22"/>
                <w:szCs w:val="22"/>
              </w:rPr>
              <w:t xml:space="preserve"> (very rare), </w:t>
            </w:r>
            <w:r w:rsidRPr="0088780C">
              <w:rPr>
                <w:rFonts w:eastAsia="MS Mincho"/>
                <w:i/>
                <w:snapToGrid w:val="0"/>
                <w:color w:val="000000"/>
                <w:kern w:val="22"/>
                <w:szCs w:val="22"/>
              </w:rPr>
              <w:t>Huso huso</w:t>
            </w:r>
            <w:r w:rsidRPr="0088780C">
              <w:rPr>
                <w:rFonts w:eastAsia="MS Mincho"/>
                <w:snapToGrid w:val="0"/>
                <w:color w:val="000000"/>
                <w:kern w:val="22"/>
                <w:szCs w:val="22"/>
              </w:rPr>
              <w:t xml:space="preserve"> (rare), </w:t>
            </w:r>
            <w:r w:rsidRPr="0088780C">
              <w:rPr>
                <w:rFonts w:eastAsia="MS Mincho"/>
                <w:i/>
                <w:snapToGrid w:val="0"/>
                <w:color w:val="000000"/>
                <w:kern w:val="22"/>
                <w:szCs w:val="22"/>
              </w:rPr>
              <w:t>Anguilla anguilla</w:t>
            </w:r>
            <w:r w:rsidRPr="0088780C">
              <w:rPr>
                <w:rFonts w:eastAsia="MS Mincho"/>
                <w:snapToGrid w:val="0"/>
                <w:color w:val="000000"/>
                <w:kern w:val="22"/>
                <w:szCs w:val="22"/>
              </w:rPr>
              <w:t xml:space="preserve"> (very rare), </w:t>
            </w:r>
            <w:r w:rsidRPr="0088780C">
              <w:rPr>
                <w:rFonts w:eastAsia="MS Mincho"/>
                <w:i/>
                <w:snapToGrid w:val="0"/>
                <w:color w:val="000000"/>
                <w:kern w:val="22"/>
                <w:szCs w:val="22"/>
              </w:rPr>
              <w:t>Arnoglossus kessleri</w:t>
            </w:r>
            <w:r w:rsidRPr="0088780C">
              <w:rPr>
                <w:rFonts w:eastAsia="MS Mincho"/>
                <w:snapToGrid w:val="0"/>
                <w:color w:val="000000"/>
                <w:kern w:val="22"/>
                <w:szCs w:val="22"/>
              </w:rPr>
              <w:t xml:space="preserve"> (very rare), </w:t>
            </w:r>
            <w:r w:rsidRPr="0088780C">
              <w:rPr>
                <w:rFonts w:eastAsia="MS Mincho"/>
                <w:i/>
                <w:snapToGrid w:val="0"/>
                <w:color w:val="000000"/>
                <w:kern w:val="22"/>
                <w:szCs w:val="22"/>
              </w:rPr>
              <w:t>Dasyatis pastinaca</w:t>
            </w:r>
            <w:r w:rsidRPr="0088780C">
              <w:rPr>
                <w:rFonts w:eastAsia="MS Mincho"/>
                <w:snapToGrid w:val="0"/>
                <w:color w:val="000000"/>
                <w:kern w:val="22"/>
                <w:szCs w:val="22"/>
              </w:rPr>
              <w:t xml:space="preserve"> (rare), </w:t>
            </w:r>
            <w:r w:rsidRPr="0088780C">
              <w:rPr>
                <w:rFonts w:eastAsia="MS Mincho"/>
                <w:i/>
                <w:snapToGrid w:val="0"/>
                <w:color w:val="000000"/>
                <w:kern w:val="22"/>
                <w:szCs w:val="22"/>
              </w:rPr>
              <w:t>Gobius paganellus</w:t>
            </w:r>
            <w:r w:rsidRPr="0088780C">
              <w:rPr>
                <w:rFonts w:eastAsia="MS Mincho"/>
                <w:snapToGrid w:val="0"/>
                <w:color w:val="000000"/>
                <w:kern w:val="22"/>
                <w:szCs w:val="22"/>
              </w:rPr>
              <w:t xml:space="preserve"> (rare), </w:t>
            </w:r>
            <w:r w:rsidRPr="0088780C">
              <w:rPr>
                <w:rFonts w:eastAsia="MS Mincho"/>
                <w:i/>
                <w:snapToGrid w:val="0"/>
                <w:color w:val="000000"/>
                <w:kern w:val="22"/>
                <w:szCs w:val="22"/>
              </w:rPr>
              <w:t>Raja clavate</w:t>
            </w:r>
            <w:r w:rsidRPr="0088780C">
              <w:rPr>
                <w:rFonts w:eastAsia="MS Mincho"/>
                <w:snapToGrid w:val="0"/>
                <w:color w:val="000000"/>
                <w:kern w:val="22"/>
                <w:szCs w:val="22"/>
              </w:rPr>
              <w:t xml:space="preserve"> (rare), </w:t>
            </w:r>
            <w:r w:rsidRPr="0088780C">
              <w:rPr>
                <w:rFonts w:eastAsia="MS Mincho"/>
                <w:i/>
                <w:snapToGrid w:val="0"/>
                <w:color w:val="000000"/>
                <w:kern w:val="22"/>
                <w:szCs w:val="22"/>
              </w:rPr>
              <w:t>Salmo trutta labrax</w:t>
            </w:r>
            <w:r w:rsidRPr="0088780C">
              <w:rPr>
                <w:rFonts w:eastAsia="MS Mincho"/>
                <w:snapToGrid w:val="0"/>
                <w:color w:val="000000"/>
                <w:kern w:val="22"/>
                <w:szCs w:val="22"/>
              </w:rPr>
              <w:t xml:space="preserve"> (very rare), </w:t>
            </w:r>
            <w:r w:rsidRPr="0088780C">
              <w:rPr>
                <w:rFonts w:eastAsia="MS Mincho"/>
                <w:i/>
                <w:snapToGrid w:val="0"/>
                <w:color w:val="000000"/>
                <w:kern w:val="22"/>
                <w:szCs w:val="22"/>
              </w:rPr>
              <w:t>Sciaena umbra</w:t>
            </w:r>
            <w:r w:rsidRPr="0088780C">
              <w:rPr>
                <w:rFonts w:eastAsia="MS Mincho"/>
                <w:snapToGrid w:val="0"/>
                <w:color w:val="000000"/>
                <w:kern w:val="22"/>
                <w:szCs w:val="22"/>
              </w:rPr>
              <w:t xml:space="preserve"> (rare), </w:t>
            </w:r>
            <w:r w:rsidRPr="0088780C">
              <w:rPr>
                <w:rFonts w:eastAsia="MS Mincho"/>
                <w:i/>
                <w:snapToGrid w:val="0"/>
                <w:color w:val="000000"/>
                <w:kern w:val="22"/>
                <w:szCs w:val="22"/>
              </w:rPr>
              <w:t>Scomber scombrus</w:t>
            </w:r>
            <w:r w:rsidRPr="0088780C">
              <w:rPr>
                <w:rFonts w:eastAsia="MS Mincho"/>
                <w:snapToGrid w:val="0"/>
                <w:color w:val="000000"/>
                <w:kern w:val="22"/>
                <w:szCs w:val="22"/>
              </w:rPr>
              <w:t xml:space="preserve"> (very rare), </w:t>
            </w:r>
            <w:r w:rsidRPr="0088780C">
              <w:rPr>
                <w:rFonts w:eastAsia="MS Mincho"/>
                <w:i/>
                <w:snapToGrid w:val="0"/>
                <w:color w:val="000000"/>
                <w:kern w:val="22"/>
                <w:szCs w:val="22"/>
              </w:rPr>
              <w:t>Squalus acanthias</w:t>
            </w:r>
            <w:r w:rsidRPr="0088780C">
              <w:rPr>
                <w:rFonts w:eastAsia="MS Mincho"/>
                <w:snapToGrid w:val="0"/>
                <w:color w:val="000000"/>
                <w:kern w:val="22"/>
                <w:szCs w:val="22"/>
              </w:rPr>
              <w:t xml:space="preserve"> (rare), </w:t>
            </w:r>
            <w:r w:rsidRPr="0088780C">
              <w:rPr>
                <w:rFonts w:eastAsia="MS Mincho"/>
                <w:i/>
                <w:snapToGrid w:val="0"/>
                <w:color w:val="000000"/>
                <w:kern w:val="22"/>
                <w:szCs w:val="22"/>
              </w:rPr>
              <w:t>Umbrina cirrosa</w:t>
            </w:r>
            <w:r w:rsidRPr="0088780C">
              <w:rPr>
                <w:rFonts w:eastAsia="MS Mincho"/>
                <w:snapToGrid w:val="0"/>
                <w:color w:val="000000"/>
                <w:kern w:val="22"/>
                <w:szCs w:val="22"/>
              </w:rPr>
              <w:t xml:space="preserve"> (very rare), </w:t>
            </w:r>
            <w:r w:rsidRPr="0088780C">
              <w:rPr>
                <w:rFonts w:eastAsia="MS Mincho"/>
                <w:i/>
                <w:snapToGrid w:val="0"/>
                <w:color w:val="000000"/>
                <w:kern w:val="22"/>
                <w:szCs w:val="22"/>
              </w:rPr>
              <w:t>Zeus faber</w:t>
            </w:r>
            <w:r w:rsidRPr="0088780C">
              <w:rPr>
                <w:rFonts w:eastAsia="MS Mincho"/>
                <w:snapToGrid w:val="0"/>
                <w:color w:val="000000"/>
                <w:kern w:val="22"/>
                <w:szCs w:val="22"/>
              </w:rPr>
              <w:t xml:space="preserve"> (very rare) </w:t>
            </w:r>
            <w:r w:rsidRPr="0088780C">
              <w:rPr>
                <w:rFonts w:eastAsia="MS Mincho"/>
                <w:snapToGrid w:val="0"/>
                <w:kern w:val="22"/>
                <w:szCs w:val="22"/>
              </w:rPr>
              <w:t>(Natura 2000 – Standard Data Form for SAC BG0000573)</w:t>
            </w:r>
            <w:r w:rsidRPr="0088780C">
              <w:rPr>
                <w:rFonts w:eastAsia="MS Mincho"/>
                <w:snapToGrid w:val="0"/>
                <w:color w:val="000000"/>
                <w:kern w:val="22"/>
                <w:szCs w:val="22"/>
              </w:rPr>
              <w:t>.</w:t>
            </w:r>
          </w:p>
          <w:p w14:paraId="2033C4EC"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7D164B3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snapToGrid w:val="0"/>
                <w:color w:val="000000"/>
                <w:kern w:val="22"/>
                <w:szCs w:val="22"/>
              </w:rPr>
              <w:t>Three small cetacean species encountered in the Black sea are present in the area</w:t>
            </w:r>
            <w:r w:rsidRPr="0088780C">
              <w:rPr>
                <w:rFonts w:eastAsia="MS Mincho"/>
                <w:snapToGrid w:val="0"/>
                <w:kern w:val="22"/>
                <w:szCs w:val="22"/>
              </w:rPr>
              <w:t xml:space="preserve"> (Natura 2000 – Standard Data Form for SAC BG0000573). </w:t>
            </w:r>
            <w:r w:rsidRPr="0088780C">
              <w:rPr>
                <w:snapToGrid w:val="0"/>
                <w:kern w:val="22"/>
                <w:szCs w:val="22"/>
              </w:rPr>
              <w:t>According to the IUCN Red List,</w:t>
            </w:r>
            <w:r w:rsidRPr="0088780C">
              <w:rPr>
                <w:i/>
                <w:snapToGrid w:val="0"/>
                <w:kern w:val="22"/>
                <w:szCs w:val="22"/>
              </w:rPr>
              <w:t xml:space="preserve"> Tursiops truncatus</w:t>
            </w:r>
            <w:r w:rsidRPr="0088780C">
              <w:rPr>
                <w:snapToGrid w:val="0"/>
                <w:kern w:val="22"/>
                <w:szCs w:val="22"/>
              </w:rPr>
              <w:t xml:space="preserve"> </w:t>
            </w:r>
            <w:r w:rsidRPr="0088780C">
              <w:rPr>
                <w:bCs/>
                <w:i/>
                <w:snapToGrid w:val="0"/>
                <w:kern w:val="22"/>
                <w:szCs w:val="22"/>
              </w:rPr>
              <w:t>ponticus</w:t>
            </w:r>
            <w:r w:rsidRPr="0088780C">
              <w:rPr>
                <w:bCs/>
                <w:snapToGrid w:val="0"/>
                <w:kern w:val="22"/>
                <w:szCs w:val="22"/>
              </w:rPr>
              <w:t xml:space="preserve"> </w:t>
            </w:r>
            <w:r w:rsidRPr="0088780C">
              <w:rPr>
                <w:snapToGrid w:val="0"/>
                <w:kern w:val="22"/>
                <w:szCs w:val="22"/>
              </w:rPr>
              <w:t xml:space="preserve">is endangered </w:t>
            </w:r>
            <w:r w:rsidRPr="0088780C">
              <w:rPr>
                <w:bCs/>
                <w:snapToGrid w:val="0"/>
                <w:kern w:val="22"/>
                <w:szCs w:val="22"/>
              </w:rPr>
              <w:t>(Birkun, 2012),</w:t>
            </w:r>
            <w:r w:rsidRPr="0088780C">
              <w:rPr>
                <w:snapToGrid w:val="0"/>
                <w:kern w:val="22"/>
                <w:szCs w:val="22"/>
              </w:rPr>
              <w:t xml:space="preserve"> </w:t>
            </w:r>
            <w:r w:rsidRPr="0088780C">
              <w:rPr>
                <w:i/>
                <w:snapToGrid w:val="0"/>
                <w:kern w:val="22"/>
                <w:szCs w:val="22"/>
              </w:rPr>
              <w:t xml:space="preserve">Phocoena phocoena relicta </w:t>
            </w:r>
            <w:r w:rsidRPr="0088780C">
              <w:rPr>
                <w:snapToGrid w:val="0"/>
                <w:kern w:val="22"/>
                <w:szCs w:val="22"/>
              </w:rPr>
              <w:t xml:space="preserve">is endangered </w:t>
            </w:r>
            <w:r w:rsidRPr="0088780C">
              <w:rPr>
                <w:bCs/>
                <w:snapToGrid w:val="0"/>
                <w:kern w:val="22"/>
                <w:szCs w:val="22"/>
              </w:rPr>
              <w:t xml:space="preserve">(Birkun, Frantzis, 2008), and </w:t>
            </w:r>
            <w:r w:rsidRPr="0088780C">
              <w:rPr>
                <w:bCs/>
                <w:i/>
                <w:snapToGrid w:val="0"/>
                <w:kern w:val="22"/>
                <w:szCs w:val="22"/>
              </w:rPr>
              <w:t>Delphinus delphis ponticus</w:t>
            </w:r>
            <w:r w:rsidRPr="0088780C">
              <w:rPr>
                <w:bCs/>
                <w:snapToGrid w:val="0"/>
                <w:kern w:val="22"/>
                <w:szCs w:val="22"/>
              </w:rPr>
              <w:t xml:space="preserve"> </w:t>
            </w:r>
            <w:r w:rsidRPr="0088780C">
              <w:rPr>
                <w:snapToGrid w:val="0"/>
                <w:kern w:val="22"/>
                <w:szCs w:val="22"/>
              </w:rPr>
              <w:t xml:space="preserve">is vulnerable </w:t>
            </w:r>
            <w:r w:rsidRPr="0088780C">
              <w:rPr>
                <w:bCs/>
                <w:snapToGrid w:val="0"/>
                <w:kern w:val="22"/>
                <w:szCs w:val="22"/>
              </w:rPr>
              <w:t>(Birkun, 2008).</w:t>
            </w:r>
          </w:p>
        </w:tc>
      </w:tr>
      <w:tr w:rsidR="00A876F3" w:rsidRPr="0088780C" w14:paraId="106C0B78" w14:textId="77777777" w:rsidTr="006972AD">
        <w:tc>
          <w:tcPr>
            <w:tcW w:w="858" w:type="pct"/>
            <w:shd w:val="clear" w:color="auto" w:fill="auto"/>
          </w:tcPr>
          <w:p w14:paraId="24B4D9AD"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20" w:type="pct"/>
            <w:gridSpan w:val="2"/>
            <w:shd w:val="clear" w:color="auto" w:fill="auto"/>
          </w:tcPr>
          <w:p w14:paraId="490F959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75EBAB1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6D0F38E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7C07659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c>
          <w:tcPr>
            <w:tcW w:w="385" w:type="pct"/>
            <w:shd w:val="clear" w:color="auto" w:fill="auto"/>
          </w:tcPr>
          <w:p w14:paraId="42D2149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A876F3" w:rsidRPr="0088780C" w14:paraId="423CFFF2" w14:textId="77777777" w:rsidTr="006972AD">
        <w:trPr>
          <w:trHeight w:val="3932"/>
        </w:trPr>
        <w:tc>
          <w:tcPr>
            <w:tcW w:w="5000" w:type="pct"/>
            <w:gridSpan w:val="11"/>
            <w:shd w:val="clear" w:color="auto" w:fill="auto"/>
          </w:tcPr>
          <w:p w14:paraId="1C00B9B0"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62E0462A" w14:textId="6F75B8AB"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snapToGrid w:val="0"/>
                <w:color w:val="000000"/>
                <w:kern w:val="22"/>
                <w:szCs w:val="22"/>
              </w:rPr>
              <w:t>Limited urban development and absence of large-scale industrial polluters ensure comparatively higher degree of naturalness in the area, therefore good ecological status of the seabed communities of macroalgae and invertevates was recent observed (IO-BAS, 2017). Despite the overall preserved naturalness, a large number of wind turbines and a golf field recently constructed in the coastal area have threatened,</w:t>
            </w:r>
            <w:r w:rsidRPr="0088780C">
              <w:rPr>
                <w:rFonts w:eastAsia="MS Mincho"/>
                <w:b/>
                <w:snapToGrid w:val="0"/>
                <w:color w:val="000000"/>
                <w:kern w:val="22"/>
                <w:szCs w:val="22"/>
              </w:rPr>
              <w:t xml:space="preserve"> </w:t>
            </w:r>
            <w:r w:rsidRPr="0088780C">
              <w:rPr>
                <w:rFonts w:eastAsia="MS Mincho"/>
                <w:snapToGrid w:val="0"/>
                <w:color w:val="000000"/>
                <w:kern w:val="22"/>
                <w:szCs w:val="22"/>
              </w:rPr>
              <w:t>due to their cumulative impact, some protected terrestrial habitats and bird species.</w:t>
            </w:r>
          </w:p>
          <w:p w14:paraId="50F0A00F"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p>
          <w:p w14:paraId="3A394162" w14:textId="646C84D5"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In the marine area, artisanal fishing with stationary pound nets and mussel farms occur in the coastal waters, but are not considered to exert significant disturbance on the habitats and species. Commercial  fishing by pelagic and beam trawling was estimated to cause relatively less physical disturbance on the seabed in the area as compared to other areas over the Bulgrian Black Sea shelf (Mo</w:t>
            </w:r>
            <w:r w:rsidR="000A7CC8" w:rsidRPr="0088780C">
              <w:rPr>
                <w:rFonts w:eastAsia="MS Mincho"/>
                <w:snapToGrid w:val="0"/>
                <w:color w:val="000000"/>
                <w:kern w:val="22"/>
                <w:szCs w:val="22"/>
              </w:rPr>
              <w:t>ncheva, Todorova et al., 2013).</w:t>
            </w:r>
          </w:p>
          <w:p w14:paraId="418E0F96"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01F8D62C"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rFonts w:eastAsia="MS Mincho"/>
                <w:snapToGrid w:val="0"/>
                <w:color w:val="000000"/>
                <w:kern w:val="22"/>
                <w:szCs w:val="22"/>
              </w:rPr>
              <w:t xml:space="preserve">Several coastline habitats are subject to intense human impact because of summer tourism, including water sports, sun bathing, parking of vehicles and construction. There is also sand excavation. Jetties and piers have been built in the marine area. </w:t>
            </w:r>
          </w:p>
        </w:tc>
      </w:tr>
    </w:tbl>
    <w:p w14:paraId="3933B5F7"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0FD8A76A"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rFonts w:eastAsia="MS Mincho"/>
          <w:bCs/>
          <w:i/>
          <w:snapToGrid w:val="0"/>
          <w:color w:val="000000"/>
          <w:kern w:val="22"/>
          <w:szCs w:val="22"/>
        </w:rPr>
      </w:pPr>
      <w:r w:rsidRPr="0088780C">
        <w:rPr>
          <w:rFonts w:eastAsia="MS Mincho"/>
          <w:b/>
          <w:snapToGrid w:val="0"/>
          <w:kern w:val="22"/>
          <w:szCs w:val="22"/>
        </w:rPr>
        <w:t>References</w:t>
      </w:r>
    </w:p>
    <w:p w14:paraId="059B4974"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Anderson, O.R.J., Small, C., Croxall, J.P., Dunn, E.K., Sullivan, B.J., Yates, O. &amp; Black, A., 2011. Global seabird bycatch in longline fisheries. Endangered Species Research 14: 91–106</w:t>
      </w:r>
    </w:p>
    <w:p w14:paraId="315DA69B"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BAS and MOEW, 2015. Red Data Book of Republic of Bulgaria, Vol. 2 – Animals.</w:t>
      </w:r>
    </w:p>
    <w:p w14:paraId="70CD5C60"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BirdLife International 2017b. Important Bird Areas factsheet: </w:t>
      </w:r>
      <w:r w:rsidRPr="0088780C">
        <w:rPr>
          <w:snapToGrid w:val="0"/>
          <w:color w:val="333333"/>
          <w:kern w:val="22"/>
          <w:szCs w:val="22"/>
          <w:shd w:val="clear" w:color="auto" w:fill="FFFFFF"/>
        </w:rPr>
        <w:t>Black Sea</w:t>
      </w:r>
      <w:r w:rsidRPr="0088780C">
        <w:rPr>
          <w:snapToGrid w:val="0"/>
          <w:kern w:val="22"/>
          <w:szCs w:val="22"/>
        </w:rPr>
        <w:t>. Downloaded from http://datazone.birdlife.org/site/factsheet/black-sea-iba-romania/details on 05/04/2017.</w:t>
      </w:r>
    </w:p>
    <w:p w14:paraId="115DC770"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BirdLife International 2017c. IUCN Red List for birds. Downloaded from http://www.birdlife.org on 05/04/2017.</w:t>
      </w:r>
    </w:p>
    <w:p w14:paraId="55B8D134"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BirdLife International, 2017a. Species factsheet: </w:t>
      </w:r>
      <w:r w:rsidRPr="0088780C">
        <w:rPr>
          <w:i/>
          <w:snapToGrid w:val="0"/>
          <w:kern w:val="22"/>
          <w:szCs w:val="22"/>
        </w:rPr>
        <w:t>Puffinus yelkouan</w:t>
      </w:r>
      <w:r w:rsidRPr="0088780C">
        <w:rPr>
          <w:snapToGrid w:val="0"/>
          <w:kern w:val="22"/>
          <w:szCs w:val="22"/>
        </w:rPr>
        <w:t>. Downloaded from http://www.birdlife.org on 10/03/2017.</w:t>
      </w:r>
    </w:p>
    <w:p w14:paraId="2E3E969A"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BirdLife International. Unpublished data.</w:t>
      </w:r>
    </w:p>
    <w:p w14:paraId="32245C33"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Derhé, M.A., 2012. Population assessment for the Yelkouan Shearwater </w:t>
      </w:r>
      <w:r w:rsidRPr="0088780C">
        <w:rPr>
          <w:i/>
          <w:snapToGrid w:val="0"/>
          <w:kern w:val="22"/>
          <w:szCs w:val="22"/>
        </w:rPr>
        <w:t>Puffinus yelkouan</w:t>
      </w:r>
      <w:r w:rsidRPr="0088780C">
        <w:rPr>
          <w:snapToGrid w:val="0"/>
          <w:kern w:val="22"/>
          <w:szCs w:val="22"/>
        </w:rPr>
        <w:t>, in: BirdLife International (Ed), Methodology for Bird Species Recovery Planning in the European Union. Final Report to the European Commission. BirdLife International for the European Commission, Cambridge, UK.</w:t>
      </w:r>
    </w:p>
    <w:p w14:paraId="37F1EA98"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Doğa Derneği, 2014. Black Sea Seabirds Project Layman’s report, Istanbul</w:t>
      </w:r>
    </w:p>
    <w:p w14:paraId="56C1896E"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 xml:space="preserve">European Union 2016. European Red List of Habitats. Part 1. Marine habitats. </w:t>
      </w:r>
    </w:p>
    <w:p w14:paraId="59C23459"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IO-BAS, 2017. Report – analysis of the marine environmental status in 2016. Contract № Д-33-5/28.01.2016 г. between the Ministry of Environment and Waters and the Institute of oceanology – BAS, Varna for execution of the obligations for Black Sea moniotirng under Art. 171 (2,3) of the Water Act.</w:t>
      </w:r>
    </w:p>
    <w:p w14:paraId="0A5F300C"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Moncheva S., Todorova V. et al., 2013. Initial assessment of the marine environmental state under the terms of Article 8 of the Marine Strategy Framework Directive. Contract № 203/09.08.2012 with BSBD. Online: http://www.bsbd.org/UserFiles/File/Initial%20Assessment_new.pdf</w:t>
      </w:r>
    </w:p>
    <w:p w14:paraId="00C2FD8D" w14:textId="77777777" w:rsidR="00A876F3" w:rsidRPr="0088780C" w:rsidRDefault="00A876F3" w:rsidP="000A7CC8">
      <w:pPr>
        <w:suppressLineNumbers/>
        <w:suppressAutoHyphens/>
        <w:kinsoku w:val="0"/>
        <w:overflowPunct w:val="0"/>
        <w:autoSpaceDE w:val="0"/>
        <w:autoSpaceDN w:val="0"/>
        <w:adjustRightInd w:val="0"/>
        <w:spacing w:after="60"/>
        <w:ind w:left="720" w:hanging="720"/>
        <w:jc w:val="left"/>
        <w:rPr>
          <w:rFonts w:eastAsia="MS Mincho"/>
          <w:snapToGrid w:val="0"/>
          <w:kern w:val="22"/>
          <w:szCs w:val="22"/>
        </w:rPr>
      </w:pPr>
      <w:r w:rsidRPr="0088780C">
        <w:rPr>
          <w:rFonts w:eastAsia="MS Mincho"/>
          <w:snapToGrid w:val="0"/>
          <w:kern w:val="22"/>
          <w:szCs w:val="22"/>
        </w:rPr>
        <w:t xml:space="preserve">Natura 2000 – Standard Data Form for SAC BG0000573: </w:t>
      </w:r>
      <w:hyperlink r:id="rId76" w:history="1">
        <w:r w:rsidRPr="0088780C">
          <w:rPr>
            <w:rStyle w:val="Hyperlink"/>
            <w:rFonts w:eastAsia="MS Mincho"/>
            <w:snapToGrid w:val="0"/>
            <w:kern w:val="22"/>
            <w:szCs w:val="22"/>
          </w:rPr>
          <w:t>http://natura2000.moew.government.bg/PublicDownloads/Auto/PS_SCI/BG0000573/BG0000573_PS_16.pdf</w:t>
        </w:r>
      </w:hyperlink>
      <w:r w:rsidRPr="0088780C">
        <w:rPr>
          <w:rFonts w:eastAsia="MS Mincho"/>
          <w:snapToGrid w:val="0"/>
          <w:kern w:val="22"/>
          <w:szCs w:val="22"/>
        </w:rPr>
        <w:t xml:space="preserve"> </w:t>
      </w:r>
    </w:p>
    <w:p w14:paraId="5385BEBF" w14:textId="77777777" w:rsidR="00A876F3" w:rsidRPr="0088780C" w:rsidRDefault="00A876F3" w:rsidP="000A7CC8">
      <w:pPr>
        <w:suppressLineNumbers/>
        <w:suppressAutoHyphens/>
        <w:kinsoku w:val="0"/>
        <w:overflowPunct w:val="0"/>
        <w:autoSpaceDE w:val="0"/>
        <w:autoSpaceDN w:val="0"/>
        <w:adjustRightInd w:val="0"/>
        <w:spacing w:after="60"/>
        <w:ind w:left="720" w:hanging="720"/>
        <w:jc w:val="left"/>
        <w:rPr>
          <w:rStyle w:val="Hyperlink"/>
          <w:rFonts w:eastAsia="MS Mincho"/>
          <w:snapToGrid w:val="0"/>
          <w:kern w:val="22"/>
          <w:szCs w:val="22"/>
        </w:rPr>
      </w:pPr>
      <w:r w:rsidRPr="0088780C">
        <w:rPr>
          <w:rFonts w:eastAsia="MS Mincho"/>
          <w:snapToGrid w:val="0"/>
          <w:kern w:val="22"/>
          <w:szCs w:val="22"/>
        </w:rPr>
        <w:t xml:space="preserve">Natura 2000 - Standard Data Form for SPI BG0002051: </w:t>
      </w:r>
      <w:hyperlink r:id="rId77" w:history="1">
        <w:r w:rsidRPr="0088780C">
          <w:rPr>
            <w:rStyle w:val="Hyperlink"/>
            <w:rFonts w:eastAsia="MS Mincho"/>
            <w:snapToGrid w:val="0"/>
            <w:kern w:val="22"/>
            <w:szCs w:val="22"/>
          </w:rPr>
          <w:t>http://natura2000.moew.government.bg/Home/ProtectedSite?code=BG0002051&amp;siteType=BirdsDirective</w:t>
        </w:r>
      </w:hyperlink>
    </w:p>
    <w:p w14:paraId="4CF38BE4"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Oppel S., Raine, A.F., Borg, J.J., Raine, H., Bonnaud, E., Bourgeois, K., Breton, AR., 2011. Is the Yelkouan shearwater </w:t>
      </w:r>
      <w:r w:rsidRPr="0088780C">
        <w:rPr>
          <w:i/>
          <w:snapToGrid w:val="0"/>
          <w:kern w:val="22"/>
          <w:szCs w:val="22"/>
        </w:rPr>
        <w:t>Puffinus yelkouan</w:t>
      </w:r>
      <w:r w:rsidRPr="0088780C">
        <w:rPr>
          <w:snapToGrid w:val="0"/>
          <w:kern w:val="22"/>
          <w:szCs w:val="22"/>
        </w:rPr>
        <w:t xml:space="preserve"> threatened by low adult survival probabilities? Biological Conservation 114: 2255- 2263.</w:t>
      </w:r>
    </w:p>
    <w:p w14:paraId="364A7B5A"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Ortega M.P., İsfendiyaroğlu S., 2017. Predicting foraging hotspots for Yelkouan Shearwater in the Black Sea. Deep-Sea Research Part II </w:t>
      </w:r>
      <w:r w:rsidRPr="0088780C">
        <w:rPr>
          <w:i/>
          <w:snapToGrid w:val="0"/>
          <w:kern w:val="22"/>
          <w:szCs w:val="22"/>
        </w:rPr>
        <w:t>in press</w:t>
      </w:r>
    </w:p>
    <w:p w14:paraId="626AF725"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Péron, C., Grémillet, D., Prudor, A., Pettex, E., Saraux, C., Soriano-Redondo, A., Authier, M., Fort J., 2013. Importance of coastal Marine Protected Areas for the conservation of pelagic seabirds: The case of Vulnerable yelkouan shearwaters in the Mediterranean Sea. Biological Conservation 168: 210-221.</w:t>
      </w:r>
    </w:p>
    <w:p w14:paraId="3C984346"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Raine, A.F., Borg, J.J., Raine, H., Phillips, R.A., 2012. Migration strategies of the Yelkouan Shearwater </w:t>
      </w:r>
      <w:r w:rsidRPr="0088780C">
        <w:rPr>
          <w:i/>
          <w:snapToGrid w:val="0"/>
          <w:kern w:val="22"/>
          <w:szCs w:val="22"/>
        </w:rPr>
        <w:t>Puffinus yelkouan</w:t>
      </w:r>
      <w:r w:rsidRPr="0088780C">
        <w:rPr>
          <w:snapToGrid w:val="0"/>
          <w:kern w:val="22"/>
          <w:szCs w:val="22"/>
        </w:rPr>
        <w:t>. Journal of Ornithology 154: 411-422.</w:t>
      </w:r>
    </w:p>
    <w:p w14:paraId="38599F6F"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Seabird Tracking Database 2017. Tracking Ocean Wanderers – BirdLife Seabird Tracking Database www. http://seabirdtracking.org/, accessed on 10/03/2017</w:t>
      </w:r>
    </w:p>
    <w:p w14:paraId="61463858" w14:textId="3FDA0F22"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Todorova V. et al., 2012. Report on implementation of grant Contract No. 7976 / 04.04.2011, between EMEPA and the Institute of Oceanology. Project: </w:t>
      </w:r>
      <w:r w:rsidR="00D8482D" w:rsidRPr="0088780C">
        <w:rPr>
          <w:snapToGrid w:val="0"/>
          <w:kern w:val="22"/>
          <w:szCs w:val="22"/>
        </w:rPr>
        <w:t>“</w:t>
      </w:r>
      <w:r w:rsidRPr="0088780C">
        <w:rPr>
          <w:snapToGrid w:val="0"/>
          <w:kern w:val="22"/>
          <w:szCs w:val="22"/>
        </w:rPr>
        <w:t xml:space="preserve">Expansion of the Natura 2000 ecological network in the Bulgarian Black Sea marine area to overcome the moderate insufficiencies regarding marine habitats 1110 </w:t>
      </w:r>
      <w:r w:rsidR="00D8482D" w:rsidRPr="0088780C">
        <w:rPr>
          <w:snapToGrid w:val="0"/>
          <w:kern w:val="22"/>
          <w:szCs w:val="22"/>
        </w:rPr>
        <w:t>“</w:t>
      </w:r>
      <w:r w:rsidRPr="0088780C">
        <w:rPr>
          <w:snapToGrid w:val="0"/>
          <w:kern w:val="22"/>
          <w:szCs w:val="22"/>
        </w:rPr>
        <w:t>Sandbanks which are slightly covered by sea water all the time</w:t>
      </w:r>
      <w:r w:rsidR="00D8482D" w:rsidRPr="0088780C">
        <w:rPr>
          <w:snapToGrid w:val="0"/>
          <w:kern w:val="22"/>
          <w:szCs w:val="22"/>
        </w:rPr>
        <w:t>”</w:t>
      </w:r>
      <w:r w:rsidRPr="0088780C">
        <w:rPr>
          <w:snapToGrid w:val="0"/>
          <w:kern w:val="22"/>
          <w:szCs w:val="22"/>
        </w:rPr>
        <w:t xml:space="preserve"> and 1170</w:t>
      </w:r>
      <w:r w:rsidR="00D8482D" w:rsidRPr="0088780C">
        <w:rPr>
          <w:snapToGrid w:val="0"/>
          <w:kern w:val="22"/>
          <w:szCs w:val="22"/>
        </w:rPr>
        <w:t>”</w:t>
      </w:r>
      <w:r w:rsidRPr="0088780C">
        <w:rPr>
          <w:snapToGrid w:val="0"/>
          <w:kern w:val="22"/>
          <w:szCs w:val="22"/>
        </w:rPr>
        <w:t>Reefs</w:t>
      </w:r>
      <w:r w:rsidR="00D8482D" w:rsidRPr="0088780C">
        <w:rPr>
          <w:snapToGrid w:val="0"/>
          <w:kern w:val="22"/>
          <w:szCs w:val="22"/>
        </w:rPr>
        <w:t>”</w:t>
      </w:r>
      <w:r w:rsidRPr="0088780C">
        <w:rPr>
          <w:snapToGrid w:val="0"/>
          <w:kern w:val="22"/>
          <w:szCs w:val="22"/>
        </w:rPr>
        <w:t xml:space="preserve">and species 4125 </w:t>
      </w:r>
      <w:r w:rsidRPr="0088780C">
        <w:rPr>
          <w:i/>
          <w:snapToGrid w:val="0"/>
          <w:kern w:val="22"/>
          <w:szCs w:val="22"/>
        </w:rPr>
        <w:t>Alosa immaculata</w:t>
      </w:r>
      <w:r w:rsidRPr="0088780C">
        <w:rPr>
          <w:snapToGrid w:val="0"/>
          <w:kern w:val="22"/>
          <w:szCs w:val="22"/>
        </w:rPr>
        <w:t xml:space="preserve">, 1349 </w:t>
      </w:r>
      <w:r w:rsidRPr="0088780C">
        <w:rPr>
          <w:i/>
          <w:snapToGrid w:val="0"/>
          <w:kern w:val="22"/>
          <w:szCs w:val="22"/>
        </w:rPr>
        <w:t>Tursiops truncatus</w:t>
      </w:r>
      <w:r w:rsidRPr="0088780C">
        <w:rPr>
          <w:snapToGrid w:val="0"/>
          <w:kern w:val="22"/>
          <w:szCs w:val="22"/>
        </w:rPr>
        <w:t xml:space="preserve"> and 1351 </w:t>
      </w:r>
      <w:r w:rsidRPr="0088780C">
        <w:rPr>
          <w:i/>
          <w:snapToGrid w:val="0"/>
          <w:kern w:val="22"/>
          <w:szCs w:val="22"/>
        </w:rPr>
        <w:t>Phocoena phocoena</w:t>
      </w:r>
      <w:r w:rsidRPr="0088780C">
        <w:rPr>
          <w:snapToGrid w:val="0"/>
          <w:kern w:val="22"/>
          <w:szCs w:val="22"/>
        </w:rPr>
        <w:t xml:space="preserve"> and partial filling of scientific reserve for habitat 1180 </w:t>
      </w:r>
      <w:r w:rsidR="00D8482D" w:rsidRPr="0088780C">
        <w:rPr>
          <w:snapToGrid w:val="0"/>
          <w:kern w:val="22"/>
          <w:szCs w:val="22"/>
        </w:rPr>
        <w:t>“</w:t>
      </w:r>
      <w:r w:rsidRPr="0088780C">
        <w:rPr>
          <w:snapToGrid w:val="0"/>
          <w:kern w:val="22"/>
          <w:szCs w:val="22"/>
        </w:rPr>
        <w:t>Submarine structures made by leaking gases</w:t>
      </w:r>
      <w:r w:rsidR="00D8482D" w:rsidRPr="0088780C">
        <w:rPr>
          <w:snapToGrid w:val="0"/>
          <w:kern w:val="22"/>
          <w:szCs w:val="22"/>
        </w:rPr>
        <w:t>”</w:t>
      </w:r>
      <w:r w:rsidRPr="0088780C">
        <w:rPr>
          <w:snapToGrid w:val="0"/>
          <w:kern w:val="22"/>
          <w:szCs w:val="22"/>
        </w:rPr>
        <w:t xml:space="preserve"> and species 1349 </w:t>
      </w:r>
      <w:r w:rsidRPr="0088780C">
        <w:rPr>
          <w:i/>
          <w:snapToGrid w:val="0"/>
          <w:kern w:val="22"/>
          <w:szCs w:val="22"/>
        </w:rPr>
        <w:t>Tursiops truncatus</w:t>
      </w:r>
      <w:r w:rsidRPr="0088780C">
        <w:rPr>
          <w:snapToGrid w:val="0"/>
          <w:kern w:val="22"/>
          <w:szCs w:val="22"/>
        </w:rPr>
        <w:t xml:space="preserve"> in accordance with the conclusions from the Marine Black Sea Seminar, Brindisi, 15 June 2010</w:t>
      </w:r>
      <w:r w:rsidR="00D8482D" w:rsidRPr="0088780C">
        <w:rPr>
          <w:snapToGrid w:val="0"/>
          <w:kern w:val="22"/>
          <w:szCs w:val="22"/>
        </w:rPr>
        <w:t>”</w:t>
      </w:r>
      <w:r w:rsidRPr="0088780C">
        <w:rPr>
          <w:snapToGrid w:val="0"/>
          <w:kern w:val="22"/>
          <w:szCs w:val="22"/>
        </w:rPr>
        <w:t>. Fund of IO-BAS.</w:t>
      </w:r>
    </w:p>
    <w:p w14:paraId="5DEC6BB2"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Todorova V., Micu D., Panayotov M., Konsulova T., 2008. Marine Protected Areas in Bulgaria – Present and Prospects. Publishing House: HelixPress, StenoPublishing House, Varna, ISBN 978-954-449-373-8, pp. 9-13.</w:t>
      </w:r>
    </w:p>
    <w:p w14:paraId="51EC82CD"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 xml:space="preserve">Tzonev R., 2016. E1.2b Continental dry steppe, In: EU, 2016. European Red List of Habitats. Part 2. Terrestrial and freshwater habitats </w:t>
      </w:r>
    </w:p>
    <w:p w14:paraId="7962C4F7"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Tzonev R., Roussakova V., Dimitrov M. Western-Pontic petrophytic steppes. In: BAS and MOEW, 2015. Red Data Book of the Republic of Bulgaria, Vol. 3 - Natural habitats</w:t>
      </w:r>
    </w:p>
    <w:p w14:paraId="5D2B3768" w14:textId="77777777" w:rsidR="00A876F3" w:rsidRPr="0088780C" w:rsidRDefault="00A876F3" w:rsidP="000A7CC8">
      <w:pPr>
        <w:suppressLineNumbers/>
        <w:suppressAutoHyphens/>
        <w:kinsoku w:val="0"/>
        <w:overflowPunct w:val="0"/>
        <w:autoSpaceDE w:val="0"/>
        <w:autoSpaceDN w:val="0"/>
        <w:adjustRightInd w:val="0"/>
        <w:spacing w:after="60"/>
        <w:ind w:left="720" w:hanging="720"/>
        <w:rPr>
          <w:rFonts w:eastAsia="MS Mincho"/>
          <w:b/>
          <w:snapToGrid w:val="0"/>
          <w:kern w:val="22"/>
          <w:szCs w:val="22"/>
        </w:rPr>
      </w:pPr>
      <w:r w:rsidRPr="0088780C">
        <w:rPr>
          <w:rFonts w:eastAsia="MS Mincho"/>
          <w:snapToGrid w:val="0"/>
          <w:color w:val="000000"/>
          <w:kern w:val="22"/>
          <w:szCs w:val="22"/>
        </w:rPr>
        <w:t>Zaisev and Alexandrov, 1998. Black Sea Biological Diversity. Ukraine. Black Sea Environmental Series, 7. United Nations Publications: New York. ISBN 92-1-126098-1. 351 pp.</w:t>
      </w:r>
    </w:p>
    <w:p w14:paraId="5DF97E66" w14:textId="77777777" w:rsidR="00A876F3" w:rsidRPr="0088780C" w:rsidRDefault="00A876F3" w:rsidP="000A7CC8">
      <w:pPr>
        <w:suppressLineNumbers/>
        <w:suppressAutoHyphens/>
        <w:kinsoku w:val="0"/>
        <w:overflowPunct w:val="0"/>
        <w:autoSpaceDE w:val="0"/>
        <w:autoSpaceDN w:val="0"/>
        <w:rPr>
          <w:rFonts w:eastAsia="MS Mincho"/>
          <w:bCs/>
          <w:snapToGrid w:val="0"/>
          <w:kern w:val="22"/>
          <w:szCs w:val="22"/>
        </w:rPr>
      </w:pPr>
    </w:p>
    <w:p w14:paraId="4773054B"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229ED9DA"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snapToGrid w:val="0"/>
          <w:kern w:val="22"/>
          <w:szCs w:val="22"/>
        </w:rPr>
        <w:br w:type="page"/>
      </w:r>
    </w:p>
    <w:p w14:paraId="43183E3C" w14:textId="77777777" w:rsidR="00A876F3" w:rsidRPr="0088780C" w:rsidRDefault="00A876F3" w:rsidP="00B522E5">
      <w:pPr>
        <w:suppressLineNumbers/>
        <w:suppressAutoHyphens/>
        <w:kinsoku w:val="0"/>
        <w:overflowPunct w:val="0"/>
        <w:autoSpaceDE w:val="0"/>
        <w:autoSpaceDN w:val="0"/>
        <w:spacing w:after="120"/>
        <w:rPr>
          <w:rFonts w:eastAsia="MS Mincho"/>
          <w:b/>
          <w:snapToGrid w:val="0"/>
          <w:kern w:val="22"/>
          <w:szCs w:val="22"/>
        </w:rPr>
      </w:pPr>
      <w:r w:rsidRPr="0088780C">
        <w:rPr>
          <w:rFonts w:eastAsia="MS Mincho"/>
          <w:b/>
          <w:snapToGrid w:val="0"/>
          <w:kern w:val="22"/>
          <w:szCs w:val="22"/>
        </w:rPr>
        <w:t>Maps and Figures</w:t>
      </w:r>
    </w:p>
    <w:p w14:paraId="08176D8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noProof/>
          <w:snapToGrid w:val="0"/>
          <w:kern w:val="22"/>
          <w:szCs w:val="22"/>
          <w:lang w:eastAsia="zh-CN"/>
        </w:rPr>
        <w:drawing>
          <wp:inline distT="0" distB="0" distL="0" distR="0" wp14:anchorId="326E83B8" wp14:editId="54BFF3B9">
            <wp:extent cx="5486400" cy="4572000"/>
            <wp:effectExtent l="0" t="0" r="0" b="0"/>
            <wp:docPr id="13340" name="Picture 13340" descr="C:\Users\grekin\AppData\Local\Microsoft\Windows\Temporary Internet Files\Content.Wor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grekin\AppData\Local\Microsoft\Windows\Temporary Internet Files\Content.Word\2.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35F75126" w14:textId="6528FF9C" w:rsidR="00A876F3" w:rsidRPr="0088780C" w:rsidRDefault="00A876F3" w:rsidP="00B522E5">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 1.</w:t>
      </w:r>
      <w:r w:rsidRPr="0088780C">
        <w:rPr>
          <w:bCs/>
          <w:snapToGrid w:val="0"/>
          <w:kern w:val="22"/>
          <w:szCs w:val="22"/>
        </w:rPr>
        <w:t xml:space="preserve"> </w:t>
      </w:r>
      <w:r w:rsidRPr="0088780C">
        <w:rPr>
          <w:rFonts w:eastAsia="MS Mincho"/>
          <w:snapToGrid w:val="0"/>
          <w:color w:val="000000" w:themeColor="text1"/>
          <w:kern w:val="22"/>
          <w:szCs w:val="22"/>
        </w:rPr>
        <w:t>Area meeting the EBSA criteria</w:t>
      </w:r>
    </w:p>
    <w:p w14:paraId="6BF0F50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62F5DDCA" wp14:editId="2B003B47">
            <wp:extent cx="4945647" cy="3213462"/>
            <wp:effectExtent l="0" t="0" r="7620" b="6350"/>
            <wp:docPr id="13341" name="Picture 1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952657" cy="3218017"/>
                    </a:xfrm>
                    <a:prstGeom prst="rect">
                      <a:avLst/>
                    </a:prstGeom>
                    <a:noFill/>
                    <a:ln>
                      <a:noFill/>
                    </a:ln>
                  </pic:spPr>
                </pic:pic>
              </a:graphicData>
            </a:graphic>
          </wp:inline>
        </w:drawing>
      </w:r>
    </w:p>
    <w:p w14:paraId="15F5A9D3"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
          <w:bCs/>
          <w:snapToGrid w:val="0"/>
          <w:color w:val="000000"/>
          <w:kern w:val="22"/>
          <w:szCs w:val="22"/>
        </w:rPr>
        <w:t>Figure 2</w:t>
      </w:r>
      <w:r w:rsidRPr="0088780C">
        <w:rPr>
          <w:rFonts w:eastAsia="MS Mincho"/>
          <w:bCs/>
          <w:snapToGrid w:val="0"/>
          <w:color w:val="000000"/>
          <w:kern w:val="22"/>
          <w:szCs w:val="22"/>
        </w:rPr>
        <w:t>: Results of the habitat models revealing the most suitable habitats for yelkouan shearwater in the Black Sea, during the non-breeding season (figure from Ortega and İsfendiyaroğlu 2017)</w:t>
      </w:r>
    </w:p>
    <w:p w14:paraId="0C80BCD3"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41D8B4D5"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Cs/>
          <w:noProof/>
          <w:snapToGrid w:val="0"/>
          <w:color w:val="000000"/>
          <w:kern w:val="22"/>
          <w:szCs w:val="22"/>
          <w:lang w:eastAsia="zh-CN"/>
        </w:rPr>
        <w:drawing>
          <wp:inline distT="0" distB="0" distL="0" distR="0" wp14:anchorId="7F8C4AD3" wp14:editId="441F87F9">
            <wp:extent cx="4396740" cy="3537397"/>
            <wp:effectExtent l="0" t="0" r="3810" b="6350"/>
            <wp:docPr id="13342" name="Picture 1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05076" cy="3544104"/>
                    </a:xfrm>
                    <a:prstGeom prst="rect">
                      <a:avLst/>
                    </a:prstGeom>
                    <a:noFill/>
                    <a:ln>
                      <a:noFill/>
                    </a:ln>
                  </pic:spPr>
                </pic:pic>
              </a:graphicData>
            </a:graphic>
          </wp:inline>
        </w:drawing>
      </w:r>
    </w:p>
    <w:p w14:paraId="319E227A"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1A9D66A8"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
          <w:bCs/>
          <w:snapToGrid w:val="0"/>
          <w:color w:val="000000"/>
          <w:kern w:val="22"/>
          <w:szCs w:val="22"/>
        </w:rPr>
        <w:t>Figure 3</w:t>
      </w:r>
      <w:r w:rsidRPr="0088780C">
        <w:rPr>
          <w:rFonts w:eastAsia="MS Mincho"/>
          <w:bCs/>
          <w:snapToGrid w:val="0"/>
          <w:color w:val="000000"/>
          <w:kern w:val="22"/>
          <w:szCs w:val="22"/>
        </w:rPr>
        <w:t>. Location of the most important colonies of the Mediterranean endemic subspecies of European shag in the Black Sea (figure from Doğa Derneği 2014).</w:t>
      </w:r>
    </w:p>
    <w:p w14:paraId="737DC634"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3B29B845"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08B03719" wp14:editId="6B3E732D">
            <wp:extent cx="6102985" cy="3596951"/>
            <wp:effectExtent l="0" t="0" r="0" b="0"/>
            <wp:docPr id="13343" name="Picture 1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11712" cy="3602094"/>
                    </a:xfrm>
                    <a:prstGeom prst="rect">
                      <a:avLst/>
                    </a:prstGeom>
                    <a:noFill/>
                  </pic:spPr>
                </pic:pic>
              </a:graphicData>
            </a:graphic>
          </wp:inline>
        </w:drawing>
      </w:r>
    </w:p>
    <w:p w14:paraId="211926D7" w14:textId="6FE5EEAA" w:rsidR="00A876F3" w:rsidRPr="0088780C" w:rsidRDefault="00A876F3" w:rsidP="00B522E5">
      <w:pPr>
        <w:suppressLineNumbers/>
        <w:suppressAutoHyphens/>
        <w:kinsoku w:val="0"/>
        <w:overflowPunct w:val="0"/>
        <w:autoSpaceDE w:val="0"/>
        <w:autoSpaceDN w:val="0"/>
        <w:rPr>
          <w:rFonts w:eastAsia="MS Mincho"/>
          <w:b/>
          <w:snapToGrid w:val="0"/>
          <w:kern w:val="22"/>
          <w:szCs w:val="22"/>
        </w:rPr>
      </w:pPr>
      <w:r w:rsidRPr="0088780C">
        <w:rPr>
          <w:b/>
          <w:snapToGrid w:val="0"/>
          <w:kern w:val="22"/>
          <w:szCs w:val="22"/>
        </w:rPr>
        <w:t>Figure 4</w:t>
      </w:r>
      <w:r w:rsidRPr="0088780C">
        <w:rPr>
          <w:snapToGrid w:val="0"/>
          <w:kern w:val="22"/>
          <w:szCs w:val="22"/>
        </w:rPr>
        <w:t>. Distribution of the globally threatened seabird species occurring in the Black Sea and in the Caspian Sea: yelkouan shearwater (</w:t>
      </w:r>
      <w:r w:rsidRPr="0088780C">
        <w:rPr>
          <w:i/>
          <w:snapToGrid w:val="0"/>
          <w:kern w:val="22"/>
          <w:szCs w:val="22"/>
        </w:rPr>
        <w:t>Puffinus yelkouan)</w:t>
      </w:r>
      <w:r w:rsidRPr="0088780C">
        <w:rPr>
          <w:snapToGrid w:val="0"/>
          <w:kern w:val="22"/>
          <w:szCs w:val="22"/>
        </w:rPr>
        <w:t>, velvet scoter (</w:t>
      </w:r>
      <w:r w:rsidRPr="0088780C">
        <w:rPr>
          <w:i/>
          <w:snapToGrid w:val="0"/>
          <w:kern w:val="22"/>
          <w:szCs w:val="22"/>
        </w:rPr>
        <w:t>Melanitta fusca)</w:t>
      </w:r>
      <w:r w:rsidRPr="0088780C">
        <w:rPr>
          <w:snapToGrid w:val="0"/>
          <w:kern w:val="22"/>
          <w:szCs w:val="22"/>
        </w:rPr>
        <w:t xml:space="preserve"> and horned grebe (</w:t>
      </w:r>
      <w:r w:rsidRPr="0088780C">
        <w:rPr>
          <w:i/>
          <w:snapToGrid w:val="0"/>
          <w:kern w:val="22"/>
          <w:szCs w:val="22"/>
        </w:rPr>
        <w:t>Podiceps auritus</w:t>
      </w:r>
      <w:r w:rsidRPr="0088780C">
        <w:rPr>
          <w:snapToGrid w:val="0"/>
          <w:kern w:val="22"/>
          <w:szCs w:val="22"/>
        </w:rPr>
        <w:t>)</w:t>
      </w:r>
      <w:r w:rsidRPr="0088780C">
        <w:rPr>
          <w:rFonts w:eastAsia="MS Mincho"/>
          <w:b/>
          <w:snapToGrid w:val="0"/>
          <w:kern w:val="22"/>
          <w:szCs w:val="22"/>
        </w:rPr>
        <w:br w:type="page"/>
      </w:r>
    </w:p>
    <w:p w14:paraId="5CF3D24E" w14:textId="5A03748B"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3: Va</w:t>
      </w:r>
      <w:r w:rsidR="003D6ED2" w:rsidRPr="0088780C">
        <w:rPr>
          <w:rFonts w:eastAsia="MS Mincho"/>
          <w:b/>
          <w:snapToGrid w:val="0"/>
          <w:kern w:val="22"/>
          <w:szCs w:val="22"/>
        </w:rPr>
        <w:t>ma Veche – 2 Mai Marine Reserve</w:t>
      </w:r>
    </w:p>
    <w:p w14:paraId="10D7F02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723C3C8" w14:textId="519AEFEE"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Abstract</w:t>
      </w:r>
    </w:p>
    <w:p w14:paraId="421AA66C" w14:textId="1F2A47B1" w:rsidR="00A876F3" w:rsidRPr="0088780C" w:rsidRDefault="00A876F3" w:rsidP="003D6ED2">
      <w:pPr>
        <w:pStyle w:val="Default"/>
        <w:widowControl/>
        <w:suppressLineNumbers/>
        <w:suppressAutoHyphens/>
        <w:kinsoku w:val="0"/>
        <w:overflowPunct w:val="0"/>
        <w:jc w:val="both"/>
        <w:rPr>
          <w:snapToGrid w:val="0"/>
          <w:kern w:val="22"/>
          <w:sz w:val="22"/>
          <w:szCs w:val="22"/>
          <w:lang w:val="en-GB"/>
        </w:rPr>
      </w:pPr>
      <w:r w:rsidRPr="0088780C">
        <w:rPr>
          <w:snapToGrid w:val="0"/>
          <w:color w:val="auto"/>
          <w:kern w:val="22"/>
          <w:sz w:val="22"/>
          <w:szCs w:val="22"/>
          <w:lang w:val="en-GB"/>
        </w:rPr>
        <w:t xml:space="preserve">Vama Veche – 2 Mai Marine Reserve represents a unique combination of a wide variety of broad habitat types, considered a real mosaic condensed in a rather small area, serving as shelter and spawning area to many marine species. Benthic and pelagic life </w:t>
      </w:r>
      <w:r w:rsidR="003D6ED2" w:rsidRPr="0088780C">
        <w:rPr>
          <w:snapToGrid w:val="0"/>
          <w:color w:val="auto"/>
          <w:kern w:val="22"/>
          <w:sz w:val="22"/>
          <w:szCs w:val="22"/>
          <w:lang w:val="en-GB"/>
        </w:rPr>
        <w:t>is</w:t>
      </w:r>
      <w:r w:rsidRPr="0088780C">
        <w:rPr>
          <w:snapToGrid w:val="0"/>
          <w:color w:val="auto"/>
          <w:kern w:val="22"/>
          <w:sz w:val="22"/>
          <w:szCs w:val="22"/>
          <w:lang w:val="en-GB"/>
        </w:rPr>
        <w:t xml:space="preserve"> extremely rich here, compared to the biodiversity of the surrounding areas. Although small in size, it was proposed as a sanctuary for cetaceans due to its high biological diversity, and is also classified as a marine Important Bird and Biodiversity Area</w:t>
      </w:r>
      <w:r w:rsidRPr="0088780C">
        <w:rPr>
          <w:snapToGrid w:val="0"/>
          <w:kern w:val="22"/>
          <w:sz w:val="22"/>
          <w:szCs w:val="22"/>
          <w:lang w:val="en-GB"/>
        </w:rPr>
        <w:t xml:space="preserve">. </w:t>
      </w:r>
      <w:r w:rsidRPr="0088780C">
        <w:rPr>
          <w:snapToGrid w:val="0"/>
          <w:color w:val="auto"/>
          <w:kern w:val="22"/>
          <w:sz w:val="22"/>
          <w:szCs w:val="22"/>
          <w:lang w:val="en-GB"/>
        </w:rPr>
        <w:t>Given its location, as well as the scientific interest of a neighbouring country, there is an opportunity for a transboundary expansion</w:t>
      </w:r>
      <w:r w:rsidR="003D6ED2" w:rsidRPr="0088780C">
        <w:rPr>
          <w:snapToGrid w:val="0"/>
          <w:kern w:val="22"/>
          <w:sz w:val="22"/>
          <w:szCs w:val="22"/>
          <w:lang w:val="en-GB"/>
        </w:rPr>
        <w:t xml:space="preserve"> in the future.</w:t>
      </w:r>
    </w:p>
    <w:p w14:paraId="136F641D"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33606F13" w14:textId="77777777" w:rsidR="00A876F3" w:rsidRPr="0088780C" w:rsidRDefault="00A876F3" w:rsidP="001013AF">
      <w:pPr>
        <w:suppressLineNumbers/>
        <w:suppressAutoHyphens/>
        <w:kinsoku w:val="0"/>
        <w:overflowPunct w:val="0"/>
        <w:autoSpaceDE w:val="0"/>
        <w:autoSpaceDN w:val="0"/>
        <w:rPr>
          <w:rFonts w:eastAsia="MS Mincho"/>
          <w:snapToGrid w:val="0"/>
          <w:color w:val="002060"/>
          <w:kern w:val="22"/>
          <w:szCs w:val="22"/>
        </w:rPr>
      </w:pPr>
      <w:r w:rsidRPr="0088780C">
        <w:rPr>
          <w:rFonts w:eastAsia="MS Mincho"/>
          <w:b/>
          <w:snapToGrid w:val="0"/>
          <w:kern w:val="22"/>
          <w:szCs w:val="22"/>
        </w:rPr>
        <w:t>Introduction</w:t>
      </w:r>
    </w:p>
    <w:p w14:paraId="1591EAC5" w14:textId="0D92528B"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situated in the southern extremity of the Romanian coast and is rather small in size, occupying until recently a surface area of 527 km</w:t>
      </w:r>
      <w:r w:rsidRPr="0088780C">
        <w:rPr>
          <w:rFonts w:eastAsia="MS Mincho"/>
          <w:snapToGrid w:val="0"/>
          <w:kern w:val="22"/>
          <w:szCs w:val="22"/>
          <w:vertAlign w:val="superscript"/>
        </w:rPr>
        <w:t>2</w:t>
      </w:r>
      <w:r w:rsidRPr="0088780C">
        <w:rPr>
          <w:rFonts w:eastAsia="MS Mincho"/>
          <w:snapToGrid w:val="0"/>
          <w:kern w:val="22"/>
          <w:szCs w:val="22"/>
        </w:rPr>
        <w:t xml:space="preserve">. In 2016, as the botanical and zoological marine reserve is also a </w:t>
      </w:r>
      <w:r w:rsidR="00D8482D" w:rsidRPr="0088780C">
        <w:rPr>
          <w:rFonts w:eastAsia="MS Mincho"/>
          <w:snapToGrid w:val="0"/>
          <w:kern w:val="22"/>
          <w:szCs w:val="22"/>
        </w:rPr>
        <w:t>“</w:t>
      </w:r>
      <w:r w:rsidRPr="0088780C">
        <w:rPr>
          <w:rFonts w:eastAsia="MS Mincho"/>
          <w:snapToGrid w:val="0"/>
          <w:kern w:val="22"/>
          <w:szCs w:val="22"/>
        </w:rPr>
        <w:t>Site of Community Importance</w:t>
      </w:r>
      <w:r w:rsidR="00D8482D" w:rsidRPr="0088780C">
        <w:rPr>
          <w:rFonts w:eastAsia="MS Mincho"/>
          <w:snapToGrid w:val="0"/>
          <w:kern w:val="22"/>
          <w:szCs w:val="22"/>
        </w:rPr>
        <w:t>”</w:t>
      </w:r>
      <w:r w:rsidRPr="0088780C">
        <w:rPr>
          <w:rFonts w:eastAsia="MS Mincho"/>
          <w:snapToGrid w:val="0"/>
          <w:kern w:val="22"/>
          <w:szCs w:val="22"/>
        </w:rPr>
        <w:t xml:space="preserve"> (SCI) under the EU Habitats Directive (Natura 2000 network), its eastward limit was extended down to 40 m isobaths, at present covering 1231 km</w:t>
      </w:r>
      <w:r w:rsidRPr="0088780C">
        <w:rPr>
          <w:rFonts w:eastAsia="MS Mincho"/>
          <w:snapToGrid w:val="0"/>
          <w:kern w:val="22"/>
          <w:szCs w:val="22"/>
          <w:vertAlign w:val="superscript"/>
        </w:rPr>
        <w:t xml:space="preserve">2 </w:t>
      </w:r>
      <w:r w:rsidRPr="0088780C">
        <w:rPr>
          <w:rFonts w:eastAsia="MS Mincho"/>
          <w:snapToGrid w:val="0"/>
          <w:kern w:val="22"/>
          <w:szCs w:val="22"/>
        </w:rPr>
        <w:t>(Natura 2000 Standard Form). The area is monitored on an annual basis, and the data are published in the NIMRD Journal Cercetari Marine – Recherches Marines. The area overlaps with a marine Important Bird and Biodiversity Area (BirdLife International 2017a), designated primarily for its importance as a migratory corridor for the vulnerable yelkouan shearwater (</w:t>
      </w:r>
      <w:r w:rsidRPr="0088780C">
        <w:rPr>
          <w:rFonts w:eastAsia="MS Mincho"/>
          <w:i/>
          <w:snapToGrid w:val="0"/>
          <w:kern w:val="22"/>
          <w:szCs w:val="22"/>
        </w:rPr>
        <w:t>Puffinus yelkouan</w:t>
      </w:r>
      <w:r w:rsidRPr="0088780C">
        <w:rPr>
          <w:rFonts w:eastAsia="MS Mincho"/>
          <w:snapToGrid w:val="0"/>
          <w:kern w:val="22"/>
          <w:szCs w:val="22"/>
        </w:rPr>
        <w:t>).</w:t>
      </w:r>
    </w:p>
    <w:p w14:paraId="19E84A4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F756C69"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Location</w:t>
      </w:r>
    </w:p>
    <w:p w14:paraId="56CCFF50" w14:textId="76B8D598"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Vama Veche - 2 Mai Marine Reserve is located in the southernmost part of the Romanian coastline, with a total area of 1231 km</w:t>
      </w:r>
      <w:r w:rsidRPr="0088780C">
        <w:rPr>
          <w:rFonts w:eastAsia="MS Mincho"/>
          <w:snapToGrid w:val="0"/>
          <w:kern w:val="22"/>
          <w:szCs w:val="22"/>
          <w:vertAlign w:val="superscript"/>
        </w:rPr>
        <w:t>2</w:t>
      </w:r>
      <w:r w:rsidRPr="0088780C">
        <w:rPr>
          <w:rFonts w:eastAsia="MS Mincho"/>
          <w:snapToGrid w:val="0"/>
          <w:kern w:val="22"/>
          <w:szCs w:val="22"/>
        </w:rPr>
        <w:t xml:space="preserve"> after its extension, all of which is marine. The geographical coordinates of the site ar</w:t>
      </w:r>
      <w:r w:rsidR="003D6ED2" w:rsidRPr="0088780C">
        <w:rPr>
          <w:rFonts w:eastAsia="MS Mincho"/>
          <w:snapToGrid w:val="0"/>
          <w:kern w:val="22"/>
          <w:szCs w:val="22"/>
        </w:rPr>
        <w:t>e 28.0019777E and 43.0064000 N.</w:t>
      </w:r>
    </w:p>
    <w:p w14:paraId="116B93FB" w14:textId="77777777" w:rsidR="00A876F3" w:rsidRPr="0088780C" w:rsidRDefault="00A876F3" w:rsidP="001013AF">
      <w:pPr>
        <w:suppressLineNumbers/>
        <w:suppressAutoHyphens/>
        <w:kinsoku w:val="0"/>
        <w:overflowPunct w:val="0"/>
        <w:autoSpaceDE w:val="0"/>
        <w:autoSpaceDN w:val="0"/>
        <w:rPr>
          <w:rFonts w:eastAsia="MS Mincho"/>
          <w:snapToGrid w:val="0"/>
          <w:color w:val="002060"/>
          <w:kern w:val="22"/>
          <w:szCs w:val="22"/>
        </w:rPr>
      </w:pPr>
    </w:p>
    <w:p w14:paraId="6718B79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Feature description of the area</w:t>
      </w:r>
    </w:p>
    <w:p w14:paraId="3A47C032" w14:textId="5A6052F0"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sediments of the area are dominated by biogenic coarse and pebbly sands. With increasing depth, fine quartz becomes dominant. The areas’s rocky floor consists of Sarmatian limestone shelves or rocks of the same origin. They form a continuous board from the shoreline down to 12-18 m depths; certain transects show rocky enclaves surrounded by sandy ar</w:t>
      </w:r>
      <w:r w:rsidR="003D6ED2" w:rsidRPr="0088780C">
        <w:rPr>
          <w:rFonts w:eastAsia="MS Mincho"/>
          <w:snapToGrid w:val="0"/>
          <w:kern w:val="22"/>
          <w:szCs w:val="22"/>
        </w:rPr>
        <w:t>eas (Nita et al., 2013).</w:t>
      </w:r>
    </w:p>
    <w:p w14:paraId="6DA51BA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22389B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Salinity usually ranges between 16 and 18.5 PSU, representing typical values for brackish waters in the Black Sea. Waters in the area present normal pH values (8.2-8.55) and good oxygen saturation levels. Rare hypoxia phenomena may occur, but none have been recorded in recent years (Nicolaev et al., 2015b).</w:t>
      </w:r>
    </w:p>
    <w:p w14:paraId="5866676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B98B58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There are a variety of bottom habitats in the area, defined according to the EU Habitats Directive (</w:t>
      </w:r>
      <w:r w:rsidRPr="0088780C">
        <w:rPr>
          <w:snapToGrid w:val="0"/>
          <w:color w:val="000000"/>
          <w:kern w:val="22"/>
          <w:szCs w:val="22"/>
        </w:rPr>
        <w:t xml:space="preserve">Donita </w:t>
      </w:r>
      <w:r w:rsidRPr="0088780C">
        <w:rPr>
          <w:iCs/>
          <w:snapToGrid w:val="0"/>
          <w:color w:val="000000"/>
          <w:kern w:val="22"/>
          <w:szCs w:val="22"/>
        </w:rPr>
        <w:t xml:space="preserve">et al. </w:t>
      </w:r>
      <w:r w:rsidRPr="0088780C">
        <w:rPr>
          <w:snapToGrid w:val="0"/>
          <w:color w:val="000000"/>
          <w:kern w:val="22"/>
          <w:szCs w:val="22"/>
        </w:rPr>
        <w:t xml:space="preserve">2005ab, Micu </w:t>
      </w:r>
      <w:r w:rsidRPr="0088780C">
        <w:rPr>
          <w:iCs/>
          <w:snapToGrid w:val="0"/>
          <w:color w:val="000000"/>
          <w:kern w:val="22"/>
          <w:szCs w:val="22"/>
        </w:rPr>
        <w:t>et al.</w:t>
      </w:r>
      <w:r w:rsidRPr="0088780C">
        <w:rPr>
          <w:i/>
          <w:iCs/>
          <w:snapToGrid w:val="0"/>
          <w:color w:val="000000"/>
          <w:kern w:val="22"/>
          <w:szCs w:val="22"/>
        </w:rPr>
        <w:t xml:space="preserve"> </w:t>
      </w:r>
      <w:r w:rsidRPr="0088780C">
        <w:rPr>
          <w:snapToGrid w:val="0"/>
          <w:color w:val="000000"/>
          <w:kern w:val="22"/>
          <w:szCs w:val="22"/>
        </w:rPr>
        <w:t>2007 and EUR 27 – Manual of European Union Habitats, 2007)</w:t>
      </w:r>
      <w:r w:rsidRPr="0088780C">
        <w:rPr>
          <w:rFonts w:eastAsia="MS Mincho"/>
          <w:snapToGrid w:val="0"/>
          <w:kern w:val="22"/>
          <w:szCs w:val="22"/>
        </w:rPr>
        <w:t>. These are:</w:t>
      </w:r>
    </w:p>
    <w:p w14:paraId="5C77D15B"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snapToGrid w:val="0"/>
          <w:color w:val="000000"/>
          <w:kern w:val="22"/>
          <w:szCs w:val="22"/>
        </w:rPr>
      </w:pPr>
      <w:r w:rsidRPr="0088780C">
        <w:rPr>
          <w:rFonts w:eastAsia="MS Mincho"/>
          <w:snapToGrid w:val="0"/>
          <w:kern w:val="22"/>
          <w:szCs w:val="22"/>
        </w:rPr>
        <w:t xml:space="preserve">1110-1 </w:t>
      </w:r>
      <w:r w:rsidRPr="0088780C">
        <w:rPr>
          <w:i/>
          <w:iCs/>
          <w:snapToGrid w:val="0"/>
          <w:color w:val="000000"/>
          <w:kern w:val="22"/>
          <w:szCs w:val="22"/>
        </w:rPr>
        <w:t xml:space="preserve">Zostera </w:t>
      </w:r>
      <w:r w:rsidRPr="0088780C">
        <w:rPr>
          <w:snapToGrid w:val="0"/>
          <w:color w:val="000000"/>
          <w:kern w:val="22"/>
          <w:szCs w:val="22"/>
        </w:rPr>
        <w:t xml:space="preserve">meadows on clean or slightly muddy fine sands: </w:t>
      </w:r>
      <w:r w:rsidRPr="0088780C">
        <w:rPr>
          <w:i/>
          <w:iCs/>
          <w:snapToGrid w:val="0"/>
          <w:color w:val="000000"/>
          <w:kern w:val="22"/>
          <w:szCs w:val="22"/>
        </w:rPr>
        <w:t xml:space="preserve">Zostera noltii </w:t>
      </w:r>
      <w:r w:rsidRPr="0088780C">
        <w:rPr>
          <w:snapToGrid w:val="0"/>
          <w:color w:val="000000"/>
          <w:kern w:val="22"/>
          <w:szCs w:val="22"/>
        </w:rPr>
        <w:t>forms mono-specific submerged meadows, in sheltered bays 4 meters deep, where sedimentary stability leads to a slight siltation of the sand;</w:t>
      </w:r>
    </w:p>
    <w:p w14:paraId="7BA77296"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1110-4: Well sorted sands: Immediately following shallow fine sands, this habitat type stretches from a 3-4 m water depth to the eastern limit of the site;</w:t>
      </w:r>
    </w:p>
    <w:p w14:paraId="61E3DF39"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1110-5: Wave-lashed coarse sands and fine gravels: This hab</w:t>
      </w:r>
      <w:r w:rsidRPr="0088780C">
        <w:rPr>
          <w:rFonts w:eastAsia="MS Mincho"/>
          <w:snapToGrid w:val="0"/>
          <w:kern w:val="22"/>
          <w:szCs w:val="22"/>
        </w:rPr>
        <w:softHyphen/>
        <w:t>itat type is encountered in small bays in the site and does not exceed a few tens of centimeters in depth;</w:t>
      </w:r>
    </w:p>
    <w:p w14:paraId="7DF77BEC" w14:textId="7A6793CF"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1110-6: Infralittora</w:t>
      </w:r>
      <w:r w:rsidR="003D6ED2" w:rsidRPr="0088780C">
        <w:rPr>
          <w:rFonts w:eastAsia="MS Mincho"/>
          <w:snapToGrid w:val="0"/>
          <w:kern w:val="22"/>
          <w:szCs w:val="22"/>
        </w:rPr>
        <w:t>l cobbles: The habitats consist</w:t>
      </w:r>
      <w:r w:rsidRPr="0088780C">
        <w:rPr>
          <w:rFonts w:eastAsia="MS Mincho"/>
          <w:snapToGrid w:val="0"/>
          <w:kern w:val="22"/>
          <w:szCs w:val="22"/>
        </w:rPr>
        <w:t xml:space="preserve"> of round and flattened rock (cobbles) submerged beaches, usually white limestone, modeled by the waves. The lower limit corresponds</w:t>
      </w:r>
      <w:r w:rsidRPr="0088780C">
        <w:rPr>
          <w:rFonts w:eastAsiaTheme="minorHAnsi"/>
          <w:snapToGrid w:val="0"/>
          <w:color w:val="000000"/>
          <w:kern w:val="22"/>
          <w:szCs w:val="22"/>
        </w:rPr>
        <w:t xml:space="preserve"> </w:t>
      </w:r>
      <w:r w:rsidRPr="0088780C">
        <w:rPr>
          <w:rFonts w:eastAsia="MS Mincho"/>
          <w:snapToGrid w:val="0"/>
          <w:kern w:val="22"/>
          <w:szCs w:val="22"/>
        </w:rPr>
        <w:t>to the area where wave force becomes insufficient to roll the cobbles;</w:t>
      </w:r>
    </w:p>
    <w:p w14:paraId="1A5A145B"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 xml:space="preserve">1110-9: Sandy muds and muddy sands bioturbated by </w:t>
      </w:r>
      <w:r w:rsidRPr="0088780C">
        <w:rPr>
          <w:rFonts w:eastAsia="MS Mincho"/>
          <w:i/>
          <w:iCs/>
          <w:snapToGrid w:val="0"/>
          <w:kern w:val="22"/>
          <w:szCs w:val="22"/>
        </w:rPr>
        <w:t>Upogebia</w:t>
      </w:r>
      <w:r w:rsidRPr="0088780C">
        <w:rPr>
          <w:rFonts w:eastAsia="MS Mincho"/>
          <w:snapToGrid w:val="0"/>
          <w:kern w:val="22"/>
          <w:szCs w:val="22"/>
        </w:rPr>
        <w:t>: They form a continuous belt along the Romanian coast, at 10- 30 m depths, on muddy sands;</w:t>
      </w:r>
    </w:p>
    <w:p w14:paraId="0CCBB836"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1140-1: Supralittoral sands with or without fast-drying drift lines: This habitat type occupies the beach part that is covered by water only during storms. The deposits are made of the ma</w:t>
      </w:r>
      <w:r w:rsidRPr="0088780C">
        <w:rPr>
          <w:rFonts w:eastAsia="MS Mincho"/>
          <w:snapToGrid w:val="0"/>
          <w:kern w:val="22"/>
          <w:szCs w:val="22"/>
        </w:rPr>
        <w:softHyphen/>
        <w:t>terials brought by the sea — of vegetal origin (tree trunks, wood</w:t>
      </w:r>
      <w:r w:rsidRPr="0088780C">
        <w:rPr>
          <w:rFonts w:eastAsiaTheme="minorHAnsi"/>
          <w:snapToGrid w:val="0"/>
          <w:color w:val="000000"/>
          <w:kern w:val="22"/>
          <w:szCs w:val="22"/>
        </w:rPr>
        <w:t xml:space="preserve"> </w:t>
      </w:r>
      <w:r w:rsidRPr="0088780C">
        <w:rPr>
          <w:rFonts w:eastAsia="MS Mincho"/>
          <w:snapToGrid w:val="0"/>
          <w:kern w:val="22"/>
          <w:szCs w:val="22"/>
        </w:rPr>
        <w:t>pieces, algae, leaves), of animal origin (underwater animal corpses, drowned terrestrial animals) and of anthropogenic ori</w:t>
      </w:r>
      <w:r w:rsidRPr="0088780C">
        <w:rPr>
          <w:rFonts w:eastAsia="MS Mincho"/>
          <w:snapToGrid w:val="0"/>
          <w:kern w:val="22"/>
          <w:szCs w:val="22"/>
        </w:rPr>
        <w:softHyphen/>
        <w:t>gin (solid wastes), as well as the dense foam of marine plankton;</w:t>
      </w:r>
    </w:p>
    <w:p w14:paraId="7E66983A" w14:textId="77777777" w:rsidR="00A876F3" w:rsidRPr="0088780C" w:rsidRDefault="00A876F3" w:rsidP="001013AF">
      <w:pPr>
        <w:suppressLineNumbers/>
        <w:suppressAutoHyphens/>
        <w:kinsoku w:val="0"/>
        <w:overflowPunct w:val="0"/>
        <w:autoSpaceDE w:val="0"/>
        <w:autoSpaceDN w:val="0"/>
        <w:ind w:left="360"/>
        <w:rPr>
          <w:rFonts w:eastAsia="MS Mincho"/>
          <w:snapToGrid w:val="0"/>
          <w:kern w:val="22"/>
          <w:szCs w:val="22"/>
        </w:rPr>
      </w:pPr>
    </w:p>
    <w:p w14:paraId="40EAD425"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1140-2: Supralittoral slow-drying drift lines: The habitat oc</w:t>
      </w:r>
      <w:r w:rsidRPr="0088780C">
        <w:rPr>
          <w:rFonts w:eastAsia="MS Mincho"/>
          <w:snapToGrid w:val="0"/>
          <w:kern w:val="22"/>
          <w:szCs w:val="22"/>
        </w:rPr>
        <w:softHyphen/>
        <w:t>cupies the portion of the boulder shoreline or cobble beaches that is covered by waves only during storms. They accumulate in the space between them the debris described above, but also humidity, so that the debris hardly dries;</w:t>
      </w:r>
    </w:p>
    <w:p w14:paraId="0BD958A6"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1140-3: Midlittoral sands: This habitat type occupies the sand stretch on the shore, on which the waves break. Depending on the choppiness of the sea, the portion may be wider or narrower. The sand is compact, coarse and mixed with shell debris and gravel;</w:t>
      </w:r>
    </w:p>
    <w:p w14:paraId="2C2A9D8A" w14:textId="007C2A22"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 xml:space="preserve">1140-4: Midlittoral detritus on shingle and boulders: This type of habitat occupies the midlittoral portion of the shores and is formed of boulders, cobbles or </w:t>
      </w:r>
      <w:r w:rsidR="003D6ED2" w:rsidRPr="0088780C">
        <w:rPr>
          <w:rFonts w:eastAsia="MS Mincho"/>
          <w:snapToGrid w:val="0"/>
          <w:kern w:val="22"/>
          <w:szCs w:val="22"/>
        </w:rPr>
        <w:t>gravel, continuing the supralit</w:t>
      </w:r>
      <w:r w:rsidRPr="0088780C">
        <w:rPr>
          <w:rFonts w:eastAsia="MS Mincho"/>
          <w:snapToGrid w:val="0"/>
          <w:kern w:val="22"/>
          <w:szCs w:val="22"/>
        </w:rPr>
        <w:t>toral slow-drying detritus drift lines;</w:t>
      </w:r>
    </w:p>
    <w:p w14:paraId="79EA8AAD" w14:textId="3FA0C065"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 xml:space="preserve">1170-2: </w:t>
      </w:r>
      <w:r w:rsidRPr="0088780C">
        <w:rPr>
          <w:rFonts w:eastAsia="MS Mincho"/>
          <w:i/>
          <w:iCs/>
          <w:snapToGrid w:val="0"/>
          <w:kern w:val="22"/>
          <w:szCs w:val="22"/>
        </w:rPr>
        <w:t xml:space="preserve">Mytilus galloprovincialis </w:t>
      </w:r>
      <w:r w:rsidRPr="0088780C">
        <w:rPr>
          <w:rFonts w:eastAsia="MS Mincho"/>
          <w:snapToGrid w:val="0"/>
          <w:kern w:val="22"/>
          <w:szCs w:val="22"/>
        </w:rPr>
        <w:t>biogenic reefs: These habitats are made of mussel banks, the shells of which have ac</w:t>
      </w:r>
      <w:r w:rsidRPr="0088780C">
        <w:rPr>
          <w:rFonts w:eastAsia="MS Mincho"/>
          <w:snapToGrid w:val="0"/>
          <w:kern w:val="22"/>
          <w:szCs w:val="22"/>
        </w:rPr>
        <w:softHyphen/>
        <w:t>cumulated in time, forming a ro</w:t>
      </w:r>
      <w:r w:rsidR="003D6ED2" w:rsidRPr="0088780C">
        <w:rPr>
          <w:rFonts w:eastAsia="MS Mincho"/>
          <w:snapToGrid w:val="0"/>
          <w:kern w:val="22"/>
          <w:szCs w:val="22"/>
        </w:rPr>
        <w:t>ugh support higher than the sur</w:t>
      </w:r>
      <w:r w:rsidRPr="0088780C">
        <w:rPr>
          <w:rFonts w:eastAsia="MS Mincho"/>
          <w:snapToGrid w:val="0"/>
          <w:kern w:val="22"/>
          <w:szCs w:val="22"/>
        </w:rPr>
        <w:t>rounding sediments (mud, sand, gravel or mixture), on which living mussel colonies fix themselves;</w:t>
      </w:r>
    </w:p>
    <w:p w14:paraId="35D6FCFE"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1170-4: Boulders and blocks: Large sized rock and boulder piles appear on the midlittoral of rocky shores, at the base of rocky cliffs. These blocks can be rolled or eroded by the water charged with sand during storms, which is why al</w:t>
      </w:r>
      <w:r w:rsidRPr="0088780C">
        <w:rPr>
          <w:rFonts w:eastAsia="MS Mincho"/>
          <w:snapToGrid w:val="0"/>
          <w:kern w:val="22"/>
          <w:szCs w:val="22"/>
        </w:rPr>
        <w:softHyphen/>
        <w:t>gal populations are ephemeral. The structural complexity and the obscurity attract an extraordinarily diverse fauna for such shallow waters. This habitat is actually a mosaic of microhabi</w:t>
      </w:r>
      <w:r w:rsidRPr="0088780C">
        <w:rPr>
          <w:rFonts w:eastAsia="MS Mincho"/>
          <w:snapToGrid w:val="0"/>
          <w:kern w:val="22"/>
          <w:szCs w:val="22"/>
        </w:rPr>
        <w:softHyphen/>
        <w:t>tats, representing midlittoral enclaves of species that normally belong to deeper areas;</w:t>
      </w:r>
    </w:p>
    <w:p w14:paraId="13B476B7" w14:textId="74E2EB1A"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 xml:space="preserve">1170-5: Supralittoral rock: </w:t>
      </w:r>
      <w:r w:rsidR="003D6ED2" w:rsidRPr="0088780C">
        <w:rPr>
          <w:rFonts w:eastAsia="MS Mincho"/>
          <w:snapToGrid w:val="0"/>
          <w:kern w:val="22"/>
          <w:szCs w:val="22"/>
        </w:rPr>
        <w:t>The upper-littoral rock is situ</w:t>
      </w:r>
      <w:r w:rsidRPr="0088780C">
        <w:rPr>
          <w:rFonts w:eastAsia="MS Mincho"/>
          <w:snapToGrid w:val="0"/>
          <w:kern w:val="22"/>
          <w:szCs w:val="22"/>
        </w:rPr>
        <w:t xml:space="preserve">ated above the sea level and becomes wet due to wave foam or during storms. The vertical expansion depends on hydro-dynamism, solar exposure and gradient. This type of habitat is populated by the </w:t>
      </w:r>
      <w:r w:rsidRPr="0088780C">
        <w:rPr>
          <w:rFonts w:eastAsia="MS Mincho"/>
          <w:i/>
          <w:iCs/>
          <w:snapToGrid w:val="0"/>
          <w:kern w:val="22"/>
          <w:szCs w:val="22"/>
        </w:rPr>
        <w:t xml:space="preserve">Verrucaria </w:t>
      </w:r>
      <w:r w:rsidRPr="0088780C">
        <w:rPr>
          <w:rFonts w:eastAsia="MS Mincho"/>
          <w:snapToGrid w:val="0"/>
          <w:kern w:val="22"/>
          <w:szCs w:val="22"/>
        </w:rPr>
        <w:t xml:space="preserve">lichen, isopod crustaceans and the </w:t>
      </w:r>
      <w:r w:rsidRPr="0088780C">
        <w:rPr>
          <w:rFonts w:eastAsia="MS Mincho"/>
          <w:i/>
          <w:iCs/>
          <w:snapToGrid w:val="0"/>
          <w:kern w:val="22"/>
          <w:szCs w:val="22"/>
        </w:rPr>
        <w:t xml:space="preserve">Pachygrapsus marmoratus </w:t>
      </w:r>
      <w:r w:rsidRPr="0088780C">
        <w:rPr>
          <w:rFonts w:eastAsia="MS Mincho"/>
          <w:snapToGrid w:val="0"/>
          <w:kern w:val="22"/>
          <w:szCs w:val="22"/>
        </w:rPr>
        <w:t>crab;</w:t>
      </w:r>
    </w:p>
    <w:p w14:paraId="0D3B072D"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1170-6: Upper midlittoral rock: The upper midlittoral rock is located in the superior part of the wave breaking area and is</w:t>
      </w:r>
      <w:r w:rsidRPr="0088780C">
        <w:rPr>
          <w:rFonts w:eastAsiaTheme="minorHAnsi"/>
          <w:snapToGrid w:val="0"/>
          <w:color w:val="000000"/>
          <w:kern w:val="22"/>
          <w:szCs w:val="22"/>
        </w:rPr>
        <w:t xml:space="preserve"> </w:t>
      </w:r>
      <w:r w:rsidRPr="0088780C">
        <w:rPr>
          <w:rFonts w:eastAsia="MS Mincho"/>
          <w:snapToGrid w:val="0"/>
          <w:kern w:val="22"/>
          <w:szCs w:val="22"/>
        </w:rPr>
        <w:t>not permanently covered by water, being nevertheless in</w:t>
      </w:r>
      <w:r w:rsidRPr="0088780C">
        <w:rPr>
          <w:rFonts w:eastAsia="MS Mincho"/>
          <w:snapToGrid w:val="0"/>
          <w:kern w:val="22"/>
          <w:szCs w:val="22"/>
        </w:rPr>
        <w:softHyphen/>
        <w:t>termittently wet by high waves;</w:t>
      </w:r>
    </w:p>
    <w:p w14:paraId="2C8F01C5"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1170-7: Lower midlittoral rock: The lower midlittoral rock is located in the lower part of the wave breaking area, and it is covered by water most of the time. High and con</w:t>
      </w:r>
      <w:r w:rsidRPr="0088780C">
        <w:rPr>
          <w:rFonts w:eastAsia="MS Mincho"/>
          <w:snapToGrid w:val="0"/>
          <w:kern w:val="22"/>
          <w:szCs w:val="22"/>
        </w:rPr>
        <w:softHyphen/>
        <w:t xml:space="preserve">stant humidity and strong light are the dominant factors of this habitat. Articulated </w:t>
      </w:r>
      <w:r w:rsidRPr="0088780C">
        <w:rPr>
          <w:rFonts w:eastAsia="MS Mincho"/>
          <w:i/>
          <w:iCs/>
          <w:snapToGrid w:val="0"/>
          <w:kern w:val="22"/>
          <w:szCs w:val="22"/>
        </w:rPr>
        <w:t xml:space="preserve">Corallina officinalis </w:t>
      </w:r>
      <w:r w:rsidRPr="0088780C">
        <w:rPr>
          <w:rFonts w:eastAsia="MS Mincho"/>
          <w:snapToGrid w:val="0"/>
          <w:kern w:val="22"/>
          <w:szCs w:val="22"/>
        </w:rPr>
        <w:t>and ephemeral macro</w:t>
      </w:r>
      <w:r w:rsidRPr="0088780C">
        <w:rPr>
          <w:rFonts w:eastAsia="MS Mincho"/>
          <w:snapToGrid w:val="0"/>
          <w:kern w:val="22"/>
          <w:szCs w:val="22"/>
        </w:rPr>
        <w:softHyphen/>
        <w:t xml:space="preserve">phyte </w:t>
      </w:r>
      <w:r w:rsidRPr="0088780C">
        <w:rPr>
          <w:rFonts w:eastAsia="MS Mincho"/>
          <w:i/>
          <w:iCs/>
          <w:snapToGrid w:val="0"/>
          <w:kern w:val="22"/>
          <w:szCs w:val="22"/>
        </w:rPr>
        <w:t xml:space="preserve">Ulva </w:t>
      </w:r>
      <w:r w:rsidRPr="0088780C">
        <w:rPr>
          <w:rFonts w:eastAsia="MS Mincho"/>
          <w:snapToGrid w:val="0"/>
          <w:kern w:val="22"/>
          <w:szCs w:val="22"/>
        </w:rPr>
        <w:t xml:space="preserve">sp., </w:t>
      </w:r>
      <w:r w:rsidRPr="0088780C">
        <w:rPr>
          <w:rFonts w:eastAsia="MS Mincho"/>
          <w:i/>
          <w:iCs/>
          <w:snapToGrid w:val="0"/>
          <w:kern w:val="22"/>
          <w:szCs w:val="22"/>
        </w:rPr>
        <w:t xml:space="preserve">Cladophora </w:t>
      </w:r>
      <w:r w:rsidRPr="0088780C">
        <w:rPr>
          <w:rFonts w:eastAsia="MS Mincho"/>
          <w:snapToGrid w:val="0"/>
          <w:kern w:val="22"/>
          <w:szCs w:val="22"/>
        </w:rPr>
        <w:t xml:space="preserve">sp. and </w:t>
      </w:r>
      <w:r w:rsidRPr="0088780C">
        <w:rPr>
          <w:rFonts w:eastAsia="MS Mincho"/>
          <w:i/>
          <w:iCs/>
          <w:snapToGrid w:val="0"/>
          <w:kern w:val="22"/>
          <w:szCs w:val="22"/>
        </w:rPr>
        <w:t>Ceramium sp</w:t>
      </w:r>
      <w:r w:rsidRPr="0088780C">
        <w:rPr>
          <w:rFonts w:eastAsia="MS Mincho"/>
          <w:snapToGrid w:val="0"/>
          <w:kern w:val="22"/>
          <w:szCs w:val="22"/>
        </w:rPr>
        <w:t xml:space="preserve">. algae occur. The fauna is characterized by </w:t>
      </w:r>
      <w:r w:rsidRPr="0088780C">
        <w:rPr>
          <w:rFonts w:eastAsia="MS Mincho"/>
          <w:i/>
          <w:iCs/>
          <w:snapToGrid w:val="0"/>
          <w:kern w:val="22"/>
          <w:szCs w:val="22"/>
        </w:rPr>
        <w:t>Balanus improvisus</w:t>
      </w:r>
      <w:r w:rsidRPr="0088780C">
        <w:rPr>
          <w:rFonts w:eastAsia="MS Mincho"/>
          <w:snapToGrid w:val="0"/>
          <w:kern w:val="22"/>
          <w:szCs w:val="22"/>
        </w:rPr>
        <w:t xml:space="preserve">, </w:t>
      </w:r>
      <w:r w:rsidRPr="0088780C">
        <w:rPr>
          <w:rFonts w:eastAsia="MS Mincho"/>
          <w:i/>
          <w:iCs/>
          <w:snapToGrid w:val="0"/>
          <w:kern w:val="22"/>
          <w:szCs w:val="22"/>
        </w:rPr>
        <w:t xml:space="preserve">Mytilaster lineatus </w:t>
      </w:r>
      <w:r w:rsidRPr="0088780C">
        <w:rPr>
          <w:rFonts w:eastAsia="MS Mincho"/>
          <w:snapToGrid w:val="0"/>
          <w:kern w:val="22"/>
          <w:szCs w:val="22"/>
        </w:rPr>
        <w:t xml:space="preserve">and </w:t>
      </w:r>
      <w:r w:rsidRPr="0088780C">
        <w:rPr>
          <w:rFonts w:eastAsia="MS Mincho"/>
          <w:i/>
          <w:iCs/>
          <w:snapToGrid w:val="0"/>
          <w:kern w:val="22"/>
          <w:szCs w:val="22"/>
        </w:rPr>
        <w:t>Mytilus galloprovincialis</w:t>
      </w:r>
      <w:r w:rsidRPr="0088780C">
        <w:rPr>
          <w:rFonts w:eastAsia="MS Mincho"/>
          <w:snapToGrid w:val="0"/>
          <w:kern w:val="22"/>
          <w:szCs w:val="22"/>
        </w:rPr>
        <w:t xml:space="preserve">, bryozoa, amphipod and isopod crustaceans, the </w:t>
      </w:r>
      <w:r w:rsidRPr="0088780C">
        <w:rPr>
          <w:rFonts w:eastAsia="MS Mincho"/>
          <w:i/>
          <w:iCs/>
          <w:snapToGrid w:val="0"/>
          <w:kern w:val="22"/>
          <w:szCs w:val="22"/>
        </w:rPr>
        <w:t xml:space="preserve">Pachygrapsus marmoratus </w:t>
      </w:r>
      <w:r w:rsidRPr="0088780C">
        <w:rPr>
          <w:rFonts w:eastAsia="MS Mincho"/>
          <w:snapToGrid w:val="0"/>
          <w:kern w:val="22"/>
          <w:szCs w:val="22"/>
        </w:rPr>
        <w:t xml:space="preserve">and </w:t>
      </w:r>
      <w:r w:rsidRPr="0088780C">
        <w:rPr>
          <w:rFonts w:eastAsia="MS Mincho"/>
          <w:i/>
          <w:iCs/>
          <w:snapToGrid w:val="0"/>
          <w:kern w:val="22"/>
          <w:szCs w:val="22"/>
        </w:rPr>
        <w:t xml:space="preserve">Eriphia verrucosa </w:t>
      </w:r>
      <w:r w:rsidRPr="0088780C">
        <w:rPr>
          <w:rFonts w:eastAsia="MS Mincho"/>
          <w:snapToGrid w:val="0"/>
          <w:kern w:val="22"/>
          <w:szCs w:val="22"/>
        </w:rPr>
        <w:t>crabs;</w:t>
      </w:r>
    </w:p>
    <w:p w14:paraId="0543B3CB"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1170-8: Infralittoral rock with photophilic algae: The in</w:t>
      </w:r>
      <w:r w:rsidRPr="0088780C">
        <w:rPr>
          <w:rFonts w:eastAsia="MS Mincho"/>
          <w:snapToGrid w:val="0"/>
          <w:kern w:val="22"/>
          <w:szCs w:val="22"/>
        </w:rPr>
        <w:softHyphen/>
        <w:t>fralittoral rock with photophilic algae is situated immediately under the lower midlittoral level, where water immersions are only accidental, and stretches down to the inferior limit of the spreading of the photophilic and marine phanerogam algae. This lower limit is conditioned by the penetration of light and is thus variable, according to the topography and water clarity. Generally, on the Romanian littoral, this limit is around 10 me</w:t>
      </w:r>
      <w:r w:rsidRPr="0088780C">
        <w:rPr>
          <w:rFonts w:eastAsia="MS Mincho"/>
          <w:snapToGrid w:val="0"/>
          <w:kern w:val="22"/>
          <w:szCs w:val="22"/>
        </w:rPr>
        <w:softHyphen/>
        <w:t>ters deep, but in the areas with high turbidity it can be less than 1 meter. The rocky substrate between these two boundaries is</w:t>
      </w:r>
      <w:r w:rsidRPr="0088780C">
        <w:rPr>
          <w:rFonts w:eastAsiaTheme="minorHAnsi"/>
          <w:snapToGrid w:val="0"/>
          <w:color w:val="000000"/>
          <w:kern w:val="22"/>
          <w:szCs w:val="22"/>
        </w:rPr>
        <w:t xml:space="preserve"> </w:t>
      </w:r>
      <w:r w:rsidRPr="0088780C">
        <w:rPr>
          <w:rFonts w:eastAsia="MS Mincho"/>
          <w:snapToGrid w:val="0"/>
          <w:kern w:val="22"/>
          <w:szCs w:val="22"/>
        </w:rPr>
        <w:t xml:space="preserve">covered with rich and varied populations of photophilic algae. It includes various facets (including the ones containing the </w:t>
      </w:r>
      <w:r w:rsidRPr="0088780C">
        <w:rPr>
          <w:rFonts w:eastAsia="MS Mincho"/>
          <w:i/>
          <w:iCs/>
          <w:snapToGrid w:val="0"/>
          <w:kern w:val="22"/>
          <w:szCs w:val="22"/>
        </w:rPr>
        <w:t xml:space="preserve">Cystoseira barbata </w:t>
      </w:r>
      <w:r w:rsidRPr="0088780C">
        <w:rPr>
          <w:rFonts w:eastAsia="MS Mincho"/>
          <w:snapToGrid w:val="0"/>
          <w:kern w:val="22"/>
          <w:szCs w:val="22"/>
        </w:rPr>
        <w:t xml:space="preserve">and </w:t>
      </w:r>
      <w:r w:rsidRPr="0088780C">
        <w:rPr>
          <w:rFonts w:eastAsia="MS Mincho"/>
          <w:i/>
          <w:iCs/>
          <w:snapToGrid w:val="0"/>
          <w:kern w:val="22"/>
          <w:szCs w:val="22"/>
        </w:rPr>
        <w:t xml:space="preserve">Corallina officinalis </w:t>
      </w:r>
      <w:r w:rsidRPr="0088780C">
        <w:rPr>
          <w:rFonts w:eastAsia="MS Mincho"/>
          <w:snapToGrid w:val="0"/>
          <w:kern w:val="22"/>
          <w:szCs w:val="22"/>
        </w:rPr>
        <w:t>perennial mac</w:t>
      </w:r>
      <w:r w:rsidRPr="0088780C">
        <w:rPr>
          <w:rFonts w:eastAsia="MS Mincho"/>
          <w:snapToGrid w:val="0"/>
          <w:kern w:val="22"/>
          <w:szCs w:val="22"/>
        </w:rPr>
        <w:softHyphen/>
        <w:t>rophyte algae) and a great algal and fauna diversity;</w:t>
      </w:r>
    </w:p>
    <w:p w14:paraId="11552254"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 xml:space="preserve">1170-9: Infralittoral rock with </w:t>
      </w:r>
      <w:r w:rsidRPr="0088780C">
        <w:rPr>
          <w:rFonts w:eastAsia="MS Mincho"/>
          <w:i/>
          <w:iCs/>
          <w:snapToGrid w:val="0"/>
          <w:kern w:val="22"/>
          <w:szCs w:val="22"/>
        </w:rPr>
        <w:t>Mytilus galloprovincialis</w:t>
      </w:r>
      <w:r w:rsidRPr="0088780C">
        <w:rPr>
          <w:rFonts w:eastAsia="MS Mincho"/>
          <w:snapToGrid w:val="0"/>
          <w:kern w:val="22"/>
          <w:szCs w:val="22"/>
        </w:rPr>
        <w:t xml:space="preserve">: The infralittoral rock with </w:t>
      </w:r>
      <w:r w:rsidRPr="0088780C">
        <w:rPr>
          <w:rFonts w:eastAsia="MS Mincho"/>
          <w:i/>
          <w:iCs/>
          <w:snapToGrid w:val="0"/>
          <w:kern w:val="22"/>
          <w:szCs w:val="22"/>
        </w:rPr>
        <w:t xml:space="preserve">Mytilus galloprovincialis </w:t>
      </w:r>
      <w:r w:rsidRPr="0088780C">
        <w:rPr>
          <w:rFonts w:eastAsia="MS Mincho"/>
          <w:snapToGrid w:val="0"/>
          <w:kern w:val="22"/>
          <w:szCs w:val="22"/>
        </w:rPr>
        <w:t>stretches down to maximum 28 metres deep, at the lower limit of the rocky platforms. In the photophilic algae area, it overlaps the previous habitat, but continues deeper, overcoming its limits. The fauna is extremely diverse, including numerous sponge, hydrozoas, polichaet, mollusk, and crustacean and fish species, characteristic only for this type of habitat, some of them being rare or protected;</w:t>
      </w:r>
    </w:p>
    <w:p w14:paraId="0A12B11C" w14:textId="77777777" w:rsidR="00A876F3" w:rsidRPr="0088780C" w:rsidRDefault="00A876F3" w:rsidP="001013AF">
      <w:pPr>
        <w:pStyle w:val="ListParagraph"/>
        <w:numPr>
          <w:ilvl w:val="0"/>
          <w:numId w:val="28"/>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1170-10: Infralittoral hard clay banks with Pholadidae: This type of habitat comprises red hard clay banks, shaped as pla</w:t>
      </w:r>
      <w:r w:rsidRPr="0088780C">
        <w:rPr>
          <w:rFonts w:eastAsia="MS Mincho"/>
          <w:snapToGrid w:val="0"/>
          <w:kern w:val="22"/>
          <w:szCs w:val="22"/>
        </w:rPr>
        <w:softHyphen/>
        <w:t xml:space="preserve">teaus or wavy, that can be partially covered by the surrounding sediments. The galleries dug by </w:t>
      </w:r>
      <w:r w:rsidRPr="0088780C">
        <w:rPr>
          <w:rFonts w:eastAsia="MS Mincho"/>
          <w:i/>
          <w:iCs/>
          <w:snapToGrid w:val="0"/>
          <w:kern w:val="22"/>
          <w:szCs w:val="22"/>
        </w:rPr>
        <w:t xml:space="preserve">Pholas dactylus </w:t>
      </w:r>
      <w:r w:rsidRPr="0088780C">
        <w:rPr>
          <w:rFonts w:eastAsia="MS Mincho"/>
          <w:snapToGrid w:val="0"/>
          <w:kern w:val="22"/>
          <w:szCs w:val="22"/>
        </w:rPr>
        <w:t>provide this habitat a high tridimensional complexity and allow the fixation of a special fauna association.</w:t>
      </w:r>
    </w:p>
    <w:p w14:paraId="0A21225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342E382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biodiversity of the area consists of phytoplankton, zooplankton, macroalgae and marine phanerogames, zoobenthos, fish and marine mammals.</w:t>
      </w:r>
    </w:p>
    <w:p w14:paraId="6C2DB30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303A9CA4" w14:textId="154981F8"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was designated for the protection of the</w:t>
      </w:r>
      <w:r w:rsidR="003D6ED2" w:rsidRPr="0088780C">
        <w:rPr>
          <w:rFonts w:eastAsia="MS Mincho"/>
          <w:snapToGrid w:val="0"/>
          <w:kern w:val="22"/>
          <w:szCs w:val="22"/>
        </w:rPr>
        <w:t xml:space="preserve"> following species of interest:</w:t>
      </w:r>
    </w:p>
    <w:p w14:paraId="53980BEE" w14:textId="20C9F921" w:rsidR="00A876F3" w:rsidRPr="0088780C" w:rsidRDefault="00A876F3" w:rsidP="001013AF">
      <w:pPr>
        <w:pStyle w:val="ListParagraph"/>
        <w:numPr>
          <w:ilvl w:val="0"/>
          <w:numId w:val="30"/>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bottlenose dolphin (</w:t>
      </w:r>
      <w:r w:rsidRPr="0088780C">
        <w:rPr>
          <w:rFonts w:eastAsia="MS Mincho"/>
          <w:i/>
          <w:snapToGrid w:val="0"/>
          <w:kern w:val="22"/>
          <w:szCs w:val="22"/>
        </w:rPr>
        <w:t>Tursiops truncatus</w:t>
      </w:r>
      <w:r w:rsidRPr="0088780C">
        <w:rPr>
          <w:rFonts w:eastAsia="MS Mincho"/>
          <w:snapToGrid w:val="0"/>
          <w:kern w:val="22"/>
          <w:szCs w:val="22"/>
        </w:rPr>
        <w:t>) occurring in the Romanian mari</w:t>
      </w:r>
      <w:r w:rsidR="003D6ED2" w:rsidRPr="0088780C">
        <w:rPr>
          <w:rFonts w:eastAsia="MS Mincho"/>
          <w:snapToGrid w:val="0"/>
          <w:kern w:val="22"/>
          <w:szCs w:val="22"/>
        </w:rPr>
        <w:t>ne area during the warm season;</w:t>
      </w:r>
    </w:p>
    <w:p w14:paraId="0B0E86D3" w14:textId="35F584C9" w:rsidR="00A876F3" w:rsidRPr="0088780C" w:rsidRDefault="003D6ED2" w:rsidP="001013AF">
      <w:pPr>
        <w:pStyle w:val="ListParagraph"/>
        <w:numPr>
          <w:ilvl w:val="0"/>
          <w:numId w:val="30"/>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harbour porpoise</w:t>
      </w:r>
      <w:r w:rsidR="00A876F3" w:rsidRPr="0088780C">
        <w:rPr>
          <w:rFonts w:eastAsia="MS Mincho"/>
          <w:snapToGrid w:val="0"/>
          <w:kern w:val="22"/>
          <w:szCs w:val="22"/>
        </w:rPr>
        <w:t xml:space="preserve"> (</w:t>
      </w:r>
      <w:r w:rsidR="00A876F3" w:rsidRPr="0088780C">
        <w:rPr>
          <w:rFonts w:eastAsia="MS Mincho"/>
          <w:i/>
          <w:snapToGrid w:val="0"/>
          <w:kern w:val="22"/>
          <w:szCs w:val="22"/>
        </w:rPr>
        <w:t>Phocoena phocoena</w:t>
      </w:r>
      <w:r w:rsidR="00A876F3" w:rsidRPr="0088780C">
        <w:rPr>
          <w:rFonts w:eastAsia="MS Mincho"/>
          <w:snapToGrid w:val="0"/>
          <w:kern w:val="22"/>
          <w:szCs w:val="22"/>
        </w:rPr>
        <w:t xml:space="preserve">), which in searching for food near the coast, sometimes is accidentally caught in turbot gillnets; </w:t>
      </w:r>
    </w:p>
    <w:p w14:paraId="47570C91" w14:textId="77777777" w:rsidR="00A876F3" w:rsidRPr="0088780C" w:rsidRDefault="00A876F3" w:rsidP="001013AF">
      <w:pPr>
        <w:pStyle w:val="ListParagraph"/>
        <w:numPr>
          <w:ilvl w:val="0"/>
          <w:numId w:val="30"/>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yelkouan shearwater (</w:t>
      </w:r>
      <w:r w:rsidRPr="0088780C">
        <w:rPr>
          <w:rFonts w:eastAsia="MS Mincho"/>
          <w:i/>
          <w:snapToGrid w:val="0"/>
          <w:kern w:val="22"/>
          <w:szCs w:val="22"/>
        </w:rPr>
        <w:t>Puffinus yelkouan</w:t>
      </w:r>
      <w:r w:rsidRPr="0088780C">
        <w:rPr>
          <w:rFonts w:eastAsia="MS Mincho"/>
          <w:snapToGrid w:val="0"/>
          <w:kern w:val="22"/>
          <w:szCs w:val="22"/>
        </w:rPr>
        <w:t xml:space="preserve">), which passes through the area during the migratory period; </w:t>
      </w:r>
    </w:p>
    <w:p w14:paraId="7189EE30" w14:textId="77777777" w:rsidR="00A876F3" w:rsidRPr="0088780C" w:rsidRDefault="00A876F3" w:rsidP="001013AF">
      <w:pPr>
        <w:pStyle w:val="ListParagraph"/>
        <w:numPr>
          <w:ilvl w:val="0"/>
          <w:numId w:val="30"/>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Danube shad (</w:t>
      </w:r>
      <w:r w:rsidRPr="0088780C">
        <w:rPr>
          <w:rFonts w:eastAsia="MS Mincho"/>
          <w:i/>
          <w:snapToGrid w:val="0"/>
          <w:kern w:val="22"/>
          <w:szCs w:val="22"/>
        </w:rPr>
        <w:t>Alosa immaculata</w:t>
      </w:r>
      <w:r w:rsidRPr="0088780C">
        <w:rPr>
          <w:rFonts w:eastAsia="MS Mincho"/>
          <w:snapToGrid w:val="0"/>
          <w:kern w:val="22"/>
          <w:szCs w:val="22"/>
        </w:rPr>
        <w:t>), which is a pelagic cold-water species whose adults come near the coast only during spawning migration, in February-April; juveniles are often encountered in coastal waters</w:t>
      </w:r>
    </w:p>
    <w:p w14:paraId="5383ADA2" w14:textId="07845296" w:rsidR="00A876F3" w:rsidRPr="0088780C" w:rsidRDefault="00A876F3" w:rsidP="001013AF">
      <w:pPr>
        <w:pStyle w:val="ListParagraph"/>
        <w:numPr>
          <w:ilvl w:val="0"/>
          <w:numId w:val="30"/>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Caspian shad (</w:t>
      </w:r>
      <w:r w:rsidRPr="0088780C">
        <w:rPr>
          <w:rFonts w:eastAsia="MS Mincho"/>
          <w:i/>
          <w:snapToGrid w:val="0"/>
          <w:kern w:val="22"/>
          <w:szCs w:val="22"/>
        </w:rPr>
        <w:t>Alosa tanaica</w:t>
      </w:r>
      <w:r w:rsidRPr="0088780C">
        <w:rPr>
          <w:rFonts w:eastAsia="MS Mincho"/>
          <w:snapToGrid w:val="0"/>
          <w:kern w:val="22"/>
          <w:szCs w:val="22"/>
        </w:rPr>
        <w:t>) is present along the Romanian coast most of the year. It is a warm-water species, which prefers shallow coastal waters; starry s</w:t>
      </w:r>
      <w:r w:rsidR="006711D5" w:rsidRPr="0088780C">
        <w:rPr>
          <w:rFonts w:eastAsia="MS Mincho"/>
          <w:snapToGrid w:val="0"/>
          <w:kern w:val="22"/>
          <w:szCs w:val="22"/>
        </w:rPr>
        <w:t>turgeon (Acipenser staellatus);</w:t>
      </w:r>
    </w:p>
    <w:p w14:paraId="7DA905FA" w14:textId="77777777" w:rsidR="00A876F3" w:rsidRPr="0088780C" w:rsidRDefault="00A876F3" w:rsidP="001013AF">
      <w:pPr>
        <w:pStyle w:val="ListParagraph"/>
        <w:numPr>
          <w:ilvl w:val="0"/>
          <w:numId w:val="30"/>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beluga sturgeon (</w:t>
      </w:r>
      <w:r w:rsidRPr="0088780C">
        <w:rPr>
          <w:rFonts w:eastAsia="MS Mincho"/>
          <w:i/>
          <w:snapToGrid w:val="0"/>
          <w:kern w:val="22"/>
          <w:szCs w:val="22"/>
        </w:rPr>
        <w:t>Huso huso</w:t>
      </w:r>
      <w:r w:rsidRPr="0088780C">
        <w:rPr>
          <w:rFonts w:eastAsia="MS Mincho"/>
          <w:snapToGrid w:val="0"/>
          <w:kern w:val="22"/>
          <w:szCs w:val="22"/>
        </w:rPr>
        <w:t xml:space="preserve">); </w:t>
      </w:r>
    </w:p>
    <w:p w14:paraId="585737C3" w14:textId="77777777" w:rsidR="00A876F3" w:rsidRPr="0088780C" w:rsidRDefault="00A876F3" w:rsidP="001013AF">
      <w:pPr>
        <w:pStyle w:val="ListParagraph"/>
        <w:numPr>
          <w:ilvl w:val="0"/>
          <w:numId w:val="30"/>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common piddock (</w:t>
      </w:r>
      <w:r w:rsidRPr="0088780C">
        <w:rPr>
          <w:rFonts w:eastAsia="MS Mincho"/>
          <w:i/>
          <w:snapToGrid w:val="0"/>
          <w:kern w:val="22"/>
          <w:szCs w:val="22"/>
        </w:rPr>
        <w:t>Pholas dactylus</w:t>
      </w:r>
      <w:r w:rsidRPr="0088780C">
        <w:rPr>
          <w:rFonts w:eastAsia="MS Mincho"/>
          <w:snapToGrid w:val="0"/>
          <w:kern w:val="22"/>
          <w:szCs w:val="22"/>
        </w:rPr>
        <w:t xml:space="preserve">); </w:t>
      </w:r>
    </w:p>
    <w:p w14:paraId="25031C11" w14:textId="77777777" w:rsidR="00A876F3" w:rsidRPr="0088780C" w:rsidRDefault="00A876F3" w:rsidP="001013AF">
      <w:pPr>
        <w:pStyle w:val="ListParagraph"/>
        <w:numPr>
          <w:ilvl w:val="0"/>
          <w:numId w:val="30"/>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 xml:space="preserve">red alga </w:t>
      </w:r>
      <w:r w:rsidRPr="0088780C">
        <w:rPr>
          <w:rFonts w:eastAsia="MS Mincho"/>
          <w:i/>
          <w:snapToGrid w:val="0"/>
          <w:kern w:val="22"/>
          <w:szCs w:val="22"/>
        </w:rPr>
        <w:t>Corallina officinalis</w:t>
      </w:r>
      <w:r w:rsidRPr="0088780C">
        <w:rPr>
          <w:rFonts w:eastAsia="MS Mincho"/>
          <w:snapToGrid w:val="0"/>
          <w:kern w:val="22"/>
          <w:szCs w:val="22"/>
        </w:rPr>
        <w:t xml:space="preserve"> and </w:t>
      </w:r>
    </w:p>
    <w:p w14:paraId="0358850E" w14:textId="77777777" w:rsidR="00A876F3" w:rsidRPr="0088780C" w:rsidRDefault="00A876F3" w:rsidP="001013AF">
      <w:pPr>
        <w:pStyle w:val="ListParagraph"/>
        <w:numPr>
          <w:ilvl w:val="0"/>
          <w:numId w:val="30"/>
        </w:numPr>
        <w:suppressLineNumbers/>
        <w:suppressAutoHyphens/>
        <w:kinsoku w:val="0"/>
        <w:overflowPunct w:val="0"/>
        <w:autoSpaceDE w:val="0"/>
        <w:autoSpaceDN w:val="0"/>
        <w:ind w:leftChars="0" w:left="360"/>
        <w:contextualSpacing/>
        <w:rPr>
          <w:rFonts w:eastAsia="MS Mincho"/>
          <w:snapToGrid w:val="0"/>
          <w:kern w:val="22"/>
          <w:szCs w:val="22"/>
        </w:rPr>
      </w:pPr>
      <w:r w:rsidRPr="0088780C">
        <w:rPr>
          <w:rFonts w:eastAsia="MS Mincho"/>
          <w:snapToGrid w:val="0"/>
          <w:kern w:val="22"/>
          <w:szCs w:val="22"/>
        </w:rPr>
        <w:t>brown alga (</w:t>
      </w:r>
      <w:r w:rsidRPr="0088780C">
        <w:rPr>
          <w:rFonts w:eastAsia="MS Mincho"/>
          <w:i/>
          <w:snapToGrid w:val="0"/>
          <w:kern w:val="22"/>
          <w:szCs w:val="22"/>
        </w:rPr>
        <w:t>Cystoseira barbata</w:t>
      </w:r>
      <w:r w:rsidRPr="0088780C">
        <w:rPr>
          <w:rFonts w:eastAsia="MS Mincho"/>
          <w:snapToGrid w:val="0"/>
          <w:kern w:val="22"/>
          <w:szCs w:val="22"/>
        </w:rPr>
        <w:t>)</w:t>
      </w:r>
    </w:p>
    <w:p w14:paraId="75F52B7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99296E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species presented above are included in the Annex II and other annexes of EU Habitats Directive (92/43), Bern Convention, Barcelona Convention and Bucharest Convention (Annex II and IV of the Black Sea Biodiversity and Landscape Conservation Protocol). The area is one of the very few places where brown alga (</w:t>
      </w:r>
      <w:r w:rsidRPr="0088780C">
        <w:rPr>
          <w:rFonts w:eastAsia="MS Mincho"/>
          <w:i/>
          <w:snapToGrid w:val="0"/>
          <w:kern w:val="22"/>
          <w:szCs w:val="22"/>
        </w:rPr>
        <w:t>Cystoseira barbata)</w:t>
      </w:r>
      <w:r w:rsidRPr="0088780C">
        <w:rPr>
          <w:rFonts w:eastAsia="MS Mincho"/>
          <w:snapToGrid w:val="0"/>
          <w:kern w:val="22"/>
          <w:szCs w:val="22"/>
        </w:rPr>
        <w:t xml:space="preserve"> occurs in the Romanian Black Sea; it acts as defense, foraging and spawning grounds for fish juveniles and various marine invertebrates. The elastic and yet firm substrate of the </w:t>
      </w:r>
      <w:r w:rsidRPr="0088780C">
        <w:rPr>
          <w:rFonts w:eastAsia="MS Mincho"/>
          <w:i/>
          <w:iCs/>
          <w:snapToGrid w:val="0"/>
          <w:kern w:val="22"/>
          <w:szCs w:val="22"/>
        </w:rPr>
        <w:t xml:space="preserve">Cystoseira </w:t>
      </w:r>
      <w:r w:rsidRPr="0088780C">
        <w:rPr>
          <w:rFonts w:eastAsia="MS Mincho"/>
          <w:snapToGrid w:val="0"/>
          <w:kern w:val="22"/>
          <w:szCs w:val="22"/>
        </w:rPr>
        <w:t xml:space="preserve">thalli and the intricate structure of the branches are ideal locations for the fixation of various macrophytes, both photophilic — bringing them closer to the water surface — and sciaphile, which develops in the shadows of the </w:t>
      </w:r>
      <w:r w:rsidRPr="0088780C">
        <w:rPr>
          <w:rFonts w:eastAsia="MS Mincho"/>
          <w:i/>
          <w:iCs/>
          <w:snapToGrid w:val="0"/>
          <w:kern w:val="22"/>
          <w:szCs w:val="22"/>
        </w:rPr>
        <w:t xml:space="preserve">Cystoseira </w:t>
      </w:r>
      <w:r w:rsidRPr="0088780C">
        <w:rPr>
          <w:rFonts w:eastAsia="MS Mincho"/>
          <w:snapToGrid w:val="0"/>
          <w:kern w:val="22"/>
          <w:szCs w:val="22"/>
        </w:rPr>
        <w:t>thickets (Nicolaev et al, 2015a).</w:t>
      </w:r>
    </w:p>
    <w:p w14:paraId="67B50299" w14:textId="77777777" w:rsidR="00A876F3" w:rsidRPr="0088780C" w:rsidRDefault="00A876F3" w:rsidP="001013AF">
      <w:pPr>
        <w:suppressLineNumbers/>
        <w:suppressAutoHyphens/>
        <w:kinsoku w:val="0"/>
        <w:overflowPunct w:val="0"/>
        <w:autoSpaceDE w:val="0"/>
        <w:autoSpaceDN w:val="0"/>
        <w:rPr>
          <w:rFonts w:eastAsia="MS Mincho"/>
          <w:snapToGrid w:val="0"/>
          <w:color w:val="002060"/>
          <w:kern w:val="22"/>
          <w:szCs w:val="22"/>
        </w:rPr>
      </w:pPr>
    </w:p>
    <w:p w14:paraId="2631952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Besides the species and habitats mentioned above, the area is important for other species with different conservation status: common dolphin</w:t>
      </w:r>
      <w:r w:rsidRPr="0088780C">
        <w:rPr>
          <w:rFonts w:eastAsia="MS Mincho"/>
          <w:i/>
          <w:snapToGrid w:val="0"/>
          <w:kern w:val="22"/>
          <w:szCs w:val="22"/>
        </w:rPr>
        <w:t xml:space="preserve"> </w:t>
      </w:r>
      <w:r w:rsidRPr="0088780C">
        <w:rPr>
          <w:rFonts w:eastAsia="MS Mincho"/>
          <w:snapToGrid w:val="0"/>
          <w:kern w:val="22"/>
          <w:szCs w:val="22"/>
        </w:rPr>
        <w:t>(</w:t>
      </w:r>
      <w:r w:rsidRPr="0088780C">
        <w:rPr>
          <w:rFonts w:eastAsia="MS Mincho"/>
          <w:i/>
          <w:snapToGrid w:val="0"/>
          <w:kern w:val="22"/>
          <w:szCs w:val="22"/>
        </w:rPr>
        <w:t>Delphinus delphis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shads (</w:t>
      </w:r>
      <w:r w:rsidRPr="0088780C">
        <w:rPr>
          <w:rFonts w:eastAsia="MS Mincho"/>
          <w:i/>
          <w:snapToGrid w:val="0"/>
          <w:kern w:val="22"/>
          <w:szCs w:val="22"/>
        </w:rPr>
        <w:t>Alosa caspia caspia, Alosa maeotica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big-scale sand smelt (</w:t>
      </w:r>
      <w:r w:rsidRPr="0088780C">
        <w:rPr>
          <w:rFonts w:eastAsia="MS Mincho"/>
          <w:i/>
          <w:snapToGrid w:val="0"/>
          <w:kern w:val="22"/>
          <w:szCs w:val="22"/>
        </w:rPr>
        <w:t>Atherina boyeri</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common dragonet (</w:t>
      </w:r>
      <w:r w:rsidRPr="0088780C">
        <w:rPr>
          <w:rFonts w:eastAsia="MS Mincho"/>
          <w:i/>
          <w:snapToGrid w:val="0"/>
          <w:kern w:val="22"/>
          <w:szCs w:val="22"/>
        </w:rPr>
        <w:t>Callionymus lyra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tub gurnard</w:t>
      </w:r>
      <w:r w:rsidRPr="0088780C">
        <w:rPr>
          <w:rFonts w:eastAsia="MS Mincho"/>
          <w:i/>
          <w:snapToGrid w:val="0"/>
          <w:kern w:val="22"/>
          <w:szCs w:val="22"/>
        </w:rPr>
        <w:t xml:space="preserve"> </w:t>
      </w:r>
      <w:r w:rsidRPr="0088780C">
        <w:rPr>
          <w:rFonts w:eastAsia="MS Mincho"/>
          <w:snapToGrid w:val="0"/>
          <w:kern w:val="22"/>
          <w:szCs w:val="22"/>
        </w:rPr>
        <w:t>(</w:t>
      </w:r>
      <w:r w:rsidRPr="0088780C">
        <w:rPr>
          <w:rFonts w:eastAsia="MS Mincho"/>
          <w:i/>
          <w:snapToGrid w:val="0"/>
          <w:kern w:val="22"/>
          <w:szCs w:val="22"/>
        </w:rPr>
        <w:t>Chelidonichthys lucerna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common stingray (</w:t>
      </w:r>
      <w:r w:rsidRPr="0088780C">
        <w:rPr>
          <w:rFonts w:eastAsia="MS Mincho"/>
          <w:i/>
          <w:snapToGrid w:val="0"/>
          <w:kern w:val="22"/>
          <w:szCs w:val="22"/>
        </w:rPr>
        <w:t>Dasyatis pastinaca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European seabass (</w:t>
      </w:r>
      <w:r w:rsidRPr="0088780C">
        <w:rPr>
          <w:rFonts w:eastAsia="MS Mincho"/>
          <w:i/>
          <w:snapToGrid w:val="0"/>
          <w:kern w:val="22"/>
          <w:szCs w:val="22"/>
        </w:rPr>
        <w:t>Dicentrarchus labrax</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annular seabream (</w:t>
      </w:r>
      <w:r w:rsidRPr="0088780C">
        <w:rPr>
          <w:rFonts w:eastAsia="MS Mincho"/>
          <w:i/>
          <w:snapToGrid w:val="0"/>
          <w:kern w:val="22"/>
          <w:szCs w:val="22"/>
        </w:rPr>
        <w:t>Diplodus annularis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white seabream (</w:t>
      </w:r>
      <w:r w:rsidRPr="0088780C">
        <w:rPr>
          <w:rFonts w:eastAsia="MS Mincho"/>
          <w:i/>
          <w:snapToGrid w:val="0"/>
          <w:kern w:val="22"/>
          <w:szCs w:val="22"/>
        </w:rPr>
        <w:t>Diplodus sargus sargus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anchovy (</w:t>
      </w:r>
      <w:r w:rsidRPr="0088780C">
        <w:rPr>
          <w:rFonts w:eastAsia="MS Mincho"/>
          <w:i/>
          <w:snapToGrid w:val="0"/>
          <w:kern w:val="22"/>
          <w:szCs w:val="22"/>
        </w:rPr>
        <w:t>Engraulis encrasicolus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long-snouted seahorse (</w:t>
      </w:r>
      <w:r w:rsidRPr="0088780C">
        <w:rPr>
          <w:rFonts w:eastAsia="MS Mincho"/>
          <w:i/>
          <w:snapToGrid w:val="0"/>
          <w:kern w:val="22"/>
          <w:szCs w:val="22"/>
        </w:rPr>
        <w:t>Hippocampus guttulatus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golden grey mullet (</w:t>
      </w:r>
      <w:r w:rsidRPr="0088780C">
        <w:rPr>
          <w:rFonts w:eastAsia="MS Mincho"/>
          <w:i/>
          <w:snapToGrid w:val="0"/>
          <w:kern w:val="22"/>
          <w:szCs w:val="22"/>
        </w:rPr>
        <w:t>Liza aurata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flathead grey mullet (</w:t>
      </w:r>
      <w:r w:rsidRPr="0088780C">
        <w:rPr>
          <w:rFonts w:eastAsia="MS Mincho"/>
          <w:i/>
          <w:snapToGrid w:val="0"/>
          <w:kern w:val="22"/>
          <w:szCs w:val="22"/>
        </w:rPr>
        <w:t>Mugil cephalus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stripped mullet (</w:t>
      </w:r>
      <w:r w:rsidRPr="0088780C">
        <w:rPr>
          <w:rFonts w:eastAsia="MS Mincho"/>
          <w:i/>
          <w:snapToGrid w:val="0"/>
          <w:kern w:val="22"/>
          <w:szCs w:val="22"/>
        </w:rPr>
        <w:t>Mullus barbatus ponticus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tentacled blenny (</w:t>
      </w:r>
      <w:r w:rsidRPr="0088780C">
        <w:rPr>
          <w:rFonts w:eastAsia="MS Mincho"/>
          <w:i/>
          <w:snapToGrid w:val="0"/>
          <w:kern w:val="22"/>
          <w:szCs w:val="22"/>
        </w:rPr>
        <w:t>Parablennius tentacularis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Atlantic bonito</w:t>
      </w:r>
      <w:r w:rsidRPr="0088780C">
        <w:rPr>
          <w:rFonts w:eastAsia="MS Mincho"/>
          <w:i/>
          <w:snapToGrid w:val="0"/>
          <w:kern w:val="22"/>
          <w:szCs w:val="22"/>
        </w:rPr>
        <w:t xml:space="preserve"> </w:t>
      </w:r>
      <w:r w:rsidRPr="0088780C">
        <w:rPr>
          <w:rFonts w:eastAsia="MS Mincho"/>
          <w:snapToGrid w:val="0"/>
          <w:kern w:val="22"/>
          <w:szCs w:val="22"/>
        </w:rPr>
        <w:t>(</w:t>
      </w:r>
      <w:r w:rsidRPr="0088780C">
        <w:rPr>
          <w:rFonts w:eastAsia="MS Mincho"/>
          <w:i/>
          <w:snapToGrid w:val="0"/>
          <w:kern w:val="22"/>
          <w:szCs w:val="22"/>
        </w:rPr>
        <w:t>Sarda sarda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round sardinella (</w:t>
      </w:r>
      <w:r w:rsidRPr="0088780C">
        <w:rPr>
          <w:rFonts w:eastAsia="MS Mincho"/>
          <w:i/>
          <w:snapToGrid w:val="0"/>
          <w:kern w:val="22"/>
          <w:szCs w:val="22"/>
        </w:rPr>
        <w:t>Sardinella aurita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Atlantic chub mackerel (</w:t>
      </w:r>
      <w:r w:rsidRPr="0088780C">
        <w:rPr>
          <w:rFonts w:eastAsia="MS Mincho"/>
          <w:i/>
          <w:snapToGrid w:val="0"/>
          <w:kern w:val="22"/>
          <w:szCs w:val="22"/>
        </w:rPr>
        <w:t>Scomber colias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turbot (</w:t>
      </w:r>
      <w:r w:rsidRPr="0088780C">
        <w:rPr>
          <w:rFonts w:eastAsia="MS Mincho"/>
          <w:i/>
          <w:snapToGrid w:val="0"/>
          <w:kern w:val="22"/>
          <w:szCs w:val="22"/>
        </w:rPr>
        <w:t>Scophthalmus maximus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black scorpionfish (</w:t>
      </w:r>
      <w:r w:rsidRPr="0088780C">
        <w:rPr>
          <w:rFonts w:eastAsia="MS Mincho"/>
          <w:i/>
          <w:snapToGrid w:val="0"/>
          <w:kern w:val="22"/>
          <w:szCs w:val="22"/>
        </w:rPr>
        <w:t>Scorpaena porcus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comber</w:t>
      </w:r>
      <w:r w:rsidRPr="0088780C">
        <w:rPr>
          <w:rFonts w:eastAsia="MS Mincho"/>
          <w:i/>
          <w:snapToGrid w:val="0"/>
          <w:kern w:val="22"/>
          <w:szCs w:val="22"/>
        </w:rPr>
        <w:t xml:space="preserve"> </w:t>
      </w:r>
      <w:r w:rsidRPr="0088780C">
        <w:rPr>
          <w:rFonts w:eastAsia="MS Mincho"/>
          <w:snapToGrid w:val="0"/>
          <w:kern w:val="22"/>
          <w:szCs w:val="22"/>
        </w:rPr>
        <w:t>(</w:t>
      </w:r>
      <w:r w:rsidRPr="0088780C">
        <w:rPr>
          <w:rFonts w:eastAsia="MS Mincho"/>
          <w:i/>
          <w:snapToGrid w:val="0"/>
          <w:kern w:val="22"/>
          <w:szCs w:val="22"/>
        </w:rPr>
        <w:t>Serranus cabrilla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painted comber (</w:t>
      </w:r>
      <w:r w:rsidRPr="0088780C">
        <w:rPr>
          <w:rFonts w:eastAsia="MS Mincho"/>
          <w:i/>
          <w:snapToGrid w:val="0"/>
          <w:kern w:val="22"/>
          <w:szCs w:val="22"/>
        </w:rPr>
        <w:t>Serranus scriba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guilt-head bream (</w:t>
      </w:r>
      <w:r w:rsidRPr="0088780C">
        <w:rPr>
          <w:rFonts w:eastAsia="MS Mincho"/>
          <w:i/>
          <w:snapToGrid w:val="0"/>
          <w:kern w:val="22"/>
          <w:szCs w:val="22"/>
        </w:rPr>
        <w:t>Sparus aurata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picarel (</w:t>
      </w:r>
      <w:r w:rsidRPr="0088780C">
        <w:rPr>
          <w:rFonts w:eastAsia="MS Mincho"/>
          <w:i/>
          <w:snapToGrid w:val="0"/>
          <w:kern w:val="22"/>
          <w:szCs w:val="22"/>
        </w:rPr>
        <w:t>Spicara smaris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dogfish (</w:t>
      </w:r>
      <w:r w:rsidRPr="0088780C">
        <w:rPr>
          <w:rFonts w:eastAsia="MS Mincho"/>
          <w:i/>
          <w:snapToGrid w:val="0"/>
          <w:kern w:val="22"/>
          <w:szCs w:val="22"/>
        </w:rPr>
        <w:t>Squalus acanthias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corkwing wrasse</w:t>
      </w:r>
      <w:r w:rsidRPr="0088780C">
        <w:rPr>
          <w:rFonts w:eastAsia="MS Mincho"/>
          <w:i/>
          <w:snapToGrid w:val="0"/>
          <w:kern w:val="22"/>
          <w:szCs w:val="22"/>
        </w:rPr>
        <w:t xml:space="preserve"> </w:t>
      </w:r>
      <w:r w:rsidRPr="0088780C">
        <w:rPr>
          <w:rFonts w:eastAsia="MS Mincho"/>
          <w:snapToGrid w:val="0"/>
          <w:kern w:val="22"/>
          <w:szCs w:val="22"/>
        </w:rPr>
        <w:t>(</w:t>
      </w:r>
      <w:r w:rsidRPr="0088780C">
        <w:rPr>
          <w:rFonts w:eastAsia="MS Mincho"/>
          <w:i/>
          <w:snapToGrid w:val="0"/>
          <w:kern w:val="22"/>
          <w:szCs w:val="22"/>
        </w:rPr>
        <w:t>Symphodus melops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ocellated wrasse</w:t>
      </w:r>
      <w:r w:rsidRPr="0088780C">
        <w:rPr>
          <w:rFonts w:eastAsia="MS Mincho"/>
          <w:i/>
          <w:snapToGrid w:val="0"/>
          <w:kern w:val="22"/>
          <w:szCs w:val="22"/>
        </w:rPr>
        <w:t xml:space="preserve"> </w:t>
      </w:r>
      <w:r w:rsidRPr="0088780C">
        <w:rPr>
          <w:rFonts w:eastAsia="MS Mincho"/>
          <w:snapToGrid w:val="0"/>
          <w:kern w:val="22"/>
          <w:szCs w:val="22"/>
        </w:rPr>
        <w:t>(</w:t>
      </w:r>
      <w:r w:rsidRPr="0088780C">
        <w:rPr>
          <w:rFonts w:eastAsia="MS Mincho"/>
          <w:i/>
          <w:snapToGrid w:val="0"/>
          <w:kern w:val="22"/>
          <w:szCs w:val="22"/>
        </w:rPr>
        <w:t>Symphodus ocellatus</w:t>
      </w:r>
      <w:r w:rsidRPr="0088780C">
        <w:rPr>
          <w:rFonts w:eastAsia="MS Mincho"/>
          <w:snapToGrid w:val="0"/>
          <w:kern w:val="22"/>
          <w:szCs w:val="22"/>
        </w:rPr>
        <w:t>)</w:t>
      </w:r>
      <w:r w:rsidRPr="0088780C">
        <w:rPr>
          <w:rFonts w:eastAsia="MS Mincho"/>
          <w:i/>
          <w:snapToGrid w:val="0"/>
          <w:kern w:val="22"/>
          <w:szCs w:val="22"/>
        </w:rPr>
        <w:t>,</w:t>
      </w:r>
      <w:r w:rsidRPr="0088780C">
        <w:rPr>
          <w:snapToGrid w:val="0"/>
          <w:color w:val="545454"/>
          <w:kern w:val="22"/>
          <w:szCs w:val="22"/>
          <w:shd w:val="clear" w:color="auto" w:fill="FFFFFF"/>
        </w:rPr>
        <w:t xml:space="preserve"> </w:t>
      </w:r>
      <w:r w:rsidRPr="0088780C">
        <w:rPr>
          <w:rFonts w:eastAsia="MS Mincho"/>
          <w:snapToGrid w:val="0"/>
          <w:kern w:val="22"/>
          <w:szCs w:val="22"/>
        </w:rPr>
        <w:t>Mediterranean horse mackerel</w:t>
      </w:r>
      <w:r w:rsidRPr="0088780C">
        <w:rPr>
          <w:rFonts w:eastAsia="MS Mincho"/>
          <w:i/>
          <w:snapToGrid w:val="0"/>
          <w:kern w:val="22"/>
          <w:szCs w:val="22"/>
        </w:rPr>
        <w:t xml:space="preserve"> </w:t>
      </w:r>
      <w:r w:rsidRPr="0088780C">
        <w:rPr>
          <w:rFonts w:eastAsia="MS Mincho"/>
          <w:snapToGrid w:val="0"/>
          <w:kern w:val="22"/>
          <w:szCs w:val="22"/>
        </w:rPr>
        <w:t>(</w:t>
      </w:r>
      <w:r w:rsidRPr="0088780C">
        <w:rPr>
          <w:rFonts w:eastAsia="MS Mincho"/>
          <w:i/>
          <w:snapToGrid w:val="0"/>
          <w:kern w:val="22"/>
          <w:szCs w:val="22"/>
        </w:rPr>
        <w:t>Trachurus mediterraneus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red-black triplefin</w:t>
      </w:r>
      <w:r w:rsidRPr="0088780C">
        <w:rPr>
          <w:rFonts w:eastAsia="MS Mincho"/>
          <w:i/>
          <w:snapToGrid w:val="0"/>
          <w:kern w:val="22"/>
          <w:szCs w:val="22"/>
        </w:rPr>
        <w:t xml:space="preserve"> </w:t>
      </w:r>
      <w:r w:rsidRPr="0088780C">
        <w:rPr>
          <w:rFonts w:eastAsia="MS Mincho"/>
          <w:snapToGrid w:val="0"/>
          <w:kern w:val="22"/>
          <w:szCs w:val="22"/>
        </w:rPr>
        <w:t>(</w:t>
      </w:r>
      <w:r w:rsidRPr="0088780C">
        <w:rPr>
          <w:rFonts w:eastAsia="MS Mincho"/>
          <w:i/>
          <w:snapToGrid w:val="0"/>
          <w:kern w:val="22"/>
          <w:szCs w:val="22"/>
        </w:rPr>
        <w:t>Tripterygion tripteronotus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the shrimps</w:t>
      </w:r>
      <w:r w:rsidRPr="0088780C">
        <w:rPr>
          <w:rFonts w:eastAsia="MS Mincho"/>
          <w:i/>
          <w:snapToGrid w:val="0"/>
          <w:kern w:val="22"/>
          <w:szCs w:val="22"/>
        </w:rPr>
        <w:t xml:space="preserve"> Athanas nitescens, Palaemon adspersus, </w:t>
      </w:r>
      <w:r w:rsidRPr="0088780C">
        <w:rPr>
          <w:rFonts w:eastAsia="MS Mincho"/>
          <w:snapToGrid w:val="0"/>
          <w:kern w:val="22"/>
          <w:szCs w:val="22"/>
        </w:rPr>
        <w:t>star ascidian</w:t>
      </w:r>
      <w:r w:rsidRPr="0088780C">
        <w:rPr>
          <w:rFonts w:eastAsia="MS Mincho"/>
          <w:i/>
          <w:snapToGrid w:val="0"/>
          <w:kern w:val="22"/>
          <w:szCs w:val="22"/>
        </w:rPr>
        <w:t xml:space="preserve"> </w:t>
      </w:r>
      <w:r w:rsidRPr="0088780C">
        <w:rPr>
          <w:rFonts w:eastAsia="MS Mincho"/>
          <w:snapToGrid w:val="0"/>
          <w:kern w:val="22"/>
          <w:szCs w:val="22"/>
        </w:rPr>
        <w:t>(</w:t>
      </w:r>
      <w:r w:rsidRPr="0088780C">
        <w:rPr>
          <w:rFonts w:eastAsia="MS Mincho"/>
          <w:i/>
          <w:snapToGrid w:val="0"/>
          <w:kern w:val="22"/>
          <w:szCs w:val="22"/>
        </w:rPr>
        <w:t>Botryllus schlosseri</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the crabs</w:t>
      </w:r>
      <w:r w:rsidRPr="0088780C">
        <w:rPr>
          <w:rFonts w:eastAsia="MS Mincho"/>
          <w:i/>
          <w:snapToGrid w:val="0"/>
          <w:kern w:val="22"/>
          <w:szCs w:val="22"/>
        </w:rPr>
        <w:t xml:space="preserve"> (Brachynotus sexdentatus, Carcinus aestuarii, Clibanarius erythropus, Eriphia verrucosa, Liocarcinus navigator</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the bivalves</w:t>
      </w:r>
      <w:r w:rsidRPr="0088780C">
        <w:rPr>
          <w:rFonts w:eastAsia="MS Mincho"/>
          <w:i/>
          <w:snapToGrid w:val="0"/>
          <w:kern w:val="22"/>
          <w:szCs w:val="22"/>
        </w:rPr>
        <w:t xml:space="preserve"> Gastrana fragilis, Gibbula divaricata, Irus irus, Mytilus galloprovincialis, Paphia aurea, Petricola lithophaga, Pholas dactylus </w:t>
      </w:r>
      <w:r w:rsidRPr="0088780C">
        <w:rPr>
          <w:rFonts w:eastAsia="MS Mincho"/>
          <w:snapToGrid w:val="0"/>
          <w:kern w:val="22"/>
          <w:szCs w:val="22"/>
        </w:rPr>
        <w:t xml:space="preserve">the gastropods </w:t>
      </w:r>
      <w:r w:rsidRPr="0088780C">
        <w:rPr>
          <w:rFonts w:eastAsia="MS Mincho"/>
          <w:i/>
          <w:snapToGrid w:val="0"/>
          <w:kern w:val="22"/>
          <w:szCs w:val="22"/>
        </w:rPr>
        <w:t xml:space="preserve">Mangelia pontica, Marshallora adversa, Tricolia pullus, </w:t>
      </w:r>
      <w:r w:rsidRPr="0088780C">
        <w:rPr>
          <w:rFonts w:eastAsia="MS Mincho"/>
          <w:snapToGrid w:val="0"/>
          <w:kern w:val="22"/>
          <w:szCs w:val="22"/>
        </w:rPr>
        <w:t xml:space="preserve">sea sponge </w:t>
      </w:r>
      <w:r w:rsidRPr="0088780C">
        <w:rPr>
          <w:rFonts w:eastAsia="MS Mincho"/>
          <w:i/>
          <w:snapToGrid w:val="0"/>
          <w:kern w:val="22"/>
          <w:szCs w:val="22"/>
        </w:rPr>
        <w:t xml:space="preserve">Dysidea fragilis, </w:t>
      </w:r>
      <w:r w:rsidRPr="0088780C">
        <w:rPr>
          <w:rFonts w:eastAsia="MS Mincho"/>
          <w:snapToGrid w:val="0"/>
          <w:kern w:val="22"/>
          <w:szCs w:val="22"/>
        </w:rPr>
        <w:t>red algae</w:t>
      </w:r>
      <w:r w:rsidRPr="0088780C">
        <w:rPr>
          <w:rFonts w:eastAsia="MS Mincho"/>
          <w:i/>
          <w:snapToGrid w:val="0"/>
          <w:kern w:val="22"/>
          <w:szCs w:val="22"/>
        </w:rPr>
        <w:t xml:space="preserve"> Corallina officinalis </w:t>
      </w:r>
      <w:r w:rsidRPr="0088780C">
        <w:rPr>
          <w:rFonts w:eastAsia="MS Mincho"/>
          <w:snapToGrid w:val="0"/>
          <w:kern w:val="22"/>
          <w:szCs w:val="22"/>
        </w:rPr>
        <w:t xml:space="preserve">and </w:t>
      </w:r>
      <w:r w:rsidRPr="0088780C">
        <w:rPr>
          <w:rFonts w:eastAsia="MS Mincho"/>
          <w:i/>
          <w:snapToGrid w:val="0"/>
          <w:kern w:val="22"/>
          <w:szCs w:val="22"/>
        </w:rPr>
        <w:t>Polysiphonia elongata</w:t>
      </w:r>
      <w:r w:rsidRPr="0088780C">
        <w:rPr>
          <w:rFonts w:eastAsia="MS Mincho"/>
          <w:snapToGrid w:val="0"/>
          <w:kern w:val="22"/>
          <w:szCs w:val="22"/>
        </w:rPr>
        <w:t>, brown algae</w:t>
      </w:r>
      <w:r w:rsidRPr="0088780C">
        <w:rPr>
          <w:rFonts w:eastAsia="MS Mincho"/>
          <w:i/>
          <w:snapToGrid w:val="0"/>
          <w:kern w:val="22"/>
          <w:szCs w:val="22"/>
        </w:rPr>
        <w:t xml:space="preserve"> Cystoseira barbata </w:t>
      </w:r>
      <w:r w:rsidRPr="0088780C">
        <w:rPr>
          <w:rFonts w:eastAsia="MS Mincho"/>
          <w:snapToGrid w:val="0"/>
          <w:kern w:val="22"/>
          <w:szCs w:val="22"/>
        </w:rPr>
        <w:t>and</w:t>
      </w:r>
      <w:r w:rsidRPr="0088780C">
        <w:rPr>
          <w:rFonts w:eastAsia="MS Mincho"/>
          <w:i/>
          <w:snapToGrid w:val="0"/>
          <w:kern w:val="22"/>
          <w:szCs w:val="22"/>
        </w:rPr>
        <w:t xml:space="preserve"> Cystoseira zosteroides, </w:t>
      </w:r>
      <w:r w:rsidRPr="0088780C">
        <w:rPr>
          <w:rFonts w:eastAsia="MS Mincho"/>
          <w:snapToGrid w:val="0"/>
          <w:kern w:val="22"/>
          <w:szCs w:val="22"/>
        </w:rPr>
        <w:t xml:space="preserve">and green algae </w:t>
      </w:r>
      <w:r w:rsidRPr="0088780C">
        <w:rPr>
          <w:rFonts w:eastAsia="MS Mincho"/>
          <w:i/>
          <w:snapToGrid w:val="0"/>
          <w:kern w:val="22"/>
          <w:szCs w:val="22"/>
        </w:rPr>
        <w:t xml:space="preserve">Enteromorpha intestinalis, Enteromorpha linza </w:t>
      </w:r>
      <w:r w:rsidRPr="0088780C">
        <w:rPr>
          <w:rFonts w:eastAsia="MS Mincho"/>
          <w:snapToGrid w:val="0"/>
          <w:kern w:val="22"/>
          <w:szCs w:val="22"/>
        </w:rPr>
        <w:t>(ROSCI0269 Natura 2000 Standard Form).</w:t>
      </w:r>
    </w:p>
    <w:p w14:paraId="5732DBE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52AAFEA" w14:textId="77777777" w:rsidR="00A876F3" w:rsidRPr="0088780C" w:rsidRDefault="00A876F3" w:rsidP="001013AF">
      <w:pPr>
        <w:keepNext/>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61AB8809" w14:textId="7A60F664"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main purpose for which this MPA was established is preservation of marine biodiversity. Other aims refer to elimination and prevention of any natural resource exploitation or use that does not comply with the conservation objectives, and providing proper conditions for scientific research, educational and leisure activities. In certain sub-areas, the regulation of the marine reserve allows only traditional fishery activities. Any other types of activities are strictly forbidden (e.g., construction, extraction of mineral resources, aquaculture) (Vama Veche-2 Mai Management Plan, 2016).</w:t>
      </w:r>
    </w:p>
    <w:p w14:paraId="0C8EADE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8B2D262" w14:textId="514AA6F6"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w:t>
      </w:r>
      <w:r w:rsidR="006711D5" w:rsidRPr="0088780C">
        <w:rPr>
          <w:rFonts w:eastAsia="MS Mincho"/>
          <w:b/>
          <w:snapToGrid w:val="0"/>
          <w:kern w:val="22"/>
          <w:szCs w:val="22"/>
        </w:rPr>
        <w:t xml:space="preserve"> area against CBD EBSA Criteria</w:t>
      </w:r>
    </w:p>
    <w:p w14:paraId="5F3DD46A"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5F8E2CAD" w14:textId="77777777" w:rsidTr="006972AD">
        <w:tc>
          <w:tcPr>
            <w:tcW w:w="779" w:type="pct"/>
            <w:vMerge w:val="restart"/>
            <w:shd w:val="clear" w:color="auto" w:fill="auto"/>
          </w:tcPr>
          <w:p w14:paraId="620AC60A" w14:textId="77777777" w:rsidR="00A876F3" w:rsidRPr="0088780C" w:rsidRDefault="00A876F3" w:rsidP="006711D5">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525C5E2D" w14:textId="77777777" w:rsidR="00A876F3" w:rsidRPr="0088780C" w:rsidRDefault="00A876F3" w:rsidP="006711D5">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3C95B77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56AB54B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05DF166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5A6B404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1D027509" w14:textId="77777777" w:rsidTr="006972AD">
        <w:tc>
          <w:tcPr>
            <w:tcW w:w="779" w:type="pct"/>
            <w:vMerge/>
            <w:shd w:val="clear" w:color="auto" w:fill="auto"/>
          </w:tcPr>
          <w:p w14:paraId="6C54C1D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0A9E0D0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6C66CC5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3EB9F6A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7F39395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515AA1E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39460A33" w14:textId="77777777" w:rsidTr="006972AD">
        <w:tc>
          <w:tcPr>
            <w:tcW w:w="779" w:type="pct"/>
            <w:shd w:val="clear" w:color="auto" w:fill="auto"/>
          </w:tcPr>
          <w:p w14:paraId="0250AAB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6BB31802" w14:textId="4F04360A"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50ACEE8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15478DE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51ACC9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2027FDF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5E9B8EB2" w14:textId="77777777" w:rsidTr="006972AD">
        <w:tc>
          <w:tcPr>
            <w:tcW w:w="5000" w:type="pct"/>
            <w:gridSpan w:val="11"/>
            <w:shd w:val="clear" w:color="auto" w:fill="auto"/>
          </w:tcPr>
          <w:p w14:paraId="4F0225D6"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i/>
                <w:snapToGrid w:val="0"/>
                <w:color w:val="000000"/>
                <w:kern w:val="22"/>
                <w:szCs w:val="22"/>
              </w:rPr>
              <w:t>Explanation for ranking</w:t>
            </w:r>
          </w:p>
          <w:p w14:paraId="20725E62" w14:textId="37F41F22"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Vama Veche – 2 Mai Marine Reserve is one of the few places in Romanian marine waters where rare habitat types occur: 1170-8 with </w:t>
            </w:r>
            <w:r w:rsidRPr="0088780C">
              <w:rPr>
                <w:rFonts w:eastAsia="MS Mincho"/>
                <w:i/>
                <w:iCs/>
                <w:snapToGrid w:val="0"/>
                <w:color w:val="000000"/>
                <w:kern w:val="22"/>
                <w:szCs w:val="22"/>
              </w:rPr>
              <w:t>Cystoseira barbata</w:t>
            </w:r>
            <w:r w:rsidRPr="0088780C">
              <w:rPr>
                <w:rFonts w:eastAsia="MS Mincho"/>
                <w:iCs/>
                <w:snapToGrid w:val="0"/>
                <w:color w:val="000000"/>
                <w:kern w:val="22"/>
                <w:szCs w:val="22"/>
              </w:rPr>
              <w:t>;</w:t>
            </w:r>
            <w:r w:rsidRPr="0088780C">
              <w:rPr>
                <w:rFonts w:eastAsia="MS Mincho"/>
                <w:snapToGrid w:val="0"/>
                <w:color w:val="000000"/>
                <w:kern w:val="22"/>
                <w:szCs w:val="22"/>
              </w:rPr>
              <w:t xml:space="preserve"> 1170-10 with </w:t>
            </w:r>
            <w:r w:rsidRPr="0088780C">
              <w:rPr>
                <w:rFonts w:eastAsia="MS Mincho"/>
                <w:i/>
                <w:iCs/>
                <w:snapToGrid w:val="0"/>
                <w:color w:val="000000"/>
                <w:kern w:val="22"/>
                <w:szCs w:val="22"/>
              </w:rPr>
              <w:t xml:space="preserve">Pholas dactylus </w:t>
            </w:r>
            <w:r w:rsidRPr="0088780C">
              <w:rPr>
                <w:rFonts w:eastAsia="MS Mincho"/>
                <w:iCs/>
                <w:snapToGrid w:val="0"/>
                <w:color w:val="000000"/>
                <w:kern w:val="22"/>
                <w:szCs w:val="22"/>
              </w:rPr>
              <w:t xml:space="preserve">and </w:t>
            </w:r>
            <w:r w:rsidRPr="0088780C">
              <w:rPr>
                <w:rFonts w:eastAsia="MS Mincho"/>
                <w:snapToGrid w:val="0"/>
                <w:color w:val="000000"/>
                <w:kern w:val="22"/>
                <w:szCs w:val="22"/>
              </w:rPr>
              <w:t xml:space="preserve">natural rocky midlittoral. </w:t>
            </w:r>
            <w:r w:rsidRPr="0088780C">
              <w:rPr>
                <w:rFonts w:eastAsia="MS Mincho"/>
                <w:i/>
                <w:snapToGrid w:val="0"/>
                <w:color w:val="000000"/>
                <w:kern w:val="22"/>
                <w:szCs w:val="22"/>
              </w:rPr>
              <w:t>Cystoseira barbata</w:t>
            </w:r>
            <w:r w:rsidRPr="0088780C">
              <w:rPr>
                <w:rFonts w:eastAsia="MS Mincho"/>
                <w:snapToGrid w:val="0"/>
                <w:color w:val="000000"/>
                <w:kern w:val="22"/>
                <w:szCs w:val="22"/>
              </w:rPr>
              <w:t xml:space="preserve"> occurs as a continuous belt sheltering a rich associated fauna, consisting of invertebrates and small fish with high diversity. Among red algae, protected species </w:t>
            </w:r>
            <w:r w:rsidRPr="0088780C">
              <w:rPr>
                <w:rFonts w:eastAsia="MS Mincho"/>
                <w:i/>
                <w:snapToGrid w:val="0"/>
                <w:color w:val="000000"/>
                <w:kern w:val="22"/>
                <w:szCs w:val="22"/>
              </w:rPr>
              <w:t>Corallina officinalis</w:t>
            </w:r>
            <w:r w:rsidRPr="0088780C">
              <w:rPr>
                <w:rFonts w:eastAsia="MS Mincho"/>
                <w:snapToGrid w:val="0"/>
                <w:color w:val="000000"/>
                <w:kern w:val="22"/>
                <w:szCs w:val="22"/>
              </w:rPr>
              <w:t xml:space="preserve"> can be found fixed on rocky substrate or mussel shells only within this area. This is the only place in Romanian waters where this species has been identified in present times (Micu et al., 2007).</w:t>
            </w:r>
          </w:p>
        </w:tc>
      </w:tr>
      <w:tr w:rsidR="00A876F3" w:rsidRPr="0088780C" w14:paraId="579A2126" w14:textId="77777777" w:rsidTr="006972AD">
        <w:tc>
          <w:tcPr>
            <w:tcW w:w="779" w:type="pct"/>
            <w:shd w:val="clear" w:color="auto" w:fill="auto"/>
          </w:tcPr>
          <w:p w14:paraId="10BE2C3E" w14:textId="77777777" w:rsidR="00A876F3" w:rsidRPr="0088780C" w:rsidRDefault="00A876F3" w:rsidP="006711D5">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6AB3F76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1526083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F155CB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192268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7EDBF6D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00186AE0" w14:textId="77777777" w:rsidTr="006972AD">
        <w:tc>
          <w:tcPr>
            <w:tcW w:w="5000" w:type="pct"/>
            <w:gridSpan w:val="11"/>
            <w:shd w:val="clear" w:color="auto" w:fill="auto"/>
          </w:tcPr>
          <w:p w14:paraId="4EF696B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i/>
                <w:snapToGrid w:val="0"/>
                <w:color w:val="000000"/>
                <w:kern w:val="22"/>
                <w:szCs w:val="22"/>
              </w:rPr>
              <w:t>Explanation for ranking</w:t>
            </w:r>
          </w:p>
          <w:p w14:paraId="65015B4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The diverse mosaic of rocky and sedimentary habitats, sheltering a diverse fauna of both invertebrates and vertebrates, is an important spawning area for fish, especially gobies (</w:t>
            </w:r>
            <w:r w:rsidRPr="0088780C">
              <w:rPr>
                <w:rFonts w:eastAsia="MS Mincho"/>
                <w:bCs/>
                <w:i/>
                <w:snapToGrid w:val="0"/>
                <w:color w:val="000000"/>
                <w:kern w:val="22"/>
                <w:szCs w:val="22"/>
              </w:rPr>
              <w:t>Gobius cephalarges, Mesogobius batrachocephalus,</w:t>
            </w:r>
            <w:r w:rsidRPr="0088780C">
              <w:rPr>
                <w:rFonts w:eastAsia="MS Mincho"/>
                <w:bCs/>
                <w:snapToGrid w:val="0"/>
                <w:color w:val="000000"/>
                <w:kern w:val="22"/>
                <w:szCs w:val="22"/>
              </w:rPr>
              <w:t xml:space="preserve">), most of them endemic to the Black Sea (Nita et al., 2013, Nicolaev et al., 2015a). </w:t>
            </w:r>
            <w:r w:rsidRPr="0088780C">
              <w:rPr>
                <w:snapToGrid w:val="0"/>
                <w:kern w:val="22"/>
                <w:szCs w:val="22"/>
              </w:rPr>
              <w:t xml:space="preserve">The area is also important for the yelkouan shearwater </w:t>
            </w:r>
            <w:r w:rsidRPr="0088780C">
              <w:rPr>
                <w:i/>
                <w:snapToGrid w:val="0"/>
                <w:kern w:val="22"/>
                <w:szCs w:val="22"/>
              </w:rPr>
              <w:t>Puffinus yelkouan</w:t>
            </w:r>
            <w:r w:rsidRPr="0088780C">
              <w:rPr>
                <w:snapToGrid w:val="0"/>
                <w:kern w:val="22"/>
                <w:szCs w:val="22"/>
              </w:rPr>
              <w:t xml:space="preserve"> during the migratory period (BirdLife International 2017a).</w:t>
            </w:r>
          </w:p>
        </w:tc>
      </w:tr>
      <w:tr w:rsidR="00A876F3" w:rsidRPr="0088780C" w14:paraId="2F81B5AB" w14:textId="77777777" w:rsidTr="006972AD">
        <w:tc>
          <w:tcPr>
            <w:tcW w:w="779" w:type="pct"/>
            <w:shd w:val="clear" w:color="auto" w:fill="auto"/>
          </w:tcPr>
          <w:p w14:paraId="43C8B4F1" w14:textId="77777777" w:rsidR="00A876F3" w:rsidRPr="0088780C" w:rsidRDefault="00A876F3" w:rsidP="006711D5">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05D269C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7430D1C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FEDB5D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D6693A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533B92F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08D54DA2" w14:textId="77777777" w:rsidTr="006711D5">
        <w:trPr>
          <w:cantSplit/>
        </w:trPr>
        <w:tc>
          <w:tcPr>
            <w:tcW w:w="5000" w:type="pct"/>
            <w:gridSpan w:val="11"/>
            <w:shd w:val="clear" w:color="auto" w:fill="auto"/>
          </w:tcPr>
          <w:p w14:paraId="1E2333D8"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4788AD53" w14:textId="62FAE2A8"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 xml:space="preserve">The brown alga </w:t>
            </w:r>
            <w:r w:rsidRPr="0088780C">
              <w:rPr>
                <w:rFonts w:eastAsia="MS Mincho"/>
                <w:bCs/>
                <w:i/>
                <w:snapToGrid w:val="0"/>
                <w:color w:val="000000"/>
                <w:kern w:val="22"/>
                <w:szCs w:val="22"/>
              </w:rPr>
              <w:t>Cystoseira barbata</w:t>
            </w:r>
            <w:r w:rsidRPr="0088780C">
              <w:rPr>
                <w:rFonts w:eastAsia="MS Mincho"/>
                <w:bCs/>
                <w:snapToGrid w:val="0"/>
                <w:color w:val="000000"/>
                <w:kern w:val="22"/>
                <w:szCs w:val="22"/>
              </w:rPr>
              <w:t xml:space="preserve">, a regionally vulnerable species, has a particular ecological importance for the marine ecosystem, as it constitutes a protecting environment, feeding and breeding place for juvenile fish, and also for many marine invertebrates. The elastic yet firm enough substrate is represented by </w:t>
            </w:r>
            <w:r w:rsidRPr="0088780C">
              <w:rPr>
                <w:rFonts w:eastAsia="MS Mincho"/>
                <w:bCs/>
                <w:i/>
                <w:snapToGrid w:val="0"/>
                <w:color w:val="000000"/>
                <w:kern w:val="22"/>
                <w:szCs w:val="22"/>
              </w:rPr>
              <w:t>Cystoseira</w:t>
            </w:r>
            <w:r w:rsidRPr="0088780C">
              <w:rPr>
                <w:rFonts w:eastAsia="MS Mincho"/>
                <w:bCs/>
                <w:snapToGrid w:val="0"/>
                <w:color w:val="000000"/>
                <w:kern w:val="22"/>
                <w:szCs w:val="22"/>
              </w:rPr>
              <w:t xml:space="preserve"> thalli, whose complex structure of branches offers an ideal fixing place for various macrophytes, both photophyles (bringing them closer to the water surface) and scyaphyles (growing in the shade of </w:t>
            </w:r>
            <w:r w:rsidRPr="0088780C">
              <w:rPr>
                <w:rFonts w:eastAsia="MS Mincho"/>
                <w:bCs/>
                <w:i/>
                <w:snapToGrid w:val="0"/>
                <w:color w:val="000000"/>
                <w:kern w:val="22"/>
                <w:szCs w:val="22"/>
              </w:rPr>
              <w:t xml:space="preserve">Cystoseira </w:t>
            </w:r>
            <w:r w:rsidRPr="0088780C">
              <w:rPr>
                <w:rFonts w:eastAsia="MS Mincho"/>
                <w:bCs/>
                <w:snapToGrid w:val="0"/>
                <w:color w:val="000000"/>
                <w:kern w:val="22"/>
                <w:szCs w:val="22"/>
              </w:rPr>
              <w:t xml:space="preserve">thallus) (Müller et al., 1969). All these facts recommend </w:t>
            </w:r>
            <w:r w:rsidRPr="0088780C">
              <w:rPr>
                <w:rFonts w:eastAsia="MS Mincho"/>
                <w:bCs/>
                <w:i/>
                <w:snapToGrid w:val="0"/>
                <w:color w:val="000000"/>
                <w:kern w:val="22"/>
                <w:szCs w:val="22"/>
              </w:rPr>
              <w:t xml:space="preserve">Cystoseira </w:t>
            </w:r>
            <w:r w:rsidRPr="0088780C">
              <w:rPr>
                <w:rFonts w:eastAsia="MS Mincho"/>
                <w:bCs/>
                <w:snapToGrid w:val="0"/>
                <w:color w:val="000000"/>
                <w:kern w:val="22"/>
                <w:szCs w:val="22"/>
              </w:rPr>
              <w:t>areas as important ecological niches in the</w:t>
            </w:r>
            <w:r w:rsidR="006711D5" w:rsidRPr="0088780C">
              <w:rPr>
                <w:rFonts w:eastAsia="MS Mincho"/>
                <w:bCs/>
                <w:snapToGrid w:val="0"/>
                <w:color w:val="000000"/>
                <w:kern w:val="22"/>
                <w:szCs w:val="22"/>
              </w:rPr>
              <w:t xml:space="preserve"> life of this marine ecosystem.</w:t>
            </w:r>
          </w:p>
          <w:p w14:paraId="616E2A6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5A5DCF2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The following species, threatened at the regional level (Black Sea),  occur in this area:</w:t>
            </w:r>
          </w:p>
          <w:p w14:paraId="5BE07F7A" w14:textId="4DD623CB"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u w:val="single"/>
              </w:rPr>
              <w:t>Critically endangered</w:t>
            </w:r>
            <w:r w:rsidRPr="0088780C">
              <w:rPr>
                <w:rFonts w:eastAsia="MS Mincho"/>
                <w:bCs/>
                <w:snapToGrid w:val="0"/>
                <w:color w:val="000000"/>
                <w:kern w:val="22"/>
                <w:szCs w:val="22"/>
              </w:rPr>
              <w:t xml:space="preserve">: crabs </w:t>
            </w:r>
            <w:r w:rsidRPr="0088780C">
              <w:rPr>
                <w:rFonts w:eastAsia="MS Mincho"/>
                <w:bCs/>
                <w:i/>
                <w:snapToGrid w:val="0"/>
                <w:color w:val="000000"/>
                <w:kern w:val="22"/>
                <w:szCs w:val="22"/>
              </w:rPr>
              <w:t xml:space="preserve">Carcinus aestuarii </w:t>
            </w:r>
            <w:r w:rsidRPr="0088780C">
              <w:rPr>
                <w:rFonts w:eastAsia="MS Mincho"/>
                <w:bCs/>
                <w:snapToGrid w:val="0"/>
                <w:color w:val="000000"/>
                <w:kern w:val="22"/>
                <w:szCs w:val="22"/>
              </w:rPr>
              <w:t>and</w:t>
            </w:r>
            <w:r w:rsidRPr="0088780C">
              <w:rPr>
                <w:rFonts w:eastAsia="MS Mincho"/>
                <w:bCs/>
                <w:i/>
                <w:snapToGrid w:val="0"/>
                <w:color w:val="000000"/>
                <w:kern w:val="22"/>
                <w:szCs w:val="22"/>
              </w:rPr>
              <w:t xml:space="preserve"> Clibanarius erythropus, </w:t>
            </w:r>
            <w:r w:rsidRPr="0088780C">
              <w:rPr>
                <w:rFonts w:eastAsia="MS Mincho"/>
                <w:bCs/>
                <w:snapToGrid w:val="0"/>
                <w:color w:val="000000"/>
                <w:kern w:val="22"/>
                <w:szCs w:val="22"/>
              </w:rPr>
              <w:t xml:space="preserve">bivalves </w:t>
            </w:r>
            <w:r w:rsidRPr="0088780C">
              <w:rPr>
                <w:rFonts w:eastAsia="MS Mincho"/>
                <w:bCs/>
                <w:i/>
                <w:snapToGrid w:val="0"/>
                <w:color w:val="000000"/>
                <w:kern w:val="22"/>
                <w:szCs w:val="22"/>
              </w:rPr>
              <w:t xml:space="preserve">Petricola lithophaga </w:t>
            </w:r>
            <w:r w:rsidRPr="0088780C">
              <w:rPr>
                <w:rFonts w:eastAsia="MS Mincho"/>
                <w:bCs/>
                <w:snapToGrid w:val="0"/>
                <w:color w:val="000000"/>
                <w:kern w:val="22"/>
                <w:szCs w:val="22"/>
              </w:rPr>
              <w:t>and</w:t>
            </w:r>
            <w:r w:rsidRPr="0088780C">
              <w:rPr>
                <w:rFonts w:eastAsia="MS Mincho"/>
                <w:bCs/>
                <w:i/>
                <w:snapToGrid w:val="0"/>
                <w:color w:val="000000"/>
                <w:kern w:val="22"/>
                <w:szCs w:val="22"/>
              </w:rPr>
              <w:t xml:space="preserve"> Pholas dactylus, </w:t>
            </w:r>
            <w:r w:rsidRPr="0088780C">
              <w:rPr>
                <w:rFonts w:eastAsia="MS Mincho"/>
                <w:bCs/>
                <w:snapToGrid w:val="0"/>
                <w:color w:val="000000"/>
                <w:kern w:val="22"/>
                <w:szCs w:val="22"/>
              </w:rPr>
              <w:t>gastropods</w:t>
            </w:r>
            <w:r w:rsidRPr="0088780C">
              <w:rPr>
                <w:rFonts w:eastAsia="MS Mincho"/>
                <w:bCs/>
                <w:i/>
                <w:snapToGrid w:val="0"/>
                <w:color w:val="000000"/>
                <w:kern w:val="22"/>
                <w:szCs w:val="22"/>
              </w:rPr>
              <w:t xml:space="preserve"> Gibbula divaricata, Tricolia pullus, </w:t>
            </w:r>
            <w:r w:rsidRPr="0088780C">
              <w:rPr>
                <w:rFonts w:eastAsia="MS Mincho"/>
                <w:bCs/>
                <w:snapToGrid w:val="0"/>
                <w:color w:val="000000"/>
                <w:kern w:val="22"/>
                <w:szCs w:val="22"/>
              </w:rPr>
              <w:t xml:space="preserve">red alga </w:t>
            </w:r>
            <w:r w:rsidRPr="0088780C">
              <w:rPr>
                <w:rFonts w:eastAsia="MS Mincho"/>
                <w:bCs/>
                <w:i/>
                <w:snapToGrid w:val="0"/>
                <w:color w:val="000000"/>
                <w:kern w:val="22"/>
                <w:szCs w:val="22"/>
              </w:rPr>
              <w:t xml:space="preserve">Corallina officinalis </w:t>
            </w:r>
            <w:r w:rsidRPr="0088780C">
              <w:rPr>
                <w:rFonts w:eastAsia="MS Mincho"/>
                <w:bCs/>
                <w:snapToGrid w:val="0"/>
                <w:color w:val="000000"/>
                <w:kern w:val="22"/>
                <w:szCs w:val="22"/>
              </w:rPr>
              <w:t>and brown alga</w:t>
            </w:r>
            <w:r w:rsidRPr="0088780C">
              <w:rPr>
                <w:rFonts w:eastAsia="MS Mincho"/>
                <w:bCs/>
                <w:i/>
                <w:snapToGrid w:val="0"/>
                <w:color w:val="000000"/>
                <w:kern w:val="22"/>
                <w:szCs w:val="22"/>
              </w:rPr>
              <w:t xml:space="preserve"> Cystoseira barbata</w:t>
            </w:r>
          </w:p>
          <w:p w14:paraId="4E875EA2" w14:textId="075A412E" w:rsidR="00A876F3" w:rsidRPr="0088780C" w:rsidRDefault="00A876F3" w:rsidP="001013AF">
            <w:pPr>
              <w:suppressLineNumbers/>
              <w:suppressAutoHyphens/>
              <w:kinsoku w:val="0"/>
              <w:overflowPunct w:val="0"/>
              <w:autoSpaceDE w:val="0"/>
              <w:autoSpaceDN w:val="0"/>
              <w:adjustRightInd w:val="0"/>
              <w:rPr>
                <w:rFonts w:eastAsia="MS Mincho"/>
                <w:bCs/>
                <w:i/>
                <w:snapToGrid w:val="0"/>
                <w:color w:val="000000"/>
                <w:kern w:val="22"/>
                <w:szCs w:val="22"/>
              </w:rPr>
            </w:pPr>
            <w:r w:rsidRPr="0088780C">
              <w:rPr>
                <w:rFonts w:eastAsia="MS Mincho"/>
                <w:bCs/>
                <w:snapToGrid w:val="0"/>
                <w:color w:val="000000"/>
                <w:kern w:val="22"/>
                <w:szCs w:val="22"/>
                <w:u w:val="single"/>
              </w:rPr>
              <w:t>Endangered</w:t>
            </w:r>
            <w:r w:rsidRPr="0088780C">
              <w:rPr>
                <w:rFonts w:eastAsia="MS Mincho"/>
                <w:bCs/>
                <w:snapToGrid w:val="0"/>
                <w:color w:val="000000"/>
                <w:kern w:val="22"/>
                <w:szCs w:val="22"/>
              </w:rPr>
              <w:t xml:space="preserve">: </w:t>
            </w:r>
            <w:r w:rsidR="00564FE7" w:rsidRPr="0088780C">
              <w:rPr>
                <w:rFonts w:eastAsia="MS Mincho"/>
                <w:bCs/>
                <w:snapToGrid w:val="0"/>
                <w:color w:val="000000"/>
                <w:kern w:val="22"/>
                <w:szCs w:val="22"/>
              </w:rPr>
              <w:t>harbour porpoise</w:t>
            </w:r>
            <w:r w:rsidRPr="0088780C">
              <w:rPr>
                <w:rFonts w:eastAsia="MS Mincho"/>
                <w:bCs/>
                <w:snapToGrid w:val="0"/>
                <w:color w:val="000000"/>
                <w:kern w:val="22"/>
                <w:szCs w:val="22"/>
              </w:rPr>
              <w:t xml:space="preserve"> </w:t>
            </w:r>
            <w:r w:rsidRPr="0088780C">
              <w:rPr>
                <w:rFonts w:eastAsia="MS Mincho"/>
                <w:bCs/>
                <w:i/>
                <w:snapToGrid w:val="0"/>
                <w:color w:val="000000"/>
                <w:kern w:val="22"/>
                <w:szCs w:val="22"/>
              </w:rPr>
              <w:t xml:space="preserve">Phocoena phocoena, </w:t>
            </w:r>
            <w:r w:rsidRPr="0088780C">
              <w:rPr>
                <w:rFonts w:eastAsia="MS Mincho"/>
                <w:bCs/>
                <w:snapToGrid w:val="0"/>
                <w:color w:val="000000"/>
                <w:kern w:val="22"/>
                <w:szCs w:val="22"/>
              </w:rPr>
              <w:t xml:space="preserve">bottlenose dolphin </w:t>
            </w:r>
            <w:r w:rsidRPr="0088780C">
              <w:rPr>
                <w:rFonts w:eastAsia="MS Mincho"/>
                <w:bCs/>
                <w:i/>
                <w:snapToGrid w:val="0"/>
                <w:color w:val="000000"/>
                <w:kern w:val="22"/>
                <w:szCs w:val="22"/>
              </w:rPr>
              <w:t xml:space="preserve">Tursiops truncatus, </w:t>
            </w:r>
            <w:r w:rsidRPr="0088780C">
              <w:rPr>
                <w:rFonts w:eastAsia="MS Mincho"/>
                <w:bCs/>
                <w:snapToGrid w:val="0"/>
                <w:color w:val="000000"/>
                <w:kern w:val="22"/>
                <w:szCs w:val="22"/>
              </w:rPr>
              <w:t xml:space="preserve">common dolphin </w:t>
            </w:r>
            <w:r w:rsidRPr="0088780C">
              <w:rPr>
                <w:rFonts w:eastAsia="MS Mincho"/>
                <w:bCs/>
                <w:i/>
                <w:snapToGrid w:val="0"/>
                <w:color w:val="000000"/>
                <w:kern w:val="22"/>
                <w:szCs w:val="22"/>
              </w:rPr>
              <w:t xml:space="preserve">Delphinus delphis, </w:t>
            </w:r>
            <w:r w:rsidRPr="0088780C">
              <w:rPr>
                <w:rFonts w:eastAsia="MS Mincho"/>
                <w:bCs/>
                <w:snapToGrid w:val="0"/>
                <w:color w:val="000000"/>
                <w:kern w:val="22"/>
                <w:szCs w:val="22"/>
              </w:rPr>
              <w:t xml:space="preserve">bivalves </w:t>
            </w:r>
            <w:r w:rsidRPr="0088780C">
              <w:rPr>
                <w:rFonts w:eastAsia="MS Mincho"/>
                <w:bCs/>
                <w:i/>
                <w:snapToGrid w:val="0"/>
                <w:color w:val="000000"/>
                <w:kern w:val="22"/>
                <w:szCs w:val="22"/>
              </w:rPr>
              <w:t xml:space="preserve">Gastrana fragilis, Irus irus, </w:t>
            </w:r>
            <w:r w:rsidRPr="0088780C">
              <w:rPr>
                <w:rFonts w:eastAsia="MS Mincho"/>
                <w:bCs/>
                <w:snapToGrid w:val="0"/>
                <w:color w:val="000000"/>
                <w:kern w:val="22"/>
                <w:szCs w:val="22"/>
              </w:rPr>
              <w:t>and decapod</w:t>
            </w:r>
            <w:r w:rsidRPr="0088780C">
              <w:rPr>
                <w:rFonts w:eastAsia="MS Mincho"/>
                <w:bCs/>
                <w:i/>
                <w:snapToGrid w:val="0"/>
                <w:color w:val="000000"/>
                <w:kern w:val="22"/>
                <w:szCs w:val="22"/>
              </w:rPr>
              <w:t xml:space="preserve"> Liocarcinus navigator</w:t>
            </w:r>
          </w:p>
          <w:p w14:paraId="3A465B9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u w:val="single"/>
              </w:rPr>
              <w:t>Vulnerable</w:t>
            </w:r>
            <w:r w:rsidRPr="0088780C">
              <w:rPr>
                <w:rFonts w:eastAsia="MS Mincho"/>
                <w:bCs/>
                <w:snapToGrid w:val="0"/>
                <w:color w:val="000000"/>
                <w:kern w:val="22"/>
                <w:szCs w:val="22"/>
              </w:rPr>
              <w:t xml:space="preserve">: </w:t>
            </w:r>
            <w:r w:rsidRPr="0088780C">
              <w:rPr>
                <w:rFonts w:eastAsia="MS Mincho"/>
                <w:bCs/>
                <w:i/>
                <w:snapToGrid w:val="0"/>
                <w:color w:val="000000"/>
                <w:kern w:val="22"/>
                <w:szCs w:val="22"/>
              </w:rPr>
              <w:t>Puffinus yelkouan</w:t>
            </w:r>
            <w:r w:rsidRPr="0088780C">
              <w:rPr>
                <w:rFonts w:eastAsia="MS Mincho"/>
                <w:bCs/>
                <w:snapToGrid w:val="0"/>
                <w:color w:val="000000"/>
                <w:kern w:val="22"/>
                <w:szCs w:val="22"/>
              </w:rPr>
              <w:t xml:space="preserve"> (Vulnerable at a global level; BirdLife International, 2017b)</w:t>
            </w:r>
          </w:p>
          <w:p w14:paraId="3834C1E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bCs/>
                <w:snapToGrid w:val="0"/>
                <w:color w:val="000000"/>
                <w:kern w:val="22"/>
                <w:szCs w:val="22"/>
                <w:u w:val="single"/>
              </w:rPr>
              <w:t>Near threatened</w:t>
            </w:r>
            <w:r w:rsidRPr="0088780C">
              <w:rPr>
                <w:rFonts w:eastAsia="MS Mincho"/>
                <w:bCs/>
                <w:snapToGrid w:val="0"/>
                <w:color w:val="000000"/>
                <w:kern w:val="22"/>
                <w:szCs w:val="22"/>
              </w:rPr>
              <w:t>:</w:t>
            </w:r>
            <w:r w:rsidRPr="0088780C">
              <w:rPr>
                <w:rFonts w:eastAsia="MS Mincho"/>
                <w:snapToGrid w:val="0"/>
                <w:color w:val="000000"/>
                <w:kern w:val="22"/>
                <w:szCs w:val="22"/>
              </w:rPr>
              <w:t xml:space="preserve"> shad (</w:t>
            </w:r>
            <w:r w:rsidRPr="0088780C">
              <w:rPr>
                <w:rFonts w:eastAsia="MS Mincho"/>
                <w:i/>
                <w:snapToGrid w:val="0"/>
                <w:color w:val="000000"/>
                <w:kern w:val="22"/>
                <w:szCs w:val="22"/>
              </w:rPr>
              <w:t xml:space="preserve">Alosa immaculata) </w:t>
            </w:r>
            <w:r w:rsidRPr="0088780C">
              <w:rPr>
                <w:rFonts w:eastAsia="MS Mincho"/>
                <w:snapToGrid w:val="0"/>
                <w:color w:val="000000"/>
                <w:kern w:val="22"/>
                <w:szCs w:val="22"/>
              </w:rPr>
              <w:t xml:space="preserve">and </w:t>
            </w:r>
            <w:r w:rsidRPr="0088780C">
              <w:rPr>
                <w:rFonts w:eastAsia="MS Mincho"/>
                <w:snapToGrid w:val="0"/>
                <w:kern w:val="22"/>
                <w:szCs w:val="22"/>
              </w:rPr>
              <w:t xml:space="preserve">golden grey mullet </w:t>
            </w:r>
            <w:r w:rsidRPr="0088780C">
              <w:rPr>
                <w:rFonts w:eastAsia="MS Mincho"/>
                <w:i/>
                <w:snapToGrid w:val="0"/>
                <w:color w:val="000000"/>
                <w:kern w:val="22"/>
                <w:szCs w:val="22"/>
              </w:rPr>
              <w:t>Liza aurata</w:t>
            </w:r>
          </w:p>
          <w:p w14:paraId="5AFF225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Most of the fish species occurring in the area are data deficient (DD), so their conservation status is not known (Black Sea Red Data Book, IUCN Red List).</w:t>
            </w:r>
          </w:p>
        </w:tc>
      </w:tr>
      <w:tr w:rsidR="00A876F3" w:rsidRPr="0088780C" w14:paraId="383F2484" w14:textId="77777777" w:rsidTr="006972AD">
        <w:tc>
          <w:tcPr>
            <w:tcW w:w="779" w:type="pct"/>
            <w:shd w:val="clear" w:color="auto" w:fill="auto"/>
          </w:tcPr>
          <w:p w14:paraId="7A0FF426" w14:textId="77777777" w:rsidR="00A876F3" w:rsidRPr="0088780C" w:rsidRDefault="00A876F3" w:rsidP="006711D5">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51164DC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5FB22AB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11CEE5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DF06D3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6B9B19F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2BC5E4BC" w14:textId="77777777" w:rsidTr="006972AD">
        <w:tc>
          <w:tcPr>
            <w:tcW w:w="5000" w:type="pct"/>
            <w:gridSpan w:val="11"/>
            <w:shd w:val="clear" w:color="auto" w:fill="auto"/>
          </w:tcPr>
          <w:p w14:paraId="6968C06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i/>
                <w:snapToGrid w:val="0"/>
                <w:color w:val="000000"/>
                <w:kern w:val="22"/>
                <w:szCs w:val="22"/>
              </w:rPr>
              <w:t>Explanation for ranking</w:t>
            </w:r>
          </w:p>
          <w:p w14:paraId="72AB2C0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habitat of the brown alga </w:t>
            </w:r>
            <w:r w:rsidRPr="0088780C">
              <w:rPr>
                <w:rFonts w:eastAsia="MS Mincho"/>
                <w:i/>
                <w:snapToGrid w:val="0"/>
                <w:color w:val="000000"/>
                <w:kern w:val="22"/>
                <w:szCs w:val="22"/>
              </w:rPr>
              <w:t>Cystoseira barbata</w:t>
            </w:r>
            <w:r w:rsidRPr="0088780C">
              <w:rPr>
                <w:rFonts w:eastAsia="MS Mincho"/>
                <w:snapToGrid w:val="0"/>
                <w:color w:val="000000"/>
                <w:kern w:val="22"/>
                <w:szCs w:val="22"/>
              </w:rPr>
              <w:t>, seagrass habitats and infralittoral rock with mussels (</w:t>
            </w:r>
            <w:r w:rsidRPr="0088780C">
              <w:rPr>
                <w:rFonts w:eastAsia="MS Mincho"/>
                <w:i/>
                <w:snapToGrid w:val="0"/>
                <w:color w:val="000000"/>
                <w:kern w:val="22"/>
                <w:szCs w:val="22"/>
              </w:rPr>
              <w:t>Mytilus galloprovincialis</w:t>
            </w:r>
            <w:r w:rsidRPr="0088780C">
              <w:rPr>
                <w:rFonts w:eastAsia="MS Mincho"/>
                <w:snapToGrid w:val="0"/>
                <w:color w:val="000000"/>
                <w:kern w:val="22"/>
                <w:szCs w:val="22"/>
              </w:rPr>
              <w:t>) are sensitive to environmental changes and recover slowly (Marin et al., 2013, Nicolaev et al., 2015b).</w:t>
            </w:r>
            <w:r w:rsidRPr="0088780C">
              <w:rPr>
                <w:snapToGrid w:val="0"/>
                <w:kern w:val="22"/>
                <w:szCs w:val="22"/>
              </w:rPr>
              <w:t xml:space="preserve"> </w:t>
            </w:r>
            <w:r w:rsidRPr="0088780C">
              <w:rPr>
                <w:rFonts w:eastAsia="MS Mincho"/>
                <w:snapToGrid w:val="0"/>
                <w:color w:val="000000"/>
                <w:kern w:val="22"/>
                <w:szCs w:val="22"/>
              </w:rPr>
              <w:t xml:space="preserve">Cystoseira fields play an important role in the amortization of shock waves and their reduction favours the re-suspension of sediments and increased water turbidity, with negative effects especially to sensitive organisms. A consequence of the decline of this species is the reduction in macroalgae biodiversity, as </w:t>
            </w:r>
            <w:r w:rsidRPr="0088780C">
              <w:rPr>
                <w:rFonts w:eastAsia="MS Mincho"/>
                <w:i/>
                <w:snapToGrid w:val="0"/>
                <w:color w:val="000000"/>
                <w:kern w:val="22"/>
                <w:szCs w:val="22"/>
              </w:rPr>
              <w:t>Cystoseira</w:t>
            </w:r>
            <w:r w:rsidRPr="0088780C">
              <w:rPr>
                <w:rFonts w:eastAsia="MS Mincho"/>
                <w:snapToGrid w:val="0"/>
                <w:color w:val="000000"/>
                <w:kern w:val="22"/>
                <w:szCs w:val="22"/>
              </w:rPr>
              <w:t xml:space="preserve"> represents a habitat-forming species. Therefore, macroalgal species such as </w:t>
            </w:r>
            <w:r w:rsidRPr="0088780C">
              <w:rPr>
                <w:rFonts w:eastAsia="MS Mincho"/>
                <w:i/>
                <w:snapToGrid w:val="0"/>
                <w:color w:val="000000"/>
                <w:kern w:val="22"/>
                <w:szCs w:val="22"/>
              </w:rPr>
              <w:t>Sphacellaria cirrhosa, Feldmannia irregularis, Stilophora rhizoides, Corynophlaea umbellata, Cladostephus verticillatus, Kylinia</w:t>
            </w:r>
            <w:r w:rsidRPr="0088780C">
              <w:rPr>
                <w:rFonts w:eastAsia="MS Mincho"/>
                <w:snapToGrid w:val="0"/>
                <w:color w:val="000000"/>
                <w:kern w:val="22"/>
                <w:szCs w:val="22"/>
              </w:rPr>
              <w:t xml:space="preserve"> ssp. disappeared. Disappearance or reduction of </w:t>
            </w:r>
            <w:r w:rsidRPr="0088780C">
              <w:rPr>
                <w:rFonts w:eastAsia="MS Mincho"/>
                <w:i/>
                <w:snapToGrid w:val="0"/>
                <w:color w:val="000000"/>
                <w:kern w:val="22"/>
                <w:szCs w:val="22"/>
              </w:rPr>
              <w:t>Cystoseira</w:t>
            </w:r>
            <w:r w:rsidRPr="0088780C">
              <w:rPr>
                <w:rFonts w:eastAsia="MS Mincho"/>
                <w:snapToGrid w:val="0"/>
                <w:color w:val="000000"/>
                <w:kern w:val="22"/>
                <w:szCs w:val="22"/>
              </w:rPr>
              <w:t xml:space="preserve"> fields has also led to the decline of some fish species that used to shelter and feed here. Presently, this habitat-forming species is under slow recovery, which depends very much on anthropogenic pressures (Marin et al., 2013).</w:t>
            </w:r>
          </w:p>
        </w:tc>
      </w:tr>
      <w:tr w:rsidR="00A876F3" w:rsidRPr="0088780C" w14:paraId="0C28CC77" w14:textId="77777777" w:rsidTr="006972AD">
        <w:tc>
          <w:tcPr>
            <w:tcW w:w="779" w:type="pct"/>
            <w:shd w:val="clear" w:color="auto" w:fill="auto"/>
          </w:tcPr>
          <w:p w14:paraId="61E4DD6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240FBCB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0AC6DC8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A079F3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1737E8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26C91B4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4AE9C4AF" w14:textId="77777777" w:rsidTr="006972AD">
        <w:tc>
          <w:tcPr>
            <w:tcW w:w="5000" w:type="pct"/>
            <w:gridSpan w:val="11"/>
            <w:shd w:val="clear" w:color="auto" w:fill="auto"/>
          </w:tcPr>
          <w:p w14:paraId="143897E5"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i/>
                <w:snapToGrid w:val="0"/>
                <w:color w:val="000000"/>
                <w:kern w:val="22"/>
                <w:szCs w:val="22"/>
              </w:rPr>
              <w:t>Explanation for ranking</w:t>
            </w:r>
          </w:p>
          <w:p w14:paraId="5A27FB8A"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Besides the highly productive habitat of </w:t>
            </w:r>
            <w:r w:rsidRPr="0088780C">
              <w:rPr>
                <w:rFonts w:eastAsia="MS Mincho"/>
                <w:i/>
                <w:snapToGrid w:val="0"/>
                <w:color w:val="000000"/>
                <w:kern w:val="22"/>
                <w:szCs w:val="22"/>
              </w:rPr>
              <w:t xml:space="preserve">Cystoseira barbata, </w:t>
            </w:r>
            <w:r w:rsidRPr="0088780C">
              <w:rPr>
                <w:rFonts w:eastAsia="MS Mincho"/>
                <w:snapToGrid w:val="0"/>
                <w:color w:val="000000"/>
                <w:kern w:val="22"/>
                <w:szCs w:val="22"/>
              </w:rPr>
              <w:t xml:space="preserve">which displays some discontinuity in the area, another highly productive habitat might be mentioned: infralittoral rock with </w:t>
            </w:r>
            <w:r w:rsidRPr="0088780C">
              <w:rPr>
                <w:rFonts w:eastAsia="MS Mincho"/>
                <w:i/>
                <w:snapToGrid w:val="0"/>
                <w:color w:val="000000"/>
                <w:kern w:val="22"/>
                <w:szCs w:val="22"/>
              </w:rPr>
              <w:t>Mytilus galloprovincialis</w:t>
            </w:r>
            <w:r w:rsidRPr="0088780C">
              <w:rPr>
                <w:rFonts w:eastAsia="MS Mincho"/>
                <w:snapToGrid w:val="0"/>
                <w:color w:val="000000"/>
                <w:kern w:val="22"/>
                <w:szCs w:val="22"/>
              </w:rPr>
              <w:t xml:space="preserve"> (Micu et al., 2007), which is well developed in the area and highly productive (Abaza, 2010; Marin &amp; Timofte, 2011; Nita et al. 2013). As result, endemic and threatened species, such as gobies (</w:t>
            </w:r>
            <w:r w:rsidRPr="0088780C">
              <w:rPr>
                <w:rFonts w:eastAsia="MS Mincho"/>
                <w:i/>
                <w:snapToGrid w:val="0"/>
                <w:color w:val="000000"/>
                <w:kern w:val="22"/>
                <w:szCs w:val="22"/>
              </w:rPr>
              <w:t>Mesogobius batrachocephalus</w:t>
            </w:r>
            <w:r w:rsidRPr="0088780C">
              <w:rPr>
                <w:rFonts w:eastAsia="MS Mincho"/>
                <w:snapToGrid w:val="0"/>
                <w:color w:val="000000"/>
                <w:kern w:val="22"/>
                <w:szCs w:val="22"/>
              </w:rPr>
              <w:t>), shads (</w:t>
            </w:r>
            <w:r w:rsidRPr="0088780C">
              <w:rPr>
                <w:rFonts w:eastAsia="MS Mincho"/>
                <w:i/>
                <w:snapToGrid w:val="0"/>
                <w:color w:val="000000"/>
                <w:kern w:val="22"/>
                <w:szCs w:val="22"/>
              </w:rPr>
              <w:t>Alosa pontica, A. tanaica</w:t>
            </w:r>
            <w:r w:rsidRPr="0088780C">
              <w:rPr>
                <w:rFonts w:eastAsia="MS Mincho"/>
                <w:snapToGrid w:val="0"/>
                <w:color w:val="000000"/>
                <w:kern w:val="22"/>
                <w:szCs w:val="22"/>
              </w:rPr>
              <w:t>), sturgeons and cetaceans can be found in the area, using it both as a shelter and feeding area (Nicolaev et al., 2015b).</w:t>
            </w:r>
          </w:p>
        </w:tc>
      </w:tr>
      <w:tr w:rsidR="00A876F3" w:rsidRPr="0088780C" w14:paraId="2447A3C3" w14:textId="77777777" w:rsidTr="006972AD">
        <w:tc>
          <w:tcPr>
            <w:tcW w:w="779" w:type="pct"/>
            <w:shd w:val="clear" w:color="auto" w:fill="auto"/>
          </w:tcPr>
          <w:p w14:paraId="052B487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6887BD5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3A78AB9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25AD38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171096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588292D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17BA522B" w14:textId="77777777" w:rsidTr="006972AD">
        <w:tc>
          <w:tcPr>
            <w:tcW w:w="5000" w:type="pct"/>
            <w:gridSpan w:val="11"/>
            <w:shd w:val="clear" w:color="auto" w:fill="auto"/>
          </w:tcPr>
          <w:p w14:paraId="6B623406"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3172AF42" w14:textId="2B27F7A4"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The biodiversity of the area consists of phytoplankton, zooplankton, macroalgae and marine phanerogames (</w:t>
            </w:r>
            <w:r w:rsidRPr="0088780C">
              <w:rPr>
                <w:rFonts w:eastAsia="MS Mincho"/>
                <w:i/>
                <w:snapToGrid w:val="0"/>
                <w:color w:val="000000"/>
                <w:kern w:val="22"/>
                <w:szCs w:val="22"/>
              </w:rPr>
              <w:t>Zostera</w:t>
            </w:r>
            <w:r w:rsidRPr="0088780C">
              <w:rPr>
                <w:rFonts w:eastAsia="MS Mincho"/>
                <w:snapToGrid w:val="0"/>
                <w:color w:val="000000"/>
                <w:kern w:val="22"/>
                <w:szCs w:val="22"/>
              </w:rPr>
              <w:t xml:space="preserve"> sp.), zoobenthos, fish and marine mammals, most of them mentioned above. Due to the diversity of habitats in this small area, the representatives of almost all taxonomic groups identified in the Romanian marine area can be found, which are mainly of scientific interest (Micu et al., 2007, Abaza, 2010).</w:t>
            </w:r>
          </w:p>
        </w:tc>
      </w:tr>
      <w:tr w:rsidR="00A876F3" w:rsidRPr="0088780C" w14:paraId="6209E00E" w14:textId="77777777" w:rsidTr="006972AD">
        <w:tc>
          <w:tcPr>
            <w:tcW w:w="783" w:type="pct"/>
            <w:shd w:val="clear" w:color="auto" w:fill="auto"/>
          </w:tcPr>
          <w:p w14:paraId="61EEF145"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26AAC00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7F94BB5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07E384F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3E70F6E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c>
          <w:tcPr>
            <w:tcW w:w="385" w:type="pct"/>
            <w:shd w:val="clear" w:color="auto" w:fill="auto"/>
          </w:tcPr>
          <w:p w14:paraId="0EBC1F4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A876F3" w:rsidRPr="0088780C" w14:paraId="5FDF5893" w14:textId="77777777" w:rsidTr="006972AD">
        <w:tc>
          <w:tcPr>
            <w:tcW w:w="5000" w:type="pct"/>
            <w:gridSpan w:val="11"/>
            <w:shd w:val="clear" w:color="auto" w:fill="auto"/>
          </w:tcPr>
          <w:p w14:paraId="2FE5686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i/>
                <w:snapToGrid w:val="0"/>
                <w:color w:val="000000"/>
                <w:kern w:val="22"/>
                <w:szCs w:val="22"/>
              </w:rPr>
              <w:t>Explanation for ranking</w:t>
            </w:r>
          </w:p>
          <w:p w14:paraId="0EE41AA8" w14:textId="375420B3"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Vama Veche – 2 Mai Marine Reserve is considered a less impacted area of the Romanian shoreline, despite the proximity of its northern part to Mangalia harbour. The area is moderately inhabited (two villages are located nearshore), but during the summer tourism is well developed, as it is a favoured leisure destination among many young people. The potential effect of this proximity can be observed in the occurrence of barren areas, which occur still in the northern part of the reserve. However, these areas are undergoing a slow natural recovery process (Nicolaev et al., 2015b).</w:t>
            </w:r>
          </w:p>
        </w:tc>
      </w:tr>
    </w:tbl>
    <w:p w14:paraId="1655EC6D"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795BD016" w14:textId="77777777" w:rsidR="00A876F3" w:rsidRPr="0088780C" w:rsidRDefault="00A876F3" w:rsidP="006711D5">
      <w:pPr>
        <w:suppressLineNumbers/>
        <w:suppressAutoHyphens/>
        <w:kinsoku w:val="0"/>
        <w:overflowPunct w:val="0"/>
        <w:autoSpaceDE w:val="0"/>
        <w:autoSpaceDN w:val="0"/>
        <w:adjustRightInd w:val="0"/>
        <w:spacing w:after="60"/>
        <w:ind w:left="720" w:hanging="720"/>
        <w:rPr>
          <w:rFonts w:eastAsia="MS Mincho"/>
          <w:b/>
          <w:snapToGrid w:val="0"/>
          <w:kern w:val="22"/>
          <w:szCs w:val="22"/>
        </w:rPr>
      </w:pPr>
      <w:r w:rsidRPr="0088780C">
        <w:rPr>
          <w:rFonts w:eastAsia="MS Mincho"/>
          <w:b/>
          <w:snapToGrid w:val="0"/>
          <w:kern w:val="22"/>
          <w:szCs w:val="22"/>
        </w:rPr>
        <w:t>References</w:t>
      </w:r>
    </w:p>
    <w:p w14:paraId="524AC890"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Abaza, V., 2010. Zoobenthic communities structure in the eastern part of the marine reserve 2 Mai – Vama Veche under present ecological conditions. Journal of Environmental Protection and Ecology 11(3):1013-1023</w:t>
      </w:r>
    </w:p>
    <w:p w14:paraId="19FD1DCC"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snapToGrid w:val="0"/>
          <w:kern w:val="22"/>
          <w:szCs w:val="22"/>
        </w:rPr>
        <w:t xml:space="preserve">Abaza, V., S.P. Godeanu, 2008. Present state of shallow water macrozoobenthos from marine reserve 2 Mai – Vama Veche. </w:t>
      </w:r>
      <w:r w:rsidRPr="0088780C">
        <w:rPr>
          <w:i/>
          <w:iCs/>
          <w:snapToGrid w:val="0"/>
          <w:kern w:val="22"/>
          <w:szCs w:val="22"/>
        </w:rPr>
        <w:t>Cercetări marine – Recherches marines</w:t>
      </w:r>
      <w:r w:rsidRPr="0088780C">
        <w:rPr>
          <w:snapToGrid w:val="0"/>
          <w:kern w:val="22"/>
          <w:szCs w:val="22"/>
        </w:rPr>
        <w:t xml:space="preserve">, INCDM Constanta, </w:t>
      </w:r>
      <w:r w:rsidRPr="0088780C">
        <w:rPr>
          <w:b/>
          <w:bCs/>
          <w:snapToGrid w:val="0"/>
          <w:kern w:val="22"/>
          <w:szCs w:val="22"/>
        </w:rPr>
        <w:t>38</w:t>
      </w:r>
      <w:r w:rsidRPr="0088780C">
        <w:rPr>
          <w:snapToGrid w:val="0"/>
          <w:kern w:val="22"/>
          <w:szCs w:val="22"/>
        </w:rPr>
        <w:t>: 101-117</w:t>
      </w:r>
    </w:p>
    <w:p w14:paraId="1E6CDAA7"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snapToGrid w:val="0"/>
          <w:kern w:val="22"/>
          <w:szCs w:val="22"/>
        </w:rPr>
      </w:pPr>
      <w:r w:rsidRPr="0088780C">
        <w:rPr>
          <w:snapToGrid w:val="0"/>
          <w:kern w:val="22"/>
          <w:szCs w:val="22"/>
        </w:rPr>
        <w:t xml:space="preserve">BirdLife International 2017a. Important Bird Areas factsheet: </w:t>
      </w:r>
      <w:r w:rsidRPr="0088780C">
        <w:rPr>
          <w:snapToGrid w:val="0"/>
          <w:color w:val="333333"/>
          <w:kern w:val="22"/>
          <w:szCs w:val="22"/>
          <w:shd w:val="clear" w:color="auto" w:fill="FFFFFF"/>
        </w:rPr>
        <w:t>Black Sea</w:t>
      </w:r>
      <w:r w:rsidRPr="0088780C">
        <w:rPr>
          <w:snapToGrid w:val="0"/>
          <w:kern w:val="22"/>
          <w:szCs w:val="22"/>
        </w:rPr>
        <w:t>. Downloaded from http://datazone.birdlife.org/site/factsheet/black-sea-iba-romania/details on 05/04/2017.</w:t>
      </w:r>
    </w:p>
    <w:p w14:paraId="510CED58"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snapToGrid w:val="0"/>
          <w:kern w:val="22"/>
          <w:szCs w:val="22"/>
        </w:rPr>
      </w:pPr>
      <w:r w:rsidRPr="0088780C">
        <w:rPr>
          <w:snapToGrid w:val="0"/>
          <w:kern w:val="22"/>
          <w:szCs w:val="22"/>
        </w:rPr>
        <w:t xml:space="preserve">BirdLife International, 2017b. Species factsheet: </w:t>
      </w:r>
      <w:r w:rsidRPr="0088780C">
        <w:rPr>
          <w:i/>
          <w:snapToGrid w:val="0"/>
          <w:kern w:val="22"/>
          <w:szCs w:val="22"/>
        </w:rPr>
        <w:t>Puffinus yelkouan</w:t>
      </w:r>
      <w:r w:rsidRPr="0088780C">
        <w:rPr>
          <w:snapToGrid w:val="0"/>
          <w:kern w:val="22"/>
          <w:szCs w:val="22"/>
        </w:rPr>
        <w:t>. Downloaded from http://www.birdlife.org on 10/03/2017.</w:t>
      </w:r>
    </w:p>
    <w:p w14:paraId="77FA170A"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 xml:space="preserve">Birkun A Jr, Northridge S P, Willsteed E A, James F A, Kilgour C, Lander M, Fitzgerald G, 2014. Adverse Fisheries Impacts on Cetacean Populations in the Black Sea (DG MARE Final Report). </w:t>
      </w:r>
    </w:p>
    <w:p w14:paraId="5052E52D"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snapToGrid w:val="0"/>
          <w:kern w:val="22"/>
          <w:szCs w:val="22"/>
        </w:rPr>
      </w:pPr>
      <w:r w:rsidRPr="0088780C">
        <w:rPr>
          <w:snapToGrid w:val="0"/>
          <w:kern w:val="22"/>
          <w:szCs w:val="22"/>
        </w:rPr>
        <w:t>Donita, N., Popescu, A., Pauca-Comănescu, M., Mihăilescu, S., Biriş, I.-A., 2005. Habitats from omania. Editura Tehnica Silvică, Bucharest, 493 pp. [In Romanian]</w:t>
      </w:r>
    </w:p>
    <w:p w14:paraId="172EC3A5"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snapToGrid w:val="0"/>
          <w:kern w:val="22"/>
          <w:szCs w:val="22"/>
        </w:rPr>
        <w:t>Donita, N., Popescu, A., Pauca-Comănescu, M., Mihăilescu, S., Biriş, I.-A., 2005. Habitats from Romania.</w:t>
      </w:r>
      <w:r w:rsidRPr="0088780C">
        <w:rPr>
          <w:snapToGrid w:val="0"/>
          <w:color w:val="000000"/>
          <w:kern w:val="22"/>
          <w:szCs w:val="22"/>
        </w:rPr>
        <w:t xml:space="preserve"> Modifications. Editura Tehnica Silvică, Bucharest, 94 pp. [In Romanian]</w:t>
      </w:r>
    </w:p>
    <w:p w14:paraId="781451AD"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Marin O. A., Timofte F., 2011 - Atlasul macrofitelor de la litoralul romanesc, Ed. Boldas, ISBN 978-606-8066-33-2 [In Romanian]</w:t>
      </w:r>
    </w:p>
    <w:p w14:paraId="3E8E57A7"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Marin, O. Abaza V., Sava D., 2013. Phytobenthos – Key Biological Element in Shallow Marine Waters. Cercetari Marine – Recherches marines 43: 197-218</w:t>
      </w:r>
    </w:p>
    <w:p w14:paraId="75C57A9B" w14:textId="6E5FD8C9"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 xml:space="preserve">Micu D., 2005. Recent records of </w:t>
      </w:r>
      <w:r w:rsidRPr="0088780C">
        <w:rPr>
          <w:rFonts w:eastAsia="MS Mincho"/>
          <w:i/>
          <w:snapToGrid w:val="0"/>
          <w:kern w:val="22"/>
          <w:szCs w:val="22"/>
        </w:rPr>
        <w:t>Pholas dactylus</w:t>
      </w:r>
      <w:r w:rsidRPr="0088780C">
        <w:rPr>
          <w:rFonts w:eastAsia="MS Mincho"/>
          <w:snapToGrid w:val="0"/>
          <w:kern w:val="22"/>
          <w:szCs w:val="22"/>
        </w:rPr>
        <w:t xml:space="preserve"> l., 1758 (Bivalvia: Myoida: Pholadidae) from the Romanian Black Sea, with considerations on its habitat and proposed IUCN regional status. Trav. Mus</w:t>
      </w:r>
      <w:r w:rsidR="006711D5" w:rsidRPr="0088780C">
        <w:rPr>
          <w:rFonts w:eastAsia="MS Mincho"/>
          <w:snapToGrid w:val="0"/>
          <w:kern w:val="22"/>
          <w:szCs w:val="22"/>
        </w:rPr>
        <w:t>. Hist. Nat. G. Antipa, vol. 49.</w:t>
      </w:r>
    </w:p>
    <w:p w14:paraId="33FD7D74" w14:textId="3469EFC0"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Micu D., 2004. Annotated Checklist of the Marine Mollusca from the Romanian Black Sea. In: Ozturk B., Mokievsky V.O. and Topaloglu B. (Eds) International Workshop on Black Sea Benthos: 89-152. Published by Turkish Marine Research Foundation, Turkey 2004, 244 pp.</w:t>
      </w:r>
    </w:p>
    <w:p w14:paraId="1EC28969" w14:textId="6E0C8610"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 xml:space="preserve">Micu S. and Micu D., 2006. Proposed IUCN regional status of all Crustacea: Decapoda species from the Romanian Black Sea. </w:t>
      </w:r>
      <w:r w:rsidRPr="0088780C">
        <w:rPr>
          <w:rFonts w:eastAsia="MS Mincho"/>
          <w:i/>
          <w:snapToGrid w:val="0"/>
          <w:kern w:val="22"/>
          <w:szCs w:val="22"/>
        </w:rPr>
        <w:t>Sci. Annals of Al.I.Cuza Univ. Iasi</w:t>
      </w:r>
      <w:r w:rsidRPr="0088780C">
        <w:rPr>
          <w:rFonts w:eastAsia="MS Mincho"/>
          <w:snapToGrid w:val="0"/>
          <w:kern w:val="22"/>
          <w:szCs w:val="22"/>
        </w:rPr>
        <w:t>, 52: 1-32</w:t>
      </w:r>
      <w:r w:rsidR="006711D5" w:rsidRPr="0088780C">
        <w:rPr>
          <w:rFonts w:eastAsia="MS Mincho"/>
          <w:snapToGrid w:val="0"/>
          <w:kern w:val="22"/>
          <w:szCs w:val="22"/>
        </w:rPr>
        <w:t>.</w:t>
      </w:r>
    </w:p>
    <w:p w14:paraId="281E3273" w14:textId="54E6A4BD"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snapToGrid w:val="0"/>
          <w:kern w:val="22"/>
          <w:szCs w:val="22"/>
        </w:rPr>
      </w:pPr>
      <w:r w:rsidRPr="0088780C">
        <w:rPr>
          <w:rFonts w:eastAsia="MS Mincho"/>
          <w:snapToGrid w:val="0"/>
          <w:kern w:val="22"/>
          <w:szCs w:val="22"/>
        </w:rPr>
        <w:t xml:space="preserve">Micu D., Micu S., 2006. Recent records, growth and proposed IUCN status of </w:t>
      </w:r>
      <w:r w:rsidRPr="0088780C">
        <w:rPr>
          <w:rFonts w:eastAsia="MS Mincho"/>
          <w:i/>
          <w:snapToGrid w:val="0"/>
          <w:kern w:val="22"/>
          <w:szCs w:val="22"/>
        </w:rPr>
        <w:t>Donacilla cornea</w:t>
      </w:r>
      <w:r w:rsidRPr="0088780C">
        <w:rPr>
          <w:rFonts w:eastAsia="MS Mincho"/>
          <w:snapToGrid w:val="0"/>
          <w:kern w:val="22"/>
          <w:szCs w:val="22"/>
        </w:rPr>
        <w:t xml:space="preserve"> (Poli, 1795) (Bivalvia:Veneroida:Mesodesmatidae) in the Romanian Black Sea. Cercetari Marine – Recherches Marines, 36: 1-16</w:t>
      </w:r>
      <w:r w:rsidR="006711D5" w:rsidRPr="0088780C">
        <w:rPr>
          <w:rFonts w:eastAsia="MS Mincho"/>
          <w:snapToGrid w:val="0"/>
          <w:kern w:val="22"/>
          <w:szCs w:val="22"/>
        </w:rPr>
        <w:t>.</w:t>
      </w:r>
    </w:p>
    <w:p w14:paraId="29822D30"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snapToGrid w:val="0"/>
          <w:kern w:val="22"/>
          <w:szCs w:val="22"/>
        </w:rPr>
      </w:pPr>
      <w:r w:rsidRPr="0088780C">
        <w:rPr>
          <w:snapToGrid w:val="0"/>
          <w:kern w:val="22"/>
          <w:szCs w:val="22"/>
        </w:rPr>
        <w:t>Micu, D., Zaharia, T., Todorova, V., Niţă, V., 2007. Romanian Marine Habitats of European Interest. Editura Punct Ochit, Constanta, 30 pp. [In Romanian]</w:t>
      </w:r>
    </w:p>
    <w:p w14:paraId="020C41E3"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snapToGrid w:val="0"/>
          <w:kern w:val="22"/>
          <w:szCs w:val="22"/>
        </w:rPr>
      </w:pPr>
      <w:r w:rsidRPr="0088780C">
        <w:rPr>
          <w:snapToGrid w:val="0"/>
          <w:kern w:val="22"/>
          <w:szCs w:val="22"/>
        </w:rPr>
        <w:t>Müller G.I., Skolka V.H., Bodeanu N., 1969 - Date preliminare asupra populaţiilor algale şi animale asociate vegetaţiei de Cystoseira barbata de la litoralul românesc al Mării Negre. Hidrobiologia. Bucureşti, 10:279-289 [In Romanian]</w:t>
      </w:r>
    </w:p>
    <w:p w14:paraId="2B4864D4" w14:textId="1EED5B2E"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snapToGrid w:val="0"/>
          <w:kern w:val="22"/>
          <w:szCs w:val="22"/>
        </w:rPr>
      </w:pPr>
      <w:r w:rsidRPr="0088780C">
        <w:rPr>
          <w:snapToGrid w:val="0"/>
          <w:kern w:val="22"/>
          <w:szCs w:val="22"/>
        </w:rPr>
        <w:t>Nicolaev S., Zaharia T., Maximov V., 2015a. Marine Protected Areas. Life in the Black Sea – Sites of Community Importance along the Romanian Black Sea Coast. Booklet Aureo Publ., 68</w:t>
      </w:r>
      <w:r w:rsidR="006711D5" w:rsidRPr="0088780C">
        <w:rPr>
          <w:snapToGrid w:val="0"/>
          <w:kern w:val="22"/>
          <w:szCs w:val="22"/>
        </w:rPr>
        <w:t> </w:t>
      </w:r>
      <w:r w:rsidRPr="0088780C">
        <w:rPr>
          <w:snapToGrid w:val="0"/>
          <w:kern w:val="22"/>
          <w:szCs w:val="22"/>
        </w:rPr>
        <w:t>pp.</w:t>
      </w:r>
    </w:p>
    <w:p w14:paraId="1350D7D0" w14:textId="26156C6D"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snapToGrid w:val="0"/>
          <w:kern w:val="22"/>
          <w:szCs w:val="22"/>
        </w:rPr>
      </w:pPr>
      <w:r w:rsidRPr="0088780C">
        <w:rPr>
          <w:snapToGrid w:val="0"/>
          <w:kern w:val="22"/>
          <w:szCs w:val="22"/>
        </w:rPr>
        <w:t xml:space="preserve">Nicolaev et al., 2015b. Report on the State of Marine and Coastal Environment in 2014, </w:t>
      </w:r>
      <w:r w:rsidRPr="0088780C">
        <w:rPr>
          <w:i/>
          <w:snapToGrid w:val="0"/>
          <w:kern w:val="22"/>
          <w:szCs w:val="22"/>
        </w:rPr>
        <w:t>Cercetari Marine – Recherches Marines</w:t>
      </w:r>
      <w:r w:rsidRPr="0088780C">
        <w:rPr>
          <w:snapToGrid w:val="0"/>
          <w:kern w:val="22"/>
          <w:szCs w:val="22"/>
        </w:rPr>
        <w:t xml:space="preserve">, </w:t>
      </w:r>
      <w:r w:rsidRPr="0088780C">
        <w:rPr>
          <w:b/>
          <w:snapToGrid w:val="0"/>
          <w:kern w:val="22"/>
          <w:szCs w:val="22"/>
        </w:rPr>
        <w:t>45</w:t>
      </w:r>
      <w:r w:rsidR="006711D5" w:rsidRPr="0088780C">
        <w:rPr>
          <w:snapToGrid w:val="0"/>
          <w:kern w:val="22"/>
          <w:szCs w:val="22"/>
        </w:rPr>
        <w:t>:4-159</w:t>
      </w:r>
    </w:p>
    <w:p w14:paraId="1F73F2EC" w14:textId="23F56303"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Nita, V., Zaharia T., Nenciu M., Cristea M., Tiganov G., 2013. Current state overview of the Vama Veche-2 Mai Marine Reserve, Black Sea, Romania, AACL Bioflux 5 (1): 44-54 (</w:t>
      </w:r>
      <w:hyperlink r:id="rId82" w:history="1">
        <w:r w:rsidRPr="0088780C">
          <w:rPr>
            <w:rStyle w:val="Hyperlink"/>
            <w:rFonts w:eastAsia="MS Mincho"/>
            <w:snapToGrid w:val="0"/>
            <w:kern w:val="22"/>
            <w:szCs w:val="22"/>
          </w:rPr>
          <w:t>http://www.bioflux.com.ro/aacl</w:t>
        </w:r>
      </w:hyperlink>
      <w:r w:rsidR="006711D5" w:rsidRPr="0088780C">
        <w:rPr>
          <w:rFonts w:eastAsia="MS Mincho"/>
          <w:snapToGrid w:val="0"/>
          <w:kern w:val="22"/>
          <w:szCs w:val="22"/>
        </w:rPr>
        <w:t>)</w:t>
      </w:r>
    </w:p>
    <w:p w14:paraId="3E3B0F97"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Petran A., 1997 - Black Sea Biological Diversity. Romania. Black Sea Environmental Series, 4, UN Publications: 314 pp</w:t>
      </w:r>
    </w:p>
    <w:p w14:paraId="7AD1F51C" w14:textId="6F99FD2A"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Zaharia T et al., 2003 - Contributions on the knowledge of the present state of the Vama Veche - 2 Mai marine benthic habitats, Recherches marines, v.34/2002: 279-299; ISSN 0250-3069 6.</w:t>
      </w:r>
    </w:p>
    <w:p w14:paraId="63B52A88"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Black Sea Red Data Book, 1999 UNOPS, Ghent, Belgium: 413 p. 8.</w:t>
      </w:r>
    </w:p>
    <w:p w14:paraId="382D8AE2" w14:textId="019224CE"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ROSCI0269 Natura 2000 Standard Data Forms, 2015</w:t>
      </w:r>
    </w:p>
    <w:p w14:paraId="4635D405" w14:textId="77777777" w:rsidR="00A876F3" w:rsidRPr="0088780C" w:rsidRDefault="00A876F3" w:rsidP="006711D5">
      <w:pPr>
        <w:pStyle w:val="ListParagraph"/>
        <w:suppressLineNumbers/>
        <w:suppressAutoHyphens/>
        <w:kinsoku w:val="0"/>
        <w:overflowPunct w:val="0"/>
        <w:autoSpaceDE w:val="0"/>
        <w:autoSpaceDN w:val="0"/>
        <w:adjustRightInd w:val="0"/>
        <w:spacing w:after="60"/>
        <w:ind w:leftChars="0" w:left="720" w:hanging="720"/>
        <w:rPr>
          <w:rFonts w:eastAsia="MS Mincho"/>
          <w:snapToGrid w:val="0"/>
          <w:kern w:val="22"/>
          <w:szCs w:val="22"/>
        </w:rPr>
      </w:pPr>
      <w:r w:rsidRPr="0088780C">
        <w:rPr>
          <w:rFonts w:eastAsia="MS Mincho"/>
          <w:snapToGrid w:val="0"/>
          <w:kern w:val="22"/>
          <w:szCs w:val="22"/>
        </w:rPr>
        <w:t>Vama Veche – 2 Mai Management Plan, 2016</w:t>
      </w:r>
    </w:p>
    <w:p w14:paraId="1A13AE71" w14:textId="77777777" w:rsidR="00A876F3" w:rsidRPr="0088780C" w:rsidRDefault="00A876F3" w:rsidP="006711D5">
      <w:pPr>
        <w:pStyle w:val="ListParagraph"/>
        <w:suppressLineNumbers/>
        <w:suppressAutoHyphens/>
        <w:kinsoku w:val="0"/>
        <w:overflowPunct w:val="0"/>
        <w:autoSpaceDE w:val="0"/>
        <w:autoSpaceDN w:val="0"/>
        <w:adjustRightInd w:val="0"/>
        <w:ind w:leftChars="0" w:left="720" w:hanging="720"/>
        <w:rPr>
          <w:rFonts w:eastAsia="MS Mincho"/>
          <w:snapToGrid w:val="0"/>
          <w:kern w:val="22"/>
          <w:szCs w:val="22"/>
        </w:rPr>
      </w:pPr>
    </w:p>
    <w:p w14:paraId="0017EABD" w14:textId="77777777" w:rsidR="00A876F3" w:rsidRPr="0088780C" w:rsidRDefault="00A876F3" w:rsidP="006711D5">
      <w:pPr>
        <w:pStyle w:val="ListParagraph"/>
        <w:suppressLineNumbers/>
        <w:suppressAutoHyphens/>
        <w:kinsoku w:val="0"/>
        <w:overflowPunct w:val="0"/>
        <w:autoSpaceDE w:val="0"/>
        <w:autoSpaceDN w:val="0"/>
        <w:adjustRightInd w:val="0"/>
        <w:ind w:leftChars="0" w:left="720" w:hanging="720"/>
        <w:rPr>
          <w:rFonts w:eastAsia="MS Mincho"/>
          <w:snapToGrid w:val="0"/>
          <w:kern w:val="22"/>
          <w:szCs w:val="22"/>
        </w:rPr>
      </w:pPr>
      <w:r w:rsidRPr="0088780C">
        <w:rPr>
          <w:rFonts w:eastAsia="MS Mincho"/>
          <w:snapToGrid w:val="0"/>
          <w:kern w:val="22"/>
          <w:szCs w:val="22"/>
        </w:rPr>
        <w:t>IUCN Red List of Species</w:t>
      </w:r>
    </w:p>
    <w:p w14:paraId="3095054A" w14:textId="77777777" w:rsidR="00A876F3" w:rsidRPr="0088780C" w:rsidRDefault="00A876F3" w:rsidP="006711D5">
      <w:pPr>
        <w:suppressLineNumbers/>
        <w:suppressAutoHyphens/>
        <w:kinsoku w:val="0"/>
        <w:overflowPunct w:val="0"/>
        <w:autoSpaceDE w:val="0"/>
        <w:autoSpaceDN w:val="0"/>
        <w:adjustRightInd w:val="0"/>
        <w:ind w:left="720" w:hanging="720"/>
        <w:rPr>
          <w:rFonts w:eastAsia="MS Mincho"/>
          <w:snapToGrid w:val="0"/>
          <w:kern w:val="22"/>
          <w:szCs w:val="22"/>
        </w:rPr>
      </w:pPr>
    </w:p>
    <w:p w14:paraId="5FF8BD4D" w14:textId="2764AB8E" w:rsidR="00A876F3" w:rsidRPr="0088780C" w:rsidRDefault="00E7219D" w:rsidP="006711D5">
      <w:pPr>
        <w:pStyle w:val="ListParagraph"/>
        <w:suppressLineNumbers/>
        <w:suppressAutoHyphens/>
        <w:kinsoku w:val="0"/>
        <w:overflowPunct w:val="0"/>
        <w:autoSpaceDE w:val="0"/>
        <w:autoSpaceDN w:val="0"/>
        <w:adjustRightInd w:val="0"/>
        <w:ind w:leftChars="0" w:left="720" w:hanging="720"/>
        <w:rPr>
          <w:snapToGrid w:val="0"/>
          <w:kern w:val="22"/>
          <w:szCs w:val="22"/>
        </w:rPr>
      </w:pPr>
      <w:hyperlink r:id="rId83" w:history="1">
        <w:r w:rsidR="00A876F3" w:rsidRPr="0088780C">
          <w:rPr>
            <w:rStyle w:val="Hyperlink"/>
            <w:snapToGrid w:val="0"/>
            <w:kern w:val="22"/>
            <w:szCs w:val="22"/>
          </w:rPr>
          <w:t>www.natura2000.eea.europa.eu</w:t>
        </w:r>
      </w:hyperlink>
    </w:p>
    <w:p w14:paraId="64831D25" w14:textId="1C9F53F5" w:rsidR="00A876F3" w:rsidRPr="0088780C" w:rsidRDefault="00E7219D" w:rsidP="006711D5">
      <w:pPr>
        <w:pStyle w:val="ListParagraph"/>
        <w:suppressLineNumbers/>
        <w:suppressAutoHyphens/>
        <w:kinsoku w:val="0"/>
        <w:overflowPunct w:val="0"/>
        <w:autoSpaceDE w:val="0"/>
        <w:autoSpaceDN w:val="0"/>
        <w:adjustRightInd w:val="0"/>
        <w:ind w:leftChars="0" w:left="720" w:hanging="720"/>
        <w:rPr>
          <w:snapToGrid w:val="0"/>
          <w:kern w:val="22"/>
          <w:szCs w:val="22"/>
        </w:rPr>
      </w:pPr>
      <w:hyperlink r:id="rId84" w:history="1">
        <w:r w:rsidR="00A876F3" w:rsidRPr="0088780C">
          <w:rPr>
            <w:rStyle w:val="Hyperlink"/>
            <w:snapToGrid w:val="0"/>
            <w:kern w:val="22"/>
            <w:szCs w:val="22"/>
          </w:rPr>
          <w:t>http://circa.europa.eu/Public/irc/env/monnat/library?l=/habitats_reporting/reporting_20072012&amp;vm=detailed&amp;sb=Title</w:t>
        </w:r>
      </w:hyperlink>
    </w:p>
    <w:p w14:paraId="1501FD0B" w14:textId="70E5028A" w:rsidR="00A876F3" w:rsidRPr="0088780C" w:rsidRDefault="00E7219D" w:rsidP="006711D5">
      <w:pPr>
        <w:pStyle w:val="ListParagraph"/>
        <w:suppressLineNumbers/>
        <w:suppressAutoHyphens/>
        <w:kinsoku w:val="0"/>
        <w:overflowPunct w:val="0"/>
        <w:autoSpaceDE w:val="0"/>
        <w:autoSpaceDN w:val="0"/>
        <w:adjustRightInd w:val="0"/>
        <w:ind w:leftChars="0" w:left="720" w:hanging="720"/>
        <w:rPr>
          <w:snapToGrid w:val="0"/>
          <w:kern w:val="22"/>
          <w:szCs w:val="22"/>
        </w:rPr>
      </w:pPr>
      <w:hyperlink r:id="rId85" w:history="1">
        <w:r w:rsidR="00A876F3" w:rsidRPr="0088780C">
          <w:rPr>
            <w:rStyle w:val="Hyperlink"/>
            <w:snapToGrid w:val="0"/>
            <w:kern w:val="22"/>
            <w:szCs w:val="22"/>
          </w:rPr>
          <w:t>http://bd.eionet.europa.eu/article17/reference_portal</w:t>
        </w:r>
      </w:hyperlink>
    </w:p>
    <w:p w14:paraId="0855585B" w14:textId="0181F01C" w:rsidR="00A876F3" w:rsidRPr="0088780C" w:rsidRDefault="00E7219D" w:rsidP="006711D5">
      <w:pPr>
        <w:pStyle w:val="ListParagraph"/>
        <w:suppressLineNumbers/>
        <w:suppressAutoHyphens/>
        <w:kinsoku w:val="0"/>
        <w:overflowPunct w:val="0"/>
        <w:autoSpaceDE w:val="0"/>
        <w:autoSpaceDN w:val="0"/>
        <w:adjustRightInd w:val="0"/>
        <w:ind w:leftChars="0" w:left="720" w:hanging="720"/>
        <w:rPr>
          <w:snapToGrid w:val="0"/>
          <w:kern w:val="22"/>
          <w:szCs w:val="22"/>
        </w:rPr>
      </w:pPr>
      <w:hyperlink r:id="rId86" w:history="1">
        <w:r w:rsidR="00A876F3" w:rsidRPr="0088780C">
          <w:rPr>
            <w:rStyle w:val="Hyperlink"/>
            <w:snapToGrid w:val="0"/>
            <w:kern w:val="22"/>
            <w:szCs w:val="22"/>
          </w:rPr>
          <w:t>http://cdr.eionet.europa.eu/ro/eu/art17/envurmdya</w:t>
        </w:r>
      </w:hyperlink>
    </w:p>
    <w:p w14:paraId="4D2B47DE" w14:textId="321F9AC9" w:rsidR="00A876F3" w:rsidRPr="0088780C" w:rsidRDefault="00E7219D" w:rsidP="006711D5">
      <w:pPr>
        <w:pStyle w:val="ListParagraph"/>
        <w:suppressLineNumbers/>
        <w:suppressAutoHyphens/>
        <w:kinsoku w:val="0"/>
        <w:overflowPunct w:val="0"/>
        <w:autoSpaceDE w:val="0"/>
        <w:autoSpaceDN w:val="0"/>
        <w:adjustRightInd w:val="0"/>
        <w:ind w:leftChars="0" w:left="720" w:hanging="720"/>
        <w:rPr>
          <w:snapToGrid w:val="0"/>
          <w:kern w:val="22"/>
          <w:szCs w:val="22"/>
        </w:rPr>
      </w:pPr>
      <w:hyperlink r:id="rId87" w:history="1">
        <w:r w:rsidR="00A876F3" w:rsidRPr="0088780C">
          <w:rPr>
            <w:rStyle w:val="Hyperlink"/>
            <w:snapToGrid w:val="0"/>
            <w:kern w:val="22"/>
            <w:szCs w:val="22"/>
          </w:rPr>
          <w:t>www.blacksea-commission.org</w:t>
        </w:r>
      </w:hyperlink>
    </w:p>
    <w:p w14:paraId="1070DAF4" w14:textId="77777777" w:rsidR="00A876F3" w:rsidRPr="0088780C" w:rsidRDefault="00E7219D" w:rsidP="006711D5">
      <w:pPr>
        <w:pStyle w:val="ListParagraph"/>
        <w:suppressLineNumbers/>
        <w:suppressAutoHyphens/>
        <w:kinsoku w:val="0"/>
        <w:overflowPunct w:val="0"/>
        <w:autoSpaceDE w:val="0"/>
        <w:autoSpaceDN w:val="0"/>
        <w:adjustRightInd w:val="0"/>
        <w:ind w:leftChars="0" w:left="720" w:hanging="720"/>
        <w:rPr>
          <w:snapToGrid w:val="0"/>
          <w:kern w:val="22"/>
          <w:szCs w:val="22"/>
        </w:rPr>
      </w:pPr>
      <w:hyperlink r:id="rId88" w:history="1">
        <w:r w:rsidR="00A876F3" w:rsidRPr="0088780C">
          <w:rPr>
            <w:rStyle w:val="Hyperlink"/>
            <w:snapToGrid w:val="0"/>
            <w:kern w:val="22"/>
            <w:szCs w:val="22"/>
          </w:rPr>
          <w:t>www.mmediu.ro</w:t>
        </w:r>
      </w:hyperlink>
    </w:p>
    <w:p w14:paraId="548C8B2C" w14:textId="668908B3" w:rsidR="00A876F3" w:rsidRPr="0088780C" w:rsidRDefault="00E7219D" w:rsidP="006711D5">
      <w:pPr>
        <w:pStyle w:val="ListParagraph"/>
        <w:suppressLineNumbers/>
        <w:suppressAutoHyphens/>
        <w:kinsoku w:val="0"/>
        <w:overflowPunct w:val="0"/>
        <w:autoSpaceDE w:val="0"/>
        <w:autoSpaceDN w:val="0"/>
        <w:adjustRightInd w:val="0"/>
        <w:ind w:leftChars="0" w:left="720" w:hanging="720"/>
        <w:rPr>
          <w:snapToGrid w:val="0"/>
          <w:kern w:val="22"/>
          <w:szCs w:val="22"/>
        </w:rPr>
      </w:pPr>
      <w:hyperlink r:id="rId89" w:history="1">
        <w:r w:rsidR="00A876F3" w:rsidRPr="0088780C">
          <w:rPr>
            <w:rStyle w:val="Hyperlink"/>
            <w:snapToGrid w:val="0"/>
            <w:kern w:val="22"/>
            <w:szCs w:val="22"/>
          </w:rPr>
          <w:t>www.anpm.ro</w:t>
        </w:r>
      </w:hyperlink>
    </w:p>
    <w:p w14:paraId="2EC3EA3B" w14:textId="77777777" w:rsidR="00A876F3" w:rsidRPr="0088780C" w:rsidRDefault="00A876F3" w:rsidP="006711D5">
      <w:pPr>
        <w:pStyle w:val="ListParagraph"/>
        <w:suppressLineNumbers/>
        <w:suppressAutoHyphens/>
        <w:kinsoku w:val="0"/>
        <w:overflowPunct w:val="0"/>
        <w:autoSpaceDE w:val="0"/>
        <w:autoSpaceDN w:val="0"/>
        <w:adjustRightInd w:val="0"/>
        <w:ind w:leftChars="0" w:left="720" w:hanging="720"/>
        <w:rPr>
          <w:rFonts w:eastAsia="MS Mincho"/>
          <w:snapToGrid w:val="0"/>
          <w:kern w:val="22"/>
          <w:szCs w:val="22"/>
        </w:rPr>
      </w:pPr>
    </w:p>
    <w:p w14:paraId="2CFDABB5" w14:textId="77777777" w:rsidR="00A876F3" w:rsidRPr="0088780C" w:rsidRDefault="00A876F3" w:rsidP="001013AF">
      <w:pPr>
        <w:keepNext/>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1AB1032B" w14:textId="77777777" w:rsidR="00A876F3" w:rsidRPr="0088780C" w:rsidRDefault="00A876F3" w:rsidP="001013AF">
      <w:pPr>
        <w:keepNext/>
        <w:suppressLineNumbers/>
        <w:suppressAutoHyphens/>
        <w:kinsoku w:val="0"/>
        <w:overflowPunct w:val="0"/>
        <w:autoSpaceDE w:val="0"/>
        <w:autoSpaceDN w:val="0"/>
        <w:rPr>
          <w:rFonts w:eastAsia="MS Mincho"/>
          <w:b/>
          <w:snapToGrid w:val="0"/>
          <w:kern w:val="22"/>
          <w:szCs w:val="22"/>
        </w:rPr>
      </w:pPr>
    </w:p>
    <w:p w14:paraId="13D335E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55D56EEC" wp14:editId="780D2B06">
            <wp:extent cx="5486400" cy="4572000"/>
            <wp:effectExtent l="0" t="0" r="0" b="0"/>
            <wp:docPr id="64554" name="Picture 64554" descr="C:\Users\grekin\AppData\Local\Microsoft\Windows\Temporary Internet Files\Content.Wor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grekin\AppData\Local\Microsoft\Windows\Temporary Internet Files\Content.Word\3.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548A9608" w14:textId="5E9A9F91" w:rsidR="00AB4C30"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p>
    <w:p w14:paraId="232055F6" w14:textId="77777777" w:rsidR="00AB4C30" w:rsidRPr="0088780C" w:rsidRDefault="00AB4C30" w:rsidP="001013AF">
      <w:pPr>
        <w:suppressLineNumbers/>
        <w:suppressAutoHyphens/>
        <w:kinsoku w:val="0"/>
        <w:overflowPunct w:val="0"/>
        <w:autoSpaceDE w:val="0"/>
        <w:autoSpaceDN w:val="0"/>
        <w:rPr>
          <w:rFonts w:eastAsia="MS Mincho"/>
          <w:snapToGrid w:val="0"/>
          <w:kern w:val="22"/>
          <w:szCs w:val="22"/>
        </w:rPr>
      </w:pPr>
    </w:p>
    <w:p w14:paraId="28C6C77D" w14:textId="31C787B8" w:rsidR="002435BF" w:rsidRPr="0088780C" w:rsidRDefault="002435BF">
      <w:pPr>
        <w:jc w:val="left"/>
        <w:rPr>
          <w:snapToGrid w:val="0"/>
          <w:kern w:val="22"/>
          <w:szCs w:val="22"/>
          <w:lang w:eastAsia="zh-CN"/>
        </w:rPr>
      </w:pPr>
      <w:r w:rsidRPr="0088780C">
        <w:rPr>
          <w:snapToGrid w:val="0"/>
          <w:kern w:val="22"/>
          <w:szCs w:val="22"/>
          <w:lang w:eastAsia="zh-CN"/>
        </w:rPr>
        <w:br w:type="page"/>
      </w:r>
    </w:p>
    <w:p w14:paraId="6CDFDC93"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noProof/>
          <w:snapToGrid w:val="0"/>
          <w:kern w:val="22"/>
          <w:szCs w:val="22"/>
          <w:lang w:eastAsia="zh-CN"/>
        </w:rPr>
        <w:drawing>
          <wp:inline distT="0" distB="0" distL="0" distR="0" wp14:anchorId="2C387679" wp14:editId="0D25CC03">
            <wp:extent cx="5760085" cy="3688715"/>
            <wp:effectExtent l="0" t="0" r="0" b="6985"/>
            <wp:docPr id="64568" name="Picture 6456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85" cy="3688715"/>
                    </a:xfrm>
                    <a:prstGeom prst="rect">
                      <a:avLst/>
                    </a:prstGeom>
                    <a:noFill/>
                    <a:ln>
                      <a:noFill/>
                    </a:ln>
                  </pic:spPr>
                </pic:pic>
              </a:graphicData>
            </a:graphic>
          </wp:inline>
        </w:drawing>
      </w:r>
    </w:p>
    <w:p w14:paraId="631DEF42" w14:textId="2AF902FE"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
          <w:snapToGrid w:val="0"/>
          <w:kern w:val="22"/>
          <w:szCs w:val="22"/>
        </w:rPr>
        <w:t>Figure 2. Natura 2000 habitats distribution in the Vama Veche – 2 Mai Marine Reserve</w:t>
      </w:r>
      <w:r w:rsidRPr="0088780C">
        <w:rPr>
          <w:rFonts w:eastAsia="MS Mincho"/>
          <w:snapToGrid w:val="0"/>
          <w:kern w:val="22"/>
          <w:szCs w:val="22"/>
        </w:rPr>
        <w:t xml:space="preserve"> (ROSCI0269 Vama Veche-2 Mai site Management Plan </w:t>
      </w:r>
      <w:hyperlink r:id="rId92" w:history="1">
        <w:r w:rsidRPr="0088780C">
          <w:rPr>
            <w:rStyle w:val="Hyperlink"/>
            <w:rFonts w:eastAsia="MS Mincho"/>
            <w:snapToGrid w:val="0"/>
            <w:kern w:val="22"/>
            <w:szCs w:val="22"/>
          </w:rPr>
          <w:t>www.anpm.ro</w:t>
        </w:r>
      </w:hyperlink>
      <w:r w:rsidRPr="0088780C">
        <w:rPr>
          <w:rFonts w:eastAsia="MS Mincho"/>
          <w:snapToGrid w:val="0"/>
          <w:kern w:val="22"/>
          <w:szCs w:val="22"/>
        </w:rPr>
        <w:t>)</w:t>
      </w:r>
    </w:p>
    <w:p w14:paraId="0E709A8F" w14:textId="77777777" w:rsidR="00A876F3" w:rsidRPr="0088780C" w:rsidRDefault="00A876F3" w:rsidP="001013AF">
      <w:pPr>
        <w:suppressLineNumbers/>
        <w:suppressAutoHyphens/>
        <w:kinsoku w:val="0"/>
        <w:overflowPunct w:val="0"/>
        <w:autoSpaceDE w:val="0"/>
        <w:autoSpaceDN w:val="0"/>
        <w:jc w:val="center"/>
        <w:rPr>
          <w:rFonts w:eastAsia="MS Mincho"/>
          <w:bCs/>
          <w:snapToGrid w:val="0"/>
          <w:kern w:val="22"/>
          <w:szCs w:val="22"/>
        </w:rPr>
      </w:pPr>
    </w:p>
    <w:p w14:paraId="10E622CA" w14:textId="77777777" w:rsidR="00A876F3" w:rsidRPr="0088780C" w:rsidRDefault="00A876F3" w:rsidP="001013AF">
      <w:pPr>
        <w:suppressLineNumbers/>
        <w:suppressAutoHyphens/>
        <w:kinsoku w:val="0"/>
        <w:overflowPunct w:val="0"/>
        <w:autoSpaceDE w:val="0"/>
        <w:autoSpaceDN w:val="0"/>
        <w:jc w:val="center"/>
        <w:rPr>
          <w:rFonts w:eastAsia="MS Mincho"/>
          <w:bCs/>
          <w:snapToGrid w:val="0"/>
          <w:kern w:val="22"/>
          <w:szCs w:val="22"/>
        </w:rPr>
      </w:pPr>
    </w:p>
    <w:p w14:paraId="67D153C1" w14:textId="77777777" w:rsidR="00A876F3" w:rsidRPr="0088780C" w:rsidRDefault="00A876F3" w:rsidP="001013AF">
      <w:pPr>
        <w:suppressLineNumbers/>
        <w:suppressAutoHyphens/>
        <w:kinsoku w:val="0"/>
        <w:overflowPunct w:val="0"/>
        <w:autoSpaceDE w:val="0"/>
        <w:autoSpaceDN w:val="0"/>
        <w:jc w:val="center"/>
        <w:rPr>
          <w:rFonts w:eastAsia="MS Mincho"/>
          <w:bCs/>
          <w:snapToGrid w:val="0"/>
          <w:kern w:val="22"/>
          <w:szCs w:val="22"/>
        </w:rPr>
      </w:pPr>
    </w:p>
    <w:p w14:paraId="6487120A" w14:textId="77777777" w:rsidR="00A876F3" w:rsidRPr="0088780C" w:rsidRDefault="00A876F3" w:rsidP="001013AF">
      <w:pPr>
        <w:suppressLineNumbers/>
        <w:suppressAutoHyphens/>
        <w:kinsoku w:val="0"/>
        <w:overflowPunct w:val="0"/>
        <w:autoSpaceDE w:val="0"/>
        <w:autoSpaceDN w:val="0"/>
        <w:jc w:val="center"/>
        <w:rPr>
          <w:rFonts w:eastAsia="MS Mincho"/>
          <w:bCs/>
          <w:snapToGrid w:val="0"/>
          <w:kern w:val="22"/>
          <w:szCs w:val="22"/>
        </w:rPr>
      </w:pPr>
    </w:p>
    <w:p w14:paraId="2CCBFE4C" w14:textId="77777777" w:rsidR="00A876F3" w:rsidRPr="0088780C" w:rsidRDefault="00A876F3" w:rsidP="001013AF">
      <w:pPr>
        <w:suppressLineNumbers/>
        <w:suppressAutoHyphens/>
        <w:kinsoku w:val="0"/>
        <w:overflowPunct w:val="0"/>
        <w:autoSpaceDE w:val="0"/>
        <w:autoSpaceDN w:val="0"/>
        <w:spacing w:line="360" w:lineRule="auto"/>
        <w:ind w:right="-32"/>
        <w:jc w:val="center"/>
        <w:rPr>
          <w:snapToGrid w:val="0"/>
          <w:kern w:val="22"/>
          <w:szCs w:val="22"/>
        </w:rPr>
      </w:pPr>
      <w:r w:rsidRPr="0088780C">
        <w:rPr>
          <w:noProof/>
          <w:snapToGrid w:val="0"/>
          <w:kern w:val="22"/>
          <w:szCs w:val="22"/>
          <w:lang w:eastAsia="zh-CN"/>
        </w:rPr>
        <w:drawing>
          <wp:inline distT="0" distB="0" distL="0" distR="0" wp14:anchorId="7E105093" wp14:editId="52F00E2A">
            <wp:extent cx="2418620" cy="1911324"/>
            <wp:effectExtent l="0" t="0" r="1270" b="0"/>
            <wp:docPr id="64542" name="Picture 64542" descr="P81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810037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421464" cy="1913572"/>
                    </a:xfrm>
                    <a:prstGeom prst="rect">
                      <a:avLst/>
                    </a:prstGeom>
                    <a:noFill/>
                    <a:ln>
                      <a:noFill/>
                    </a:ln>
                  </pic:spPr>
                </pic:pic>
              </a:graphicData>
            </a:graphic>
          </wp:inline>
        </w:drawing>
      </w:r>
      <w:r w:rsidRPr="0088780C">
        <w:rPr>
          <w:snapToGrid w:val="0"/>
          <w:kern w:val="22"/>
          <w:szCs w:val="22"/>
        </w:rPr>
        <w:t xml:space="preserve"> </w:t>
      </w:r>
      <w:r w:rsidRPr="0088780C">
        <w:rPr>
          <w:noProof/>
          <w:snapToGrid w:val="0"/>
          <w:kern w:val="22"/>
          <w:szCs w:val="22"/>
          <w:lang w:eastAsia="zh-CN"/>
        </w:rPr>
        <w:drawing>
          <wp:inline distT="0" distB="0" distL="0" distR="0" wp14:anchorId="5E5C3759" wp14:editId="12C44639">
            <wp:extent cx="2254676" cy="1911350"/>
            <wp:effectExtent l="0" t="0" r="0" b="0"/>
            <wp:docPr id="8" name="Picture 8" descr="IMG_0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089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255668" cy="1912191"/>
                    </a:xfrm>
                    <a:prstGeom prst="rect">
                      <a:avLst/>
                    </a:prstGeom>
                    <a:noFill/>
                    <a:ln>
                      <a:noFill/>
                    </a:ln>
                  </pic:spPr>
                </pic:pic>
              </a:graphicData>
            </a:graphic>
          </wp:inline>
        </w:drawing>
      </w:r>
    </w:p>
    <w:p w14:paraId="539990BC" w14:textId="06BFE811" w:rsidR="00A876F3" w:rsidRPr="0088780C" w:rsidRDefault="00A876F3" w:rsidP="002435BF">
      <w:pPr>
        <w:suppressLineNumbers/>
        <w:suppressAutoHyphens/>
        <w:kinsoku w:val="0"/>
        <w:overflowPunct w:val="0"/>
        <w:autoSpaceDE w:val="0"/>
        <w:autoSpaceDN w:val="0"/>
        <w:spacing w:line="360" w:lineRule="auto"/>
        <w:ind w:right="-32"/>
        <w:rPr>
          <w:snapToGrid w:val="0"/>
          <w:kern w:val="22"/>
          <w:szCs w:val="22"/>
        </w:rPr>
      </w:pPr>
      <w:r w:rsidRPr="0088780C">
        <w:rPr>
          <w:b/>
          <w:snapToGrid w:val="0"/>
          <w:kern w:val="22"/>
          <w:szCs w:val="22"/>
        </w:rPr>
        <w:t>Figure 3. Syngnathidae on rocky habitats with photophilic algae</w:t>
      </w:r>
      <w:r w:rsidRPr="0088780C">
        <w:rPr>
          <w:snapToGrid w:val="0"/>
          <w:kern w:val="22"/>
          <w:szCs w:val="22"/>
        </w:rPr>
        <w:t xml:space="preserve"> (NIMRD)</w:t>
      </w:r>
    </w:p>
    <w:p w14:paraId="4427788D" w14:textId="394883ED" w:rsidR="002435BF" w:rsidRPr="0088780C" w:rsidRDefault="002435BF">
      <w:pPr>
        <w:jc w:val="left"/>
        <w:rPr>
          <w:snapToGrid w:val="0"/>
          <w:kern w:val="22"/>
          <w:szCs w:val="22"/>
        </w:rPr>
      </w:pPr>
      <w:r w:rsidRPr="0088780C">
        <w:rPr>
          <w:snapToGrid w:val="0"/>
          <w:kern w:val="22"/>
          <w:szCs w:val="22"/>
        </w:rPr>
        <w:br w:type="page"/>
      </w:r>
    </w:p>
    <w:p w14:paraId="45525D8E" w14:textId="0B367B5E" w:rsidR="00A876F3" w:rsidRPr="0088780C" w:rsidRDefault="00A876F3" w:rsidP="001013AF">
      <w:pPr>
        <w:suppressLineNumbers/>
        <w:suppressAutoHyphens/>
        <w:kinsoku w:val="0"/>
        <w:overflowPunct w:val="0"/>
        <w:autoSpaceDE w:val="0"/>
        <w:autoSpaceDN w:val="0"/>
        <w:spacing w:line="360" w:lineRule="auto"/>
        <w:ind w:right="-32"/>
        <w:jc w:val="center"/>
        <w:rPr>
          <w:snapToGrid w:val="0"/>
          <w:kern w:val="22"/>
          <w:szCs w:val="22"/>
        </w:rPr>
      </w:pPr>
      <w:r w:rsidRPr="0088780C">
        <w:rPr>
          <w:noProof/>
          <w:snapToGrid w:val="0"/>
          <w:kern w:val="22"/>
          <w:szCs w:val="22"/>
          <w:lang w:eastAsia="zh-CN"/>
        </w:rPr>
        <w:drawing>
          <wp:inline distT="0" distB="0" distL="0" distR="0" wp14:anchorId="0EC6B9F9" wp14:editId="78D940F2">
            <wp:extent cx="2796419" cy="2222051"/>
            <wp:effectExtent l="0" t="0" r="4445" b="6985"/>
            <wp:docPr id="9" name="Picture 9" descr="P810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8100399"/>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802253" cy="2226687"/>
                    </a:xfrm>
                    <a:prstGeom prst="rect">
                      <a:avLst/>
                    </a:prstGeom>
                    <a:noFill/>
                    <a:ln>
                      <a:noFill/>
                    </a:ln>
                  </pic:spPr>
                </pic:pic>
              </a:graphicData>
            </a:graphic>
          </wp:inline>
        </w:drawing>
      </w:r>
      <w:r w:rsidRPr="0088780C">
        <w:rPr>
          <w:noProof/>
          <w:snapToGrid w:val="0"/>
          <w:kern w:val="22"/>
          <w:szCs w:val="22"/>
          <w:lang w:eastAsia="zh-CN"/>
        </w:rPr>
        <w:drawing>
          <wp:inline distT="0" distB="0" distL="0" distR="0" wp14:anchorId="419D8CA9" wp14:editId="5429F5E7">
            <wp:extent cx="2857500" cy="2222500"/>
            <wp:effectExtent l="0" t="0" r="0" b="6350"/>
            <wp:docPr id="10" name="Picture 10" descr="PICT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CT000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857500" cy="2222500"/>
                    </a:xfrm>
                    <a:prstGeom prst="rect">
                      <a:avLst/>
                    </a:prstGeom>
                    <a:noFill/>
                    <a:ln>
                      <a:noFill/>
                    </a:ln>
                  </pic:spPr>
                </pic:pic>
              </a:graphicData>
            </a:graphic>
          </wp:inline>
        </w:drawing>
      </w:r>
    </w:p>
    <w:p w14:paraId="03DBE196" w14:textId="1B09D813" w:rsidR="00A876F3" w:rsidRPr="0088780C" w:rsidRDefault="00A876F3" w:rsidP="001013AF">
      <w:pPr>
        <w:suppressLineNumbers/>
        <w:suppressAutoHyphens/>
        <w:kinsoku w:val="0"/>
        <w:overflowPunct w:val="0"/>
        <w:autoSpaceDE w:val="0"/>
        <w:autoSpaceDN w:val="0"/>
        <w:ind w:right="-29"/>
        <w:rPr>
          <w:snapToGrid w:val="0"/>
          <w:kern w:val="22"/>
          <w:szCs w:val="22"/>
        </w:rPr>
      </w:pPr>
      <w:r w:rsidRPr="0088780C">
        <w:rPr>
          <w:b/>
          <w:snapToGrid w:val="0"/>
          <w:kern w:val="22"/>
          <w:szCs w:val="22"/>
        </w:rPr>
        <w:t xml:space="preserve">Figure 4. Goby on rocky habitats with photophilic algae </w:t>
      </w:r>
      <w:r w:rsidRPr="0088780C">
        <w:rPr>
          <w:b/>
          <w:i/>
          <w:snapToGrid w:val="0"/>
          <w:kern w:val="22"/>
          <w:szCs w:val="22"/>
        </w:rPr>
        <w:t>Cystoseira barbata</w:t>
      </w:r>
      <w:r w:rsidRPr="0088780C">
        <w:rPr>
          <w:b/>
          <w:snapToGrid w:val="0"/>
          <w:kern w:val="22"/>
          <w:szCs w:val="22"/>
        </w:rPr>
        <w:t xml:space="preserve"> at Vama Veche – 2 Mai</w:t>
      </w:r>
      <w:r w:rsidRPr="0088780C">
        <w:rPr>
          <w:snapToGrid w:val="0"/>
          <w:kern w:val="22"/>
          <w:szCs w:val="22"/>
        </w:rPr>
        <w:t xml:space="preserve"> (NIMRD)</w:t>
      </w:r>
    </w:p>
    <w:p w14:paraId="2569F888" w14:textId="77777777" w:rsidR="00A876F3" w:rsidRPr="0088780C" w:rsidRDefault="00A876F3" w:rsidP="001013AF">
      <w:pPr>
        <w:suppressLineNumbers/>
        <w:suppressAutoHyphens/>
        <w:kinsoku w:val="0"/>
        <w:overflowPunct w:val="0"/>
        <w:autoSpaceDE w:val="0"/>
        <w:autoSpaceDN w:val="0"/>
        <w:spacing w:line="360" w:lineRule="auto"/>
        <w:ind w:right="-32"/>
        <w:rPr>
          <w:snapToGrid w:val="0"/>
          <w:kern w:val="22"/>
          <w:szCs w:val="22"/>
        </w:rPr>
      </w:pPr>
    </w:p>
    <w:p w14:paraId="6D70465B" w14:textId="77777777" w:rsidR="00A876F3" w:rsidRPr="0088780C" w:rsidRDefault="00A876F3" w:rsidP="001013AF">
      <w:pPr>
        <w:suppressLineNumbers/>
        <w:suppressAutoHyphens/>
        <w:kinsoku w:val="0"/>
        <w:overflowPunct w:val="0"/>
        <w:autoSpaceDE w:val="0"/>
        <w:autoSpaceDN w:val="0"/>
        <w:spacing w:line="360" w:lineRule="auto"/>
        <w:ind w:right="-32"/>
        <w:jc w:val="center"/>
        <w:rPr>
          <w:snapToGrid w:val="0"/>
          <w:kern w:val="22"/>
          <w:szCs w:val="22"/>
        </w:rPr>
      </w:pPr>
      <w:r w:rsidRPr="0088780C">
        <w:rPr>
          <w:noProof/>
          <w:snapToGrid w:val="0"/>
          <w:kern w:val="22"/>
          <w:szCs w:val="22"/>
          <w:lang w:eastAsia="zh-CN"/>
        </w:rPr>
        <w:drawing>
          <wp:inline distT="0" distB="0" distL="0" distR="0" wp14:anchorId="68CB75D5" wp14:editId="60746131">
            <wp:extent cx="3661533" cy="27368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663424" cy="2738263"/>
                    </a:xfrm>
                    <a:prstGeom prst="rect">
                      <a:avLst/>
                    </a:prstGeom>
                    <a:noFill/>
                    <a:ln>
                      <a:noFill/>
                    </a:ln>
                  </pic:spPr>
                </pic:pic>
              </a:graphicData>
            </a:graphic>
          </wp:inline>
        </w:drawing>
      </w:r>
    </w:p>
    <w:p w14:paraId="0747FFCE" w14:textId="77777777" w:rsidR="00A876F3" w:rsidRPr="0088780C" w:rsidRDefault="00A876F3" w:rsidP="001013AF">
      <w:pPr>
        <w:suppressLineNumbers/>
        <w:suppressAutoHyphens/>
        <w:kinsoku w:val="0"/>
        <w:overflowPunct w:val="0"/>
        <w:autoSpaceDE w:val="0"/>
        <w:autoSpaceDN w:val="0"/>
        <w:spacing w:line="360" w:lineRule="auto"/>
        <w:ind w:right="-32"/>
        <w:rPr>
          <w:b/>
          <w:snapToGrid w:val="0"/>
          <w:kern w:val="22"/>
          <w:szCs w:val="22"/>
        </w:rPr>
      </w:pPr>
      <w:r w:rsidRPr="0088780C">
        <w:rPr>
          <w:b/>
          <w:snapToGrid w:val="0"/>
          <w:kern w:val="22"/>
          <w:szCs w:val="22"/>
        </w:rPr>
        <w:t>Figure 5. Infralittoral rock with Mytilus galloprovincialis (NIMRD)</w:t>
      </w:r>
    </w:p>
    <w:p w14:paraId="702D474B" w14:textId="77777777" w:rsidR="00A876F3" w:rsidRPr="0088780C" w:rsidRDefault="00A876F3" w:rsidP="001013AF">
      <w:pPr>
        <w:suppressLineNumbers/>
        <w:suppressAutoHyphens/>
        <w:kinsoku w:val="0"/>
        <w:overflowPunct w:val="0"/>
        <w:autoSpaceDE w:val="0"/>
        <w:autoSpaceDN w:val="0"/>
        <w:jc w:val="left"/>
        <w:rPr>
          <w:rFonts w:eastAsia="MS Mincho"/>
          <w:b/>
          <w:snapToGrid w:val="0"/>
          <w:kern w:val="22"/>
          <w:szCs w:val="22"/>
        </w:rPr>
      </w:pPr>
    </w:p>
    <w:p w14:paraId="1414F0B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0262BE99" w14:textId="63B31682"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4. Danube Delta Marine Area</w:t>
      </w:r>
    </w:p>
    <w:p w14:paraId="2136B69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B06C15A" w14:textId="68736F9C"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Abstract</w:t>
      </w:r>
    </w:p>
    <w:p w14:paraId="5D348105" w14:textId="49A654D5"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This area is strongly influenced by the fresh water inflow and the sediments carried by the Danube River, creating a mixture of sedimentary habitats unique for the Romanian littoral area. These sedimentary habitats and the low salinity pelagic habitats contain a large proportion of freshwater, brackish water and marine species. It is an important nursery and feeding area for Black Sea sturgeons and shads, species that are protected under different conventions. Species in the area include: bottlenose dolphin (</w:t>
      </w:r>
      <w:r w:rsidRPr="0088780C">
        <w:rPr>
          <w:rFonts w:eastAsia="MS Mincho"/>
          <w:i/>
          <w:snapToGrid w:val="0"/>
          <w:kern w:val="22"/>
          <w:szCs w:val="22"/>
        </w:rPr>
        <w:t>Phocoena phocoena</w:t>
      </w:r>
      <w:r w:rsidRPr="0088780C">
        <w:rPr>
          <w:rFonts w:eastAsia="MS Mincho"/>
          <w:snapToGrid w:val="0"/>
          <w:kern w:val="22"/>
          <w:szCs w:val="22"/>
        </w:rPr>
        <w:t xml:space="preserve">), harbour </w:t>
      </w:r>
      <w:r w:rsidR="00564FE7" w:rsidRPr="0088780C">
        <w:rPr>
          <w:rFonts w:eastAsia="MS Mincho"/>
          <w:snapToGrid w:val="0"/>
          <w:kern w:val="22"/>
          <w:szCs w:val="22"/>
        </w:rPr>
        <w:t>porpoise</w:t>
      </w:r>
      <w:r w:rsidRPr="0088780C">
        <w:rPr>
          <w:rFonts w:eastAsia="MS Mincho"/>
          <w:snapToGrid w:val="0"/>
          <w:kern w:val="22"/>
          <w:szCs w:val="22"/>
        </w:rPr>
        <w:t xml:space="preserve"> (</w:t>
      </w:r>
      <w:r w:rsidRPr="0088780C">
        <w:rPr>
          <w:rFonts w:eastAsia="MS Mincho"/>
          <w:i/>
          <w:snapToGrid w:val="0"/>
          <w:kern w:val="22"/>
          <w:szCs w:val="22"/>
        </w:rPr>
        <w:t>Tursiops truncatus</w:t>
      </w:r>
      <w:r w:rsidRPr="0088780C">
        <w:rPr>
          <w:rFonts w:eastAsia="MS Mincho"/>
          <w:snapToGrid w:val="0"/>
          <w:kern w:val="22"/>
          <w:szCs w:val="22"/>
        </w:rPr>
        <w:t>), short-beaked common dolphin (</w:t>
      </w:r>
      <w:r w:rsidRPr="0088780C">
        <w:rPr>
          <w:rFonts w:eastAsia="MS Mincho"/>
          <w:i/>
          <w:snapToGrid w:val="0"/>
          <w:kern w:val="22"/>
          <w:szCs w:val="22"/>
        </w:rPr>
        <w:t>Delphinus delphis</w:t>
      </w:r>
      <w:r w:rsidRPr="0088780C">
        <w:rPr>
          <w:rFonts w:eastAsia="MS Mincho"/>
          <w:snapToGrid w:val="0"/>
          <w:kern w:val="22"/>
          <w:szCs w:val="22"/>
        </w:rPr>
        <w:t>), yelkouan shearwater (</w:t>
      </w:r>
      <w:r w:rsidRPr="0088780C">
        <w:rPr>
          <w:rFonts w:eastAsia="MS Mincho"/>
          <w:i/>
          <w:snapToGrid w:val="0"/>
          <w:kern w:val="22"/>
          <w:szCs w:val="22"/>
        </w:rPr>
        <w:t>Puffinus yelkouan</w:t>
      </w:r>
      <w:r w:rsidRPr="0088780C">
        <w:rPr>
          <w:rFonts w:eastAsia="MS Mincho"/>
          <w:snapToGrid w:val="0"/>
          <w:kern w:val="22"/>
          <w:szCs w:val="22"/>
        </w:rPr>
        <w:t>), beluga sturgeon (</w:t>
      </w:r>
      <w:r w:rsidRPr="0088780C">
        <w:rPr>
          <w:rFonts w:eastAsia="MS Mincho"/>
          <w:i/>
          <w:snapToGrid w:val="0"/>
          <w:kern w:val="22"/>
          <w:szCs w:val="22"/>
        </w:rPr>
        <w:t>Huso huso</w:t>
      </w:r>
      <w:r w:rsidRPr="0088780C">
        <w:rPr>
          <w:rFonts w:eastAsia="MS Mincho"/>
          <w:snapToGrid w:val="0"/>
          <w:kern w:val="22"/>
          <w:szCs w:val="22"/>
        </w:rPr>
        <w:t>), Russian sturgeon (</w:t>
      </w:r>
      <w:r w:rsidRPr="0088780C">
        <w:rPr>
          <w:rFonts w:eastAsia="MS Mincho"/>
          <w:i/>
          <w:snapToGrid w:val="0"/>
          <w:kern w:val="22"/>
          <w:szCs w:val="22"/>
        </w:rPr>
        <w:t>Acipenser gueldenstaedtii</w:t>
      </w:r>
      <w:r w:rsidRPr="0088780C">
        <w:rPr>
          <w:rFonts w:eastAsia="MS Mincho"/>
          <w:snapToGrid w:val="0"/>
          <w:kern w:val="22"/>
          <w:szCs w:val="22"/>
        </w:rPr>
        <w:t>), starry sturgeon (</w:t>
      </w:r>
      <w:r w:rsidRPr="0088780C">
        <w:rPr>
          <w:rFonts w:eastAsia="MS Mincho"/>
          <w:i/>
          <w:snapToGrid w:val="0"/>
          <w:kern w:val="22"/>
          <w:szCs w:val="22"/>
        </w:rPr>
        <w:t>Acipenser stellatus</w:t>
      </w:r>
      <w:r w:rsidRPr="0088780C">
        <w:rPr>
          <w:rFonts w:eastAsia="MS Mincho"/>
          <w:snapToGrid w:val="0"/>
          <w:kern w:val="22"/>
          <w:szCs w:val="22"/>
        </w:rPr>
        <w:t>), Danube shad (</w:t>
      </w:r>
      <w:r w:rsidRPr="0088780C">
        <w:rPr>
          <w:rFonts w:eastAsia="MS Mincho"/>
          <w:i/>
          <w:snapToGrid w:val="0"/>
          <w:kern w:val="22"/>
          <w:szCs w:val="22"/>
        </w:rPr>
        <w:t>Alosa immaculata</w:t>
      </w:r>
      <w:r w:rsidRPr="0088780C">
        <w:rPr>
          <w:rFonts w:eastAsia="MS Mincho"/>
          <w:snapToGrid w:val="0"/>
          <w:kern w:val="22"/>
          <w:szCs w:val="22"/>
        </w:rPr>
        <w:t>), Caspian shad (</w:t>
      </w:r>
      <w:r w:rsidRPr="0088780C">
        <w:rPr>
          <w:rFonts w:eastAsia="MS Mincho"/>
          <w:i/>
          <w:snapToGrid w:val="0"/>
          <w:kern w:val="22"/>
          <w:szCs w:val="22"/>
        </w:rPr>
        <w:t>Alosa tanaica</w:t>
      </w:r>
      <w:r w:rsidRPr="0088780C">
        <w:rPr>
          <w:rFonts w:eastAsia="MS Mincho"/>
          <w:snapToGrid w:val="0"/>
          <w:kern w:val="22"/>
          <w:szCs w:val="22"/>
        </w:rPr>
        <w:t>) (Danube Delta Biosphere Reserve Management Plan, 2015). The area is part of a larger protected area, Danube Delta Biosphere Reserve, which is listed as a UNESCO World Natural Heritage Site and a Ramsar site under the Ramsar Convention.</w:t>
      </w:r>
    </w:p>
    <w:p w14:paraId="4246892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708DCC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Introduction</w:t>
      </w:r>
    </w:p>
    <w:p w14:paraId="1A09E9C7" w14:textId="7AFC9A92"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Occupying about 1217 km</w:t>
      </w:r>
      <w:r w:rsidRPr="0088780C">
        <w:rPr>
          <w:rFonts w:eastAsia="MS Mincho"/>
          <w:snapToGrid w:val="0"/>
          <w:kern w:val="22"/>
          <w:szCs w:val="22"/>
          <w:vertAlign w:val="superscript"/>
        </w:rPr>
        <w:t>2</w:t>
      </w:r>
      <w:r w:rsidRPr="0088780C">
        <w:rPr>
          <w:rFonts w:eastAsia="MS Mincho"/>
          <w:snapToGrid w:val="0"/>
          <w:kern w:val="22"/>
          <w:szCs w:val="22"/>
        </w:rPr>
        <w:t>, the area is strongly influenced by the Danube, carrying large amounts of both freshwater and fine sediments into the sea, and even creating an island, which increases in size every year. The dominant winds from the north and northeast influence the water mass dynamics and coastal processes characterized in the area by accretion and erosion, in close connection with exposure degree. The accumulation/erosion rates depend on the water masses circulation (currents) and predominant winds (Nicolaev et al., 2015, 2016). The water salinity is also influenced by the Danube flow, gradually increasing from north to south, ranging in surface waters from 0.1 to 15 PSU and creating a gradient for distribution of freshwater, brackish water and marine species, favouring the occurrence of eurihaline species. The depths in the</w:t>
      </w:r>
      <w:r w:rsidR="00564FE7" w:rsidRPr="0088780C">
        <w:rPr>
          <w:rFonts w:eastAsia="MS Mincho"/>
          <w:snapToGrid w:val="0"/>
          <w:kern w:val="22"/>
          <w:szCs w:val="22"/>
        </w:rPr>
        <w:t xml:space="preserve"> area range between 0 and 20m.</w:t>
      </w:r>
    </w:p>
    <w:p w14:paraId="095A2EF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3C891F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Location</w:t>
      </w:r>
    </w:p>
    <w:p w14:paraId="2095BC6E" w14:textId="19487699"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located in front of the Danube Delta between Chilia arm in the north and Midia Cape in the south and projecting into the sea until the 20m isobath. It has a total coverage of 1217 km</w:t>
      </w:r>
      <w:r w:rsidRPr="0088780C">
        <w:rPr>
          <w:rFonts w:eastAsia="MS Mincho"/>
          <w:snapToGrid w:val="0"/>
          <w:kern w:val="22"/>
          <w:szCs w:val="22"/>
          <w:vertAlign w:val="superscript"/>
        </w:rPr>
        <w:t>2</w:t>
      </w:r>
      <w:r w:rsidRPr="0088780C">
        <w:rPr>
          <w:rFonts w:eastAsia="MS Mincho"/>
          <w:snapToGrid w:val="0"/>
          <w:kern w:val="22"/>
          <w:szCs w:val="22"/>
        </w:rPr>
        <w:t>, all of which is marine. The geographical coordinates of the site are</w:t>
      </w:r>
      <w:r w:rsidR="00564FE7" w:rsidRPr="0088780C">
        <w:rPr>
          <w:rFonts w:eastAsia="MS Mincho"/>
          <w:snapToGrid w:val="0"/>
          <w:kern w:val="22"/>
          <w:szCs w:val="22"/>
        </w:rPr>
        <w:t xml:space="preserve"> 29.0111277 E and 44.0006472 N.</w:t>
      </w:r>
    </w:p>
    <w:p w14:paraId="2B6A84C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3075993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Feature description of the area</w:t>
      </w:r>
    </w:p>
    <w:p w14:paraId="2A82DC2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marine area of the Danube Delta has certain peculiarities due to the major influence of Danube waters and the alluvial deposits they carry. Consequently, unique sedimentary habitats occur here. The beauty and richness of the area are remarkable, with a variety of biotopes and resources, which make it unique not only in Europe, but also among delta ecosystems worldwide.</w:t>
      </w:r>
    </w:p>
    <w:p w14:paraId="79444E2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C764E42" w14:textId="279AE993"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Danube outflows, together with the Musura and Sakhalin bays and the Black Sea water in front of them, down to the 20 m isobaths, are estuarine waters. Marine waters off the Danube are strongly influenced by freshwater input. The mixing between fresh and marine water causes the deposition of fine sediments, and currents often dilute and transport these sediments. This habitat covers the midlittoral, infralittoral and circalittoral, being characterized by low salinity of surface waters and upstream penetration of deep marine water (Nicolaev et al., 2015b). These waters shelter plant and animal species typical of estuarine environments. Thus, despite the absence of tides (as in the Mediterranean or the Baltic seas) and of the typical estuary shape, these waters of variable salinity levels represent an estuarine habitat, very close to the one in the Baltic. A series of broad habitat types can be found in the area: littoral sediments, infralittoral sand, infralittoral mud, circalittoral mixed sediments, circalittoral sand and mud. Among marine benthic habitats, the following can be mentioned: mediolittoral fine sands with </w:t>
      </w:r>
      <w:r w:rsidRPr="0088780C">
        <w:rPr>
          <w:rFonts w:eastAsia="MS Mincho"/>
          <w:i/>
          <w:snapToGrid w:val="0"/>
          <w:kern w:val="22"/>
          <w:szCs w:val="22"/>
        </w:rPr>
        <w:t>Pontogammarus maeoticus</w:t>
      </w:r>
      <w:r w:rsidRPr="0088780C">
        <w:rPr>
          <w:rFonts w:eastAsia="MS Mincho"/>
          <w:snapToGrid w:val="0"/>
          <w:kern w:val="22"/>
          <w:szCs w:val="22"/>
        </w:rPr>
        <w:t xml:space="preserve">, infralittoral fine sands with </w:t>
      </w:r>
      <w:r w:rsidRPr="0088780C">
        <w:rPr>
          <w:rFonts w:eastAsia="MS Mincho"/>
          <w:i/>
          <w:snapToGrid w:val="0"/>
          <w:kern w:val="22"/>
          <w:szCs w:val="22"/>
        </w:rPr>
        <w:t>Lentidium mediterraneum</w:t>
      </w:r>
      <w:r w:rsidRPr="0088780C">
        <w:rPr>
          <w:rFonts w:eastAsia="MS Mincho"/>
          <w:snapToGrid w:val="0"/>
          <w:kern w:val="22"/>
          <w:szCs w:val="22"/>
        </w:rPr>
        <w:t xml:space="preserve">, infralittoral and circalittoral sandy and muddy sands with </w:t>
      </w:r>
      <w:r w:rsidRPr="0088780C">
        <w:rPr>
          <w:rFonts w:eastAsia="MS Mincho"/>
          <w:i/>
          <w:snapToGrid w:val="0"/>
          <w:kern w:val="22"/>
          <w:szCs w:val="22"/>
        </w:rPr>
        <w:t>Mya arenaria</w:t>
      </w:r>
      <w:r w:rsidRPr="0088780C">
        <w:rPr>
          <w:rFonts w:eastAsia="MS Mincho"/>
          <w:snapToGrid w:val="0"/>
          <w:kern w:val="22"/>
          <w:szCs w:val="22"/>
        </w:rPr>
        <w:t xml:space="preserve"> and </w:t>
      </w:r>
      <w:r w:rsidRPr="0088780C">
        <w:rPr>
          <w:rFonts w:eastAsia="MS Mincho"/>
          <w:i/>
          <w:snapToGrid w:val="0"/>
          <w:kern w:val="22"/>
          <w:szCs w:val="22"/>
        </w:rPr>
        <w:t>Anadara kagoshimensis</w:t>
      </w:r>
      <w:r w:rsidRPr="0088780C">
        <w:rPr>
          <w:rFonts w:eastAsia="MS Mincho"/>
          <w:snapToGrid w:val="0"/>
          <w:kern w:val="22"/>
          <w:szCs w:val="22"/>
        </w:rPr>
        <w:t xml:space="preserve">, circalittoral mud with </w:t>
      </w:r>
      <w:r w:rsidRPr="0088780C">
        <w:rPr>
          <w:rFonts w:eastAsia="MS Mincho"/>
          <w:i/>
          <w:snapToGrid w:val="0"/>
          <w:kern w:val="22"/>
          <w:szCs w:val="22"/>
        </w:rPr>
        <w:t>Abra alba</w:t>
      </w:r>
      <w:r w:rsidRPr="0088780C">
        <w:rPr>
          <w:rFonts w:eastAsia="MS Mincho"/>
          <w:snapToGrid w:val="0"/>
          <w:kern w:val="22"/>
          <w:szCs w:val="22"/>
        </w:rPr>
        <w:t xml:space="preserve">, Cardiidae and </w:t>
      </w:r>
      <w:r w:rsidRPr="0088780C">
        <w:rPr>
          <w:rFonts w:eastAsia="MS Mincho"/>
          <w:i/>
          <w:snapToGrid w:val="0"/>
          <w:kern w:val="22"/>
          <w:szCs w:val="22"/>
        </w:rPr>
        <w:t>Mytilus galloprovincialis</w:t>
      </w:r>
      <w:r w:rsidRPr="0088780C">
        <w:rPr>
          <w:rFonts w:eastAsia="MS Mincho"/>
          <w:snapToGrid w:val="0"/>
          <w:kern w:val="22"/>
          <w:szCs w:val="22"/>
        </w:rPr>
        <w:t xml:space="preserve">, circalittoral biogenic reefs with </w:t>
      </w:r>
      <w:r w:rsidRPr="0088780C">
        <w:rPr>
          <w:rFonts w:eastAsia="MS Mincho"/>
          <w:i/>
          <w:snapToGrid w:val="0"/>
          <w:kern w:val="22"/>
          <w:szCs w:val="22"/>
        </w:rPr>
        <w:t>Mytilus galloprovincialis</w:t>
      </w:r>
      <w:r w:rsidRPr="0088780C">
        <w:rPr>
          <w:rFonts w:eastAsia="MS Mincho"/>
          <w:snapToGrid w:val="0"/>
          <w:kern w:val="22"/>
          <w:szCs w:val="22"/>
        </w:rPr>
        <w:t xml:space="preserve"> (Abaza et al., 2006ab, Dumitrache et al.,</w:t>
      </w:r>
      <w:r w:rsidR="00564FE7" w:rsidRPr="0088780C">
        <w:rPr>
          <w:rFonts w:eastAsia="MS Mincho"/>
          <w:snapToGrid w:val="0"/>
          <w:kern w:val="22"/>
          <w:szCs w:val="22"/>
        </w:rPr>
        <w:t xml:space="preserve"> 2013).</w:t>
      </w:r>
    </w:p>
    <w:p w14:paraId="71A526F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7D5E97D" w14:textId="6FC5819A"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important mostly because of its ecological features, rather than its high level of biodiversity, representing an important feeding, wintering and nursery ground for endangered fish species (sturgeons), fish of economic importance and marine mammals (the three dolphin species living in the Black Sea). (Bacesu et al., 1971ș Abaza et al.</w:t>
      </w:r>
      <w:r w:rsidR="00564FE7" w:rsidRPr="0088780C">
        <w:rPr>
          <w:rFonts w:eastAsia="MS Mincho"/>
          <w:snapToGrid w:val="0"/>
          <w:kern w:val="22"/>
          <w:szCs w:val="22"/>
        </w:rPr>
        <w:t>, 2006b; Nicolaev et al, 2015).</w:t>
      </w:r>
    </w:p>
    <w:p w14:paraId="146B4D2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37ADA54" w14:textId="7517D982"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Sometimes the bottlenose dolphin (</w:t>
      </w:r>
      <w:r w:rsidRPr="0088780C">
        <w:rPr>
          <w:rFonts w:eastAsia="MS Mincho"/>
          <w:i/>
          <w:snapToGrid w:val="0"/>
          <w:kern w:val="22"/>
          <w:szCs w:val="22"/>
        </w:rPr>
        <w:t>Tursiops truncates)</w:t>
      </w:r>
      <w:r w:rsidRPr="0088780C">
        <w:rPr>
          <w:rFonts w:eastAsia="MS Mincho"/>
          <w:snapToGrid w:val="0"/>
          <w:kern w:val="22"/>
          <w:szCs w:val="22"/>
        </w:rPr>
        <w:t xml:space="preserve"> enters the Danube for food; </w:t>
      </w:r>
      <w:r w:rsidR="003D6ED2" w:rsidRPr="0088780C">
        <w:rPr>
          <w:rFonts w:eastAsia="MS Mincho"/>
          <w:snapToGrid w:val="0"/>
          <w:kern w:val="22"/>
          <w:szCs w:val="22"/>
        </w:rPr>
        <w:t>harbour porpoise</w:t>
      </w:r>
      <w:r w:rsidRPr="0088780C">
        <w:rPr>
          <w:rFonts w:eastAsia="MS Mincho"/>
          <w:snapToGrid w:val="0"/>
          <w:kern w:val="22"/>
          <w:szCs w:val="22"/>
        </w:rPr>
        <w:t xml:space="preserve"> (</w:t>
      </w:r>
      <w:r w:rsidRPr="0088780C">
        <w:rPr>
          <w:rFonts w:eastAsia="MS Mincho"/>
          <w:i/>
          <w:snapToGrid w:val="0"/>
          <w:kern w:val="22"/>
          <w:szCs w:val="22"/>
        </w:rPr>
        <w:t>Phocoena phocoena</w:t>
      </w:r>
      <w:r w:rsidRPr="0088780C">
        <w:rPr>
          <w:rFonts w:eastAsia="MS Mincho"/>
          <w:snapToGrid w:val="0"/>
          <w:kern w:val="22"/>
          <w:szCs w:val="22"/>
        </w:rPr>
        <w:t>), also enters the Danube and lagoons. The populations agglomerate near the coast, where food is more abundant and easy accessible. It is sometimes accidentally caught in turbot gillnets. When winter approaches, it migrates towards wintering grounds in Georgia and Turkey;</w:t>
      </w:r>
      <w:r w:rsidRPr="0088780C">
        <w:rPr>
          <w:snapToGrid w:val="0"/>
          <w:kern w:val="22"/>
          <w:szCs w:val="22"/>
        </w:rPr>
        <w:t xml:space="preserve"> </w:t>
      </w:r>
      <w:r w:rsidRPr="0088780C">
        <w:rPr>
          <w:rFonts w:eastAsia="MS Mincho"/>
          <w:snapToGrid w:val="0"/>
          <w:kern w:val="22"/>
          <w:szCs w:val="22"/>
        </w:rPr>
        <w:t>Danube shad (</w:t>
      </w:r>
      <w:r w:rsidRPr="0088780C">
        <w:rPr>
          <w:rFonts w:eastAsia="MS Mincho"/>
          <w:i/>
          <w:snapToGrid w:val="0"/>
          <w:kern w:val="22"/>
          <w:szCs w:val="22"/>
        </w:rPr>
        <w:t>Alosa immaculata</w:t>
      </w:r>
      <w:r w:rsidRPr="0088780C">
        <w:rPr>
          <w:rFonts w:eastAsia="MS Mincho"/>
          <w:snapToGrid w:val="0"/>
          <w:kern w:val="22"/>
          <w:szCs w:val="22"/>
        </w:rPr>
        <w:t>) is a pelagic cold-water species. Adults come near the coast only during spawning migration, in February-April; juveniles are often encountered in coastal waters. Caspian shad (</w:t>
      </w:r>
      <w:r w:rsidRPr="0088780C">
        <w:rPr>
          <w:rFonts w:eastAsia="MS Mincho"/>
          <w:i/>
          <w:snapToGrid w:val="0"/>
          <w:kern w:val="22"/>
          <w:szCs w:val="22"/>
        </w:rPr>
        <w:t>Alosa tanaica</w:t>
      </w:r>
      <w:r w:rsidRPr="0088780C">
        <w:rPr>
          <w:rFonts w:eastAsia="MS Mincho"/>
          <w:snapToGrid w:val="0"/>
          <w:kern w:val="22"/>
          <w:szCs w:val="22"/>
        </w:rPr>
        <w:t>) is present along the Romanian coast most of the year. It is a warm-water species, which prefers shallow coastal waters. The species presented above are included in Annex II of EU Habitats Directive (92/43) (DDBR Management Plan, 2015). The area overlaps also with a marine Important Bird and Biodiversity Area (</w:t>
      </w:r>
      <w:r w:rsidRPr="0088780C">
        <w:rPr>
          <w:snapToGrid w:val="0"/>
          <w:kern w:val="22"/>
          <w:szCs w:val="22"/>
        </w:rPr>
        <w:t>BirdLife International 2017a</w:t>
      </w:r>
      <w:r w:rsidRPr="0088780C">
        <w:rPr>
          <w:rFonts w:eastAsia="MS Mincho"/>
          <w:snapToGrid w:val="0"/>
          <w:kern w:val="22"/>
          <w:szCs w:val="22"/>
        </w:rPr>
        <w:t>), mostly designated for its importance as a migratory corridor for the vulnerable yelkouan shearwater (</w:t>
      </w:r>
      <w:r w:rsidRPr="0088780C">
        <w:rPr>
          <w:rFonts w:eastAsia="MS Mincho"/>
          <w:i/>
          <w:snapToGrid w:val="0"/>
          <w:kern w:val="22"/>
          <w:szCs w:val="22"/>
        </w:rPr>
        <w:t>Puffinus yelkouan</w:t>
      </w:r>
      <w:r w:rsidRPr="0088780C">
        <w:rPr>
          <w:rFonts w:eastAsia="MS Mincho"/>
          <w:snapToGrid w:val="0"/>
          <w:kern w:val="22"/>
          <w:szCs w:val="22"/>
        </w:rPr>
        <w:t>) (Doğa Derneği 2014). The yelkouan shearwater is a Mediterranean endemic; birds from different colonies located in the Mediterranean congregate in the Black Sea during the winter period (September-December) and migrate through the coasts of Romania (</w:t>
      </w:r>
      <w:r w:rsidRPr="0088780C">
        <w:rPr>
          <w:snapToGrid w:val="0"/>
          <w:kern w:val="22"/>
          <w:szCs w:val="22"/>
        </w:rPr>
        <w:t>BirdLife International, 2017b</w:t>
      </w:r>
      <w:r w:rsidRPr="0088780C">
        <w:rPr>
          <w:rFonts w:eastAsia="MS Mincho"/>
          <w:snapToGrid w:val="0"/>
          <w:kern w:val="22"/>
          <w:szCs w:val="22"/>
        </w:rPr>
        <w:t>; Doğa Derneği 2014). Estimates indicate the regular occurrence of ca. 17,000 yelkouan shearwaters (BirdLife International 2017a). Recent studies of habitat suitability have also confirmed the importance of this area for the species (Ortega &amp; İsfendiyaroğlu 2017). Besides these, the area is important for other species with different conservation states: common dolphin (</w:t>
      </w:r>
      <w:r w:rsidRPr="0088780C">
        <w:rPr>
          <w:rFonts w:eastAsia="MS Mincho"/>
          <w:i/>
          <w:snapToGrid w:val="0"/>
          <w:kern w:val="22"/>
          <w:szCs w:val="22"/>
        </w:rPr>
        <w:t>Delphinus delphis</w:t>
      </w:r>
      <w:r w:rsidRPr="0088780C">
        <w:rPr>
          <w:rFonts w:eastAsia="MS Mincho"/>
          <w:snapToGrid w:val="0"/>
          <w:kern w:val="22"/>
          <w:szCs w:val="22"/>
        </w:rPr>
        <w:t>), Russian sturgeon (</w:t>
      </w:r>
      <w:r w:rsidRPr="0088780C">
        <w:rPr>
          <w:rFonts w:eastAsia="MS Mincho"/>
          <w:i/>
          <w:snapToGrid w:val="0"/>
          <w:kern w:val="22"/>
          <w:szCs w:val="22"/>
        </w:rPr>
        <w:t>Acipenser gueldenstaedtii</w:t>
      </w:r>
      <w:r w:rsidRPr="0088780C">
        <w:rPr>
          <w:rFonts w:eastAsia="MS Mincho"/>
          <w:snapToGrid w:val="0"/>
          <w:kern w:val="22"/>
          <w:szCs w:val="22"/>
        </w:rPr>
        <w:t xml:space="preserve">) (critically endangered), starry sturgeon </w:t>
      </w:r>
      <w:r w:rsidRPr="0088780C">
        <w:rPr>
          <w:rFonts w:eastAsia="MS Mincho"/>
          <w:i/>
          <w:snapToGrid w:val="0"/>
          <w:kern w:val="22"/>
          <w:szCs w:val="22"/>
        </w:rPr>
        <w:t>Acipenser stellatus</w:t>
      </w:r>
      <w:r w:rsidRPr="0088780C">
        <w:rPr>
          <w:rFonts w:eastAsia="MS Mincho"/>
          <w:snapToGrid w:val="0"/>
          <w:kern w:val="22"/>
          <w:szCs w:val="22"/>
        </w:rPr>
        <w:t xml:space="preserve"> (critically endangered), garfish (</w:t>
      </w:r>
      <w:r w:rsidRPr="0088780C">
        <w:rPr>
          <w:rFonts w:eastAsia="MS Mincho"/>
          <w:i/>
          <w:snapToGrid w:val="0"/>
          <w:kern w:val="22"/>
          <w:szCs w:val="22"/>
        </w:rPr>
        <w:t>Belone belone belone</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tub gurnard (</w:t>
      </w:r>
      <w:r w:rsidRPr="0088780C">
        <w:rPr>
          <w:rFonts w:eastAsia="MS Mincho"/>
          <w:i/>
          <w:snapToGrid w:val="0"/>
          <w:kern w:val="22"/>
          <w:szCs w:val="22"/>
        </w:rPr>
        <w:t>Chelidonichthys lucerna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common stingray (</w:t>
      </w:r>
      <w:r w:rsidRPr="0088780C">
        <w:rPr>
          <w:rFonts w:eastAsia="MS Mincho"/>
          <w:i/>
          <w:snapToGrid w:val="0"/>
          <w:kern w:val="22"/>
          <w:szCs w:val="22"/>
        </w:rPr>
        <w:t>Dasyatis pastinaca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beluga (</w:t>
      </w:r>
      <w:r w:rsidRPr="0088780C">
        <w:rPr>
          <w:rFonts w:eastAsia="MS Mincho"/>
          <w:i/>
          <w:snapToGrid w:val="0"/>
          <w:kern w:val="22"/>
          <w:szCs w:val="22"/>
        </w:rPr>
        <w:t>Huso huso</w:t>
      </w:r>
      <w:r w:rsidRPr="0088780C">
        <w:rPr>
          <w:rFonts w:eastAsia="MS Mincho"/>
          <w:snapToGrid w:val="0"/>
          <w:kern w:val="22"/>
          <w:szCs w:val="22"/>
        </w:rPr>
        <w:t>) (critically endangered), golden grey mullet (</w:t>
      </w:r>
      <w:r w:rsidRPr="0088780C">
        <w:rPr>
          <w:rFonts w:eastAsia="MS Mincho"/>
          <w:i/>
          <w:snapToGrid w:val="0"/>
          <w:kern w:val="22"/>
          <w:szCs w:val="22"/>
        </w:rPr>
        <w:t xml:space="preserve">Liza aurata), </w:t>
      </w:r>
      <w:r w:rsidRPr="0088780C">
        <w:rPr>
          <w:rFonts w:eastAsia="MS Mincho"/>
          <w:snapToGrid w:val="0"/>
          <w:kern w:val="22"/>
          <w:szCs w:val="22"/>
        </w:rPr>
        <w:t>leaping mullet (</w:t>
      </w:r>
      <w:r w:rsidRPr="0088780C">
        <w:rPr>
          <w:rFonts w:eastAsia="MS Mincho"/>
          <w:i/>
          <w:snapToGrid w:val="0"/>
          <w:kern w:val="22"/>
          <w:szCs w:val="22"/>
        </w:rPr>
        <w:t xml:space="preserve">Liza saliens), </w:t>
      </w:r>
      <w:r w:rsidRPr="0088780C">
        <w:rPr>
          <w:rFonts w:eastAsia="MS Mincho"/>
          <w:snapToGrid w:val="0"/>
          <w:kern w:val="22"/>
          <w:szCs w:val="22"/>
        </w:rPr>
        <w:t>knout goby (</w:t>
      </w:r>
      <w:r w:rsidRPr="0088780C">
        <w:rPr>
          <w:rFonts w:eastAsia="MS Mincho"/>
          <w:i/>
          <w:snapToGrid w:val="0"/>
          <w:kern w:val="22"/>
          <w:szCs w:val="22"/>
        </w:rPr>
        <w:t>Mesogobius batrachocephalus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flathead grey mullet (</w:t>
      </w:r>
      <w:r w:rsidRPr="0088780C">
        <w:rPr>
          <w:rFonts w:eastAsia="MS Mincho"/>
          <w:i/>
          <w:snapToGrid w:val="0"/>
          <w:kern w:val="22"/>
          <w:szCs w:val="22"/>
        </w:rPr>
        <w:t>Mugil cephalus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stripped mullet (</w:t>
      </w:r>
      <w:r w:rsidRPr="0088780C">
        <w:rPr>
          <w:rFonts w:eastAsia="MS Mincho"/>
          <w:i/>
          <w:snapToGrid w:val="0"/>
          <w:kern w:val="22"/>
          <w:szCs w:val="22"/>
        </w:rPr>
        <w:t>Mullus barbatus ponticus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rattan goby (</w:t>
      </w:r>
      <w:r w:rsidRPr="0088780C">
        <w:rPr>
          <w:rFonts w:eastAsia="MS Mincho"/>
          <w:i/>
          <w:snapToGrid w:val="0"/>
          <w:kern w:val="22"/>
          <w:szCs w:val="22"/>
        </w:rPr>
        <w:t xml:space="preserve">Neogobius ratan), </w:t>
      </w:r>
      <w:r w:rsidRPr="0088780C">
        <w:rPr>
          <w:rFonts w:eastAsia="MS Mincho"/>
          <w:snapToGrid w:val="0"/>
          <w:kern w:val="22"/>
          <w:szCs w:val="22"/>
        </w:rPr>
        <w:t>European flounder (</w:t>
      </w:r>
      <w:r w:rsidRPr="0088780C">
        <w:rPr>
          <w:rFonts w:eastAsia="MS Mincho"/>
          <w:i/>
          <w:snapToGrid w:val="0"/>
          <w:kern w:val="22"/>
          <w:szCs w:val="22"/>
        </w:rPr>
        <w:t>Platichthys flesus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blue fish (</w:t>
      </w:r>
      <w:r w:rsidRPr="0088780C">
        <w:rPr>
          <w:rFonts w:eastAsia="MS Mincho"/>
          <w:i/>
          <w:snapToGrid w:val="0"/>
          <w:kern w:val="22"/>
          <w:szCs w:val="22"/>
        </w:rPr>
        <w:t>Pomatomus saltatrix</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marbled goby (</w:t>
      </w:r>
      <w:r w:rsidRPr="0088780C">
        <w:rPr>
          <w:rFonts w:eastAsia="MS Mincho"/>
          <w:i/>
          <w:snapToGrid w:val="0"/>
          <w:kern w:val="22"/>
          <w:szCs w:val="22"/>
        </w:rPr>
        <w:t>Pomatoschistus marmoratus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sand goby (</w:t>
      </w:r>
      <w:r w:rsidRPr="0088780C">
        <w:rPr>
          <w:rFonts w:eastAsia="MS Mincho"/>
          <w:i/>
          <w:snapToGrid w:val="0"/>
          <w:kern w:val="22"/>
          <w:szCs w:val="22"/>
        </w:rPr>
        <w:t>Pomatoschistus minutus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thornback ray (</w:t>
      </w:r>
      <w:r w:rsidRPr="0088780C">
        <w:rPr>
          <w:rFonts w:eastAsia="MS Mincho"/>
          <w:i/>
          <w:snapToGrid w:val="0"/>
          <w:kern w:val="22"/>
          <w:szCs w:val="22"/>
        </w:rPr>
        <w:t>Raja clavata</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Black Sea salmon (</w:t>
      </w:r>
      <w:r w:rsidRPr="0088780C">
        <w:rPr>
          <w:rFonts w:eastAsia="MS Mincho"/>
          <w:i/>
          <w:snapToGrid w:val="0"/>
          <w:kern w:val="22"/>
          <w:szCs w:val="22"/>
        </w:rPr>
        <w:t xml:space="preserve">Salmo labrax), </w:t>
      </w:r>
      <w:r w:rsidRPr="0088780C">
        <w:rPr>
          <w:rFonts w:eastAsia="MS Mincho"/>
          <w:snapToGrid w:val="0"/>
          <w:kern w:val="22"/>
          <w:szCs w:val="22"/>
        </w:rPr>
        <w:t>black-stripped pipefish (</w:t>
      </w:r>
      <w:r w:rsidRPr="0088780C">
        <w:rPr>
          <w:rFonts w:eastAsia="MS Mincho"/>
          <w:i/>
          <w:snapToGrid w:val="0"/>
          <w:kern w:val="22"/>
          <w:szCs w:val="22"/>
        </w:rPr>
        <w:t>Syngnathus abaster</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greater weever (</w:t>
      </w:r>
      <w:r w:rsidRPr="0088780C">
        <w:rPr>
          <w:rFonts w:eastAsia="MS Mincho"/>
          <w:i/>
          <w:snapToGrid w:val="0"/>
          <w:kern w:val="22"/>
          <w:szCs w:val="22"/>
        </w:rPr>
        <w:t>Trachinus draco),</w:t>
      </w:r>
      <w:r w:rsidRPr="0088780C">
        <w:rPr>
          <w:rFonts w:eastAsia="MS Mincho"/>
          <w:snapToGrid w:val="0"/>
          <w:kern w:val="22"/>
          <w:szCs w:val="22"/>
        </w:rPr>
        <w:t xml:space="preserve"> green algae</w:t>
      </w:r>
      <w:r w:rsidRPr="0088780C">
        <w:rPr>
          <w:rFonts w:eastAsia="MS Mincho"/>
          <w:i/>
          <w:snapToGrid w:val="0"/>
          <w:kern w:val="22"/>
          <w:szCs w:val="22"/>
        </w:rPr>
        <w:t xml:space="preserve"> Bryopsis plumosa, Enteromorpha intestinalis, Enteromorpha linza Ulva lactuca, Ulva rigida, </w:t>
      </w:r>
      <w:r w:rsidRPr="0088780C">
        <w:rPr>
          <w:rFonts w:eastAsia="MS Mincho"/>
          <w:snapToGrid w:val="0"/>
          <w:kern w:val="22"/>
          <w:szCs w:val="22"/>
        </w:rPr>
        <w:t xml:space="preserve">and red algae </w:t>
      </w:r>
      <w:r w:rsidRPr="0088780C">
        <w:rPr>
          <w:rFonts w:eastAsia="MS Mincho"/>
          <w:i/>
          <w:snapToGrid w:val="0"/>
          <w:kern w:val="22"/>
          <w:szCs w:val="22"/>
        </w:rPr>
        <w:t xml:space="preserve">Callithamnion corymbosum, Ceramium diaphanum, Phyllophora crispa, Phyllophora pseudoceranoïdes </w:t>
      </w:r>
      <w:r w:rsidRPr="0088780C">
        <w:rPr>
          <w:rFonts w:eastAsia="MS Mincho"/>
          <w:snapToGrid w:val="0"/>
          <w:kern w:val="22"/>
          <w:szCs w:val="22"/>
        </w:rPr>
        <w:t xml:space="preserve">and </w:t>
      </w:r>
      <w:r w:rsidRPr="0088780C">
        <w:rPr>
          <w:rFonts w:eastAsia="MS Mincho"/>
          <w:i/>
          <w:snapToGrid w:val="0"/>
          <w:kern w:val="22"/>
          <w:szCs w:val="22"/>
        </w:rPr>
        <w:t xml:space="preserve">Porphyra leucosticta, </w:t>
      </w:r>
      <w:r w:rsidRPr="0088780C">
        <w:rPr>
          <w:rFonts w:eastAsia="MS Mincho"/>
          <w:snapToGrid w:val="0"/>
          <w:kern w:val="22"/>
          <w:szCs w:val="22"/>
        </w:rPr>
        <w:t>(ROSCI0066 Natura 2000 Standard Form).</w:t>
      </w:r>
    </w:p>
    <w:p w14:paraId="4B16C592" w14:textId="0709DB6C"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3A6520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5EA57DC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A series of specific human activities have a distinct impact in deteriorating the quality of the marine environment in the area, even more so as it is under the influence of the Danube. The overexploitation of natural resources materializes as an increased pressure thereon, especially on fish, and by the development of activities improper for the delta system, which can cause the disappearance of foraging and spawning grounds of many species. Among the anthropogenic pressures in the area are: navigation, passive and active fishing using different gears, water pollution and eutrophication, naturally induced by the Danube inflow. Nevertheless, this area, as part of the Danube Delta Biosphere Reserve, is monitored on a regular basis and is subjected to a management plan.</w:t>
      </w:r>
    </w:p>
    <w:p w14:paraId="0DD82892" w14:textId="2F8DB393"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38992F9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was designated for protection of the bottlenose dolphin (</w:t>
      </w:r>
      <w:r w:rsidRPr="0088780C">
        <w:rPr>
          <w:rFonts w:eastAsia="MS Mincho"/>
          <w:i/>
          <w:snapToGrid w:val="0"/>
          <w:kern w:val="22"/>
          <w:szCs w:val="22"/>
        </w:rPr>
        <w:t>Tursiops truncatus</w:t>
      </w:r>
      <w:r w:rsidRPr="0088780C">
        <w:rPr>
          <w:rFonts w:eastAsia="MS Mincho"/>
          <w:snapToGrid w:val="0"/>
          <w:kern w:val="22"/>
          <w:szCs w:val="22"/>
        </w:rPr>
        <w:t>) occurring in the Romanian marine area during the warm season.</w:t>
      </w:r>
    </w:p>
    <w:p w14:paraId="67C4C4A5"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2B8DEA3" w14:textId="6A2EEA90" w:rsidR="00A876F3" w:rsidRPr="0088780C" w:rsidRDefault="00A876F3" w:rsidP="001013AF">
      <w:pPr>
        <w:keepNext/>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 area against CBD EBSA Criteria</w:t>
      </w:r>
    </w:p>
    <w:p w14:paraId="0941CDE3" w14:textId="77777777" w:rsidR="00A876F3" w:rsidRPr="0088780C" w:rsidRDefault="00A876F3" w:rsidP="001013AF">
      <w:pPr>
        <w:keepNext/>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472014B2" w14:textId="77777777" w:rsidTr="006972AD">
        <w:tc>
          <w:tcPr>
            <w:tcW w:w="779" w:type="pct"/>
            <w:vMerge w:val="restart"/>
            <w:shd w:val="clear" w:color="auto" w:fill="auto"/>
          </w:tcPr>
          <w:p w14:paraId="3C84398F" w14:textId="77777777" w:rsidR="00A876F3" w:rsidRPr="0088780C" w:rsidRDefault="00A876F3" w:rsidP="00564FE7">
            <w:pPr>
              <w:keepNext/>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CBD EBSA Criteria</w:t>
            </w:r>
          </w:p>
          <w:p w14:paraId="37A10758" w14:textId="77777777" w:rsidR="00A876F3" w:rsidRPr="0088780C" w:rsidRDefault="00A876F3" w:rsidP="00564FE7">
            <w:pPr>
              <w:keepNext/>
              <w:suppressLineNumbers/>
              <w:suppressAutoHyphens/>
              <w:kinsoku w:val="0"/>
              <w:overflowPunct w:val="0"/>
              <w:autoSpaceDE w:val="0"/>
              <w:autoSpaceDN w:val="0"/>
              <w:adjustRightInd w:val="0"/>
              <w:jc w:val="left"/>
              <w:rPr>
                <w:rFonts w:eastAsia="MS Mincho"/>
                <w:bCs/>
                <w:snapToGrid w:val="0"/>
                <w:kern w:val="22"/>
                <w:szCs w:val="22"/>
              </w:rPr>
            </w:pPr>
            <w:r w:rsidRPr="0088780C">
              <w:rPr>
                <w:rFonts w:eastAsia="MS Mincho"/>
                <w:bCs/>
                <w:snapToGrid w:val="0"/>
                <w:kern w:val="22"/>
                <w:szCs w:val="22"/>
              </w:rPr>
              <w:t>(Annex I to decision IX/20)</w:t>
            </w:r>
          </w:p>
        </w:tc>
        <w:tc>
          <w:tcPr>
            <w:tcW w:w="2280" w:type="pct"/>
            <w:vMerge w:val="restart"/>
            <w:shd w:val="clear" w:color="auto" w:fill="auto"/>
          </w:tcPr>
          <w:p w14:paraId="37A394CF" w14:textId="77777777" w:rsidR="00A876F3" w:rsidRPr="0088780C" w:rsidRDefault="00A876F3" w:rsidP="001013AF">
            <w:pPr>
              <w:keepNext/>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19909AE0" w14:textId="77777777" w:rsidR="00A876F3" w:rsidRPr="0088780C" w:rsidRDefault="00A876F3" w:rsidP="001013AF">
            <w:pPr>
              <w:keepNext/>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(Annex I to decision IX/20)</w:t>
            </w:r>
          </w:p>
        </w:tc>
        <w:tc>
          <w:tcPr>
            <w:tcW w:w="1940" w:type="pct"/>
            <w:gridSpan w:val="9"/>
            <w:shd w:val="clear" w:color="auto" w:fill="auto"/>
          </w:tcPr>
          <w:p w14:paraId="5B923666" w14:textId="77777777" w:rsidR="00A876F3" w:rsidRPr="0088780C" w:rsidRDefault="00A876F3" w:rsidP="001013AF">
            <w:pPr>
              <w:keepNext/>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 xml:space="preserve">Ranking of criterion relevance </w:t>
            </w:r>
          </w:p>
          <w:p w14:paraId="133DDBA5" w14:textId="77777777" w:rsidR="00A876F3" w:rsidRPr="0088780C" w:rsidRDefault="00A876F3" w:rsidP="001013AF">
            <w:pPr>
              <w:keepNext/>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Cs/>
                <w:snapToGrid w:val="0"/>
                <w:kern w:val="22"/>
                <w:szCs w:val="22"/>
              </w:rPr>
              <w:t>(please mark one column with an X)</w:t>
            </w:r>
          </w:p>
        </w:tc>
      </w:tr>
      <w:tr w:rsidR="00A876F3" w:rsidRPr="0088780C" w14:paraId="55122C29" w14:textId="77777777" w:rsidTr="006972AD">
        <w:tc>
          <w:tcPr>
            <w:tcW w:w="779" w:type="pct"/>
            <w:vMerge/>
            <w:shd w:val="clear" w:color="auto" w:fill="auto"/>
          </w:tcPr>
          <w:p w14:paraId="34C6BCA4" w14:textId="77777777" w:rsidR="00A876F3" w:rsidRPr="0088780C" w:rsidRDefault="00A876F3" w:rsidP="001013AF">
            <w:pPr>
              <w:keepNext/>
              <w:suppressLineNumbers/>
              <w:suppressAutoHyphens/>
              <w:kinsoku w:val="0"/>
              <w:overflowPunct w:val="0"/>
              <w:autoSpaceDE w:val="0"/>
              <w:autoSpaceDN w:val="0"/>
              <w:adjustRightInd w:val="0"/>
              <w:rPr>
                <w:rFonts w:eastAsia="MS Mincho"/>
                <w:b/>
                <w:bCs/>
                <w:snapToGrid w:val="0"/>
                <w:kern w:val="22"/>
                <w:szCs w:val="22"/>
              </w:rPr>
            </w:pPr>
          </w:p>
        </w:tc>
        <w:tc>
          <w:tcPr>
            <w:tcW w:w="2280" w:type="pct"/>
            <w:vMerge/>
            <w:shd w:val="clear" w:color="auto" w:fill="auto"/>
          </w:tcPr>
          <w:p w14:paraId="473FC076" w14:textId="77777777" w:rsidR="00A876F3" w:rsidRPr="0088780C" w:rsidRDefault="00A876F3" w:rsidP="001013AF">
            <w:pPr>
              <w:keepNext/>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73C74362" w14:textId="77777777" w:rsidR="00A876F3" w:rsidRPr="0088780C" w:rsidRDefault="00A876F3" w:rsidP="001013AF">
            <w:pPr>
              <w:keepNext/>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No information</w:t>
            </w:r>
          </w:p>
        </w:tc>
        <w:tc>
          <w:tcPr>
            <w:tcW w:w="547" w:type="pct"/>
            <w:gridSpan w:val="3"/>
            <w:shd w:val="clear" w:color="auto" w:fill="auto"/>
          </w:tcPr>
          <w:p w14:paraId="3E71029C" w14:textId="77777777" w:rsidR="00A876F3" w:rsidRPr="0088780C" w:rsidRDefault="00A876F3" w:rsidP="001013AF">
            <w:pPr>
              <w:keepNext/>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Low</w:t>
            </w:r>
          </w:p>
        </w:tc>
        <w:tc>
          <w:tcPr>
            <w:tcW w:w="411" w:type="pct"/>
            <w:gridSpan w:val="2"/>
            <w:shd w:val="clear" w:color="auto" w:fill="auto"/>
          </w:tcPr>
          <w:p w14:paraId="107DE5D4" w14:textId="77777777" w:rsidR="00A876F3" w:rsidRPr="0088780C" w:rsidRDefault="00A876F3" w:rsidP="001013AF">
            <w:pPr>
              <w:keepNext/>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Medium</w:t>
            </w:r>
          </w:p>
        </w:tc>
        <w:tc>
          <w:tcPr>
            <w:tcW w:w="436" w:type="pct"/>
            <w:gridSpan w:val="2"/>
            <w:shd w:val="clear" w:color="auto" w:fill="auto"/>
          </w:tcPr>
          <w:p w14:paraId="48E6B09C" w14:textId="77777777" w:rsidR="00A876F3" w:rsidRPr="0088780C" w:rsidRDefault="00A876F3" w:rsidP="001013AF">
            <w:pPr>
              <w:keepNext/>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High</w:t>
            </w:r>
          </w:p>
        </w:tc>
      </w:tr>
      <w:tr w:rsidR="00A876F3" w:rsidRPr="0088780C" w14:paraId="1F64F376" w14:textId="77777777" w:rsidTr="006972AD">
        <w:tc>
          <w:tcPr>
            <w:tcW w:w="779" w:type="pct"/>
            <w:shd w:val="clear" w:color="auto" w:fill="auto"/>
          </w:tcPr>
          <w:p w14:paraId="3534F26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Uniqueness or rarity</w:t>
            </w:r>
          </w:p>
        </w:tc>
        <w:tc>
          <w:tcPr>
            <w:tcW w:w="2280" w:type="pct"/>
            <w:shd w:val="clear" w:color="auto" w:fill="auto"/>
          </w:tcPr>
          <w:p w14:paraId="4B44BE53" w14:textId="2CE77E2A"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contains either (i) unique (</w:t>
            </w:r>
            <w:r w:rsidR="00D8482D" w:rsidRPr="0088780C">
              <w:rPr>
                <w:rFonts w:eastAsia="MS Mincho"/>
                <w:bCs/>
                <w:snapToGrid w:val="0"/>
                <w:kern w:val="22"/>
                <w:szCs w:val="22"/>
              </w:rPr>
              <w:t>“</w:t>
            </w:r>
            <w:r w:rsidRPr="0088780C">
              <w:rPr>
                <w:rFonts w:eastAsia="MS Mincho"/>
                <w:bCs/>
                <w:snapToGrid w:val="0"/>
                <w:kern w:val="22"/>
                <w:szCs w:val="22"/>
              </w:rPr>
              <w:t>the only one of its kind</w:t>
            </w:r>
            <w:r w:rsidR="00D8482D" w:rsidRPr="0088780C">
              <w:rPr>
                <w:rFonts w:eastAsia="MS Mincho"/>
                <w:bCs/>
                <w:snapToGrid w:val="0"/>
                <w:kern w:val="22"/>
                <w:szCs w:val="22"/>
              </w:rPr>
              <w:t>”</w:t>
            </w:r>
            <w:r w:rsidRPr="0088780C">
              <w:rPr>
                <w:rFonts w:eastAsia="MS Mincho"/>
                <w:bCs/>
                <w:snapToGrid w:val="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27464C9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547" w:type="pct"/>
            <w:gridSpan w:val="3"/>
            <w:shd w:val="clear" w:color="auto" w:fill="auto"/>
          </w:tcPr>
          <w:p w14:paraId="4EF63AC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5739443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36" w:type="pct"/>
            <w:gridSpan w:val="2"/>
            <w:shd w:val="clear" w:color="auto" w:fill="auto"/>
          </w:tcPr>
          <w:p w14:paraId="4AFB227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40A2B9B4" w14:textId="77777777" w:rsidTr="006972AD">
        <w:tc>
          <w:tcPr>
            <w:tcW w:w="5000" w:type="pct"/>
            <w:gridSpan w:val="11"/>
            <w:shd w:val="clear" w:color="auto" w:fill="auto"/>
          </w:tcPr>
          <w:p w14:paraId="7EDCC85C"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76FF711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 xml:space="preserve">Due to high freshwater input coming from the Danube River, influencing the salinity levels, an interesting mixture of freshwater and brackish water pelagic species can be observed. Thus, in phytoplankton there are taxonomic groups represented only by freshwater species (Chrolophycea and Cyano bacteria), while Bacillariophycea, Dinophycea and other taxonomic groups are represented mainly by brackish water and marine species, with a lower proportion of freshwater species. This is also the case with zooplankton (Lazar et al., 2013; Abaza et al., 2006ab). A fish population survey carried out in 2012 indicates 29% freshwater and 71% brackish water species off Sulina and 14% freshwater and 86% brackish water species off Sf. Gheorghe areas (Nicolaev et al., 2015b). </w:t>
            </w:r>
            <w:r w:rsidRPr="0088780C">
              <w:rPr>
                <w:snapToGrid w:val="0"/>
                <w:kern w:val="22"/>
                <w:szCs w:val="22"/>
              </w:rPr>
              <w:t xml:space="preserve">The area includes some of the key passage sites for the yelkouan shearwater during their migrations (Doğa Derneği 2014). The area is also used as a passage site by other 10 species of seabirds, mostly gulls and terns (common gull-billed tern </w:t>
            </w:r>
            <w:r w:rsidRPr="0088780C">
              <w:rPr>
                <w:i/>
                <w:snapToGrid w:val="0"/>
                <w:kern w:val="22"/>
                <w:szCs w:val="22"/>
              </w:rPr>
              <w:t>Gelochelidon nilotica</w:t>
            </w:r>
            <w:r w:rsidRPr="0088780C">
              <w:rPr>
                <w:snapToGrid w:val="0"/>
                <w:kern w:val="22"/>
                <w:szCs w:val="22"/>
              </w:rPr>
              <w:t xml:space="preserve">, Caspian gull </w:t>
            </w:r>
            <w:r w:rsidRPr="0088780C">
              <w:rPr>
                <w:i/>
                <w:snapToGrid w:val="0"/>
                <w:kern w:val="22"/>
                <w:szCs w:val="22"/>
              </w:rPr>
              <w:t>Larus cachinnans</w:t>
            </w:r>
            <w:r w:rsidRPr="0088780C">
              <w:rPr>
                <w:snapToGrid w:val="0"/>
                <w:kern w:val="22"/>
                <w:szCs w:val="22"/>
              </w:rPr>
              <w:t>, little gull </w:t>
            </w:r>
            <w:r w:rsidRPr="0088780C">
              <w:rPr>
                <w:i/>
                <w:snapToGrid w:val="0"/>
                <w:kern w:val="22"/>
                <w:szCs w:val="22"/>
              </w:rPr>
              <w:t>Hydrocoloeus minutus</w:t>
            </w:r>
            <w:r w:rsidRPr="0088780C">
              <w:rPr>
                <w:snapToGrid w:val="0"/>
                <w:kern w:val="22"/>
                <w:szCs w:val="22"/>
              </w:rPr>
              <w:t>, slender-billed gull </w:t>
            </w:r>
            <w:r w:rsidRPr="0088780C">
              <w:rPr>
                <w:i/>
                <w:snapToGrid w:val="0"/>
                <w:kern w:val="22"/>
                <w:szCs w:val="22"/>
              </w:rPr>
              <w:t>Larus genei</w:t>
            </w:r>
            <w:r w:rsidRPr="0088780C">
              <w:rPr>
                <w:snapToGrid w:val="0"/>
                <w:kern w:val="22"/>
                <w:szCs w:val="22"/>
              </w:rPr>
              <w:t>, black-headed gull </w:t>
            </w:r>
            <w:r w:rsidRPr="0088780C">
              <w:rPr>
                <w:i/>
                <w:snapToGrid w:val="0"/>
                <w:kern w:val="22"/>
                <w:szCs w:val="22"/>
              </w:rPr>
              <w:t>Larus ridibundus</w:t>
            </w:r>
            <w:r w:rsidRPr="0088780C">
              <w:rPr>
                <w:snapToGrid w:val="0"/>
                <w:kern w:val="22"/>
                <w:szCs w:val="22"/>
              </w:rPr>
              <w:t>, Mediterranean gull </w:t>
            </w:r>
            <w:r w:rsidRPr="0088780C">
              <w:rPr>
                <w:i/>
                <w:snapToGrid w:val="0"/>
                <w:kern w:val="22"/>
                <w:szCs w:val="22"/>
              </w:rPr>
              <w:t>Larus melanocephalus</w:t>
            </w:r>
            <w:r w:rsidRPr="0088780C">
              <w:rPr>
                <w:snapToGrid w:val="0"/>
                <w:kern w:val="22"/>
                <w:szCs w:val="22"/>
              </w:rPr>
              <w:t>, mew gull </w:t>
            </w:r>
            <w:r w:rsidRPr="0088780C">
              <w:rPr>
                <w:i/>
                <w:snapToGrid w:val="0"/>
                <w:kern w:val="22"/>
                <w:szCs w:val="22"/>
              </w:rPr>
              <w:t>Larus canus</w:t>
            </w:r>
            <w:r w:rsidRPr="0088780C">
              <w:rPr>
                <w:snapToGrid w:val="0"/>
                <w:kern w:val="22"/>
                <w:szCs w:val="22"/>
              </w:rPr>
              <w:t>, little tern </w:t>
            </w:r>
            <w:r w:rsidRPr="0088780C">
              <w:rPr>
                <w:i/>
                <w:snapToGrid w:val="0"/>
                <w:kern w:val="22"/>
                <w:szCs w:val="22"/>
              </w:rPr>
              <w:t>Sternula albifrons</w:t>
            </w:r>
            <w:r w:rsidRPr="0088780C">
              <w:rPr>
                <w:snapToGrid w:val="0"/>
                <w:kern w:val="22"/>
                <w:szCs w:val="22"/>
              </w:rPr>
              <w:t>, Caspian tern </w:t>
            </w:r>
            <w:r w:rsidRPr="0088780C">
              <w:rPr>
                <w:i/>
                <w:snapToGrid w:val="0"/>
                <w:kern w:val="22"/>
                <w:szCs w:val="22"/>
              </w:rPr>
              <w:t>Hydroprogne caspia</w:t>
            </w:r>
            <w:r w:rsidRPr="0088780C">
              <w:rPr>
                <w:snapToGrid w:val="0"/>
                <w:kern w:val="22"/>
                <w:szCs w:val="22"/>
              </w:rPr>
              <w:t>, whiskered tern </w:t>
            </w:r>
            <w:r w:rsidRPr="0088780C">
              <w:rPr>
                <w:i/>
                <w:snapToGrid w:val="0"/>
                <w:kern w:val="22"/>
                <w:szCs w:val="22"/>
              </w:rPr>
              <w:t>Chlidonias hybrida</w:t>
            </w:r>
            <w:r w:rsidRPr="0088780C">
              <w:rPr>
                <w:snapToGrid w:val="0"/>
                <w:kern w:val="22"/>
                <w:szCs w:val="22"/>
              </w:rPr>
              <w:t>, common tern </w:t>
            </w:r>
            <w:r w:rsidRPr="0088780C">
              <w:rPr>
                <w:i/>
                <w:snapToGrid w:val="0"/>
                <w:kern w:val="22"/>
                <w:szCs w:val="22"/>
              </w:rPr>
              <w:t>Sterna hirundo</w:t>
            </w:r>
            <w:r w:rsidRPr="0088780C">
              <w:rPr>
                <w:snapToGrid w:val="0"/>
                <w:kern w:val="22"/>
                <w:szCs w:val="22"/>
              </w:rPr>
              <w:t>, Sandwich tern </w:t>
            </w:r>
            <w:r w:rsidRPr="0088780C">
              <w:rPr>
                <w:i/>
                <w:snapToGrid w:val="0"/>
                <w:kern w:val="22"/>
                <w:szCs w:val="22"/>
              </w:rPr>
              <w:t>Thalasseus sandvicensis</w:t>
            </w:r>
            <w:r w:rsidRPr="0088780C">
              <w:rPr>
                <w:snapToGrid w:val="0"/>
                <w:kern w:val="22"/>
                <w:szCs w:val="22"/>
              </w:rPr>
              <w:t xml:space="preserve"> and red-necked phalarope </w:t>
            </w:r>
            <w:r w:rsidRPr="0088780C">
              <w:rPr>
                <w:i/>
                <w:snapToGrid w:val="0"/>
                <w:kern w:val="22"/>
                <w:szCs w:val="22"/>
              </w:rPr>
              <w:t>Phalaropus lobatus</w:t>
            </w:r>
            <w:r w:rsidRPr="0088780C">
              <w:rPr>
                <w:snapToGrid w:val="0"/>
                <w:kern w:val="22"/>
                <w:szCs w:val="22"/>
              </w:rPr>
              <w:t xml:space="preserve">) (BirdLife International, 2017a; BirdLife International </w:t>
            </w:r>
            <w:r w:rsidRPr="0088780C">
              <w:rPr>
                <w:i/>
                <w:snapToGrid w:val="0"/>
                <w:kern w:val="22"/>
                <w:szCs w:val="22"/>
              </w:rPr>
              <w:t>unpublished data</w:t>
            </w:r>
            <w:r w:rsidRPr="0088780C">
              <w:rPr>
                <w:snapToGrid w:val="0"/>
                <w:kern w:val="22"/>
                <w:szCs w:val="22"/>
              </w:rPr>
              <w:t>).</w:t>
            </w:r>
          </w:p>
        </w:tc>
      </w:tr>
      <w:tr w:rsidR="00A876F3" w:rsidRPr="0088780C" w14:paraId="7DBAC89C" w14:textId="77777777" w:rsidTr="006972AD">
        <w:tc>
          <w:tcPr>
            <w:tcW w:w="779" w:type="pct"/>
            <w:shd w:val="clear" w:color="auto" w:fill="auto"/>
          </w:tcPr>
          <w:p w14:paraId="3DBAFE57" w14:textId="77777777" w:rsidR="00A876F3" w:rsidRPr="0088780C" w:rsidRDefault="00A876F3" w:rsidP="00564FE7">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Special importance for life-history stages of species</w:t>
            </w:r>
          </w:p>
        </w:tc>
        <w:tc>
          <w:tcPr>
            <w:tcW w:w="2280" w:type="pct"/>
            <w:shd w:val="clear" w:color="auto" w:fill="auto"/>
          </w:tcPr>
          <w:p w14:paraId="49BC222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Areas that are required for a population to survive and thrive.</w:t>
            </w:r>
          </w:p>
        </w:tc>
        <w:tc>
          <w:tcPr>
            <w:tcW w:w="684" w:type="pct"/>
            <w:gridSpan w:val="3"/>
            <w:shd w:val="clear" w:color="auto" w:fill="auto"/>
          </w:tcPr>
          <w:p w14:paraId="5177F8A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0" w:type="pct"/>
            <w:gridSpan w:val="2"/>
            <w:shd w:val="clear" w:color="auto" w:fill="auto"/>
          </w:tcPr>
          <w:p w14:paraId="028A21F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0846B72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36" w:type="pct"/>
            <w:gridSpan w:val="2"/>
            <w:shd w:val="clear" w:color="auto" w:fill="auto"/>
          </w:tcPr>
          <w:p w14:paraId="1BED67F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3DACD421" w14:textId="77777777" w:rsidTr="006972AD">
        <w:tc>
          <w:tcPr>
            <w:tcW w:w="5000" w:type="pct"/>
            <w:gridSpan w:val="11"/>
            <w:shd w:val="clear" w:color="auto" w:fill="auto"/>
          </w:tcPr>
          <w:p w14:paraId="01AF01B9"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31E1C770" w14:textId="47DFEB19"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 xml:space="preserve">This is a nursery area, particularly for shads, an important economic resource. Also, sturgeons and turbot feed in this area (Nicolaev et al., 2015b). It was recognized as highly productive for fish populations in the 1960s (Bacescu et al., 1971). </w:t>
            </w:r>
            <w:r w:rsidRPr="0088780C">
              <w:rPr>
                <w:snapToGrid w:val="0"/>
                <w:kern w:val="22"/>
                <w:szCs w:val="22"/>
              </w:rPr>
              <w:t xml:space="preserve">The area is also important for the yelkouan shearwater </w:t>
            </w:r>
            <w:r w:rsidRPr="0088780C">
              <w:rPr>
                <w:i/>
                <w:snapToGrid w:val="0"/>
                <w:kern w:val="22"/>
                <w:szCs w:val="22"/>
              </w:rPr>
              <w:t>Puffinus yelkouan</w:t>
            </w:r>
            <w:r w:rsidRPr="0088780C">
              <w:rPr>
                <w:snapToGrid w:val="0"/>
                <w:kern w:val="22"/>
                <w:szCs w:val="22"/>
              </w:rPr>
              <w:t xml:space="preserve"> during the non-breeding season (Doğa Derneği 2014).</w:t>
            </w:r>
          </w:p>
        </w:tc>
      </w:tr>
      <w:tr w:rsidR="00A876F3" w:rsidRPr="0088780C" w14:paraId="5D0CC4F7" w14:textId="77777777" w:rsidTr="006972AD">
        <w:trPr>
          <w:trHeight w:val="2051"/>
        </w:trPr>
        <w:tc>
          <w:tcPr>
            <w:tcW w:w="779" w:type="pct"/>
            <w:shd w:val="clear" w:color="auto" w:fill="auto"/>
          </w:tcPr>
          <w:p w14:paraId="2A52C890" w14:textId="77777777" w:rsidR="00A876F3" w:rsidRPr="0088780C" w:rsidRDefault="00A876F3" w:rsidP="00564FE7">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Importance for threatened, endangered or declining species and/or habitats</w:t>
            </w:r>
          </w:p>
        </w:tc>
        <w:tc>
          <w:tcPr>
            <w:tcW w:w="2280" w:type="pct"/>
            <w:shd w:val="clear" w:color="auto" w:fill="auto"/>
          </w:tcPr>
          <w:p w14:paraId="44E4F63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1EC71EE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0" w:type="pct"/>
            <w:gridSpan w:val="2"/>
            <w:shd w:val="clear" w:color="auto" w:fill="auto"/>
          </w:tcPr>
          <w:p w14:paraId="57FA871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411CABF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36" w:type="pct"/>
            <w:gridSpan w:val="2"/>
            <w:shd w:val="clear" w:color="auto" w:fill="auto"/>
          </w:tcPr>
          <w:p w14:paraId="03FEB25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6EC73513" w14:textId="77777777" w:rsidTr="006972AD">
        <w:tc>
          <w:tcPr>
            <w:tcW w:w="5000" w:type="pct"/>
            <w:gridSpan w:val="11"/>
            <w:shd w:val="clear" w:color="auto" w:fill="auto"/>
          </w:tcPr>
          <w:p w14:paraId="4DED2041"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1CFB465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This  is a highly important feeding and wintering area for Black Sea sturgeons (</w:t>
            </w:r>
            <w:r w:rsidRPr="0088780C">
              <w:rPr>
                <w:rFonts w:eastAsia="MS Mincho"/>
                <w:i/>
                <w:snapToGrid w:val="0"/>
                <w:kern w:val="22"/>
                <w:szCs w:val="22"/>
              </w:rPr>
              <w:t>Acipenser gueldenstaedtii, Acipenser stellatus, Acipenser nudiventris, Huso huso</w:t>
            </w:r>
            <w:r w:rsidRPr="0088780C">
              <w:rPr>
                <w:rFonts w:eastAsia="MS Mincho"/>
                <w:snapToGrid w:val="0"/>
                <w:kern w:val="22"/>
                <w:szCs w:val="22"/>
              </w:rPr>
              <w:t xml:space="preserve">), listed as critically endangered at global scale in the IUCN Red List of marine species, as well as for other threatened species: </w:t>
            </w:r>
            <w:r w:rsidRPr="0088780C">
              <w:rPr>
                <w:rFonts w:eastAsia="MS Mincho"/>
                <w:i/>
                <w:snapToGrid w:val="0"/>
                <w:kern w:val="22"/>
                <w:szCs w:val="22"/>
              </w:rPr>
              <w:t>Raja clavata</w:t>
            </w:r>
            <w:r w:rsidRPr="0088780C">
              <w:rPr>
                <w:rFonts w:eastAsia="MS Mincho"/>
                <w:snapToGrid w:val="0"/>
                <w:kern w:val="22"/>
                <w:szCs w:val="22"/>
              </w:rPr>
              <w:t xml:space="preserve"> (near threatened), </w:t>
            </w:r>
            <w:r w:rsidRPr="0088780C">
              <w:rPr>
                <w:rFonts w:eastAsia="MS Mincho"/>
                <w:i/>
                <w:snapToGrid w:val="0"/>
                <w:kern w:val="22"/>
                <w:szCs w:val="22"/>
              </w:rPr>
              <w:t>Pomatomus saltatrix</w:t>
            </w:r>
            <w:r w:rsidRPr="0088780C">
              <w:rPr>
                <w:rFonts w:eastAsia="MS Mincho"/>
                <w:snapToGrid w:val="0"/>
                <w:kern w:val="22"/>
                <w:szCs w:val="22"/>
              </w:rPr>
              <w:t xml:space="preserve"> (vulnerable) and other species included in the Black Sea Red Data Book and Annex II of the Black Sea Biodiversity and Landscape Conservation Protocol to Bucharest Convention (DDBR Management Plan, 2011, Petran, 1997). Yelkouan shearwater </w:t>
            </w:r>
            <w:r w:rsidRPr="0088780C">
              <w:rPr>
                <w:rFonts w:eastAsia="MS Mincho"/>
                <w:i/>
                <w:snapToGrid w:val="0"/>
                <w:kern w:val="22"/>
                <w:szCs w:val="22"/>
              </w:rPr>
              <w:t>Puffinus yelkouan</w:t>
            </w:r>
            <w:r w:rsidRPr="0088780C">
              <w:rPr>
                <w:rFonts w:eastAsia="MS Mincho"/>
                <w:snapToGrid w:val="0"/>
                <w:kern w:val="22"/>
                <w:szCs w:val="22"/>
              </w:rPr>
              <w:t xml:space="preserve"> , a globally threatened seabird species listed as vulnerable by IUCN, occurs in the area (BirdLife International 2017). – The distribution range of two other species also overlaps with the site – the velvet scoter </w:t>
            </w:r>
            <w:r w:rsidRPr="0088780C">
              <w:rPr>
                <w:rFonts w:eastAsia="MS Mincho"/>
                <w:i/>
                <w:snapToGrid w:val="0"/>
                <w:kern w:val="22"/>
                <w:szCs w:val="22"/>
              </w:rPr>
              <w:t>Melanitta fusca</w:t>
            </w:r>
            <w:r w:rsidRPr="0088780C">
              <w:rPr>
                <w:rFonts w:eastAsia="MS Mincho"/>
                <w:snapToGrid w:val="0"/>
                <w:kern w:val="22"/>
                <w:szCs w:val="22"/>
              </w:rPr>
              <w:t xml:space="preserve"> and horned grebe </w:t>
            </w:r>
            <w:r w:rsidRPr="0088780C">
              <w:rPr>
                <w:rFonts w:eastAsia="MS Mincho"/>
                <w:i/>
                <w:snapToGrid w:val="0"/>
                <w:kern w:val="22"/>
                <w:szCs w:val="22"/>
              </w:rPr>
              <w:t>Podiceps auritus</w:t>
            </w:r>
            <w:r w:rsidRPr="0088780C">
              <w:rPr>
                <w:rFonts w:eastAsia="MS Mincho"/>
                <w:snapToGrid w:val="0"/>
                <w:kern w:val="22"/>
                <w:szCs w:val="22"/>
              </w:rPr>
              <w:t xml:space="preserve"> (BirdLife International 2017c.). All these species are also included in the Annex I of the EU Birds Directive. Other species found here listed under the Annex I of the EU Birds Directive include the slender-billed gull </w:t>
            </w:r>
            <w:r w:rsidRPr="0088780C">
              <w:rPr>
                <w:rFonts w:eastAsia="MS Mincho"/>
                <w:i/>
                <w:snapToGrid w:val="0"/>
                <w:kern w:val="22"/>
                <w:szCs w:val="22"/>
              </w:rPr>
              <w:t>Larus genei</w:t>
            </w:r>
            <w:r w:rsidRPr="0088780C">
              <w:rPr>
                <w:rFonts w:eastAsia="MS Mincho"/>
                <w:snapToGrid w:val="0"/>
                <w:kern w:val="22"/>
                <w:szCs w:val="22"/>
              </w:rPr>
              <w:t xml:space="preserve">, Mediterranean gull </w:t>
            </w:r>
            <w:r w:rsidRPr="0088780C">
              <w:rPr>
                <w:rFonts w:eastAsia="MS Mincho"/>
                <w:i/>
                <w:snapToGrid w:val="0"/>
                <w:kern w:val="22"/>
                <w:szCs w:val="22"/>
              </w:rPr>
              <w:t>Larus melanocephalus</w:t>
            </w:r>
            <w:r w:rsidRPr="0088780C">
              <w:rPr>
                <w:rFonts w:eastAsia="MS Mincho"/>
                <w:snapToGrid w:val="0"/>
                <w:kern w:val="22"/>
                <w:szCs w:val="22"/>
              </w:rPr>
              <w:t xml:space="preserve">, Mediterranean shag </w:t>
            </w:r>
            <w:r w:rsidRPr="0088780C">
              <w:rPr>
                <w:rFonts w:eastAsia="MS Mincho"/>
                <w:i/>
                <w:snapToGrid w:val="0"/>
                <w:kern w:val="22"/>
                <w:szCs w:val="22"/>
              </w:rPr>
              <w:t>Phalacrocorax aristotelis desmarestii</w:t>
            </w:r>
            <w:r w:rsidRPr="0088780C">
              <w:rPr>
                <w:rFonts w:eastAsia="MS Mincho"/>
                <w:snapToGrid w:val="0"/>
                <w:kern w:val="22"/>
                <w:szCs w:val="22"/>
              </w:rPr>
              <w:t xml:space="preserve">, Caspian tern </w:t>
            </w:r>
            <w:r w:rsidRPr="0088780C">
              <w:rPr>
                <w:rFonts w:eastAsia="MS Mincho"/>
                <w:i/>
                <w:snapToGrid w:val="0"/>
                <w:kern w:val="22"/>
                <w:szCs w:val="22"/>
              </w:rPr>
              <w:t>Hydroprogne caspia</w:t>
            </w:r>
            <w:r w:rsidRPr="0088780C">
              <w:rPr>
                <w:rFonts w:eastAsia="MS Mincho"/>
                <w:snapToGrid w:val="0"/>
                <w:kern w:val="22"/>
                <w:szCs w:val="22"/>
              </w:rPr>
              <w:t xml:space="preserve">, common tern </w:t>
            </w:r>
            <w:r w:rsidRPr="0088780C">
              <w:rPr>
                <w:rFonts w:eastAsia="MS Mincho"/>
                <w:i/>
                <w:snapToGrid w:val="0"/>
                <w:kern w:val="22"/>
                <w:szCs w:val="22"/>
              </w:rPr>
              <w:t>Sterna hirundo</w:t>
            </w:r>
            <w:r w:rsidRPr="0088780C">
              <w:rPr>
                <w:rFonts w:eastAsia="MS Mincho"/>
                <w:snapToGrid w:val="0"/>
                <w:kern w:val="22"/>
                <w:szCs w:val="22"/>
              </w:rPr>
              <w:t xml:space="preserve">, little tern </w:t>
            </w:r>
            <w:r w:rsidRPr="0088780C">
              <w:rPr>
                <w:rFonts w:eastAsia="MS Mincho"/>
                <w:i/>
                <w:snapToGrid w:val="0"/>
                <w:kern w:val="22"/>
                <w:szCs w:val="22"/>
              </w:rPr>
              <w:t>Sternula albifrons</w:t>
            </w:r>
            <w:r w:rsidRPr="0088780C">
              <w:rPr>
                <w:rFonts w:eastAsia="MS Mincho"/>
                <w:snapToGrid w:val="0"/>
                <w:kern w:val="22"/>
                <w:szCs w:val="22"/>
              </w:rPr>
              <w:t xml:space="preserve">, common gull-billed tern </w:t>
            </w:r>
            <w:r w:rsidRPr="0088780C">
              <w:rPr>
                <w:rFonts w:eastAsia="MS Mincho"/>
                <w:i/>
                <w:snapToGrid w:val="0"/>
                <w:kern w:val="22"/>
                <w:szCs w:val="22"/>
              </w:rPr>
              <w:t>Gelochelidon nilotica</w:t>
            </w:r>
            <w:r w:rsidRPr="0088780C">
              <w:rPr>
                <w:rFonts w:eastAsia="MS Mincho"/>
                <w:snapToGrid w:val="0"/>
                <w:kern w:val="22"/>
                <w:szCs w:val="22"/>
              </w:rPr>
              <w:t xml:space="preserve">, Sandwich tern </w:t>
            </w:r>
            <w:r w:rsidRPr="0088780C">
              <w:rPr>
                <w:rFonts w:eastAsia="MS Mincho"/>
                <w:i/>
                <w:snapToGrid w:val="0"/>
                <w:kern w:val="22"/>
                <w:szCs w:val="22"/>
              </w:rPr>
              <w:t>Thalasseus sandvicensis</w:t>
            </w:r>
            <w:r w:rsidRPr="0088780C">
              <w:rPr>
                <w:rFonts w:eastAsia="MS Mincho"/>
                <w:snapToGrid w:val="0"/>
                <w:kern w:val="22"/>
                <w:szCs w:val="22"/>
              </w:rPr>
              <w:t xml:space="preserve"> and red-necked phalarope </w:t>
            </w:r>
            <w:r w:rsidRPr="0088780C">
              <w:rPr>
                <w:rFonts w:eastAsia="MS Mincho"/>
                <w:i/>
                <w:snapToGrid w:val="0"/>
                <w:kern w:val="22"/>
                <w:szCs w:val="22"/>
              </w:rPr>
              <w:t>Phalaropus lobatus</w:t>
            </w:r>
            <w:r w:rsidRPr="0088780C">
              <w:rPr>
                <w:rFonts w:eastAsia="MS Mincho"/>
                <w:snapToGrid w:val="0"/>
                <w:kern w:val="22"/>
                <w:szCs w:val="22"/>
              </w:rPr>
              <w:t xml:space="preserve"> (</w:t>
            </w:r>
            <w:r w:rsidRPr="0088780C">
              <w:rPr>
                <w:snapToGrid w:val="0"/>
                <w:kern w:val="22"/>
                <w:szCs w:val="22"/>
              </w:rPr>
              <w:t xml:space="preserve">BirdLife International, 2017a; BirdLife International </w:t>
            </w:r>
            <w:r w:rsidRPr="0088780C">
              <w:rPr>
                <w:i/>
                <w:snapToGrid w:val="0"/>
                <w:kern w:val="22"/>
                <w:szCs w:val="22"/>
              </w:rPr>
              <w:t>unpublished data</w:t>
            </w:r>
            <w:r w:rsidRPr="0088780C">
              <w:rPr>
                <w:snapToGrid w:val="0"/>
                <w:kern w:val="22"/>
                <w:szCs w:val="22"/>
              </w:rPr>
              <w:t>).</w:t>
            </w:r>
          </w:p>
        </w:tc>
      </w:tr>
      <w:tr w:rsidR="00A876F3" w:rsidRPr="0088780C" w14:paraId="68FDFD83" w14:textId="77777777" w:rsidTr="006972AD">
        <w:tc>
          <w:tcPr>
            <w:tcW w:w="779" w:type="pct"/>
            <w:shd w:val="clear" w:color="auto" w:fill="auto"/>
          </w:tcPr>
          <w:p w14:paraId="6B4C0B3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Vulnerability, fragility, sensitivity, or slow recovery</w:t>
            </w:r>
          </w:p>
        </w:tc>
        <w:tc>
          <w:tcPr>
            <w:tcW w:w="2280" w:type="pct"/>
            <w:shd w:val="clear" w:color="auto" w:fill="auto"/>
          </w:tcPr>
          <w:p w14:paraId="5F56493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0C43AAE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0" w:type="pct"/>
            <w:gridSpan w:val="2"/>
            <w:shd w:val="clear" w:color="auto" w:fill="auto"/>
          </w:tcPr>
          <w:p w14:paraId="1B005DA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78157B3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36" w:type="pct"/>
            <w:gridSpan w:val="2"/>
            <w:shd w:val="clear" w:color="auto" w:fill="auto"/>
          </w:tcPr>
          <w:p w14:paraId="6B2441D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51AA4037" w14:textId="77777777" w:rsidTr="006972AD">
        <w:tc>
          <w:tcPr>
            <w:tcW w:w="5000" w:type="pct"/>
            <w:gridSpan w:val="11"/>
            <w:shd w:val="clear" w:color="auto" w:fill="auto"/>
          </w:tcPr>
          <w:p w14:paraId="72F37DE7"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0231F5AB"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 xml:space="preserve">There is a high proportion of threatened species, sensitive to environmental changes, especially considering the highly dynamic natural factors combined with anthropogenic environment conditions in the area. Among the environmental conditions, the following could be mentioned: high risk of nutrient pollution and consequently, eutrophication, high rate of siltation, rapid changing of coastline due to erosion/deposition processes (Nicolaev et al., 2015). The area is of high importance to the vulnerable yelkouan shearwater </w:t>
            </w:r>
            <w:r w:rsidRPr="0088780C">
              <w:rPr>
                <w:i/>
                <w:snapToGrid w:val="0"/>
                <w:kern w:val="22"/>
                <w:szCs w:val="22"/>
              </w:rPr>
              <w:t>Puffinus yelkouan</w:t>
            </w:r>
            <w:r w:rsidRPr="0088780C">
              <w:rPr>
                <w:rFonts w:eastAsia="MS Mincho"/>
                <w:snapToGrid w:val="0"/>
                <w:kern w:val="22"/>
                <w:szCs w:val="22"/>
              </w:rPr>
              <w:t>, a long-lived species with low fecundity and late sexual maturity, which is particularly vulnerable to factors increasing adult mortality rates, such as by-catch in fisheries and other at-sea threats (often considered the major causes of population decline; Anderson et al. 2011; Oppel et al. 2011).</w:t>
            </w:r>
          </w:p>
        </w:tc>
      </w:tr>
      <w:tr w:rsidR="00A876F3" w:rsidRPr="0088780C" w14:paraId="7C7ED625" w14:textId="77777777" w:rsidTr="006972AD">
        <w:tc>
          <w:tcPr>
            <w:tcW w:w="779" w:type="pct"/>
            <w:shd w:val="clear" w:color="auto" w:fill="auto"/>
          </w:tcPr>
          <w:p w14:paraId="0B6E667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Biological productivity</w:t>
            </w:r>
          </w:p>
        </w:tc>
        <w:tc>
          <w:tcPr>
            <w:tcW w:w="2280" w:type="pct"/>
            <w:shd w:val="clear" w:color="auto" w:fill="auto"/>
          </w:tcPr>
          <w:p w14:paraId="255C82B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containing species, populations or communities with comparatively higher natural biological productivity.</w:t>
            </w:r>
          </w:p>
        </w:tc>
        <w:tc>
          <w:tcPr>
            <w:tcW w:w="684" w:type="pct"/>
            <w:gridSpan w:val="3"/>
            <w:shd w:val="clear" w:color="auto" w:fill="auto"/>
          </w:tcPr>
          <w:p w14:paraId="6910ABB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0" w:type="pct"/>
            <w:gridSpan w:val="2"/>
            <w:shd w:val="clear" w:color="auto" w:fill="auto"/>
          </w:tcPr>
          <w:p w14:paraId="3F9916A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6F07BA5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c>
          <w:tcPr>
            <w:tcW w:w="436" w:type="pct"/>
            <w:gridSpan w:val="2"/>
            <w:shd w:val="clear" w:color="auto" w:fill="auto"/>
          </w:tcPr>
          <w:p w14:paraId="1684B77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r>
      <w:tr w:rsidR="00A876F3" w:rsidRPr="0088780C" w14:paraId="3483FA98" w14:textId="77777777" w:rsidTr="006972AD">
        <w:tc>
          <w:tcPr>
            <w:tcW w:w="5000" w:type="pct"/>
            <w:gridSpan w:val="11"/>
            <w:shd w:val="clear" w:color="auto" w:fill="auto"/>
          </w:tcPr>
          <w:p w14:paraId="28EA570F"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411A999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Biological productivity, although not so high, as studied in the late 1960s, is given by high number of phytoplankton species, both freshwater and brackish water species, which serve as food for zooplankton species, also of freshwater and brackish water origin. Fodder zooplankton is used by pelagic fish species in the area, thus, insuring the pelagic productivity (Petran, 1997; Abaza et al., 2006ab). Also, bottom invertebrate species represent an important food resource for demersal fish species such as sturgeons and turbot (Dumitrache et al., 2013).</w:t>
            </w:r>
          </w:p>
        </w:tc>
      </w:tr>
      <w:tr w:rsidR="00A876F3" w:rsidRPr="0088780C" w14:paraId="1C11C108" w14:textId="77777777" w:rsidTr="006972AD">
        <w:tc>
          <w:tcPr>
            <w:tcW w:w="779" w:type="pct"/>
            <w:shd w:val="clear" w:color="auto" w:fill="auto"/>
          </w:tcPr>
          <w:p w14:paraId="46317BE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Biological diversity</w:t>
            </w:r>
          </w:p>
        </w:tc>
        <w:tc>
          <w:tcPr>
            <w:tcW w:w="2280" w:type="pct"/>
            <w:shd w:val="clear" w:color="auto" w:fill="auto"/>
          </w:tcPr>
          <w:p w14:paraId="736B08D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contains comparatively higher diversity of ecosystems, habitats, communities, or species, or has higher genetic diversity.</w:t>
            </w:r>
          </w:p>
        </w:tc>
        <w:tc>
          <w:tcPr>
            <w:tcW w:w="684" w:type="pct"/>
            <w:gridSpan w:val="3"/>
            <w:shd w:val="clear" w:color="auto" w:fill="auto"/>
          </w:tcPr>
          <w:p w14:paraId="6C3FC5B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0" w:type="pct"/>
            <w:gridSpan w:val="2"/>
            <w:shd w:val="clear" w:color="auto" w:fill="auto"/>
          </w:tcPr>
          <w:p w14:paraId="65922AE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33846C6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c>
          <w:tcPr>
            <w:tcW w:w="436" w:type="pct"/>
            <w:gridSpan w:val="2"/>
            <w:shd w:val="clear" w:color="auto" w:fill="auto"/>
          </w:tcPr>
          <w:p w14:paraId="7A409E9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r>
      <w:tr w:rsidR="00A876F3" w:rsidRPr="0088780C" w14:paraId="1D8B180D" w14:textId="77777777" w:rsidTr="006972AD">
        <w:tc>
          <w:tcPr>
            <w:tcW w:w="5000" w:type="pct"/>
            <w:gridSpan w:val="11"/>
            <w:shd w:val="clear" w:color="auto" w:fill="auto"/>
          </w:tcPr>
          <w:p w14:paraId="70271B35"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274BAF26" w14:textId="6ABA0072"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 xml:space="preserve">There are diverse species from all functional groups: phytoplankton, zooplankton, zoobenthos (e.g., sandy-bottom bivalve species as </w:t>
            </w:r>
            <w:r w:rsidRPr="0088780C">
              <w:rPr>
                <w:rFonts w:eastAsia="MS Mincho"/>
                <w:i/>
                <w:snapToGrid w:val="0"/>
                <w:kern w:val="22"/>
                <w:szCs w:val="22"/>
              </w:rPr>
              <w:t>Lentidium mediterraneum</w:t>
            </w:r>
            <w:r w:rsidRPr="0088780C">
              <w:rPr>
                <w:rFonts w:eastAsia="MS Mincho"/>
                <w:snapToGrid w:val="0"/>
                <w:kern w:val="22"/>
                <w:szCs w:val="22"/>
              </w:rPr>
              <w:t xml:space="preserve">, </w:t>
            </w:r>
            <w:r w:rsidRPr="0088780C">
              <w:rPr>
                <w:rFonts w:eastAsia="MS Mincho"/>
                <w:i/>
                <w:snapToGrid w:val="0"/>
                <w:kern w:val="22"/>
                <w:szCs w:val="22"/>
              </w:rPr>
              <w:t>Cerastoderema glaucum</w:t>
            </w:r>
            <w:r w:rsidRPr="0088780C">
              <w:rPr>
                <w:rFonts w:eastAsia="MS Mincho"/>
                <w:snapToGrid w:val="0"/>
                <w:kern w:val="22"/>
                <w:szCs w:val="22"/>
              </w:rPr>
              <w:t xml:space="preserve">) or bivalves inhabiting sandy-muddy bottoms as </w:t>
            </w:r>
            <w:r w:rsidRPr="0088780C">
              <w:rPr>
                <w:rFonts w:eastAsia="MS Mincho"/>
                <w:i/>
                <w:snapToGrid w:val="0"/>
                <w:kern w:val="22"/>
                <w:szCs w:val="22"/>
              </w:rPr>
              <w:t>Spisula subtruncata</w:t>
            </w:r>
            <w:r w:rsidRPr="0088780C">
              <w:rPr>
                <w:rFonts w:eastAsia="MS Mincho"/>
                <w:snapToGrid w:val="0"/>
                <w:kern w:val="22"/>
                <w:szCs w:val="22"/>
              </w:rPr>
              <w:t xml:space="preserve">, </w:t>
            </w:r>
            <w:r w:rsidRPr="0088780C">
              <w:rPr>
                <w:rFonts w:eastAsia="MS Mincho"/>
                <w:i/>
                <w:snapToGrid w:val="0"/>
                <w:kern w:val="22"/>
                <w:szCs w:val="22"/>
              </w:rPr>
              <w:t>Mya arenaria</w:t>
            </w:r>
            <w:r w:rsidRPr="0088780C">
              <w:rPr>
                <w:rFonts w:eastAsia="MS Mincho"/>
                <w:snapToGrid w:val="0"/>
                <w:kern w:val="22"/>
                <w:szCs w:val="22"/>
              </w:rPr>
              <w:t xml:space="preserve">, </w:t>
            </w:r>
            <w:r w:rsidRPr="0088780C">
              <w:rPr>
                <w:rFonts w:eastAsia="MS Mincho"/>
                <w:i/>
                <w:snapToGrid w:val="0"/>
                <w:kern w:val="22"/>
                <w:szCs w:val="22"/>
              </w:rPr>
              <w:t>Anadara kagoshimensis</w:t>
            </w:r>
            <w:r w:rsidRPr="0088780C">
              <w:rPr>
                <w:rFonts w:eastAsia="MS Mincho"/>
                <w:snapToGrid w:val="0"/>
                <w:kern w:val="22"/>
                <w:szCs w:val="22"/>
              </w:rPr>
              <w:t xml:space="preserve">, </w:t>
            </w:r>
            <w:r w:rsidRPr="0088780C">
              <w:rPr>
                <w:rFonts w:eastAsia="MS Mincho"/>
                <w:i/>
                <w:snapToGrid w:val="0"/>
                <w:kern w:val="22"/>
                <w:szCs w:val="22"/>
              </w:rPr>
              <w:t>Mytilus galloprovincialis</w:t>
            </w:r>
            <w:r w:rsidRPr="0088780C">
              <w:rPr>
                <w:rFonts w:eastAsia="MS Mincho"/>
                <w:snapToGrid w:val="0"/>
                <w:kern w:val="22"/>
                <w:szCs w:val="22"/>
              </w:rPr>
              <w:t xml:space="preserve"> etc.) (Abaza et al., 2006ab, Dumitrache et al., 2013), fish (e.g. sturgeons, shads, anchovy, sprat, salmon, trout, whiting, turbot, spiny dogfish, etc.), marine mammals (common dolphin, bottlenose dolphin and </w:t>
            </w:r>
            <w:r w:rsidR="00564FE7" w:rsidRPr="0088780C">
              <w:rPr>
                <w:rFonts w:eastAsia="MS Mincho"/>
                <w:snapToGrid w:val="0"/>
                <w:kern w:val="22"/>
                <w:szCs w:val="22"/>
              </w:rPr>
              <w:t>harbour porpoise</w:t>
            </w:r>
            <w:r w:rsidRPr="0088780C">
              <w:rPr>
                <w:rFonts w:eastAsia="MS Mincho"/>
                <w:snapToGrid w:val="0"/>
                <w:kern w:val="22"/>
                <w:szCs w:val="22"/>
              </w:rPr>
              <w:t>). Other important species inhabiting the area are birds on the shore surrounding the area, most of them considered threatened, both at global and regional scales (</w:t>
            </w:r>
            <w:r w:rsidRPr="0088780C">
              <w:rPr>
                <w:snapToGrid w:val="0"/>
                <w:kern w:val="22"/>
                <w:szCs w:val="22"/>
              </w:rPr>
              <w:t>BirdLife International, 2017a).</w:t>
            </w:r>
          </w:p>
        </w:tc>
      </w:tr>
      <w:tr w:rsidR="00A876F3" w:rsidRPr="0088780C" w14:paraId="1F1EBC2C" w14:textId="77777777" w:rsidTr="006972AD">
        <w:trPr>
          <w:trHeight w:val="1079"/>
        </w:trPr>
        <w:tc>
          <w:tcPr>
            <w:tcW w:w="783" w:type="pct"/>
            <w:shd w:val="clear" w:color="auto" w:fill="auto"/>
          </w:tcPr>
          <w:p w14:paraId="7C267CFE"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kern w:val="22"/>
                <w:szCs w:val="22"/>
              </w:rPr>
            </w:pPr>
            <w:r w:rsidRPr="0088780C">
              <w:rPr>
                <w:rFonts w:eastAsia="MS Mincho"/>
                <w:b/>
                <w:snapToGrid w:val="0"/>
                <w:kern w:val="22"/>
                <w:szCs w:val="22"/>
              </w:rPr>
              <w:t>Naturalness</w:t>
            </w:r>
          </w:p>
        </w:tc>
        <w:tc>
          <w:tcPr>
            <w:tcW w:w="2295" w:type="pct"/>
            <w:gridSpan w:val="2"/>
            <w:shd w:val="clear" w:color="auto" w:fill="auto"/>
          </w:tcPr>
          <w:p w14:paraId="6B96070B"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Area with a comparatively higher degree of naturalness because of the lack of or low level of human-induced disturbance or degradation.</w:t>
            </w:r>
          </w:p>
        </w:tc>
        <w:tc>
          <w:tcPr>
            <w:tcW w:w="684" w:type="pct"/>
            <w:gridSpan w:val="3"/>
            <w:shd w:val="clear" w:color="auto" w:fill="auto"/>
          </w:tcPr>
          <w:p w14:paraId="75992B0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p>
        </w:tc>
        <w:tc>
          <w:tcPr>
            <w:tcW w:w="453" w:type="pct"/>
            <w:gridSpan w:val="2"/>
            <w:shd w:val="clear" w:color="auto" w:fill="auto"/>
          </w:tcPr>
          <w:p w14:paraId="10158DE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r w:rsidRPr="0088780C">
              <w:rPr>
                <w:rFonts w:eastAsia="MS Mincho"/>
                <w:snapToGrid w:val="0"/>
                <w:kern w:val="22"/>
                <w:szCs w:val="22"/>
              </w:rPr>
              <w:t>X</w:t>
            </w:r>
          </w:p>
        </w:tc>
        <w:tc>
          <w:tcPr>
            <w:tcW w:w="400" w:type="pct"/>
            <w:gridSpan w:val="2"/>
            <w:shd w:val="clear" w:color="auto" w:fill="auto"/>
          </w:tcPr>
          <w:p w14:paraId="25F0C9D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p>
        </w:tc>
        <w:tc>
          <w:tcPr>
            <w:tcW w:w="385" w:type="pct"/>
            <w:shd w:val="clear" w:color="auto" w:fill="auto"/>
          </w:tcPr>
          <w:p w14:paraId="217BA2B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p>
        </w:tc>
      </w:tr>
      <w:tr w:rsidR="00A876F3" w:rsidRPr="0088780C" w14:paraId="42A59308" w14:textId="77777777" w:rsidTr="006972AD">
        <w:tc>
          <w:tcPr>
            <w:tcW w:w="5000" w:type="pct"/>
            <w:gridSpan w:val="11"/>
            <w:shd w:val="clear" w:color="auto" w:fill="auto"/>
          </w:tcPr>
          <w:p w14:paraId="7925AE76"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35A2D3D6"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The coast adjacent to this area is mainly uninhabited, and coastal defense structures are maintained at lowest possible levels. Its naturalness is dictated by the strong influence of the Danube, which creates a very dynamic environment, characterized by large quantities of sediment input, rapid changes of coastline due to erosion/deposition (Diaconeasa et al., 2013) and variable nutrient inputs (Lazar et al., 2013; DDBR Management Plan, 2015).</w:t>
            </w:r>
          </w:p>
        </w:tc>
      </w:tr>
    </w:tbl>
    <w:p w14:paraId="65066F0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2DE2035" w14:textId="77777777" w:rsidR="00A876F3" w:rsidRPr="0088780C" w:rsidRDefault="00A876F3" w:rsidP="001013AF">
      <w:pPr>
        <w:suppressLineNumbers/>
        <w:suppressAutoHyphens/>
        <w:kinsoku w:val="0"/>
        <w:overflowPunct w:val="0"/>
        <w:autoSpaceDE w:val="0"/>
        <w:autoSpaceDN w:val="0"/>
        <w:adjustRightInd w:val="0"/>
        <w:spacing w:after="60"/>
        <w:rPr>
          <w:rFonts w:eastAsia="MS Mincho"/>
          <w:b/>
          <w:snapToGrid w:val="0"/>
          <w:kern w:val="22"/>
          <w:szCs w:val="22"/>
        </w:rPr>
      </w:pPr>
      <w:r w:rsidRPr="0088780C">
        <w:rPr>
          <w:rFonts w:eastAsia="MS Mincho"/>
          <w:b/>
          <w:snapToGrid w:val="0"/>
          <w:kern w:val="22"/>
          <w:szCs w:val="22"/>
        </w:rPr>
        <w:t>References</w:t>
      </w:r>
    </w:p>
    <w:p w14:paraId="5E8661BA"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Abaza, V., Boicenco L., Bologa A.S., Dumitrache C., Moldoveanu M., Sburlea A., Staicu I., Timofte F., 2006a. Biodiversity structure from the Romanian marine area. Cercetări marine - Recherches marines, INCDM Constanta, 36: 15-29.</w:t>
      </w:r>
    </w:p>
    <w:p w14:paraId="645FF98E" w14:textId="1ED35B2A"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Abaza, V., Boicenco L., Moldoveanu M., Timofte F., Bologa A.S., Sburlea A, Dumitrache C., Staicu I., Radu Gh., 2006b - Evolution of marine biodiversity status at the Romanian Black Sea coast as result of anthropogenic modifications in the last decades. 1st Biannual Scientific Conference </w:t>
      </w:r>
      <w:r w:rsidR="00D8482D" w:rsidRPr="0088780C">
        <w:rPr>
          <w:snapToGrid w:val="0"/>
          <w:kern w:val="22"/>
          <w:szCs w:val="22"/>
        </w:rPr>
        <w:t>“</w:t>
      </w:r>
      <w:r w:rsidRPr="0088780C">
        <w:rPr>
          <w:snapToGrid w:val="0"/>
          <w:kern w:val="22"/>
          <w:szCs w:val="22"/>
        </w:rPr>
        <w:t>Black Sea Ecosystem 2005 and Beyond - 8-10 May 2006, Istanbul, Turkey (electronic proceedings): 413-429.</w:t>
      </w:r>
    </w:p>
    <w:p w14:paraId="50F5A662"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Anderson, O.R.J., Small, C., Croxall, J.P., Dunn, E.K., Sullivan, B.J., Yates, O. &amp; Black, A., 2011. Global seabird bycatch in longline fisheries. Endangered Species Research 14: 91–106</w:t>
      </w:r>
    </w:p>
    <w:p w14:paraId="7AFCE9B8"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BirdLife International 2017a. Important Bird Areas factsheet: </w:t>
      </w:r>
      <w:r w:rsidRPr="0088780C">
        <w:rPr>
          <w:snapToGrid w:val="0"/>
          <w:color w:val="333333"/>
          <w:kern w:val="22"/>
          <w:szCs w:val="22"/>
          <w:shd w:val="clear" w:color="auto" w:fill="FFFFFF"/>
        </w:rPr>
        <w:t>Black Sea</w:t>
      </w:r>
      <w:r w:rsidRPr="0088780C">
        <w:rPr>
          <w:snapToGrid w:val="0"/>
          <w:kern w:val="22"/>
          <w:szCs w:val="22"/>
        </w:rPr>
        <w:t>. Downloaded from http://datazone.birdlife.org/site/factsheet/black-sea-iba-romania/details on 05/04/2017.</w:t>
      </w:r>
    </w:p>
    <w:p w14:paraId="539F3C2B"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BirdLife International, 2017b. Species factsheet: </w:t>
      </w:r>
      <w:r w:rsidRPr="0088780C">
        <w:rPr>
          <w:i/>
          <w:snapToGrid w:val="0"/>
          <w:kern w:val="22"/>
          <w:szCs w:val="22"/>
        </w:rPr>
        <w:t>Puffinus yelkouan</w:t>
      </w:r>
      <w:r w:rsidRPr="0088780C">
        <w:rPr>
          <w:snapToGrid w:val="0"/>
          <w:kern w:val="22"/>
          <w:szCs w:val="22"/>
        </w:rPr>
        <w:t>. Downloaded from http://www.birdlife.org on 10/03/2017.</w:t>
      </w:r>
    </w:p>
    <w:p w14:paraId="1ED40F12"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BirdLife International 2017c. IUCN Red List for birds. Downloaded from http://www.birdlife.org on 05/04/2017.</w:t>
      </w:r>
    </w:p>
    <w:p w14:paraId="4852EA06"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snapToGrid w:val="0"/>
          <w:kern w:val="22"/>
          <w:szCs w:val="22"/>
        </w:rPr>
        <w:t xml:space="preserve">BirdLife International </w:t>
      </w:r>
      <w:r w:rsidRPr="0088780C">
        <w:rPr>
          <w:i/>
          <w:snapToGrid w:val="0"/>
          <w:kern w:val="22"/>
          <w:szCs w:val="22"/>
        </w:rPr>
        <w:t>unpublished data.</w:t>
      </w:r>
    </w:p>
    <w:p w14:paraId="2FE8C2C5"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 xml:space="preserve">Birkun A Jr, Northridge S P, Willsteed E A, James F A, Kilgour C, Lander M, Fitzgerald G, 2014. Adverse Fisheries Impacts on Cetacean Populations in the Black Sea (DG MARE Final Report) </w:t>
      </w:r>
    </w:p>
    <w:p w14:paraId="0F84CA33"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Băcescu, M., Müller, G.I., Gomoiu, M.T., 1971. Cercetări de ecologie bentală în Marea Neagră – Analiza cantitativă, calitativă şi comparată a faunei bentale pontice - în </w:t>
      </w:r>
      <w:r w:rsidRPr="0088780C">
        <w:rPr>
          <w:i/>
          <w:iCs/>
          <w:snapToGrid w:val="0"/>
          <w:kern w:val="22"/>
          <w:szCs w:val="22"/>
        </w:rPr>
        <w:t>Ecologie Marină</w:t>
      </w:r>
      <w:r w:rsidRPr="0088780C">
        <w:rPr>
          <w:snapToGrid w:val="0"/>
          <w:kern w:val="22"/>
          <w:szCs w:val="22"/>
        </w:rPr>
        <w:t xml:space="preserve"> </w:t>
      </w:r>
      <w:r w:rsidRPr="0088780C">
        <w:rPr>
          <w:b/>
          <w:bCs/>
          <w:snapToGrid w:val="0"/>
          <w:kern w:val="22"/>
          <w:szCs w:val="22"/>
        </w:rPr>
        <w:t>4</w:t>
      </w:r>
      <w:r w:rsidRPr="0088780C">
        <w:rPr>
          <w:snapToGrid w:val="0"/>
          <w:kern w:val="22"/>
          <w:szCs w:val="22"/>
        </w:rPr>
        <w:t>: 357 pp.</w:t>
      </w:r>
    </w:p>
    <w:p w14:paraId="744DB6B4"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D. Diaconeasa, S. Petrisoaia, Ghe. Munteanu, R. Mateescu, A. Spinu, 2013. Evolution of the Black Sea Shore in the Danube Delta Biosphere Reserve Area, Cercetari Marine-Recherches Marines, </w:t>
      </w:r>
      <w:r w:rsidRPr="0088780C">
        <w:rPr>
          <w:b/>
          <w:snapToGrid w:val="0"/>
          <w:kern w:val="22"/>
          <w:szCs w:val="22"/>
        </w:rPr>
        <w:t>43</w:t>
      </w:r>
      <w:r w:rsidRPr="0088780C">
        <w:rPr>
          <w:snapToGrid w:val="0"/>
          <w:kern w:val="22"/>
          <w:szCs w:val="22"/>
        </w:rPr>
        <w:t>: 139-148</w:t>
      </w:r>
    </w:p>
    <w:p w14:paraId="64670FB9"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Doğa Derneği, 2014. Black Sea Seabirds Project Layman’s report, Istanbul.</w:t>
      </w:r>
    </w:p>
    <w:p w14:paraId="60D3219E"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Dumitrache C., Filimon A., Abaza V., Zaharia T., 2013. Recent data on benthic populations from the sandy bottom community in the marine zone of the Danube Delta Biosphere Reserve (ROSCI0066). </w:t>
      </w:r>
      <w:r w:rsidRPr="0088780C">
        <w:rPr>
          <w:i/>
          <w:snapToGrid w:val="0"/>
          <w:kern w:val="22"/>
          <w:szCs w:val="22"/>
        </w:rPr>
        <w:t>Cercetari Marine-Recherches Marines</w:t>
      </w:r>
      <w:r w:rsidRPr="0088780C">
        <w:rPr>
          <w:snapToGrid w:val="0"/>
          <w:kern w:val="22"/>
          <w:szCs w:val="22"/>
        </w:rPr>
        <w:t xml:space="preserve">, </w:t>
      </w:r>
      <w:r w:rsidRPr="0088780C">
        <w:rPr>
          <w:b/>
          <w:snapToGrid w:val="0"/>
          <w:kern w:val="22"/>
          <w:szCs w:val="22"/>
        </w:rPr>
        <w:t>43</w:t>
      </w:r>
      <w:r w:rsidRPr="0088780C">
        <w:rPr>
          <w:snapToGrid w:val="0"/>
          <w:kern w:val="22"/>
          <w:szCs w:val="22"/>
        </w:rPr>
        <w:t>: 219-231</w:t>
      </w:r>
    </w:p>
    <w:p w14:paraId="1EBD9C71" w14:textId="4F30BB51"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Lazar L., Boicenco L., Coatu V., Oros A. Tiganus D., Mihailov M.E., 2013. Nutrient level and eutrophication of the Romanian Black Sea waters (2006-2011)</w:t>
      </w:r>
      <w:r w:rsidR="0022212C" w:rsidRPr="0088780C">
        <w:rPr>
          <w:snapToGrid w:val="0"/>
          <w:kern w:val="22"/>
          <w:szCs w:val="22"/>
        </w:rPr>
        <w:t xml:space="preserve"> </w:t>
      </w:r>
      <w:r w:rsidRPr="0088780C">
        <w:rPr>
          <w:snapToGrid w:val="0"/>
          <w:kern w:val="22"/>
          <w:szCs w:val="22"/>
        </w:rPr>
        <w:t xml:space="preserve">- Assessment related to the Marine Strategy Framework Directive implementation. Cercetari Marine – Recherches Marines, </w:t>
      </w:r>
      <w:r w:rsidRPr="0088780C">
        <w:rPr>
          <w:b/>
          <w:snapToGrid w:val="0"/>
          <w:kern w:val="22"/>
          <w:szCs w:val="22"/>
        </w:rPr>
        <w:t>43</w:t>
      </w:r>
      <w:r w:rsidRPr="0088780C">
        <w:rPr>
          <w:snapToGrid w:val="0"/>
          <w:kern w:val="22"/>
          <w:szCs w:val="22"/>
        </w:rPr>
        <w:t>: 162-173</w:t>
      </w:r>
    </w:p>
    <w:p w14:paraId="6B27600F"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Micu D., Tania Zaharia, Valentina Todorova, V. Nita, 2007 - </w:t>
      </w:r>
      <w:r w:rsidRPr="0088780C">
        <w:rPr>
          <w:i/>
          <w:iCs/>
          <w:snapToGrid w:val="0"/>
          <w:kern w:val="22"/>
          <w:szCs w:val="22"/>
          <w:lang w:val="ro-RO"/>
        </w:rPr>
        <w:t>Habitate marine romanesti de interes european</w:t>
      </w:r>
      <w:r w:rsidRPr="0088780C">
        <w:rPr>
          <w:snapToGrid w:val="0"/>
          <w:kern w:val="22"/>
          <w:szCs w:val="22"/>
        </w:rPr>
        <w:t>, ed. Punct Ochit Constanta, 30 p., ISBN 978-973-88566-1-5</w:t>
      </w:r>
    </w:p>
    <w:p w14:paraId="609D0473"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Nicolaev S., Zaharia T., Maximov V., 2015a. Marine Protected Areas. Life in the Black Sea – Sites of Community Importance along the Romanian Black Sea Coast. Booklet Aureo Publ., 68pp.</w:t>
      </w:r>
    </w:p>
    <w:p w14:paraId="02C0AA4A"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Nicolaev et al., 2015b. Report on the State of Marine and Coastal Environment in 2014, </w:t>
      </w:r>
      <w:r w:rsidRPr="0088780C">
        <w:rPr>
          <w:i/>
          <w:snapToGrid w:val="0"/>
          <w:kern w:val="22"/>
          <w:szCs w:val="22"/>
        </w:rPr>
        <w:t>Cercetari Marine – Recherches Marines</w:t>
      </w:r>
      <w:r w:rsidRPr="0088780C">
        <w:rPr>
          <w:snapToGrid w:val="0"/>
          <w:kern w:val="22"/>
          <w:szCs w:val="22"/>
        </w:rPr>
        <w:t xml:space="preserve">, </w:t>
      </w:r>
      <w:r w:rsidRPr="0088780C">
        <w:rPr>
          <w:b/>
          <w:snapToGrid w:val="0"/>
          <w:kern w:val="22"/>
          <w:szCs w:val="22"/>
        </w:rPr>
        <w:t>45</w:t>
      </w:r>
      <w:r w:rsidRPr="0088780C">
        <w:rPr>
          <w:snapToGrid w:val="0"/>
          <w:kern w:val="22"/>
          <w:szCs w:val="22"/>
        </w:rPr>
        <w:t>:4-159.</w:t>
      </w:r>
    </w:p>
    <w:p w14:paraId="34518BAF" w14:textId="2D5D2D0E"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NIMRD, 2012. Report on the State of the Marine and Coastal Environment in 2011. </w:t>
      </w:r>
      <w:r w:rsidRPr="0088780C">
        <w:rPr>
          <w:i/>
          <w:iCs/>
          <w:snapToGrid w:val="0"/>
          <w:kern w:val="22"/>
          <w:szCs w:val="22"/>
        </w:rPr>
        <w:t>Cercetari Marine – Recherches Marines</w:t>
      </w:r>
      <w:r w:rsidRPr="0088780C">
        <w:rPr>
          <w:snapToGrid w:val="0"/>
          <w:kern w:val="22"/>
          <w:szCs w:val="22"/>
        </w:rPr>
        <w:t xml:space="preserve">: </w:t>
      </w:r>
      <w:r w:rsidRPr="0088780C">
        <w:rPr>
          <w:b/>
          <w:bCs/>
          <w:snapToGrid w:val="0"/>
          <w:kern w:val="22"/>
          <w:szCs w:val="22"/>
        </w:rPr>
        <w:t>42</w:t>
      </w:r>
      <w:r w:rsidRPr="0088780C">
        <w:rPr>
          <w:snapToGrid w:val="0"/>
          <w:kern w:val="22"/>
          <w:szCs w:val="22"/>
        </w:rPr>
        <w:t>: 5-92</w:t>
      </w:r>
    </w:p>
    <w:p w14:paraId="37689843"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 Oppel S., Raine, A.F., Borg, J.J., Raine, H., Bonnaud, E., Bourgeois, K., Breton, AR., 2011.  Is the Yelkouan shearwater </w:t>
      </w:r>
      <w:r w:rsidRPr="0088780C">
        <w:rPr>
          <w:i/>
          <w:snapToGrid w:val="0"/>
          <w:kern w:val="22"/>
          <w:szCs w:val="22"/>
        </w:rPr>
        <w:t>Puffinus yelkouan</w:t>
      </w:r>
      <w:r w:rsidRPr="0088780C">
        <w:rPr>
          <w:snapToGrid w:val="0"/>
          <w:kern w:val="22"/>
          <w:szCs w:val="22"/>
        </w:rPr>
        <w:t xml:space="preserve"> threatened by low adult survival probabilities? Biological Conservation 114: 2255- 2263.</w:t>
      </w:r>
    </w:p>
    <w:p w14:paraId="42A60B18"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Ortega M.P., İsfendiyaroğlu S., 2017. Predicting foraging hotspots for Yelkouan Shearwater in the Black Sea. Deep-Sea Research Part II </w:t>
      </w:r>
      <w:r w:rsidRPr="0088780C">
        <w:rPr>
          <w:i/>
          <w:snapToGrid w:val="0"/>
          <w:kern w:val="22"/>
          <w:szCs w:val="22"/>
        </w:rPr>
        <w:t>in press</w:t>
      </w:r>
    </w:p>
    <w:p w14:paraId="77047FDE" w14:textId="6A9640E9"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Petranu A. (Ed.), 1997 - </w:t>
      </w:r>
      <w:r w:rsidRPr="0088780C">
        <w:rPr>
          <w:i/>
          <w:snapToGrid w:val="0"/>
          <w:kern w:val="22"/>
          <w:szCs w:val="22"/>
        </w:rPr>
        <w:t>Black Sea Biological Diversity, Romania</w:t>
      </w:r>
      <w:r w:rsidRPr="0088780C">
        <w:rPr>
          <w:snapToGrid w:val="0"/>
          <w:kern w:val="22"/>
          <w:szCs w:val="22"/>
        </w:rPr>
        <w:t xml:space="preserve">, United Nations </w:t>
      </w:r>
      <w:r w:rsidR="0085679F" w:rsidRPr="0088780C">
        <w:rPr>
          <w:snapToGrid w:val="0"/>
          <w:kern w:val="22"/>
          <w:szCs w:val="22"/>
        </w:rPr>
        <w:t>p</w:t>
      </w:r>
      <w:r w:rsidRPr="0088780C">
        <w:rPr>
          <w:snapToGrid w:val="0"/>
          <w:kern w:val="22"/>
          <w:szCs w:val="22"/>
        </w:rPr>
        <w:t>ublication, New York, 314 pp</w:t>
      </w:r>
    </w:p>
    <w:p w14:paraId="02AA53ED"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Zaharia T., Anton E., Radu Gh., Cristea M, Maximov V., Nicolaev S.,Tiganov G., Suciu R., Navodaru I., Alexandrov L., Onciu T.-M.,Samargiu M., Fagaras M., Micu D., Nita V., 2013 - </w:t>
      </w:r>
      <w:r w:rsidRPr="0088780C">
        <w:rPr>
          <w:i/>
          <w:iCs/>
          <w:snapToGrid w:val="0"/>
          <w:kern w:val="22"/>
          <w:szCs w:val="22"/>
          <w:lang w:val="ro-RO"/>
        </w:rPr>
        <w:t>Ghid sintetic de</w:t>
      </w:r>
      <w:r w:rsidRPr="0088780C">
        <w:rPr>
          <w:snapToGrid w:val="0"/>
          <w:kern w:val="22"/>
          <w:szCs w:val="22"/>
          <w:lang w:val="ro-RO"/>
        </w:rPr>
        <w:t xml:space="preserve"> </w:t>
      </w:r>
      <w:r w:rsidRPr="0088780C">
        <w:rPr>
          <w:i/>
          <w:iCs/>
          <w:snapToGrid w:val="0"/>
          <w:kern w:val="22"/>
          <w:szCs w:val="22"/>
          <w:lang w:val="ro-RO"/>
        </w:rPr>
        <w:t>monitorizare pentru speciile marine si habitatele costiere si marine de interes comunitar</w:t>
      </w:r>
      <w:r w:rsidRPr="0088780C">
        <w:rPr>
          <w:snapToGrid w:val="0"/>
          <w:kern w:val="22"/>
          <w:szCs w:val="22"/>
          <w:lang w:val="ro-RO"/>
        </w:rPr>
        <w:t xml:space="preserve"> </w:t>
      </w:r>
      <w:r w:rsidRPr="0088780C">
        <w:rPr>
          <w:i/>
          <w:iCs/>
          <w:snapToGrid w:val="0"/>
          <w:kern w:val="22"/>
          <w:szCs w:val="22"/>
          <w:lang w:val="ro-RO"/>
        </w:rPr>
        <w:t>din Romania</w:t>
      </w:r>
      <w:r w:rsidRPr="0088780C">
        <w:rPr>
          <w:snapToGrid w:val="0"/>
          <w:kern w:val="22"/>
          <w:szCs w:val="22"/>
        </w:rPr>
        <w:t>, Ed. Boldas, Bucuresti, ISBN 978-606-8066-45-5, p. 17-42;</w:t>
      </w:r>
    </w:p>
    <w:p w14:paraId="5B624A57" w14:textId="77777777"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ROSCI0269 Natura 2000 Standard Data Form, 2015</w:t>
      </w:r>
    </w:p>
    <w:p w14:paraId="64CAE1FE" w14:textId="214507C8" w:rsidR="00A876F3" w:rsidRPr="0088780C" w:rsidRDefault="00A876F3"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Danube Delta Biosphere Reserve (DDBR) Management Plan, 2015</w:t>
      </w:r>
    </w:p>
    <w:p w14:paraId="564CBDD1" w14:textId="77777777" w:rsidR="00A876F3" w:rsidRPr="0088780C" w:rsidRDefault="00E7219D" w:rsidP="001013AF">
      <w:pPr>
        <w:suppressLineNumbers/>
        <w:suppressAutoHyphens/>
        <w:kinsoku w:val="0"/>
        <w:overflowPunct w:val="0"/>
        <w:autoSpaceDE w:val="0"/>
        <w:autoSpaceDN w:val="0"/>
        <w:adjustRightInd w:val="0"/>
        <w:spacing w:after="60"/>
        <w:rPr>
          <w:snapToGrid w:val="0"/>
          <w:kern w:val="22"/>
          <w:szCs w:val="22"/>
        </w:rPr>
      </w:pPr>
      <w:hyperlink r:id="rId98" w:history="1">
        <w:r w:rsidR="00A876F3" w:rsidRPr="0088780C">
          <w:rPr>
            <w:rStyle w:val="Hyperlink"/>
            <w:snapToGrid w:val="0"/>
            <w:kern w:val="22"/>
            <w:szCs w:val="22"/>
          </w:rPr>
          <w:t>http://circa.europa.eu/Public/irc/env/monnat/library?l=/habitats_reporting/reporting_20072012&amp;vm=detailed&amp;sb=Title</w:t>
        </w:r>
      </w:hyperlink>
      <w:r w:rsidR="00A876F3" w:rsidRPr="0088780C">
        <w:rPr>
          <w:snapToGrid w:val="0"/>
          <w:kern w:val="22"/>
          <w:szCs w:val="22"/>
        </w:rPr>
        <w:t xml:space="preserve"> </w:t>
      </w:r>
    </w:p>
    <w:p w14:paraId="591ACE05" w14:textId="77777777" w:rsidR="00A876F3" w:rsidRPr="0088780C" w:rsidRDefault="00E7219D" w:rsidP="001013AF">
      <w:pPr>
        <w:suppressLineNumbers/>
        <w:suppressAutoHyphens/>
        <w:kinsoku w:val="0"/>
        <w:overflowPunct w:val="0"/>
        <w:autoSpaceDE w:val="0"/>
        <w:autoSpaceDN w:val="0"/>
        <w:adjustRightInd w:val="0"/>
        <w:spacing w:after="60"/>
        <w:rPr>
          <w:snapToGrid w:val="0"/>
          <w:kern w:val="22"/>
          <w:szCs w:val="22"/>
        </w:rPr>
      </w:pPr>
      <w:hyperlink r:id="rId99" w:history="1">
        <w:r w:rsidR="00A876F3" w:rsidRPr="0088780C">
          <w:rPr>
            <w:rStyle w:val="Hyperlink"/>
            <w:snapToGrid w:val="0"/>
            <w:kern w:val="22"/>
            <w:szCs w:val="22"/>
          </w:rPr>
          <w:t>http://bd.eionet.europa.eu/article17/reference_portal</w:t>
        </w:r>
      </w:hyperlink>
      <w:r w:rsidR="00A876F3" w:rsidRPr="0088780C">
        <w:rPr>
          <w:snapToGrid w:val="0"/>
          <w:kern w:val="22"/>
          <w:szCs w:val="22"/>
        </w:rPr>
        <w:t xml:space="preserve"> </w:t>
      </w:r>
    </w:p>
    <w:p w14:paraId="745E8083" w14:textId="77777777" w:rsidR="00A876F3" w:rsidRPr="0088780C" w:rsidRDefault="00E7219D" w:rsidP="001013AF">
      <w:pPr>
        <w:suppressLineNumbers/>
        <w:suppressAutoHyphens/>
        <w:kinsoku w:val="0"/>
        <w:overflowPunct w:val="0"/>
        <w:autoSpaceDE w:val="0"/>
        <w:autoSpaceDN w:val="0"/>
        <w:adjustRightInd w:val="0"/>
        <w:spacing w:after="60"/>
        <w:rPr>
          <w:snapToGrid w:val="0"/>
          <w:kern w:val="22"/>
          <w:szCs w:val="22"/>
        </w:rPr>
      </w:pPr>
      <w:hyperlink r:id="rId100" w:history="1">
        <w:r w:rsidR="00A876F3" w:rsidRPr="0088780C">
          <w:rPr>
            <w:rStyle w:val="Hyperlink"/>
            <w:snapToGrid w:val="0"/>
            <w:kern w:val="22"/>
            <w:szCs w:val="22"/>
          </w:rPr>
          <w:t>http://cdr.eionet.europa.eu/ro/eu/art17/envurmdya</w:t>
        </w:r>
      </w:hyperlink>
      <w:r w:rsidR="00A876F3" w:rsidRPr="0088780C">
        <w:rPr>
          <w:snapToGrid w:val="0"/>
          <w:kern w:val="22"/>
          <w:szCs w:val="22"/>
        </w:rPr>
        <w:t xml:space="preserve"> </w:t>
      </w:r>
    </w:p>
    <w:p w14:paraId="6875149A" w14:textId="77777777" w:rsidR="00A876F3" w:rsidRPr="0088780C" w:rsidRDefault="00E7219D" w:rsidP="001013AF">
      <w:pPr>
        <w:suppressLineNumbers/>
        <w:suppressAutoHyphens/>
        <w:kinsoku w:val="0"/>
        <w:overflowPunct w:val="0"/>
        <w:autoSpaceDE w:val="0"/>
        <w:autoSpaceDN w:val="0"/>
        <w:adjustRightInd w:val="0"/>
        <w:spacing w:after="60"/>
        <w:rPr>
          <w:snapToGrid w:val="0"/>
          <w:kern w:val="22"/>
          <w:szCs w:val="22"/>
        </w:rPr>
      </w:pPr>
      <w:hyperlink r:id="rId101" w:history="1">
        <w:r w:rsidR="00A876F3" w:rsidRPr="0088780C">
          <w:rPr>
            <w:rStyle w:val="Hyperlink"/>
            <w:snapToGrid w:val="0"/>
            <w:kern w:val="22"/>
            <w:szCs w:val="22"/>
          </w:rPr>
          <w:t>www.blacksea-commission.org</w:t>
        </w:r>
      </w:hyperlink>
      <w:r w:rsidR="00A876F3" w:rsidRPr="0088780C">
        <w:rPr>
          <w:snapToGrid w:val="0"/>
          <w:kern w:val="22"/>
          <w:szCs w:val="22"/>
        </w:rPr>
        <w:t xml:space="preserve"> </w:t>
      </w:r>
    </w:p>
    <w:p w14:paraId="6EA45140" w14:textId="77777777" w:rsidR="00A876F3" w:rsidRPr="0088780C" w:rsidRDefault="00E7219D" w:rsidP="001013AF">
      <w:pPr>
        <w:suppressLineNumbers/>
        <w:suppressAutoHyphens/>
        <w:kinsoku w:val="0"/>
        <w:overflowPunct w:val="0"/>
        <w:autoSpaceDE w:val="0"/>
        <w:autoSpaceDN w:val="0"/>
        <w:adjustRightInd w:val="0"/>
        <w:spacing w:after="60"/>
        <w:rPr>
          <w:snapToGrid w:val="0"/>
          <w:kern w:val="22"/>
          <w:szCs w:val="22"/>
        </w:rPr>
      </w:pPr>
      <w:hyperlink r:id="rId102" w:history="1">
        <w:r w:rsidR="00A876F3" w:rsidRPr="0088780C">
          <w:rPr>
            <w:rStyle w:val="Hyperlink"/>
            <w:snapToGrid w:val="0"/>
            <w:kern w:val="22"/>
            <w:szCs w:val="22"/>
          </w:rPr>
          <w:t>www.mmediu.ro</w:t>
        </w:r>
      </w:hyperlink>
    </w:p>
    <w:p w14:paraId="30CE0760" w14:textId="77777777" w:rsidR="00A876F3" w:rsidRPr="0088780C" w:rsidRDefault="00E7219D" w:rsidP="001013AF">
      <w:pPr>
        <w:suppressLineNumbers/>
        <w:suppressAutoHyphens/>
        <w:kinsoku w:val="0"/>
        <w:overflowPunct w:val="0"/>
        <w:autoSpaceDE w:val="0"/>
        <w:autoSpaceDN w:val="0"/>
        <w:adjustRightInd w:val="0"/>
        <w:spacing w:after="60"/>
        <w:rPr>
          <w:snapToGrid w:val="0"/>
          <w:kern w:val="22"/>
          <w:szCs w:val="22"/>
        </w:rPr>
      </w:pPr>
      <w:hyperlink r:id="rId103" w:history="1">
        <w:r w:rsidR="00A876F3" w:rsidRPr="0088780C">
          <w:rPr>
            <w:rStyle w:val="Hyperlink"/>
            <w:snapToGrid w:val="0"/>
            <w:kern w:val="22"/>
            <w:szCs w:val="22"/>
          </w:rPr>
          <w:t>www.anpm.ro</w:t>
        </w:r>
      </w:hyperlink>
      <w:r w:rsidR="00A876F3" w:rsidRPr="0088780C">
        <w:rPr>
          <w:snapToGrid w:val="0"/>
          <w:kern w:val="22"/>
          <w:szCs w:val="22"/>
        </w:rPr>
        <w:t xml:space="preserve"> </w:t>
      </w:r>
    </w:p>
    <w:p w14:paraId="6AFDC2EB" w14:textId="77777777" w:rsidR="00A876F3" w:rsidRPr="0088780C" w:rsidRDefault="00E7219D" w:rsidP="001013AF">
      <w:pPr>
        <w:suppressLineNumbers/>
        <w:suppressAutoHyphens/>
        <w:kinsoku w:val="0"/>
        <w:overflowPunct w:val="0"/>
        <w:autoSpaceDE w:val="0"/>
        <w:autoSpaceDN w:val="0"/>
        <w:adjustRightInd w:val="0"/>
        <w:spacing w:after="60"/>
        <w:rPr>
          <w:snapToGrid w:val="0"/>
          <w:kern w:val="22"/>
          <w:szCs w:val="22"/>
        </w:rPr>
      </w:pPr>
      <w:hyperlink r:id="rId104" w:history="1">
        <w:r w:rsidR="00A876F3" w:rsidRPr="0088780C">
          <w:rPr>
            <w:rStyle w:val="Hyperlink"/>
            <w:snapToGrid w:val="0"/>
            <w:kern w:val="22"/>
            <w:szCs w:val="22"/>
          </w:rPr>
          <w:t>www.natura2000.eea.europa.eu</w:t>
        </w:r>
      </w:hyperlink>
      <w:r w:rsidR="00A876F3" w:rsidRPr="0088780C">
        <w:rPr>
          <w:snapToGrid w:val="0"/>
          <w:kern w:val="22"/>
          <w:szCs w:val="22"/>
        </w:rPr>
        <w:t xml:space="preserve"> </w:t>
      </w:r>
    </w:p>
    <w:p w14:paraId="4395F844" w14:textId="3F45D3E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t>Maps and Figures</w:t>
      </w:r>
    </w:p>
    <w:p w14:paraId="6B6223D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F04DDF9"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6BC17575" wp14:editId="77C3EF7A">
            <wp:extent cx="5486400" cy="4572000"/>
            <wp:effectExtent l="0" t="0" r="0" b="0"/>
            <wp:docPr id="64553" name="Picture 64553" descr="C:\Users\grekin\AppData\Local\Microsoft\Windows\Temporary Internet Files\Content.Wor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grekin\AppData\Local\Microsoft\Windows\Temporary Internet Files\Content.Word\4..pn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68C45339"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EB9B3A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r w:rsidRPr="0088780C" w:rsidDel="002D4A01">
        <w:rPr>
          <w:rFonts w:eastAsia="MS Mincho"/>
          <w:b/>
          <w:snapToGrid w:val="0"/>
          <w:kern w:val="22"/>
          <w:szCs w:val="22"/>
        </w:rPr>
        <w:t xml:space="preserve"> </w:t>
      </w:r>
      <w:r w:rsidRPr="0088780C">
        <w:rPr>
          <w:rFonts w:eastAsia="MS Mincho"/>
          <w:b/>
          <w:snapToGrid w:val="0"/>
          <w:kern w:val="22"/>
          <w:szCs w:val="22"/>
        </w:rPr>
        <w:br w:type="page"/>
      </w:r>
    </w:p>
    <w:p w14:paraId="452D2658"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noProof/>
          <w:snapToGrid w:val="0"/>
          <w:kern w:val="22"/>
          <w:szCs w:val="22"/>
          <w:lang w:eastAsia="zh-CN"/>
        </w:rPr>
        <w:drawing>
          <wp:inline distT="0" distB="0" distL="0" distR="0" wp14:anchorId="32C723C4" wp14:editId="1CB3E734">
            <wp:extent cx="5760085" cy="7682230"/>
            <wp:effectExtent l="0" t="0" r="0" b="0"/>
            <wp:docPr id="64569" name="Picture 64569"/>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60085" cy="7682230"/>
                    </a:xfrm>
                    <a:prstGeom prst="rect">
                      <a:avLst/>
                    </a:prstGeom>
                    <a:noFill/>
                    <a:ln>
                      <a:noFill/>
                    </a:ln>
                  </pic:spPr>
                </pic:pic>
              </a:graphicData>
            </a:graphic>
          </wp:inline>
        </w:drawing>
      </w:r>
    </w:p>
    <w:p w14:paraId="7024C54C"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DB1F1D0"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Figure 2. Distribution of Natura 2000 habitats in ROSCI0066 – Danube Delta Marine Area</w:t>
      </w:r>
    </w:p>
    <w:p w14:paraId="3E96A67C" w14:textId="7048550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347DA86E" w14:textId="21F2D16D" w:rsidR="00A876F3" w:rsidRPr="0088780C" w:rsidRDefault="00A876F3" w:rsidP="001013AF">
      <w:pPr>
        <w:suppressLineNumbers/>
        <w:suppressAutoHyphens/>
        <w:kinsoku w:val="0"/>
        <w:overflowPunct w:val="0"/>
        <w:autoSpaceDE w:val="0"/>
        <w:autoSpaceDN w:val="0"/>
        <w:jc w:val="center"/>
        <w:rPr>
          <w:b/>
          <w:snapToGrid w:val="0"/>
          <w:color w:val="000000"/>
          <w:kern w:val="22"/>
          <w:szCs w:val="22"/>
        </w:rPr>
      </w:pPr>
      <w:r w:rsidRPr="0088780C">
        <w:rPr>
          <w:b/>
          <w:snapToGrid w:val="0"/>
          <w:color w:val="000000"/>
          <w:kern w:val="22"/>
          <w:szCs w:val="22"/>
        </w:rPr>
        <w:t xml:space="preserve">Area </w:t>
      </w:r>
      <w:r w:rsidR="00F743B2" w:rsidRPr="0088780C">
        <w:rPr>
          <w:b/>
          <w:snapToGrid w:val="0"/>
          <w:color w:val="000000"/>
          <w:kern w:val="22"/>
          <w:szCs w:val="22"/>
        </w:rPr>
        <w:t>No.</w:t>
      </w:r>
      <w:r w:rsidRPr="0088780C">
        <w:rPr>
          <w:b/>
          <w:snapToGrid w:val="0"/>
          <w:color w:val="000000"/>
          <w:kern w:val="22"/>
          <w:szCs w:val="22"/>
        </w:rPr>
        <w:t xml:space="preserve"> 5: Zernov’s Phyllophora Field</w:t>
      </w:r>
    </w:p>
    <w:p w14:paraId="53B36571"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244785F5" w14:textId="7B58FB04" w:rsidR="00A876F3" w:rsidRPr="0088780C" w:rsidRDefault="00A876F3" w:rsidP="001013AF">
      <w:pPr>
        <w:suppressLineNumbers/>
        <w:suppressAutoHyphens/>
        <w:kinsoku w:val="0"/>
        <w:overflowPunct w:val="0"/>
        <w:autoSpaceDE w:val="0"/>
        <w:autoSpaceDN w:val="0"/>
        <w:rPr>
          <w:b/>
          <w:snapToGrid w:val="0"/>
          <w:color w:val="000000"/>
          <w:kern w:val="22"/>
          <w:szCs w:val="22"/>
        </w:rPr>
      </w:pPr>
      <w:r w:rsidRPr="0088780C">
        <w:rPr>
          <w:b/>
          <w:snapToGrid w:val="0"/>
          <w:color w:val="000000"/>
          <w:kern w:val="22"/>
          <w:szCs w:val="22"/>
        </w:rPr>
        <w:t>Abstract</w:t>
      </w:r>
    </w:p>
    <w:p w14:paraId="66EABCAD" w14:textId="1FA2C00A"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Zernov’s Phyllophora Field (ZPF) is located in the north</w:t>
      </w:r>
      <w:r w:rsidR="006469FA" w:rsidRPr="0088780C">
        <w:rPr>
          <w:snapToGrid w:val="0"/>
          <w:color w:val="000000"/>
          <w:kern w:val="22"/>
          <w:szCs w:val="22"/>
        </w:rPr>
        <w:t>-</w:t>
      </w:r>
      <w:r w:rsidRPr="0088780C">
        <w:rPr>
          <w:snapToGrid w:val="0"/>
          <w:color w:val="000000"/>
          <w:kern w:val="22"/>
          <w:szCs w:val="22"/>
        </w:rPr>
        <w:t>western part of the Black Sea at a depth of 25 to 50 metres. It is a unique natural phenomenon — a concentration of seaweed with a dominant species of red algae (Phyllophoraceae). ZPF is an important habitat for many species of invertebrates and fish. The main cluster of macrophytes is the paleobed of Dnieper River, located between the two branches of the Black Sea circular current. The dominant sediments are shell limestone, silted shell limestone, shelly silt. The state of the ZPF ecosystem is an indicator of the state of the whole north</w:t>
      </w:r>
      <w:r w:rsidR="006469FA" w:rsidRPr="0088780C">
        <w:rPr>
          <w:snapToGrid w:val="0"/>
          <w:color w:val="000000"/>
          <w:kern w:val="22"/>
          <w:szCs w:val="22"/>
        </w:rPr>
        <w:t>-</w:t>
      </w:r>
      <w:r w:rsidRPr="0088780C">
        <w:rPr>
          <w:snapToGrid w:val="0"/>
          <w:color w:val="000000"/>
          <w:kern w:val="22"/>
          <w:szCs w:val="22"/>
        </w:rPr>
        <w:t>western part of the Black Sea ecosystem.</w:t>
      </w:r>
    </w:p>
    <w:p w14:paraId="56552D49"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1CB72DB3" w14:textId="41AE1593" w:rsidR="00A876F3" w:rsidRPr="0088780C" w:rsidRDefault="00A876F3" w:rsidP="001013AF">
      <w:pPr>
        <w:suppressLineNumbers/>
        <w:suppressAutoHyphens/>
        <w:kinsoku w:val="0"/>
        <w:overflowPunct w:val="0"/>
        <w:autoSpaceDE w:val="0"/>
        <w:autoSpaceDN w:val="0"/>
        <w:rPr>
          <w:rFonts w:eastAsia="MS Mincho"/>
          <w:i/>
          <w:snapToGrid w:val="0"/>
          <w:color w:val="000000"/>
          <w:kern w:val="22"/>
          <w:szCs w:val="22"/>
          <w:lang w:val="en-US"/>
        </w:rPr>
      </w:pPr>
      <w:r w:rsidRPr="0088780C">
        <w:rPr>
          <w:rFonts w:eastAsia="MS Mincho"/>
          <w:snapToGrid w:val="0"/>
          <w:color w:val="000000"/>
          <w:kern w:val="22"/>
          <w:szCs w:val="22"/>
          <w:lang w:val="ru-RU"/>
        </w:rPr>
        <w:t xml:space="preserve">Филлофорное поле Зернова представляет собой уникальное природное явление </w:t>
      </w:r>
      <w:r w:rsidRPr="0088780C">
        <w:rPr>
          <w:snapToGrid w:val="0"/>
          <w:color w:val="000000"/>
          <w:kern w:val="22"/>
          <w:szCs w:val="22"/>
          <w:lang w:val="ru-RU"/>
        </w:rPr>
        <w:sym w:font="Symbol" w:char="F02D"/>
      </w:r>
      <w:r w:rsidRPr="0088780C">
        <w:rPr>
          <w:snapToGrid w:val="0"/>
          <w:color w:val="000000"/>
          <w:kern w:val="22"/>
          <w:szCs w:val="22"/>
          <w:lang w:val="ru-RU"/>
        </w:rPr>
        <w:t xml:space="preserve"> </w:t>
      </w:r>
      <w:r w:rsidRPr="0088780C">
        <w:rPr>
          <w:rFonts w:eastAsia="MS Mincho"/>
          <w:snapToGrid w:val="0"/>
          <w:color w:val="000000"/>
          <w:kern w:val="22"/>
          <w:szCs w:val="22"/>
          <w:lang w:val="ru-RU"/>
        </w:rPr>
        <w:t>сосредоточение водорослей-макрофитов, доминирующими видами в котором являются красные водоросли семейства/</w:t>
      </w:r>
      <w:r w:rsidRPr="0088780C">
        <w:rPr>
          <w:bCs/>
          <w:snapToGrid w:val="0"/>
          <w:color w:val="000000"/>
          <w:kern w:val="22"/>
          <w:szCs w:val="22"/>
          <w:lang w:val="ru-RU"/>
        </w:rPr>
        <w:t>familia</w:t>
      </w:r>
      <w:r w:rsidRPr="0088780C">
        <w:rPr>
          <w:rFonts w:eastAsia="MS Mincho"/>
          <w:snapToGrid w:val="0"/>
          <w:color w:val="000000"/>
          <w:kern w:val="22"/>
          <w:szCs w:val="22"/>
          <w:lang w:val="ru-RU"/>
        </w:rPr>
        <w:t xml:space="preserve"> Phyllophoraceae. </w:t>
      </w:r>
      <w:r w:rsidRPr="0088780C">
        <w:rPr>
          <w:snapToGrid w:val="0"/>
          <w:color w:val="000000"/>
          <w:kern w:val="22"/>
          <w:szCs w:val="22"/>
          <w:lang w:val="ru-RU"/>
        </w:rPr>
        <w:t>Важное местообитание для многих видов беспозвоночных и рыб. П</w:t>
      </w:r>
      <w:r w:rsidRPr="0088780C">
        <w:rPr>
          <w:rFonts w:eastAsia="MS Mincho"/>
          <w:snapToGrid w:val="0"/>
          <w:color w:val="000000"/>
          <w:kern w:val="22"/>
          <w:szCs w:val="22"/>
          <w:lang w:val="ru-RU"/>
        </w:rPr>
        <w:t>оле Зернова расположено в северо-западной части Черного моря</w:t>
      </w:r>
      <w:r w:rsidRPr="0088780C">
        <w:rPr>
          <w:snapToGrid w:val="0"/>
          <w:color w:val="000000"/>
          <w:kern w:val="22"/>
          <w:szCs w:val="22"/>
          <w:lang w:val="ru-RU"/>
        </w:rPr>
        <w:t>, основное скопление макрофитов приходится на палеоложе Днепра, так называемом желобе сноса. Состояние экосистемы Филлофорного поля является индикатором состояния экосистемы всей северо-западной части Черного моря.</w:t>
      </w:r>
    </w:p>
    <w:p w14:paraId="3A61003F"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36535105" w14:textId="77777777" w:rsidR="00A876F3" w:rsidRPr="0088780C" w:rsidRDefault="00A876F3" w:rsidP="001013AF">
      <w:pPr>
        <w:suppressLineNumbers/>
        <w:suppressAutoHyphens/>
        <w:kinsoku w:val="0"/>
        <w:overflowPunct w:val="0"/>
        <w:autoSpaceDE w:val="0"/>
        <w:autoSpaceDN w:val="0"/>
        <w:rPr>
          <w:b/>
          <w:snapToGrid w:val="0"/>
          <w:color w:val="000000"/>
          <w:kern w:val="22"/>
          <w:szCs w:val="22"/>
        </w:rPr>
      </w:pPr>
      <w:r w:rsidRPr="0088780C">
        <w:rPr>
          <w:b/>
          <w:snapToGrid w:val="0"/>
          <w:color w:val="000000"/>
          <w:kern w:val="22"/>
          <w:szCs w:val="22"/>
        </w:rPr>
        <w:t>Introduction</w:t>
      </w:r>
    </w:p>
    <w:p w14:paraId="35580861" w14:textId="36AB0A4C"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xml:space="preserve">This area includes pelagic and benthic habitats. The water depth within the ZPF varies from 24 to 54 metres (fig. 2). The main cluster of macrophytes is the paleobed of the Dnieper River, where mussel-attached and unattached forms of algae are growing (fig. 3). Here is situated a globally unique accumulation of phytocoenoses of unattached phyllophores, which are distinguished by structure from all the phytocenoses of the Black Sea (Kalugina-Gutnik 1975). There are three species of Phyllophoraceae within the ZPF: </w:t>
      </w:r>
      <w:r w:rsidRPr="0088780C">
        <w:rPr>
          <w:i/>
          <w:snapToGrid w:val="0"/>
          <w:color w:val="000000"/>
          <w:kern w:val="22"/>
          <w:szCs w:val="22"/>
        </w:rPr>
        <w:t>Coccotylus truncates</w:t>
      </w:r>
      <w:r w:rsidRPr="0088780C">
        <w:rPr>
          <w:snapToGrid w:val="0"/>
          <w:color w:val="000000"/>
          <w:kern w:val="22"/>
          <w:szCs w:val="22"/>
        </w:rPr>
        <w:t xml:space="preserve">, </w:t>
      </w:r>
      <w:r w:rsidRPr="0088780C">
        <w:rPr>
          <w:i/>
          <w:snapToGrid w:val="0"/>
          <w:color w:val="000000"/>
          <w:kern w:val="22"/>
          <w:szCs w:val="22"/>
        </w:rPr>
        <w:t>Phyllophora crispa</w:t>
      </w:r>
      <w:r w:rsidRPr="0088780C">
        <w:rPr>
          <w:snapToGrid w:val="0"/>
          <w:color w:val="000000"/>
          <w:kern w:val="22"/>
          <w:szCs w:val="22"/>
        </w:rPr>
        <w:t xml:space="preserve"> and endemic </w:t>
      </w:r>
      <w:r w:rsidRPr="0088780C">
        <w:rPr>
          <w:i/>
          <w:snapToGrid w:val="0"/>
          <w:color w:val="000000"/>
          <w:kern w:val="22"/>
          <w:szCs w:val="22"/>
        </w:rPr>
        <w:t>Phyllophora pseudoceranoides</w:t>
      </w:r>
      <w:r w:rsidRPr="0088780C">
        <w:rPr>
          <w:snapToGrid w:val="0"/>
          <w:color w:val="000000"/>
          <w:kern w:val="22"/>
          <w:szCs w:val="22"/>
        </w:rPr>
        <w:t xml:space="preserve">. In addition, brown </w:t>
      </w:r>
      <w:r w:rsidRPr="0088780C">
        <w:rPr>
          <w:i/>
          <w:snapToGrid w:val="0"/>
          <w:color w:val="000000"/>
          <w:kern w:val="22"/>
          <w:szCs w:val="22"/>
        </w:rPr>
        <w:t>Sphacelorbus nanus</w:t>
      </w:r>
      <w:r w:rsidRPr="0088780C">
        <w:rPr>
          <w:snapToGrid w:val="0"/>
          <w:color w:val="000000"/>
          <w:kern w:val="22"/>
          <w:szCs w:val="22"/>
        </w:rPr>
        <w:t xml:space="preserve"> grows only in this area. The latter two species are listed in the Red Book of Ukraine. The stable circular current of the north-western shelf of the Black Sea contributed to the formation of Phyllophora phytocenosis (Zernov 1909, Bondarev 2008). In 1970s-80s</w:t>
      </w:r>
      <w:r w:rsidR="00CA033A" w:rsidRPr="0088780C">
        <w:rPr>
          <w:snapToGrid w:val="0"/>
          <w:color w:val="000000"/>
          <w:kern w:val="22"/>
          <w:szCs w:val="22"/>
        </w:rPr>
        <w:t>,</w:t>
      </w:r>
      <w:r w:rsidRPr="0088780C">
        <w:rPr>
          <w:snapToGrid w:val="0"/>
          <w:color w:val="000000"/>
          <w:kern w:val="22"/>
          <w:szCs w:val="22"/>
        </w:rPr>
        <w:t xml:space="preserve"> the habitats of </w:t>
      </w:r>
      <w:r w:rsidRPr="0088780C">
        <w:rPr>
          <w:i/>
          <w:snapToGrid w:val="0"/>
          <w:color w:val="000000"/>
          <w:kern w:val="22"/>
          <w:szCs w:val="22"/>
        </w:rPr>
        <w:t>Phyllophora crispa</w:t>
      </w:r>
      <w:r w:rsidRPr="0088780C">
        <w:rPr>
          <w:snapToGrid w:val="0"/>
          <w:color w:val="000000"/>
          <w:kern w:val="22"/>
          <w:szCs w:val="22"/>
        </w:rPr>
        <w:t xml:space="preserve"> </w:t>
      </w:r>
      <w:r w:rsidRPr="0088780C">
        <w:rPr>
          <w:i/>
          <w:snapToGrid w:val="0"/>
          <w:color w:val="000000"/>
          <w:kern w:val="22"/>
          <w:szCs w:val="22"/>
        </w:rPr>
        <w:t>and Coccotylus truncatus</w:t>
      </w:r>
      <w:r w:rsidRPr="0088780C">
        <w:rPr>
          <w:snapToGrid w:val="0"/>
          <w:color w:val="000000"/>
          <w:kern w:val="22"/>
          <w:szCs w:val="22"/>
        </w:rPr>
        <w:t xml:space="preserve"> dramatically decreased due to anthropogenic impacts, such as eutrophication. In the 1950s</w:t>
      </w:r>
      <w:r w:rsidR="00CA033A" w:rsidRPr="0088780C">
        <w:rPr>
          <w:snapToGrid w:val="0"/>
          <w:color w:val="000000"/>
          <w:kern w:val="22"/>
          <w:szCs w:val="22"/>
        </w:rPr>
        <w:t>,</w:t>
      </w:r>
      <w:r w:rsidRPr="0088780C">
        <w:rPr>
          <w:snapToGrid w:val="0"/>
          <w:color w:val="000000"/>
          <w:kern w:val="22"/>
          <w:szCs w:val="22"/>
        </w:rPr>
        <w:t xml:space="preserve"> the Phyllophora field covered an area of about 11,000 km</w:t>
      </w:r>
      <w:r w:rsidRPr="0088780C">
        <w:rPr>
          <w:snapToGrid w:val="0"/>
          <w:color w:val="000000"/>
          <w:kern w:val="22"/>
          <w:szCs w:val="22"/>
          <w:vertAlign w:val="superscript"/>
        </w:rPr>
        <w:t>2</w:t>
      </w:r>
      <w:r w:rsidRPr="0088780C">
        <w:rPr>
          <w:snapToGrid w:val="0"/>
          <w:color w:val="000000"/>
          <w:kern w:val="22"/>
          <w:szCs w:val="22"/>
        </w:rPr>
        <w:t xml:space="preserve">, and the total biomass of algae was 10 million tonnes. </w:t>
      </w:r>
      <w:r w:rsidR="00CA033A" w:rsidRPr="0088780C">
        <w:rPr>
          <w:snapToGrid w:val="0"/>
          <w:color w:val="000000"/>
          <w:kern w:val="22"/>
          <w:szCs w:val="22"/>
        </w:rPr>
        <w:t xml:space="preserve">In </w:t>
      </w:r>
      <w:r w:rsidRPr="0088780C">
        <w:rPr>
          <w:snapToGrid w:val="0"/>
          <w:color w:val="000000"/>
          <w:kern w:val="22"/>
          <w:szCs w:val="22"/>
        </w:rPr>
        <w:t>the 1970s</w:t>
      </w:r>
      <w:r w:rsidR="00CA033A" w:rsidRPr="0088780C">
        <w:rPr>
          <w:snapToGrid w:val="0"/>
          <w:color w:val="000000"/>
          <w:kern w:val="22"/>
          <w:szCs w:val="22"/>
        </w:rPr>
        <w:t>,</w:t>
      </w:r>
      <w:r w:rsidRPr="0088780C">
        <w:rPr>
          <w:snapToGrid w:val="0"/>
          <w:color w:val="000000"/>
          <w:kern w:val="22"/>
          <w:szCs w:val="22"/>
        </w:rPr>
        <w:t xml:space="preserve"> it began to decline and</w:t>
      </w:r>
      <w:r w:rsidR="00CA033A" w:rsidRPr="0088780C">
        <w:rPr>
          <w:snapToGrid w:val="0"/>
          <w:color w:val="000000"/>
          <w:kern w:val="22"/>
          <w:szCs w:val="22"/>
        </w:rPr>
        <w:t>,</w:t>
      </w:r>
      <w:r w:rsidRPr="0088780C">
        <w:rPr>
          <w:snapToGrid w:val="0"/>
          <w:color w:val="000000"/>
          <w:kern w:val="22"/>
          <w:szCs w:val="22"/>
        </w:rPr>
        <w:t xml:space="preserve"> by the mid</w:t>
      </w:r>
      <w:r w:rsidR="00CA033A" w:rsidRPr="0088780C">
        <w:rPr>
          <w:snapToGrid w:val="0"/>
          <w:color w:val="000000"/>
          <w:kern w:val="22"/>
          <w:szCs w:val="22"/>
        </w:rPr>
        <w:t>-</w:t>
      </w:r>
      <w:r w:rsidRPr="0088780C">
        <w:rPr>
          <w:snapToGrid w:val="0"/>
          <w:color w:val="000000"/>
          <w:kern w:val="22"/>
          <w:szCs w:val="22"/>
        </w:rPr>
        <w:t xml:space="preserve">1980s, the area </w:t>
      </w:r>
      <w:r w:rsidR="00CA033A" w:rsidRPr="0088780C">
        <w:rPr>
          <w:snapToGrid w:val="0"/>
          <w:color w:val="000000"/>
          <w:kern w:val="22"/>
          <w:szCs w:val="22"/>
        </w:rPr>
        <w:t xml:space="preserve">had been </w:t>
      </w:r>
      <w:r w:rsidRPr="0088780C">
        <w:rPr>
          <w:snapToGrid w:val="0"/>
          <w:color w:val="000000"/>
          <w:kern w:val="22"/>
          <w:szCs w:val="22"/>
        </w:rPr>
        <w:t>reduced to 500 km</w:t>
      </w:r>
      <w:r w:rsidRPr="0088780C">
        <w:rPr>
          <w:snapToGrid w:val="0"/>
          <w:color w:val="000000"/>
          <w:kern w:val="22"/>
          <w:szCs w:val="22"/>
          <w:vertAlign w:val="superscript"/>
        </w:rPr>
        <w:t>2</w:t>
      </w:r>
      <w:r w:rsidRPr="0088780C">
        <w:rPr>
          <w:snapToGrid w:val="0"/>
          <w:color w:val="000000"/>
          <w:kern w:val="22"/>
          <w:szCs w:val="22"/>
        </w:rPr>
        <w:t xml:space="preserve"> and the biomass to 200,000 tonnes (Zaitsev, 1998) (figures 6-13). </w:t>
      </w:r>
      <w:r w:rsidRPr="0088780C">
        <w:rPr>
          <w:i/>
          <w:snapToGrid w:val="0"/>
          <w:color w:val="000000"/>
          <w:kern w:val="22"/>
          <w:szCs w:val="22"/>
        </w:rPr>
        <w:t>Phyllophora crispa</w:t>
      </w:r>
      <w:r w:rsidRPr="0088780C">
        <w:rPr>
          <w:snapToGrid w:val="0"/>
          <w:color w:val="000000"/>
          <w:kern w:val="22"/>
          <w:szCs w:val="22"/>
        </w:rPr>
        <w:t xml:space="preserve"> and </w:t>
      </w:r>
      <w:r w:rsidRPr="0088780C">
        <w:rPr>
          <w:i/>
          <w:snapToGrid w:val="0"/>
          <w:color w:val="000000"/>
          <w:kern w:val="22"/>
          <w:szCs w:val="22"/>
        </w:rPr>
        <w:t>Coccotylus truncatus</w:t>
      </w:r>
      <w:r w:rsidRPr="0088780C">
        <w:rPr>
          <w:snapToGrid w:val="0"/>
          <w:color w:val="000000"/>
          <w:kern w:val="22"/>
          <w:szCs w:val="22"/>
        </w:rPr>
        <w:t xml:space="preserve"> are the dominant habitat-forming species and create an ecological niche for more than 100 species of invertebrates and 40 species of fish at the same time (Bondarev 2008). ZPF is an unusual association of organisms, unique combination of the surrounding physical and geographical conditions, a reliable indicator of the state of the marine environment for the whole north-western part of the Black Sea (Berlinsky et al. 2014).</w:t>
      </w:r>
    </w:p>
    <w:p w14:paraId="0D4649BB"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5C875244" w14:textId="5AB6CEE3" w:rsidR="00A876F3" w:rsidRPr="0088780C" w:rsidRDefault="00A876F3" w:rsidP="001013AF">
      <w:pPr>
        <w:pStyle w:val="BodyText"/>
        <w:suppressLineNumbers/>
        <w:suppressAutoHyphens/>
        <w:kinsoku w:val="0"/>
        <w:overflowPunct w:val="0"/>
        <w:autoSpaceDE w:val="0"/>
        <w:autoSpaceDN w:val="0"/>
        <w:rPr>
          <w:snapToGrid w:val="0"/>
          <w:color w:val="000000"/>
          <w:kern w:val="22"/>
          <w:szCs w:val="22"/>
          <w:lang w:val="en-US"/>
        </w:rPr>
      </w:pPr>
      <w:r w:rsidRPr="0088780C">
        <w:rPr>
          <w:rFonts w:eastAsia="MS Mincho"/>
          <w:snapToGrid w:val="0"/>
          <w:color w:val="000000"/>
          <w:kern w:val="22"/>
          <w:szCs w:val="22"/>
          <w:lang w:val="ru-RU"/>
        </w:rPr>
        <w:t xml:space="preserve">Этот район включает в себя пелагические и донные местообитания. По гидрологическим и гидробиологическим особенностям район Филлофорного поля Зернова не похож ни на какой другой гидроботанический район моря, он характеризуется пологим и ровным рельефом дна, большими глубинами (от 20 до 50 м), песчаным, илисто-песчаным и песчано-илистым ракушечником, сильными придонными течениями и своеобразным физико-химическим составом водных масс. Здесь сосредоточено уникальное для Мирового океана скопление фитоценозов неприкрепленной филлофоры, которые по своей структуре отличаются от всех фитоценозов Черного моря </w:t>
      </w:r>
      <w:r w:rsidRPr="0088780C">
        <w:rPr>
          <w:rFonts w:eastAsia="TimesNewRoman"/>
          <w:snapToGrid w:val="0"/>
          <w:color w:val="000000"/>
          <w:kern w:val="22"/>
          <w:szCs w:val="22"/>
          <w:lang w:val="ru-RU"/>
        </w:rPr>
        <w:t>(</w:t>
      </w:r>
      <w:r w:rsidRPr="0088780C">
        <w:rPr>
          <w:snapToGrid w:val="0"/>
          <w:color w:val="000000"/>
          <w:kern w:val="22"/>
          <w:szCs w:val="22"/>
          <w:lang w:val="ru-RU"/>
        </w:rPr>
        <w:t>Калугина-Гутник</w:t>
      </w:r>
      <w:r w:rsidRPr="0088780C">
        <w:rPr>
          <w:i/>
          <w:snapToGrid w:val="0"/>
          <w:color w:val="000000"/>
          <w:kern w:val="22"/>
          <w:szCs w:val="22"/>
          <w:lang w:val="ru-RU"/>
        </w:rPr>
        <w:t xml:space="preserve"> </w:t>
      </w:r>
      <w:r w:rsidRPr="0088780C">
        <w:rPr>
          <w:snapToGrid w:val="0"/>
          <w:color w:val="000000"/>
          <w:kern w:val="22"/>
          <w:szCs w:val="22"/>
          <w:lang w:val="ru-RU"/>
        </w:rPr>
        <w:t>1975)</w:t>
      </w:r>
      <w:r w:rsidRPr="0088780C">
        <w:rPr>
          <w:rFonts w:eastAsia="TimesNewRoman"/>
          <w:snapToGrid w:val="0"/>
          <w:color w:val="000000"/>
          <w:kern w:val="22"/>
          <w:szCs w:val="22"/>
          <w:lang w:val="ru-RU"/>
        </w:rPr>
        <w:t>.</w:t>
      </w:r>
      <w:r w:rsidRPr="0088780C">
        <w:rPr>
          <w:rFonts w:eastAsia="MS Mincho"/>
          <w:snapToGrid w:val="0"/>
          <w:color w:val="000000"/>
          <w:kern w:val="22"/>
          <w:szCs w:val="22"/>
          <w:lang w:val="ru-RU"/>
        </w:rPr>
        <w:t xml:space="preserve"> </w:t>
      </w:r>
      <w:r w:rsidRPr="0088780C">
        <w:rPr>
          <w:snapToGrid w:val="0"/>
          <w:color w:val="000000"/>
          <w:kern w:val="22"/>
          <w:szCs w:val="22"/>
          <w:lang w:val="ru-RU"/>
        </w:rPr>
        <w:t>В условиях Поля произрастают з вида семейства/</w:t>
      </w:r>
      <w:r w:rsidRPr="0088780C">
        <w:rPr>
          <w:bCs/>
          <w:snapToGrid w:val="0"/>
          <w:color w:val="000000"/>
          <w:kern w:val="22"/>
          <w:szCs w:val="22"/>
          <w:lang w:val="ru-RU"/>
        </w:rPr>
        <w:t>familia</w:t>
      </w:r>
      <w:r w:rsidRPr="0088780C">
        <w:rPr>
          <w:snapToGrid w:val="0"/>
          <w:color w:val="000000"/>
          <w:kern w:val="22"/>
          <w:szCs w:val="22"/>
          <w:lang w:val="ru-RU"/>
        </w:rPr>
        <w:t xml:space="preserve"> Phyllophoraceae</w:t>
      </w:r>
      <w:r w:rsidRPr="0088780C">
        <w:rPr>
          <w:bCs/>
          <w:snapToGrid w:val="0"/>
          <w:color w:val="000000"/>
          <w:kern w:val="22"/>
          <w:szCs w:val="22"/>
          <w:lang w:val="ru-RU"/>
        </w:rPr>
        <w:t>, 1 вид/</w:t>
      </w:r>
      <w:r w:rsidRPr="0088780C">
        <w:rPr>
          <w:snapToGrid w:val="0"/>
          <w:color w:val="000000"/>
          <w:kern w:val="22"/>
          <w:szCs w:val="22"/>
          <w:lang w:val="ru-RU"/>
        </w:rPr>
        <w:t xml:space="preserve">species </w:t>
      </w:r>
      <w:r w:rsidRPr="0088780C">
        <w:rPr>
          <w:bCs/>
          <w:snapToGrid w:val="0"/>
          <w:color w:val="000000"/>
          <w:kern w:val="22"/>
          <w:szCs w:val="22"/>
          <w:lang w:val="ru-RU"/>
        </w:rPr>
        <w:t>рода/</w:t>
      </w:r>
      <w:r w:rsidRPr="0088780C">
        <w:rPr>
          <w:snapToGrid w:val="0"/>
          <w:color w:val="000000"/>
          <w:kern w:val="22"/>
          <w:szCs w:val="22"/>
          <w:lang w:val="ru-RU"/>
        </w:rPr>
        <w:t xml:space="preserve">genus </w:t>
      </w:r>
      <w:hyperlink r:id="rId107" w:history="1">
        <w:r w:rsidRPr="0088780C">
          <w:rPr>
            <w:rStyle w:val="Hyperlink"/>
            <w:i/>
            <w:snapToGrid w:val="0"/>
            <w:color w:val="000000"/>
            <w:kern w:val="22"/>
            <w:szCs w:val="22"/>
            <w:lang w:val="ru-RU"/>
          </w:rPr>
          <w:t>Coccotylus</w:t>
        </w:r>
        <w:r w:rsidRPr="0088780C">
          <w:rPr>
            <w:rStyle w:val="Hyperlink"/>
            <w:snapToGrid w:val="0"/>
            <w:color w:val="000000"/>
            <w:kern w:val="22"/>
            <w:szCs w:val="22"/>
            <w:lang w:val="ru-RU"/>
          </w:rPr>
          <w:t xml:space="preserve"> </w:t>
        </w:r>
        <w:r w:rsidRPr="0088780C">
          <w:rPr>
            <w:snapToGrid w:val="0"/>
            <w:color w:val="000000"/>
            <w:kern w:val="22"/>
            <w:szCs w:val="22"/>
            <w:lang w:val="ru-RU"/>
          </w:rPr>
          <w:sym w:font="Symbol" w:char="F02D"/>
        </w:r>
      </w:hyperlink>
      <w:r w:rsidRPr="0088780C">
        <w:rPr>
          <w:bCs/>
          <w:i/>
          <w:snapToGrid w:val="0"/>
          <w:color w:val="000000"/>
          <w:kern w:val="22"/>
          <w:szCs w:val="22"/>
          <w:lang w:val="ru-RU"/>
        </w:rPr>
        <w:t xml:space="preserve"> C. truncatus</w:t>
      </w:r>
      <w:r w:rsidRPr="0088780C">
        <w:rPr>
          <w:bCs/>
          <w:snapToGrid w:val="0"/>
          <w:color w:val="000000"/>
          <w:kern w:val="22"/>
          <w:szCs w:val="22"/>
          <w:lang w:val="ru-RU"/>
        </w:rPr>
        <w:t xml:space="preserve"> </w:t>
      </w:r>
      <w:r w:rsidRPr="0088780C">
        <w:rPr>
          <w:snapToGrid w:val="0"/>
          <w:color w:val="000000"/>
          <w:kern w:val="22"/>
          <w:szCs w:val="22"/>
          <w:lang w:val="ru-RU"/>
        </w:rPr>
        <w:t xml:space="preserve">и 2 species </w:t>
      </w:r>
      <w:r w:rsidRPr="0088780C">
        <w:rPr>
          <w:bCs/>
          <w:snapToGrid w:val="0"/>
          <w:color w:val="000000"/>
          <w:kern w:val="22"/>
          <w:szCs w:val="22"/>
          <w:lang w:val="ru-RU"/>
        </w:rPr>
        <w:t>рода/</w:t>
      </w:r>
      <w:r w:rsidRPr="0088780C">
        <w:rPr>
          <w:snapToGrid w:val="0"/>
          <w:color w:val="000000"/>
          <w:kern w:val="22"/>
          <w:szCs w:val="22"/>
          <w:lang w:val="ru-RU"/>
        </w:rPr>
        <w:t xml:space="preserve">genus </w:t>
      </w:r>
      <w:hyperlink r:id="rId108" w:history="1">
        <w:r w:rsidRPr="0088780C">
          <w:rPr>
            <w:rStyle w:val="Hyperlink"/>
            <w:i/>
            <w:snapToGrid w:val="0"/>
            <w:color w:val="000000"/>
            <w:kern w:val="22"/>
            <w:szCs w:val="22"/>
            <w:lang w:val="ru-RU"/>
          </w:rPr>
          <w:t>Phyllophora</w:t>
        </w:r>
        <w:r w:rsidRPr="0088780C">
          <w:rPr>
            <w:rStyle w:val="Hyperlink"/>
            <w:snapToGrid w:val="0"/>
            <w:color w:val="000000"/>
            <w:kern w:val="22"/>
            <w:szCs w:val="22"/>
            <w:lang w:val="ru-RU"/>
          </w:rPr>
          <w:t xml:space="preserve"> </w:t>
        </w:r>
      </w:hyperlink>
      <w:r w:rsidRPr="0088780C">
        <w:rPr>
          <w:snapToGrid w:val="0"/>
          <w:color w:val="000000"/>
          <w:kern w:val="22"/>
          <w:szCs w:val="22"/>
          <w:lang w:val="ru-RU"/>
        </w:rPr>
        <w:sym w:font="Symbol" w:char="F02D"/>
      </w:r>
      <w:r w:rsidRPr="0088780C">
        <w:rPr>
          <w:snapToGrid w:val="0"/>
          <w:color w:val="000000"/>
          <w:kern w:val="22"/>
          <w:szCs w:val="22"/>
          <w:lang w:val="ru-RU"/>
        </w:rPr>
        <w:t xml:space="preserve"> </w:t>
      </w:r>
      <w:hyperlink r:id="rId109" w:history="1">
        <w:r w:rsidRPr="0088780C">
          <w:rPr>
            <w:rStyle w:val="Hyperlink"/>
            <w:i/>
            <w:snapToGrid w:val="0"/>
            <w:color w:val="000000"/>
            <w:kern w:val="22"/>
            <w:szCs w:val="22"/>
            <w:lang w:val="ru-RU"/>
          </w:rPr>
          <w:t>Ph. crispa</w:t>
        </w:r>
        <w:r w:rsidRPr="0088780C">
          <w:rPr>
            <w:rStyle w:val="Hyperlink"/>
            <w:snapToGrid w:val="0"/>
            <w:color w:val="000000"/>
            <w:kern w:val="22"/>
            <w:szCs w:val="22"/>
            <w:lang w:val="ru-RU"/>
          </w:rPr>
          <w:t xml:space="preserve"> </w:t>
        </w:r>
      </w:hyperlink>
      <w:r w:rsidRPr="0088780C">
        <w:rPr>
          <w:snapToGrid w:val="0"/>
          <w:color w:val="000000"/>
          <w:kern w:val="22"/>
          <w:szCs w:val="22"/>
          <w:lang w:val="ru-RU"/>
        </w:rPr>
        <w:t xml:space="preserve">и </w:t>
      </w:r>
      <w:r w:rsidRPr="0088780C">
        <w:rPr>
          <w:bCs/>
          <w:i/>
          <w:snapToGrid w:val="0"/>
          <w:color w:val="000000"/>
          <w:kern w:val="22"/>
          <w:szCs w:val="22"/>
          <w:lang w:val="ru-RU"/>
        </w:rPr>
        <w:t xml:space="preserve">Ph. pseudoceranoides. </w:t>
      </w:r>
      <w:r w:rsidRPr="0088780C">
        <w:rPr>
          <w:bCs/>
          <w:snapToGrid w:val="0"/>
          <w:color w:val="000000"/>
          <w:kern w:val="22"/>
          <w:szCs w:val="22"/>
          <w:lang w:val="ru-RU"/>
        </w:rPr>
        <w:t xml:space="preserve">Кроме особенностей рельефа формированию фитоценоза филлофоры способствовало устойчивое круговое циклоническое течение северо-западного шельфа Черного моря </w:t>
      </w:r>
      <w:r w:rsidRPr="0088780C">
        <w:rPr>
          <w:snapToGrid w:val="0"/>
          <w:color w:val="000000"/>
          <w:kern w:val="22"/>
          <w:szCs w:val="22"/>
          <w:lang w:val="ru-RU"/>
        </w:rPr>
        <w:t xml:space="preserve">(Зернов 1909, Бондарев </w:t>
      </w:r>
      <w:r w:rsidRPr="0088780C">
        <w:rPr>
          <w:snapToGrid w:val="0"/>
          <w:color w:val="000000"/>
          <w:kern w:val="22"/>
          <w:szCs w:val="22"/>
          <w:lang w:val="ru-RU" w:eastAsia="uk-UA"/>
        </w:rPr>
        <w:t xml:space="preserve">2008). </w:t>
      </w:r>
      <w:r w:rsidRPr="0088780C">
        <w:rPr>
          <w:bCs/>
          <w:i/>
          <w:snapToGrid w:val="0"/>
          <w:color w:val="000000"/>
          <w:kern w:val="22"/>
          <w:szCs w:val="22"/>
          <w:lang w:val="ru-RU"/>
        </w:rPr>
        <w:t>Phyllophora crispa</w:t>
      </w:r>
      <w:r w:rsidRPr="0088780C">
        <w:rPr>
          <w:bCs/>
          <w:snapToGrid w:val="0"/>
          <w:color w:val="000000"/>
          <w:kern w:val="22"/>
          <w:szCs w:val="22"/>
          <w:lang w:val="ru-RU"/>
        </w:rPr>
        <w:t xml:space="preserve"> и </w:t>
      </w:r>
      <w:r w:rsidRPr="0088780C">
        <w:rPr>
          <w:bCs/>
          <w:i/>
          <w:snapToGrid w:val="0"/>
          <w:color w:val="000000"/>
          <w:kern w:val="22"/>
          <w:szCs w:val="22"/>
          <w:lang w:val="ru-RU"/>
        </w:rPr>
        <w:t>Coccotylus truncatus</w:t>
      </w:r>
      <w:r w:rsidRPr="0088780C">
        <w:rPr>
          <w:bCs/>
          <w:snapToGrid w:val="0"/>
          <w:color w:val="000000"/>
          <w:kern w:val="22"/>
          <w:szCs w:val="22"/>
          <w:lang w:val="ru-RU"/>
        </w:rPr>
        <w:t xml:space="preserve"> являются доминантами и одновременно средообразующими видами, создававшими экологическую нишу для более чем 100 видов беспозвоночных и 40 видов рыб </w:t>
      </w:r>
      <w:r w:rsidRPr="0088780C">
        <w:rPr>
          <w:snapToGrid w:val="0"/>
          <w:color w:val="000000"/>
          <w:kern w:val="22"/>
          <w:szCs w:val="22"/>
          <w:lang w:val="ru-RU"/>
        </w:rPr>
        <w:t xml:space="preserve">(Бондарев </w:t>
      </w:r>
      <w:r w:rsidRPr="0088780C">
        <w:rPr>
          <w:snapToGrid w:val="0"/>
          <w:color w:val="000000"/>
          <w:kern w:val="22"/>
          <w:szCs w:val="22"/>
          <w:lang w:val="ru-RU" w:eastAsia="uk-UA"/>
        </w:rPr>
        <w:t xml:space="preserve">2008). </w:t>
      </w:r>
      <w:r w:rsidRPr="0088780C">
        <w:rPr>
          <w:snapToGrid w:val="0"/>
          <w:color w:val="000000"/>
          <w:kern w:val="22"/>
          <w:szCs w:val="22"/>
          <w:lang w:val="ru-RU"/>
        </w:rPr>
        <w:t xml:space="preserve">Поле Зернова представляет необычную ассоциацию живых организмов, единственное в своем роде сочетание окружающих физико-географических условий, надежный индикатор состояния водной массы и морского дна. (Берлинский </w:t>
      </w:r>
      <w:r w:rsidRPr="0088780C">
        <w:rPr>
          <w:i/>
          <w:snapToGrid w:val="0"/>
          <w:color w:val="000000"/>
          <w:kern w:val="22"/>
          <w:szCs w:val="22"/>
          <w:lang w:val="ru-RU"/>
        </w:rPr>
        <w:t xml:space="preserve">et al. </w:t>
      </w:r>
      <w:r w:rsidRPr="0088780C">
        <w:rPr>
          <w:snapToGrid w:val="0"/>
          <w:color w:val="000000"/>
          <w:kern w:val="22"/>
          <w:szCs w:val="22"/>
          <w:lang w:val="ru-RU"/>
        </w:rPr>
        <w:t>2014).</w:t>
      </w:r>
    </w:p>
    <w:p w14:paraId="4E6BD18B"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1952AF58" w14:textId="77777777" w:rsidR="00A876F3" w:rsidRPr="0088780C" w:rsidRDefault="00A876F3" w:rsidP="001013AF">
      <w:pPr>
        <w:suppressLineNumbers/>
        <w:suppressAutoHyphens/>
        <w:kinsoku w:val="0"/>
        <w:overflowPunct w:val="0"/>
        <w:autoSpaceDE w:val="0"/>
        <w:autoSpaceDN w:val="0"/>
        <w:rPr>
          <w:b/>
          <w:snapToGrid w:val="0"/>
          <w:color w:val="000000"/>
          <w:kern w:val="22"/>
          <w:szCs w:val="22"/>
        </w:rPr>
      </w:pPr>
      <w:r w:rsidRPr="0088780C">
        <w:rPr>
          <w:b/>
          <w:snapToGrid w:val="0"/>
          <w:color w:val="000000"/>
          <w:kern w:val="22"/>
          <w:szCs w:val="22"/>
        </w:rPr>
        <w:t>Location</w:t>
      </w:r>
    </w:p>
    <w:p w14:paraId="141D8163" w14:textId="03E7232E"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The area is located on a wide shelf of the north</w:t>
      </w:r>
      <w:r w:rsidR="001A1551" w:rsidRPr="0088780C">
        <w:rPr>
          <w:snapToGrid w:val="0"/>
          <w:color w:val="000000"/>
          <w:kern w:val="22"/>
          <w:szCs w:val="22"/>
        </w:rPr>
        <w:t>-</w:t>
      </w:r>
      <w:r w:rsidRPr="0088780C">
        <w:rPr>
          <w:snapToGrid w:val="0"/>
          <w:color w:val="000000"/>
          <w:kern w:val="22"/>
          <w:szCs w:val="22"/>
        </w:rPr>
        <w:t>western part of the Black Sea. It has the following coordinates:</w:t>
      </w:r>
    </w:p>
    <w:p w14:paraId="64D3B669" w14:textId="77777777" w:rsidR="00A23FD4" w:rsidRPr="0088780C" w:rsidRDefault="00A23FD4" w:rsidP="001013AF">
      <w:pPr>
        <w:suppressLineNumbers/>
        <w:suppressAutoHyphens/>
        <w:kinsoku w:val="0"/>
        <w:overflowPunct w:val="0"/>
        <w:autoSpaceDE w:val="0"/>
        <w:autoSpaceDN w:val="0"/>
        <w:rPr>
          <w:snapToGrid w:val="0"/>
          <w:color w:val="000000"/>
          <w:kern w:val="22"/>
          <w:szCs w:val="22"/>
        </w:rPr>
      </w:pPr>
    </w:p>
    <w:p w14:paraId="4AF97234" w14:textId="322BCD08"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45°18'25'' N 30°42'26'' E;</w:t>
      </w:r>
    </w:p>
    <w:p w14:paraId="5E9F1A6B" w14:textId="55657B54"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45°54'42'' N 30°55'05'' E;</w:t>
      </w:r>
    </w:p>
    <w:p w14:paraId="18C5596F" w14:textId="31393409"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46°01'53'' N 31°10'40'' E;</w:t>
      </w:r>
    </w:p>
    <w:p w14:paraId="6604B3A4" w14:textId="7A8E1409"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45°З1'05'' N 31°42'56'' E;</w:t>
      </w:r>
    </w:p>
    <w:p w14:paraId="5D6C7CE2" w14:textId="37A38426"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45°17'41'' N 31°23'20'' E.</w:t>
      </w:r>
    </w:p>
    <w:p w14:paraId="25FFCFEE"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61D8B187" w14:textId="1711686B" w:rsidR="00A876F3" w:rsidRPr="0088780C" w:rsidRDefault="00A876F3" w:rsidP="001013AF">
      <w:pPr>
        <w:pStyle w:val="Heading1"/>
        <w:suppressLineNumbers/>
        <w:suppressAutoHyphens/>
        <w:kinsoku w:val="0"/>
        <w:overflowPunct w:val="0"/>
        <w:autoSpaceDE w:val="0"/>
        <w:autoSpaceDN w:val="0"/>
        <w:spacing w:before="0" w:after="0"/>
        <w:jc w:val="both"/>
        <w:rPr>
          <w:b w:val="0"/>
          <w:snapToGrid w:val="0"/>
          <w:color w:val="000000"/>
          <w:kern w:val="22"/>
          <w:szCs w:val="22"/>
          <w:lang w:val="en-US"/>
        </w:rPr>
      </w:pPr>
      <w:r w:rsidRPr="0088780C">
        <w:rPr>
          <w:rFonts w:eastAsia="MS Mincho"/>
          <w:b w:val="0"/>
          <w:snapToGrid w:val="0"/>
          <w:color w:val="000000"/>
          <w:kern w:val="22"/>
          <w:szCs w:val="22"/>
          <w:lang w:val="ru-RU"/>
        </w:rPr>
        <w:t xml:space="preserve">Район расположен на широком шельфе северо-западной части Черного моря в территориальных водах Украины, в ее виключній морской экономической зоне. Указом президента Украины № 1064/2008 от 21.11.2008 создан ботанический заказник общегосударственного значения «Филлофорное поле Зернова» (Указ... 2008) (карта) </w:t>
      </w:r>
      <w:r w:rsidRPr="0088780C">
        <w:rPr>
          <w:snapToGrid w:val="0"/>
          <w:color w:val="000000"/>
          <w:kern w:val="22"/>
          <w:szCs w:val="22"/>
          <w:lang w:val="ru-RU"/>
        </w:rPr>
        <w:sym w:font="Symbol" w:char="F02D"/>
      </w:r>
      <w:r w:rsidRPr="0088780C">
        <w:rPr>
          <w:rFonts w:eastAsia="MS Mincho"/>
          <w:b w:val="0"/>
          <w:snapToGrid w:val="0"/>
          <w:color w:val="000000"/>
          <w:kern w:val="22"/>
          <w:szCs w:val="22"/>
          <w:lang w:val="ru-RU"/>
        </w:rPr>
        <w:t xml:space="preserve"> </w:t>
      </w:r>
      <w:r w:rsidRPr="0088780C">
        <w:rPr>
          <w:b w:val="0"/>
          <w:snapToGrid w:val="0"/>
          <w:color w:val="000000"/>
          <w:kern w:val="22"/>
          <w:szCs w:val="22"/>
          <w:lang w:val="ru-RU"/>
        </w:rPr>
        <w:t>природная акватория Черного моря площадью 4025 квадратных километров с координатами:</w:t>
      </w:r>
    </w:p>
    <w:p w14:paraId="511F809A" w14:textId="11DF96B5"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both"/>
        <w:rPr>
          <w:snapToGrid w:val="0"/>
          <w:color w:val="000000"/>
          <w:kern w:val="22"/>
          <w:sz w:val="22"/>
          <w:szCs w:val="22"/>
          <w:lang w:val="en-US"/>
        </w:rPr>
      </w:pPr>
      <w:r w:rsidRPr="0088780C">
        <w:rPr>
          <w:snapToGrid w:val="0"/>
          <w:color w:val="000000"/>
          <w:kern w:val="22"/>
          <w:sz w:val="22"/>
          <w:szCs w:val="22"/>
          <w:lang w:val="ru-RU"/>
        </w:rPr>
        <w:t>45°18'25'' северной широты та 30°42'26'' восточной долготы;</w:t>
      </w:r>
    </w:p>
    <w:p w14:paraId="409577C0" w14:textId="49A55C52"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both"/>
        <w:rPr>
          <w:snapToGrid w:val="0"/>
          <w:color w:val="000000"/>
          <w:kern w:val="22"/>
          <w:sz w:val="22"/>
          <w:szCs w:val="22"/>
          <w:lang w:val="en-US"/>
        </w:rPr>
      </w:pPr>
      <w:r w:rsidRPr="0088780C">
        <w:rPr>
          <w:snapToGrid w:val="0"/>
          <w:color w:val="000000"/>
          <w:kern w:val="22"/>
          <w:sz w:val="22"/>
          <w:szCs w:val="22"/>
          <w:lang w:val="ru-RU"/>
        </w:rPr>
        <w:t>45°54'42'' северной широты та 30°55'05'' восточной долготы;</w:t>
      </w:r>
    </w:p>
    <w:p w14:paraId="411FD87E" w14:textId="67D382F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both"/>
        <w:rPr>
          <w:snapToGrid w:val="0"/>
          <w:color w:val="000000"/>
          <w:kern w:val="22"/>
          <w:sz w:val="22"/>
          <w:szCs w:val="22"/>
          <w:lang w:val="en-US"/>
        </w:rPr>
      </w:pPr>
      <w:r w:rsidRPr="0088780C">
        <w:rPr>
          <w:snapToGrid w:val="0"/>
          <w:color w:val="000000"/>
          <w:kern w:val="22"/>
          <w:sz w:val="22"/>
          <w:szCs w:val="22"/>
          <w:lang w:val="ru-RU"/>
        </w:rPr>
        <w:t>46°01'53'' северной широты та 31°10'40'' восточной долготы;</w:t>
      </w:r>
    </w:p>
    <w:p w14:paraId="7DC12825" w14:textId="38541B04"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both"/>
        <w:rPr>
          <w:snapToGrid w:val="0"/>
          <w:color w:val="000000"/>
          <w:kern w:val="22"/>
          <w:sz w:val="22"/>
          <w:szCs w:val="22"/>
          <w:lang w:val="en-US"/>
        </w:rPr>
      </w:pPr>
      <w:r w:rsidRPr="0088780C">
        <w:rPr>
          <w:snapToGrid w:val="0"/>
          <w:color w:val="000000"/>
          <w:kern w:val="22"/>
          <w:sz w:val="22"/>
          <w:szCs w:val="22"/>
          <w:lang w:val="ru-RU"/>
        </w:rPr>
        <w:t>45°З1'05'' северной широты та 31°42'56'' восточной долготы;</w:t>
      </w:r>
    </w:p>
    <w:p w14:paraId="762E137E" w14:textId="0D9D47C4"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both"/>
        <w:rPr>
          <w:snapToGrid w:val="0"/>
          <w:color w:val="000000"/>
          <w:kern w:val="22"/>
          <w:sz w:val="22"/>
          <w:szCs w:val="22"/>
          <w:lang w:val="en-US"/>
        </w:rPr>
      </w:pPr>
      <w:r w:rsidRPr="0088780C">
        <w:rPr>
          <w:snapToGrid w:val="0"/>
          <w:color w:val="000000"/>
          <w:kern w:val="22"/>
          <w:sz w:val="22"/>
          <w:szCs w:val="22"/>
          <w:lang w:val="ru-RU"/>
        </w:rPr>
        <w:t>45°17'41'' северной широты та 31°23'20'' восточной долготы.</w:t>
      </w:r>
    </w:p>
    <w:p w14:paraId="2913D697"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791C2F2D" w14:textId="77777777" w:rsidR="00A876F3" w:rsidRPr="0088780C" w:rsidRDefault="00A876F3" w:rsidP="001013AF">
      <w:pPr>
        <w:suppressLineNumbers/>
        <w:suppressAutoHyphens/>
        <w:kinsoku w:val="0"/>
        <w:overflowPunct w:val="0"/>
        <w:autoSpaceDE w:val="0"/>
        <w:autoSpaceDN w:val="0"/>
        <w:rPr>
          <w:b/>
          <w:snapToGrid w:val="0"/>
          <w:color w:val="000000"/>
          <w:kern w:val="22"/>
          <w:szCs w:val="22"/>
        </w:rPr>
      </w:pPr>
      <w:r w:rsidRPr="0088780C">
        <w:rPr>
          <w:b/>
          <w:snapToGrid w:val="0"/>
          <w:color w:val="000000"/>
          <w:kern w:val="22"/>
          <w:szCs w:val="22"/>
        </w:rPr>
        <w:t>Feature description of the area</w:t>
      </w:r>
    </w:p>
    <w:p w14:paraId="494AC6C3"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xml:space="preserve">The features of the ZPF are located at a depth of 25 to 50 m. The dominant deposits are shell limestone, silted shell limestone with carbonate content of about 70%, passing to the east in mid carbonate shelly silt (Babanets et al. 1981). Silt deposits are found in the paleodelta of the Dnieper River in the north of the district. Quartz sands are found at the high grounds of the bottom relief. ZPF has the following characteristics: average depth of 20-50 m, 17-18 ‰ salinity, summer temperature of 25 ° C, winter temperature of 4 ° C, dominated by marine species of plankton, but freshwater and brackish are also present. Most of the benthic biocenosis are Phyllophora and mussels, and deeper water is Phaseolina (Zaytsev 1992). In terms of the geochemical migration of elements, the so-called aquatic landscapes of ZPF related to the area are located in the central part of the shelf; they contain oxygen-clayey trans-accumulative landscapes on shell limestone (pelite content up to 20% and organic substances up to 1-1.5%) (Khovansky et al. 1989, </w:t>
      </w:r>
      <w:hyperlink r:id="rId110" w:tooltip="Пошук за автором" w:history="1">
        <w:r w:rsidRPr="0088780C">
          <w:rPr>
            <w:snapToGrid w:val="0"/>
            <w:color w:val="000000"/>
            <w:kern w:val="22"/>
            <w:szCs w:val="22"/>
          </w:rPr>
          <w:t>Sovga et al.</w:t>
        </w:r>
      </w:hyperlink>
      <w:r w:rsidRPr="0088780C">
        <w:rPr>
          <w:snapToGrid w:val="0"/>
          <w:color w:val="000000"/>
          <w:kern w:val="22"/>
          <w:szCs w:val="22"/>
        </w:rPr>
        <w:t xml:space="preserve">). The bivalves </w:t>
      </w:r>
      <w:r w:rsidRPr="0088780C">
        <w:rPr>
          <w:i/>
          <w:snapToGrid w:val="0"/>
          <w:color w:val="000000"/>
          <w:kern w:val="22"/>
          <w:szCs w:val="22"/>
        </w:rPr>
        <w:t>Mytilus galloprovincialis</w:t>
      </w:r>
      <w:r w:rsidRPr="0088780C">
        <w:rPr>
          <w:snapToGrid w:val="0"/>
          <w:color w:val="000000"/>
          <w:kern w:val="22"/>
          <w:szCs w:val="22"/>
        </w:rPr>
        <w:t xml:space="preserve"> and the deeper </w:t>
      </w:r>
      <w:r w:rsidRPr="0088780C">
        <w:rPr>
          <w:i/>
          <w:snapToGrid w:val="0"/>
          <w:color w:val="000000"/>
          <w:kern w:val="22"/>
          <w:szCs w:val="22"/>
        </w:rPr>
        <w:t>Modiolula phaseolina</w:t>
      </w:r>
      <w:r w:rsidRPr="0088780C">
        <w:rPr>
          <w:snapToGrid w:val="0"/>
          <w:color w:val="000000"/>
          <w:kern w:val="22"/>
          <w:szCs w:val="22"/>
        </w:rPr>
        <w:t xml:space="preserve"> are cenosis-forming species that form not only biocenoses, and also relevant environmental belt areas, landscapes and geologic facies (Bondarev 2012). The benthic zone of the cold intermediate layer (CIL) of the Black Sea is characterized not only by a specific set of shellfish, but also cold-loving representatives of phytobenthos </w:t>
      </w:r>
      <w:r w:rsidRPr="0088780C">
        <w:rPr>
          <w:i/>
          <w:snapToGrid w:val="0"/>
          <w:color w:val="000000"/>
          <w:kern w:val="22"/>
          <w:szCs w:val="22"/>
        </w:rPr>
        <w:t>Coccotylus truncatus</w:t>
      </w:r>
      <w:r w:rsidRPr="0088780C">
        <w:rPr>
          <w:snapToGrid w:val="0"/>
          <w:color w:val="000000"/>
          <w:kern w:val="22"/>
          <w:szCs w:val="22"/>
        </w:rPr>
        <w:t xml:space="preserve"> (Bondarev 2012, Bondarev 2014) (boreal element of the Black Sea ecosystem (Kalugina-Gutnik 1975)). In the northern seas </w:t>
      </w:r>
      <w:r w:rsidRPr="0088780C">
        <w:rPr>
          <w:i/>
          <w:snapToGrid w:val="0"/>
          <w:color w:val="000000"/>
          <w:kern w:val="22"/>
          <w:szCs w:val="22"/>
        </w:rPr>
        <w:t>Coccotylus truncatus</w:t>
      </w:r>
      <w:r w:rsidRPr="0088780C">
        <w:rPr>
          <w:snapToGrid w:val="0"/>
          <w:color w:val="000000"/>
          <w:kern w:val="22"/>
          <w:szCs w:val="22"/>
        </w:rPr>
        <w:t xml:space="preserve"> and </w:t>
      </w:r>
      <w:r w:rsidRPr="0088780C">
        <w:rPr>
          <w:i/>
          <w:snapToGrid w:val="0"/>
          <w:color w:val="000000"/>
          <w:kern w:val="22"/>
          <w:szCs w:val="22"/>
        </w:rPr>
        <w:t>Phyllophora pseudoceranoides</w:t>
      </w:r>
      <w:r w:rsidRPr="0088780C">
        <w:rPr>
          <w:snapToGrid w:val="0"/>
          <w:color w:val="000000"/>
          <w:kern w:val="22"/>
          <w:szCs w:val="22"/>
        </w:rPr>
        <w:t xml:space="preserve"> are found at shallow depths (0.5-8 m), whereas in the Black Sea they are adapted to the greater depths (20-50 m), where their normal existence is facilitated by the constant year-round temperature in the range of 6-10 ° C (Kalugina-Gutnik 1975). The species complex is typical for the benthic zone of the Black Sea’s CIL, in which the leading role belongs to boreal species, which formed about 2,800 years ago (Bondarev 2012, Bondarev 2014). </w:t>
      </w:r>
      <w:r w:rsidRPr="0088780C">
        <w:rPr>
          <w:i/>
          <w:snapToGrid w:val="0"/>
          <w:color w:val="000000"/>
          <w:kern w:val="22"/>
          <w:szCs w:val="22"/>
        </w:rPr>
        <w:t>Phyllophora crispa</w:t>
      </w:r>
      <w:r w:rsidRPr="0088780C">
        <w:rPr>
          <w:snapToGrid w:val="0"/>
          <w:color w:val="000000"/>
          <w:kern w:val="22"/>
          <w:szCs w:val="22"/>
        </w:rPr>
        <w:t xml:space="preserve"> is endemic to the Mediterranean basin (Kalugina-Gutnik 1975).</w:t>
      </w:r>
    </w:p>
    <w:p w14:paraId="54B7F297"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2FE27D33" w14:textId="77777777" w:rsidR="00A876F3" w:rsidRPr="0088780C" w:rsidRDefault="00A876F3" w:rsidP="001013AF">
      <w:pPr>
        <w:pStyle w:val="Title"/>
        <w:suppressLineNumbers/>
        <w:suppressAutoHyphens/>
        <w:kinsoku w:val="0"/>
        <w:overflowPunct w:val="0"/>
        <w:jc w:val="both"/>
        <w:rPr>
          <w:snapToGrid w:val="0"/>
          <w:color w:val="000000"/>
          <w:kern w:val="22"/>
          <w:sz w:val="22"/>
          <w:szCs w:val="22"/>
          <w:lang w:val="ru-RU"/>
        </w:rPr>
      </w:pPr>
      <w:r w:rsidRPr="0088780C">
        <w:rPr>
          <w:snapToGrid w:val="0"/>
          <w:color w:val="000000"/>
          <w:kern w:val="22"/>
          <w:sz w:val="22"/>
          <w:szCs w:val="22"/>
          <w:lang w:val="ru-RU"/>
        </w:rPr>
        <w:t xml:space="preserve">Ландшафты Филлофорного поля расположены на глубинах от 25 до 50 м. Среди отложений доминируют ракушечники и илистые ракушечники с карбонатностью порядке 70%, переходящие на востоке в средне карбонатные раковинные </w:t>
      </w:r>
      <w:r w:rsidRPr="0088780C">
        <w:rPr>
          <w:rStyle w:val="alt-edited1"/>
          <w:snapToGrid w:val="0"/>
          <w:color w:val="000000"/>
          <w:kern w:val="22"/>
          <w:sz w:val="22"/>
          <w:szCs w:val="22"/>
          <w:lang w:val="ru-RU"/>
        </w:rPr>
        <w:t>илы</w:t>
      </w:r>
      <w:r w:rsidRPr="0088780C">
        <w:rPr>
          <w:snapToGrid w:val="0"/>
          <w:color w:val="000000"/>
          <w:kern w:val="22"/>
          <w:sz w:val="22"/>
          <w:szCs w:val="22"/>
          <w:lang w:val="ru-RU"/>
        </w:rPr>
        <w:t xml:space="preserve"> (Бабанец </w:t>
      </w:r>
      <w:r w:rsidRPr="0088780C">
        <w:rPr>
          <w:rFonts w:eastAsia="Malgun Gothic"/>
          <w:i/>
          <w:snapToGrid w:val="0"/>
          <w:color w:val="000000"/>
          <w:kern w:val="22"/>
          <w:sz w:val="22"/>
          <w:szCs w:val="22"/>
          <w:lang w:val="ru-RU"/>
        </w:rPr>
        <w:t>et al.</w:t>
      </w:r>
      <w:r w:rsidRPr="0088780C">
        <w:rPr>
          <w:rFonts w:eastAsia="Malgun Gothic"/>
          <w:snapToGrid w:val="0"/>
          <w:color w:val="000000"/>
          <w:kern w:val="22"/>
          <w:sz w:val="22"/>
          <w:szCs w:val="22"/>
          <w:lang w:val="ru-RU"/>
        </w:rPr>
        <w:t xml:space="preserve"> </w:t>
      </w:r>
      <w:r w:rsidRPr="0088780C">
        <w:rPr>
          <w:snapToGrid w:val="0"/>
          <w:color w:val="000000"/>
          <w:kern w:val="22"/>
          <w:sz w:val="22"/>
          <w:szCs w:val="22"/>
          <w:lang w:val="ru-RU"/>
        </w:rPr>
        <w:t>1981). Отложения ила встречаются в палеодельте Днепра на севере района. Кварцевые пески встречаются на возвышенностях рельефа дна</w:t>
      </w:r>
      <w:r w:rsidRPr="0088780C">
        <w:rPr>
          <w:bCs/>
          <w:snapToGrid w:val="0"/>
          <w:color w:val="000000"/>
          <w:kern w:val="22"/>
          <w:sz w:val="22"/>
          <w:szCs w:val="22"/>
          <w:lang w:val="ru-RU"/>
        </w:rPr>
        <w:t xml:space="preserve">. </w:t>
      </w:r>
      <w:r w:rsidRPr="0088780C">
        <w:rPr>
          <w:rFonts w:eastAsia="MS Mincho"/>
          <w:snapToGrid w:val="0"/>
          <w:color w:val="000000"/>
          <w:kern w:val="22"/>
          <w:sz w:val="22"/>
          <w:szCs w:val="22"/>
          <w:lang w:val="ru-RU"/>
        </w:rPr>
        <w:t>В соответствие со схемой</w:t>
      </w:r>
      <w:r w:rsidRPr="0088780C">
        <w:rPr>
          <w:rFonts w:eastAsia="MS Mincho"/>
          <w:i/>
          <w:snapToGrid w:val="0"/>
          <w:color w:val="000000"/>
          <w:kern w:val="22"/>
          <w:sz w:val="22"/>
          <w:szCs w:val="22"/>
          <w:lang w:val="ru-RU"/>
        </w:rPr>
        <w:t xml:space="preserve"> </w:t>
      </w:r>
      <w:r w:rsidRPr="0088780C">
        <w:rPr>
          <w:rFonts w:eastAsia="TimesNewRoman"/>
          <w:snapToGrid w:val="0"/>
          <w:color w:val="000000"/>
          <w:kern w:val="22"/>
          <w:sz w:val="22"/>
          <w:szCs w:val="22"/>
          <w:lang w:val="ru-RU"/>
        </w:rPr>
        <w:t>эколого-географического районирования северо-западной части Черного моря (СЗЧМ) ФПЗ относится к Центральному сектору и имеет следующие характеристики: средние глубины 20-50 м, соленость 17-18‰, температура летом 25°С, зимой 4°С, в планктоне преобладают морские виды, но встречаются пресноводные и солоноватоводные. Большую часть бентали занимает биоценоз филлофоры и мидий, глубинную – биоценоз фазеолины (</w:t>
      </w:r>
      <w:r w:rsidRPr="0088780C">
        <w:rPr>
          <w:iCs/>
          <w:snapToGrid w:val="0"/>
          <w:color w:val="000000"/>
          <w:kern w:val="22"/>
          <w:sz w:val="22"/>
          <w:szCs w:val="22"/>
          <w:lang w:val="ru-RU"/>
        </w:rPr>
        <w:t>Зайцев</w:t>
      </w:r>
      <w:r w:rsidRPr="0088780C">
        <w:rPr>
          <w:i/>
          <w:iCs/>
          <w:snapToGrid w:val="0"/>
          <w:color w:val="000000"/>
          <w:kern w:val="22"/>
          <w:sz w:val="22"/>
          <w:szCs w:val="22"/>
          <w:lang w:val="ru-RU"/>
        </w:rPr>
        <w:t xml:space="preserve"> </w:t>
      </w:r>
      <w:r w:rsidRPr="0088780C">
        <w:rPr>
          <w:snapToGrid w:val="0"/>
          <w:color w:val="000000"/>
          <w:kern w:val="22"/>
          <w:sz w:val="22"/>
          <w:szCs w:val="22"/>
          <w:lang w:val="ru-RU"/>
        </w:rPr>
        <w:t xml:space="preserve">1992). </w:t>
      </w:r>
      <w:r w:rsidRPr="0088780C">
        <w:rPr>
          <w:rFonts w:eastAsia="TimesNewRoman"/>
          <w:snapToGrid w:val="0"/>
          <w:color w:val="000000"/>
          <w:kern w:val="22"/>
          <w:sz w:val="22"/>
          <w:szCs w:val="22"/>
          <w:lang w:val="ru-RU"/>
        </w:rPr>
        <w:t>По геохимической миграции элементов, так называемые аквальные ландшафты ФПЗ относятся к району расположенному в центральной части шельфа, в нем находятся кислород-глеевые ландшафты на ракушняках, в них содержание пелита до 20 %, органических веществ до       1–1,5 % (</w:t>
      </w:r>
      <w:r w:rsidRPr="0088780C">
        <w:rPr>
          <w:iCs/>
          <w:snapToGrid w:val="0"/>
          <w:color w:val="000000"/>
          <w:kern w:val="22"/>
          <w:sz w:val="22"/>
          <w:szCs w:val="22"/>
          <w:lang w:val="ru-RU"/>
        </w:rPr>
        <w:t>Хованский</w:t>
      </w:r>
      <w:r w:rsidRPr="0088780C">
        <w:rPr>
          <w:i/>
          <w:iCs/>
          <w:snapToGrid w:val="0"/>
          <w:color w:val="000000"/>
          <w:kern w:val="22"/>
          <w:sz w:val="22"/>
          <w:szCs w:val="22"/>
          <w:lang w:val="ru-RU"/>
        </w:rPr>
        <w:t xml:space="preserve"> </w:t>
      </w:r>
      <w:r w:rsidRPr="0088780C">
        <w:rPr>
          <w:rFonts w:eastAsia="Malgun Gothic"/>
          <w:i/>
          <w:snapToGrid w:val="0"/>
          <w:color w:val="000000"/>
          <w:kern w:val="22"/>
          <w:sz w:val="22"/>
          <w:szCs w:val="22"/>
          <w:lang w:val="ru-RU"/>
        </w:rPr>
        <w:t>et al.</w:t>
      </w:r>
      <w:r w:rsidRPr="0088780C">
        <w:rPr>
          <w:rFonts w:eastAsia="Malgun Gothic"/>
          <w:snapToGrid w:val="0"/>
          <w:color w:val="000000"/>
          <w:kern w:val="22"/>
          <w:sz w:val="22"/>
          <w:szCs w:val="22"/>
          <w:lang w:val="ru-RU"/>
        </w:rPr>
        <w:t xml:space="preserve"> </w:t>
      </w:r>
      <w:r w:rsidRPr="0088780C">
        <w:rPr>
          <w:snapToGrid w:val="0"/>
          <w:color w:val="000000"/>
          <w:kern w:val="22"/>
          <w:sz w:val="22"/>
          <w:szCs w:val="22"/>
          <w:lang w:val="ru-RU"/>
        </w:rPr>
        <w:t>1989</w:t>
      </w:r>
      <w:r w:rsidRPr="0088780C">
        <w:rPr>
          <w:rFonts w:eastAsia="TimesNewRoman"/>
          <w:snapToGrid w:val="0"/>
          <w:color w:val="000000"/>
          <w:kern w:val="22"/>
          <w:sz w:val="22"/>
          <w:szCs w:val="22"/>
          <w:lang w:val="ru-RU"/>
        </w:rPr>
        <w:t xml:space="preserve">, </w:t>
      </w:r>
      <w:hyperlink r:id="rId111" w:tooltip="Пошук за автором" w:history="1">
        <w:r w:rsidRPr="0088780C">
          <w:rPr>
            <w:snapToGrid w:val="0"/>
            <w:color w:val="000000"/>
            <w:kern w:val="22"/>
            <w:sz w:val="22"/>
            <w:szCs w:val="22"/>
            <w:lang w:val="ru-RU" w:eastAsia="uk-UA"/>
          </w:rPr>
          <w:t xml:space="preserve">Совга </w:t>
        </w:r>
        <w:r w:rsidRPr="0088780C">
          <w:rPr>
            <w:rFonts w:eastAsia="Malgun Gothic"/>
            <w:i/>
            <w:snapToGrid w:val="0"/>
            <w:color w:val="000000"/>
            <w:kern w:val="22"/>
            <w:sz w:val="22"/>
            <w:szCs w:val="22"/>
            <w:lang w:val="ru-RU"/>
          </w:rPr>
          <w:t>et al.</w:t>
        </w:r>
      </w:hyperlink>
      <w:r w:rsidRPr="0088780C">
        <w:rPr>
          <w:snapToGrid w:val="0"/>
          <w:color w:val="000000"/>
          <w:kern w:val="22"/>
          <w:sz w:val="22"/>
          <w:szCs w:val="22"/>
          <w:lang w:val="ru-RU" w:eastAsia="uk-UA"/>
        </w:rPr>
        <w:t xml:space="preserve">). </w:t>
      </w:r>
      <w:r w:rsidRPr="0088780C">
        <w:rPr>
          <w:snapToGrid w:val="0"/>
          <w:color w:val="000000"/>
          <w:kern w:val="22"/>
          <w:sz w:val="22"/>
          <w:szCs w:val="22"/>
          <w:lang w:val="ru-RU"/>
        </w:rPr>
        <w:t xml:space="preserve">Двустворчатые моллюски </w:t>
      </w:r>
      <w:r w:rsidRPr="0088780C">
        <w:rPr>
          <w:i/>
          <w:iCs/>
          <w:snapToGrid w:val="0"/>
          <w:color w:val="000000"/>
          <w:kern w:val="22"/>
          <w:sz w:val="22"/>
          <w:szCs w:val="22"/>
          <w:lang w:val="ru-RU"/>
        </w:rPr>
        <w:t xml:space="preserve">Mytilus galloprovincialis </w:t>
      </w:r>
      <w:r w:rsidRPr="0088780C">
        <w:rPr>
          <w:snapToGrid w:val="0"/>
          <w:color w:val="000000"/>
          <w:kern w:val="22"/>
          <w:sz w:val="22"/>
          <w:szCs w:val="22"/>
          <w:lang w:val="ru-RU"/>
        </w:rPr>
        <w:t xml:space="preserve">и более глубоководная </w:t>
      </w:r>
      <w:r w:rsidRPr="0088780C">
        <w:rPr>
          <w:i/>
          <w:iCs/>
          <w:snapToGrid w:val="0"/>
          <w:color w:val="000000"/>
          <w:kern w:val="22"/>
          <w:sz w:val="22"/>
          <w:szCs w:val="22"/>
          <w:lang w:val="ru-RU"/>
        </w:rPr>
        <w:t xml:space="preserve">Modiolula phaseolina </w:t>
      </w:r>
      <w:r w:rsidRPr="0088780C">
        <w:rPr>
          <w:snapToGrid w:val="0"/>
          <w:color w:val="000000"/>
          <w:kern w:val="22"/>
          <w:sz w:val="22"/>
          <w:szCs w:val="22"/>
          <w:lang w:val="ru-RU"/>
        </w:rPr>
        <w:t>являются ценозообразующими видами, которые формируют не только биоценозы, но и соответствующие экологические поясные зоны, ландшафтные и геологические фации (</w:t>
      </w:r>
      <w:r w:rsidRPr="0088780C">
        <w:rPr>
          <w:bCs/>
          <w:snapToGrid w:val="0"/>
          <w:color w:val="000000"/>
          <w:kern w:val="22"/>
          <w:sz w:val="22"/>
          <w:szCs w:val="22"/>
          <w:lang w:val="ru-RU"/>
        </w:rPr>
        <w:t>Бондарев 2012)</w:t>
      </w:r>
      <w:r w:rsidRPr="0088780C">
        <w:rPr>
          <w:snapToGrid w:val="0"/>
          <w:color w:val="000000"/>
          <w:kern w:val="22"/>
          <w:sz w:val="22"/>
          <w:szCs w:val="22"/>
          <w:lang w:val="ru-RU"/>
        </w:rPr>
        <w:t xml:space="preserve">. Для бентали холодного промежуточного cлоя (ХПС) Черного моря (ЧМ) характерен не только специфический набор моллюсков, но и холодолюбивый представитель фитобентоса </w:t>
      </w:r>
      <w:r w:rsidRPr="0088780C">
        <w:rPr>
          <w:i/>
          <w:iCs/>
          <w:snapToGrid w:val="0"/>
          <w:color w:val="000000"/>
          <w:kern w:val="22"/>
          <w:sz w:val="22"/>
          <w:szCs w:val="22"/>
          <w:lang w:val="ru-RU"/>
        </w:rPr>
        <w:t xml:space="preserve">Coccotylus truncatus </w:t>
      </w:r>
      <w:r w:rsidRPr="0088780C">
        <w:rPr>
          <w:snapToGrid w:val="0"/>
          <w:color w:val="000000"/>
          <w:kern w:val="22"/>
          <w:sz w:val="22"/>
          <w:szCs w:val="22"/>
          <w:lang w:val="ru-RU"/>
        </w:rPr>
        <w:t>(</w:t>
      </w:r>
      <w:r w:rsidRPr="0088780C">
        <w:rPr>
          <w:bCs/>
          <w:snapToGrid w:val="0"/>
          <w:color w:val="000000"/>
          <w:kern w:val="22"/>
          <w:sz w:val="22"/>
          <w:szCs w:val="22"/>
          <w:lang w:val="ru-RU"/>
        </w:rPr>
        <w:t xml:space="preserve">Бондарев </w:t>
      </w:r>
      <w:r w:rsidRPr="0088780C">
        <w:rPr>
          <w:iCs/>
          <w:snapToGrid w:val="0"/>
          <w:color w:val="000000"/>
          <w:kern w:val="22"/>
          <w:sz w:val="22"/>
          <w:szCs w:val="22"/>
          <w:lang w:val="ru-RU"/>
        </w:rPr>
        <w:t xml:space="preserve">2012, </w:t>
      </w:r>
      <w:r w:rsidRPr="0088780C">
        <w:rPr>
          <w:bCs/>
          <w:snapToGrid w:val="0"/>
          <w:color w:val="000000"/>
          <w:kern w:val="22"/>
          <w:sz w:val="22"/>
          <w:szCs w:val="22"/>
          <w:lang w:val="ru-RU"/>
        </w:rPr>
        <w:t xml:space="preserve">Бондарев </w:t>
      </w:r>
      <w:r w:rsidRPr="0088780C">
        <w:rPr>
          <w:iCs/>
          <w:snapToGrid w:val="0"/>
          <w:color w:val="000000"/>
          <w:kern w:val="22"/>
          <w:sz w:val="22"/>
          <w:szCs w:val="22"/>
          <w:lang w:val="ru-RU"/>
        </w:rPr>
        <w:t>2014)</w:t>
      </w:r>
      <w:r w:rsidRPr="0088780C">
        <w:rPr>
          <w:snapToGrid w:val="0"/>
          <w:color w:val="000000"/>
          <w:kern w:val="22"/>
          <w:sz w:val="22"/>
          <w:szCs w:val="22"/>
          <w:lang w:val="ru-RU"/>
        </w:rPr>
        <w:t>, который является бореальным элементом экосистемы Черного моря (</w:t>
      </w:r>
      <w:r w:rsidRPr="0088780C">
        <w:rPr>
          <w:iCs/>
          <w:snapToGrid w:val="0"/>
          <w:color w:val="000000"/>
          <w:kern w:val="22"/>
          <w:sz w:val="22"/>
          <w:szCs w:val="22"/>
          <w:lang w:val="ru-RU"/>
        </w:rPr>
        <w:t>Калугина-Гутник</w:t>
      </w:r>
      <w:r w:rsidRPr="0088780C">
        <w:rPr>
          <w:i/>
          <w:iCs/>
          <w:snapToGrid w:val="0"/>
          <w:color w:val="000000"/>
          <w:kern w:val="22"/>
          <w:sz w:val="22"/>
          <w:szCs w:val="22"/>
          <w:lang w:val="ru-RU"/>
        </w:rPr>
        <w:t xml:space="preserve"> </w:t>
      </w:r>
      <w:r w:rsidRPr="0088780C">
        <w:rPr>
          <w:iCs/>
          <w:snapToGrid w:val="0"/>
          <w:color w:val="000000"/>
          <w:kern w:val="22"/>
          <w:sz w:val="22"/>
          <w:szCs w:val="22"/>
          <w:lang w:val="ru-RU"/>
        </w:rPr>
        <w:t>1975)</w:t>
      </w:r>
      <w:r w:rsidRPr="0088780C">
        <w:rPr>
          <w:snapToGrid w:val="0"/>
          <w:color w:val="000000"/>
          <w:kern w:val="22"/>
          <w:sz w:val="22"/>
          <w:szCs w:val="22"/>
          <w:lang w:val="ru-RU"/>
        </w:rPr>
        <w:t xml:space="preserve">. </w:t>
      </w:r>
      <w:r w:rsidRPr="0088780C">
        <w:rPr>
          <w:i/>
          <w:iCs/>
          <w:snapToGrid w:val="0"/>
          <w:color w:val="000000"/>
          <w:kern w:val="22"/>
          <w:sz w:val="22"/>
          <w:szCs w:val="22"/>
          <w:lang w:val="ru-RU"/>
        </w:rPr>
        <w:t xml:space="preserve">Coccotylus truncatus </w:t>
      </w:r>
      <w:r w:rsidRPr="0088780C">
        <w:rPr>
          <w:iCs/>
          <w:snapToGrid w:val="0"/>
          <w:color w:val="000000"/>
          <w:kern w:val="22"/>
          <w:sz w:val="22"/>
          <w:szCs w:val="22"/>
          <w:lang w:val="ru-RU"/>
        </w:rPr>
        <w:t>и</w:t>
      </w:r>
      <w:r w:rsidRPr="0088780C">
        <w:rPr>
          <w:i/>
          <w:iCs/>
          <w:snapToGrid w:val="0"/>
          <w:color w:val="000000"/>
          <w:kern w:val="22"/>
          <w:sz w:val="22"/>
          <w:szCs w:val="22"/>
          <w:lang w:val="ru-RU"/>
        </w:rPr>
        <w:t xml:space="preserve"> Phyllophora</w:t>
      </w:r>
      <w:r w:rsidRPr="0088780C">
        <w:rPr>
          <w:iCs/>
          <w:snapToGrid w:val="0"/>
          <w:color w:val="000000"/>
          <w:kern w:val="22"/>
          <w:sz w:val="22"/>
          <w:szCs w:val="22"/>
          <w:lang w:val="ru-RU"/>
        </w:rPr>
        <w:t xml:space="preserve"> </w:t>
      </w:r>
      <w:r w:rsidRPr="0088780C">
        <w:rPr>
          <w:bCs/>
          <w:i/>
          <w:iCs/>
          <w:snapToGrid w:val="0"/>
          <w:color w:val="000000"/>
          <w:kern w:val="22"/>
          <w:sz w:val="22"/>
          <w:szCs w:val="22"/>
          <w:lang w:val="ru-RU"/>
        </w:rPr>
        <w:t>pseudoceranoides</w:t>
      </w:r>
      <w:r w:rsidRPr="0088780C">
        <w:rPr>
          <w:bCs/>
          <w:i/>
          <w:snapToGrid w:val="0"/>
          <w:color w:val="000000"/>
          <w:kern w:val="22"/>
          <w:sz w:val="22"/>
          <w:szCs w:val="22"/>
          <w:lang w:val="ru-RU"/>
        </w:rPr>
        <w:t xml:space="preserve"> </w:t>
      </w:r>
      <w:r w:rsidRPr="0088780C">
        <w:rPr>
          <w:bCs/>
          <w:snapToGrid w:val="0"/>
          <w:color w:val="000000"/>
          <w:kern w:val="22"/>
          <w:sz w:val="22"/>
          <w:szCs w:val="22"/>
          <w:lang w:val="ru-RU"/>
        </w:rPr>
        <w:t>в северных</w:t>
      </w:r>
      <w:r w:rsidRPr="0088780C">
        <w:rPr>
          <w:bCs/>
          <w:i/>
          <w:snapToGrid w:val="0"/>
          <w:color w:val="000000"/>
          <w:kern w:val="22"/>
          <w:sz w:val="22"/>
          <w:szCs w:val="22"/>
          <w:lang w:val="ru-RU"/>
        </w:rPr>
        <w:t xml:space="preserve"> </w:t>
      </w:r>
      <w:r w:rsidRPr="0088780C">
        <w:rPr>
          <w:bCs/>
          <w:snapToGrid w:val="0"/>
          <w:color w:val="000000"/>
          <w:kern w:val="22"/>
          <w:sz w:val="22"/>
          <w:szCs w:val="22"/>
          <w:lang w:val="ru-RU"/>
        </w:rPr>
        <w:t>морях</w:t>
      </w:r>
      <w:r w:rsidRPr="0088780C">
        <w:rPr>
          <w:bCs/>
          <w:i/>
          <w:snapToGrid w:val="0"/>
          <w:color w:val="000000"/>
          <w:kern w:val="22"/>
          <w:sz w:val="22"/>
          <w:szCs w:val="22"/>
          <w:lang w:val="ru-RU"/>
        </w:rPr>
        <w:t xml:space="preserve"> </w:t>
      </w:r>
      <w:r w:rsidRPr="0088780C">
        <w:rPr>
          <w:bCs/>
          <w:snapToGrid w:val="0"/>
          <w:color w:val="000000"/>
          <w:kern w:val="22"/>
          <w:sz w:val="22"/>
          <w:szCs w:val="22"/>
          <w:lang w:val="ru-RU"/>
        </w:rPr>
        <w:t>обитают на малых глубинах (0,5</w:t>
      </w:r>
      <w:r w:rsidRPr="0088780C">
        <w:rPr>
          <w:rFonts w:eastAsia="TimesNewRoman"/>
          <w:snapToGrid w:val="0"/>
          <w:color w:val="000000"/>
          <w:kern w:val="22"/>
          <w:sz w:val="22"/>
          <w:szCs w:val="22"/>
          <w:lang w:val="ru-RU"/>
        </w:rPr>
        <w:t>–</w:t>
      </w:r>
      <w:r w:rsidRPr="0088780C">
        <w:rPr>
          <w:bCs/>
          <w:snapToGrid w:val="0"/>
          <w:color w:val="000000"/>
          <w:kern w:val="22"/>
          <w:sz w:val="22"/>
          <w:szCs w:val="22"/>
          <w:lang w:val="ru-RU"/>
        </w:rPr>
        <w:t>8 м), в Черном море они приспособились к большим глубинам (20</w:t>
      </w:r>
      <w:r w:rsidRPr="0088780C">
        <w:rPr>
          <w:rFonts w:eastAsia="TimesNewRoman"/>
          <w:snapToGrid w:val="0"/>
          <w:color w:val="000000"/>
          <w:kern w:val="22"/>
          <w:sz w:val="22"/>
          <w:szCs w:val="22"/>
          <w:lang w:val="ru-RU"/>
        </w:rPr>
        <w:t>–</w:t>
      </w:r>
      <w:r w:rsidRPr="0088780C">
        <w:rPr>
          <w:bCs/>
          <w:snapToGrid w:val="0"/>
          <w:color w:val="000000"/>
          <w:kern w:val="22"/>
          <w:sz w:val="22"/>
          <w:szCs w:val="22"/>
          <w:lang w:val="ru-RU"/>
        </w:rPr>
        <w:t>50 м), где их нормальное существование обеспечивается постоянной круглогодичной температурой в пределах 6</w:t>
      </w:r>
      <w:r w:rsidRPr="0088780C">
        <w:rPr>
          <w:rFonts w:eastAsia="TimesNewRoman"/>
          <w:snapToGrid w:val="0"/>
          <w:color w:val="000000"/>
          <w:kern w:val="22"/>
          <w:sz w:val="22"/>
          <w:szCs w:val="22"/>
          <w:lang w:val="ru-RU"/>
        </w:rPr>
        <w:t>–</w:t>
      </w:r>
      <w:r w:rsidRPr="0088780C">
        <w:rPr>
          <w:bCs/>
          <w:snapToGrid w:val="0"/>
          <w:color w:val="000000"/>
          <w:kern w:val="22"/>
          <w:sz w:val="22"/>
          <w:szCs w:val="22"/>
          <w:lang w:val="ru-RU"/>
        </w:rPr>
        <w:t xml:space="preserve">10 °С </w:t>
      </w:r>
      <w:r w:rsidRPr="0088780C">
        <w:rPr>
          <w:snapToGrid w:val="0"/>
          <w:color w:val="000000"/>
          <w:kern w:val="22"/>
          <w:sz w:val="22"/>
          <w:szCs w:val="22"/>
          <w:lang w:val="ru-RU"/>
        </w:rPr>
        <w:t>(</w:t>
      </w:r>
      <w:r w:rsidRPr="0088780C">
        <w:rPr>
          <w:iCs/>
          <w:snapToGrid w:val="0"/>
          <w:color w:val="000000"/>
          <w:kern w:val="22"/>
          <w:sz w:val="22"/>
          <w:szCs w:val="22"/>
          <w:lang w:val="ru-RU"/>
        </w:rPr>
        <w:t>Калугина-Гутник</w:t>
      </w:r>
      <w:r w:rsidRPr="0088780C">
        <w:rPr>
          <w:i/>
          <w:iCs/>
          <w:snapToGrid w:val="0"/>
          <w:color w:val="000000"/>
          <w:kern w:val="22"/>
          <w:sz w:val="22"/>
          <w:szCs w:val="22"/>
          <w:lang w:val="ru-RU"/>
        </w:rPr>
        <w:t xml:space="preserve"> </w:t>
      </w:r>
      <w:r w:rsidRPr="0088780C">
        <w:rPr>
          <w:iCs/>
          <w:snapToGrid w:val="0"/>
          <w:color w:val="000000"/>
          <w:kern w:val="22"/>
          <w:sz w:val="22"/>
          <w:szCs w:val="22"/>
          <w:lang w:val="ru-RU"/>
        </w:rPr>
        <w:t>1975)</w:t>
      </w:r>
      <w:r w:rsidRPr="0088780C">
        <w:rPr>
          <w:snapToGrid w:val="0"/>
          <w:color w:val="000000"/>
          <w:kern w:val="22"/>
          <w:sz w:val="22"/>
          <w:szCs w:val="22"/>
          <w:lang w:val="ru-RU"/>
        </w:rPr>
        <w:t>.</w:t>
      </w:r>
      <w:r w:rsidRPr="0088780C">
        <w:rPr>
          <w:bCs/>
          <w:snapToGrid w:val="0"/>
          <w:color w:val="000000"/>
          <w:kern w:val="22"/>
          <w:sz w:val="22"/>
          <w:szCs w:val="22"/>
          <w:lang w:val="ru-RU"/>
        </w:rPr>
        <w:t xml:space="preserve"> </w:t>
      </w:r>
      <w:r w:rsidRPr="0088780C">
        <w:rPr>
          <w:snapToGrid w:val="0"/>
          <w:color w:val="000000"/>
          <w:kern w:val="22"/>
          <w:sz w:val="22"/>
          <w:szCs w:val="22"/>
          <w:lang w:val="ru-RU"/>
        </w:rPr>
        <w:t>Характерный для бентали ХПС ЧМ комплекс видов, в котором ведущая роль принадлежит видам с бореальными корнями сформировался примерно 2800 лет назад (</w:t>
      </w:r>
      <w:r w:rsidRPr="0088780C">
        <w:rPr>
          <w:bCs/>
          <w:snapToGrid w:val="0"/>
          <w:color w:val="000000"/>
          <w:kern w:val="22"/>
          <w:sz w:val="22"/>
          <w:szCs w:val="22"/>
          <w:lang w:val="ru-RU"/>
        </w:rPr>
        <w:t xml:space="preserve">Бондарев </w:t>
      </w:r>
      <w:r w:rsidRPr="0088780C">
        <w:rPr>
          <w:iCs/>
          <w:snapToGrid w:val="0"/>
          <w:color w:val="000000"/>
          <w:kern w:val="22"/>
          <w:sz w:val="22"/>
          <w:szCs w:val="22"/>
          <w:lang w:val="ru-RU"/>
        </w:rPr>
        <w:t xml:space="preserve">2012, </w:t>
      </w:r>
      <w:r w:rsidRPr="0088780C">
        <w:rPr>
          <w:bCs/>
          <w:snapToGrid w:val="0"/>
          <w:color w:val="000000"/>
          <w:kern w:val="22"/>
          <w:sz w:val="22"/>
          <w:szCs w:val="22"/>
          <w:lang w:val="ru-RU"/>
        </w:rPr>
        <w:t xml:space="preserve">Бондарев </w:t>
      </w:r>
      <w:r w:rsidRPr="0088780C">
        <w:rPr>
          <w:iCs/>
          <w:snapToGrid w:val="0"/>
          <w:color w:val="000000"/>
          <w:kern w:val="22"/>
          <w:sz w:val="22"/>
          <w:szCs w:val="22"/>
          <w:lang w:val="ru-RU"/>
        </w:rPr>
        <w:t xml:space="preserve">2014). </w:t>
      </w:r>
      <w:r w:rsidRPr="0088780C">
        <w:rPr>
          <w:bCs/>
          <w:i/>
          <w:snapToGrid w:val="0"/>
          <w:color w:val="000000"/>
          <w:kern w:val="22"/>
          <w:sz w:val="22"/>
          <w:szCs w:val="22"/>
          <w:lang w:val="ru-RU"/>
        </w:rPr>
        <w:t xml:space="preserve">Phyllophora crispa </w:t>
      </w:r>
      <w:r w:rsidRPr="0088780C">
        <w:rPr>
          <w:bCs/>
          <w:snapToGrid w:val="0"/>
          <w:color w:val="000000"/>
          <w:kern w:val="22"/>
          <w:sz w:val="22"/>
          <w:szCs w:val="22"/>
          <w:lang w:val="ru-RU"/>
        </w:rPr>
        <w:t xml:space="preserve">является эндемиком Средиземноморского бассейна </w:t>
      </w:r>
      <w:r w:rsidRPr="0088780C">
        <w:rPr>
          <w:snapToGrid w:val="0"/>
          <w:color w:val="000000"/>
          <w:kern w:val="22"/>
          <w:sz w:val="22"/>
          <w:szCs w:val="22"/>
          <w:lang w:val="ru-RU"/>
        </w:rPr>
        <w:t>(</w:t>
      </w:r>
      <w:r w:rsidRPr="0088780C">
        <w:rPr>
          <w:iCs/>
          <w:snapToGrid w:val="0"/>
          <w:color w:val="000000"/>
          <w:kern w:val="22"/>
          <w:sz w:val="22"/>
          <w:szCs w:val="22"/>
          <w:lang w:val="ru-RU"/>
        </w:rPr>
        <w:t>Калугина-Гутник</w:t>
      </w:r>
      <w:r w:rsidRPr="0088780C">
        <w:rPr>
          <w:i/>
          <w:iCs/>
          <w:snapToGrid w:val="0"/>
          <w:color w:val="000000"/>
          <w:kern w:val="22"/>
          <w:sz w:val="22"/>
          <w:szCs w:val="22"/>
          <w:lang w:val="ru-RU"/>
        </w:rPr>
        <w:t xml:space="preserve"> </w:t>
      </w:r>
      <w:r w:rsidRPr="0088780C">
        <w:rPr>
          <w:iCs/>
          <w:snapToGrid w:val="0"/>
          <w:color w:val="000000"/>
          <w:kern w:val="22"/>
          <w:sz w:val="22"/>
          <w:szCs w:val="22"/>
          <w:lang w:val="ru-RU"/>
        </w:rPr>
        <w:t>1975)</w:t>
      </w:r>
      <w:r w:rsidRPr="0088780C">
        <w:rPr>
          <w:snapToGrid w:val="0"/>
          <w:color w:val="000000"/>
          <w:kern w:val="22"/>
          <w:sz w:val="22"/>
          <w:szCs w:val="22"/>
          <w:lang w:val="ru-RU"/>
        </w:rPr>
        <w:t>.</w:t>
      </w:r>
      <w:r w:rsidRPr="0088780C">
        <w:rPr>
          <w:bCs/>
          <w:snapToGrid w:val="0"/>
          <w:color w:val="000000"/>
          <w:kern w:val="22"/>
          <w:sz w:val="22"/>
          <w:szCs w:val="22"/>
          <w:lang w:val="ru-RU"/>
        </w:rPr>
        <w:t xml:space="preserve"> </w:t>
      </w:r>
    </w:p>
    <w:p w14:paraId="1EE9C80C" w14:textId="65D6DF7A" w:rsidR="00A876F3" w:rsidRPr="0088780C" w:rsidRDefault="00A876F3" w:rsidP="001013AF">
      <w:pPr>
        <w:pStyle w:val="Title"/>
        <w:suppressLineNumbers/>
        <w:suppressAutoHyphens/>
        <w:kinsoku w:val="0"/>
        <w:overflowPunct w:val="0"/>
        <w:jc w:val="both"/>
        <w:rPr>
          <w:snapToGrid w:val="0"/>
          <w:kern w:val="22"/>
          <w:sz w:val="22"/>
          <w:szCs w:val="22"/>
          <w:lang w:val="en-GB"/>
        </w:rPr>
      </w:pPr>
    </w:p>
    <w:p w14:paraId="09AC48E2"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Feature condition and future outlook of the area</w:t>
      </w:r>
    </w:p>
    <w:p w14:paraId="3174B562" w14:textId="0E9DFDDF"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area is very sensitive to changes in environmental conditions. So, in 2012, the upper limit of </w:t>
      </w:r>
      <w:r w:rsidRPr="0088780C">
        <w:rPr>
          <w:i/>
          <w:snapToGrid w:val="0"/>
          <w:kern w:val="22"/>
          <w:szCs w:val="22"/>
        </w:rPr>
        <w:t>Modiolula phaseolina</w:t>
      </w:r>
      <w:r w:rsidRPr="0088780C">
        <w:rPr>
          <w:snapToGrid w:val="0"/>
          <w:kern w:val="22"/>
          <w:szCs w:val="22"/>
        </w:rPr>
        <w:t xml:space="preserve"> was recorded on 42 m isobaths; clusters of the large-sized clams groups were found at depths of 44-54m. Changes were recorded in the location of the upper boundaries of </w:t>
      </w:r>
      <w:r w:rsidRPr="0088780C">
        <w:rPr>
          <w:i/>
          <w:snapToGrid w:val="0"/>
          <w:kern w:val="22"/>
          <w:szCs w:val="22"/>
        </w:rPr>
        <w:t>Modiolula phaseolina</w:t>
      </w:r>
      <w:r w:rsidRPr="0088780C">
        <w:rPr>
          <w:snapToGrid w:val="0"/>
          <w:kern w:val="22"/>
          <w:szCs w:val="22"/>
        </w:rPr>
        <w:t xml:space="preserve"> communities of the north-western shelf of the Black Sea. It should be noted that </w:t>
      </w:r>
      <w:r w:rsidRPr="0088780C">
        <w:rPr>
          <w:i/>
          <w:snapToGrid w:val="0"/>
          <w:kern w:val="22"/>
          <w:szCs w:val="22"/>
        </w:rPr>
        <w:t>Modiolula phaseolina</w:t>
      </w:r>
      <w:r w:rsidRPr="0088780C">
        <w:rPr>
          <w:snapToGrid w:val="0"/>
          <w:kern w:val="22"/>
          <w:szCs w:val="22"/>
        </w:rPr>
        <w:t xml:space="preserve"> was limited to a depth </w:t>
      </w:r>
      <w:r w:rsidR="00274FBB" w:rsidRPr="0088780C">
        <w:rPr>
          <w:snapToGrid w:val="0"/>
          <w:kern w:val="22"/>
          <w:szCs w:val="22"/>
        </w:rPr>
        <w:t xml:space="preserve">of </w:t>
      </w:r>
      <w:r w:rsidRPr="0088780C">
        <w:rPr>
          <w:snapToGrid w:val="0"/>
          <w:kern w:val="22"/>
          <w:szCs w:val="22"/>
        </w:rPr>
        <w:t>50-60</w:t>
      </w:r>
      <w:r w:rsidR="00274FBB" w:rsidRPr="0088780C">
        <w:rPr>
          <w:snapToGrid w:val="0"/>
          <w:kern w:val="22"/>
          <w:szCs w:val="22"/>
        </w:rPr>
        <w:t> </w:t>
      </w:r>
      <w:r w:rsidRPr="0088780C">
        <w:rPr>
          <w:snapToGrid w:val="0"/>
          <w:kern w:val="22"/>
          <w:szCs w:val="22"/>
        </w:rPr>
        <w:t>m up to 200</w:t>
      </w:r>
      <w:r w:rsidR="00274FBB" w:rsidRPr="0088780C">
        <w:rPr>
          <w:snapToGrid w:val="0"/>
          <w:kern w:val="22"/>
          <w:szCs w:val="22"/>
        </w:rPr>
        <w:t> </w:t>
      </w:r>
      <w:r w:rsidRPr="0088780C">
        <w:rPr>
          <w:snapToGrid w:val="0"/>
          <w:kern w:val="22"/>
          <w:szCs w:val="22"/>
        </w:rPr>
        <w:t xml:space="preserve">m until the end of the 20th century (Zaitsev et al, 2006). </w:t>
      </w:r>
      <w:r w:rsidRPr="0088780C">
        <w:rPr>
          <w:i/>
          <w:snapToGrid w:val="0"/>
          <w:kern w:val="22"/>
          <w:szCs w:val="22"/>
        </w:rPr>
        <w:t>Coccotylus truncatus</w:t>
      </w:r>
      <w:r w:rsidRPr="0088780C">
        <w:rPr>
          <w:snapToGrid w:val="0"/>
          <w:kern w:val="22"/>
          <w:szCs w:val="22"/>
        </w:rPr>
        <w:t xml:space="preserve"> distribution in a shallow area of the ZPF in recent years is connected to the decrease in temperature of the bottom waters caused by the widespread decrease in water transparency by a factor of 4 to 10, which in turn caused a rise in the lower boundary of the photosynthesis zone (Kalugina-Gutnik et al, 1989). In recent years, there has been an increase in the area of macrophytobenthos biodiversity, mainly due to the filamentous form with high specific surface area of the thallus. This can be explained by the intake of nutrients with the river flow of the Dniester, Dnieper, and from Karkinitsky Bay, as well as elution of nutrients from the bottom sediments (Minicheva 2007, Minicheva et al., 2009).</w:t>
      </w:r>
    </w:p>
    <w:p w14:paraId="655F3BAE"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1815C34" w14:textId="5E2104F0" w:rsidR="00A876F3" w:rsidRPr="0088780C" w:rsidRDefault="00A876F3" w:rsidP="001013AF">
      <w:pPr>
        <w:pStyle w:val="Default"/>
        <w:widowControl/>
        <w:suppressLineNumbers/>
        <w:suppressAutoHyphens/>
        <w:kinsoku w:val="0"/>
        <w:overflowPunct w:val="0"/>
        <w:jc w:val="both"/>
        <w:rPr>
          <w:bCs/>
          <w:snapToGrid w:val="0"/>
          <w:kern w:val="22"/>
          <w:sz w:val="22"/>
          <w:szCs w:val="22"/>
        </w:rPr>
      </w:pPr>
      <w:r w:rsidRPr="0088780C">
        <w:rPr>
          <w:snapToGrid w:val="0"/>
          <w:kern w:val="22"/>
          <w:sz w:val="22"/>
          <w:szCs w:val="22"/>
          <w:lang w:val="ru-RU"/>
        </w:rPr>
        <w:t xml:space="preserve">Район очень чувствителен к изменениям условий среды. Так, </w:t>
      </w:r>
      <w:r w:rsidRPr="0088780C">
        <w:rPr>
          <w:snapToGrid w:val="0"/>
          <w:color w:val="222222"/>
          <w:kern w:val="22"/>
          <w:sz w:val="22"/>
          <w:szCs w:val="22"/>
          <w:lang w:val="ru-RU"/>
        </w:rPr>
        <w:t xml:space="preserve">в 2012 г. </w:t>
      </w:r>
      <w:r w:rsidRPr="0088780C">
        <w:rPr>
          <w:rStyle w:val="alt-edited1"/>
          <w:snapToGrid w:val="0"/>
          <w:color w:val="auto"/>
          <w:kern w:val="22"/>
          <w:sz w:val="22"/>
          <w:szCs w:val="22"/>
          <w:lang w:val="ru-RU"/>
        </w:rPr>
        <w:t>верхняя граница</w:t>
      </w:r>
      <w:r w:rsidRPr="0088780C">
        <w:rPr>
          <w:snapToGrid w:val="0"/>
          <w:color w:val="222222"/>
          <w:kern w:val="22"/>
          <w:sz w:val="22"/>
          <w:szCs w:val="22"/>
          <w:lang w:val="ru-RU"/>
        </w:rPr>
        <w:t xml:space="preserve"> регистрации </w:t>
      </w:r>
      <w:r w:rsidRPr="0088780C">
        <w:rPr>
          <w:i/>
          <w:snapToGrid w:val="0"/>
          <w:color w:val="222222"/>
          <w:kern w:val="22"/>
          <w:sz w:val="22"/>
          <w:szCs w:val="22"/>
          <w:lang w:val="ru-RU"/>
        </w:rPr>
        <w:t>Modiolula phaseolina (= Modiolus phaseolinus</w:t>
      </w:r>
      <w:r w:rsidRPr="0088780C">
        <w:rPr>
          <w:snapToGrid w:val="0"/>
          <w:color w:val="222222"/>
          <w:kern w:val="22"/>
          <w:sz w:val="22"/>
          <w:szCs w:val="22"/>
          <w:lang w:val="ru-RU"/>
        </w:rPr>
        <w:t xml:space="preserve">) проходила по </w:t>
      </w:r>
      <w:r w:rsidRPr="0088780C">
        <w:rPr>
          <w:rStyle w:val="alt-edited1"/>
          <w:snapToGrid w:val="0"/>
          <w:color w:val="auto"/>
          <w:kern w:val="22"/>
          <w:sz w:val="22"/>
          <w:szCs w:val="22"/>
          <w:lang w:val="ru-RU"/>
        </w:rPr>
        <w:t>изобате</w:t>
      </w:r>
      <w:r w:rsidRPr="0088780C">
        <w:rPr>
          <w:snapToGrid w:val="0"/>
          <w:color w:val="222222"/>
          <w:kern w:val="22"/>
          <w:sz w:val="22"/>
          <w:szCs w:val="22"/>
          <w:lang w:val="ru-RU"/>
        </w:rPr>
        <w:t xml:space="preserve"> 42 м, скопления моллюсков больших размерных групп находится в диапазоне глубин 44-54м. Это позволило выдвинуть предположение об изменениях верхних границ расположения биоценоза </w:t>
      </w:r>
      <w:r w:rsidRPr="0088780C">
        <w:rPr>
          <w:i/>
          <w:snapToGrid w:val="0"/>
          <w:color w:val="222222"/>
          <w:kern w:val="22"/>
          <w:sz w:val="22"/>
          <w:szCs w:val="22"/>
          <w:lang w:val="ru-RU"/>
        </w:rPr>
        <w:t>Modiolula phaseolina</w:t>
      </w:r>
      <w:r w:rsidRPr="0088780C">
        <w:rPr>
          <w:snapToGrid w:val="0"/>
          <w:color w:val="222222"/>
          <w:kern w:val="22"/>
          <w:sz w:val="22"/>
          <w:szCs w:val="22"/>
          <w:lang w:val="ru-RU"/>
        </w:rPr>
        <w:t xml:space="preserve"> </w:t>
      </w:r>
      <w:r w:rsidRPr="0088780C">
        <w:rPr>
          <w:snapToGrid w:val="0"/>
          <w:kern w:val="22"/>
          <w:sz w:val="22"/>
          <w:szCs w:val="22"/>
          <w:lang w:val="ru-RU"/>
        </w:rPr>
        <w:t>на шельфе северо-западной части Черного моря</w:t>
      </w:r>
      <w:r w:rsidRPr="0088780C">
        <w:rPr>
          <w:b/>
          <w:snapToGrid w:val="0"/>
          <w:kern w:val="22"/>
          <w:sz w:val="22"/>
          <w:szCs w:val="22"/>
          <w:lang w:val="ru-RU"/>
        </w:rPr>
        <w:t xml:space="preserve"> </w:t>
      </w:r>
      <w:r w:rsidRPr="0088780C">
        <w:rPr>
          <w:snapToGrid w:val="0"/>
          <w:kern w:val="22"/>
          <w:sz w:val="22"/>
          <w:szCs w:val="22"/>
          <w:lang w:val="ru-RU" w:eastAsia="ru-RU"/>
        </w:rPr>
        <w:t>(</w:t>
      </w:r>
      <w:r w:rsidRPr="0088780C">
        <w:rPr>
          <w:rFonts w:eastAsia="Calibri"/>
          <w:snapToGrid w:val="0"/>
          <w:kern w:val="22"/>
          <w:sz w:val="22"/>
          <w:szCs w:val="22"/>
          <w:lang w:val="ru-RU"/>
        </w:rPr>
        <w:t>Report... 2013</w:t>
      </w:r>
      <w:r w:rsidRPr="0088780C">
        <w:rPr>
          <w:iCs/>
          <w:snapToGrid w:val="0"/>
          <w:kern w:val="22"/>
          <w:sz w:val="22"/>
          <w:szCs w:val="22"/>
          <w:lang w:val="ru-RU" w:eastAsia="ru-RU"/>
        </w:rPr>
        <w:t>)</w:t>
      </w:r>
      <w:r w:rsidRPr="0088780C">
        <w:rPr>
          <w:snapToGrid w:val="0"/>
          <w:kern w:val="22"/>
          <w:sz w:val="22"/>
          <w:szCs w:val="22"/>
          <w:lang w:val="ru-RU" w:eastAsia="ru-RU"/>
        </w:rPr>
        <w:t>.</w:t>
      </w:r>
      <w:r w:rsidRPr="0088780C">
        <w:rPr>
          <w:snapToGrid w:val="0"/>
          <w:kern w:val="22"/>
          <w:sz w:val="22"/>
          <w:szCs w:val="22"/>
          <w:lang w:val="ru-RU"/>
        </w:rPr>
        <w:t xml:space="preserve"> Необходимо отметить, что до конца 20 столетия граница распространения </w:t>
      </w:r>
      <w:r w:rsidRPr="0088780C">
        <w:rPr>
          <w:i/>
          <w:snapToGrid w:val="0"/>
          <w:kern w:val="22"/>
          <w:sz w:val="22"/>
          <w:szCs w:val="22"/>
          <w:lang w:val="ru-RU"/>
        </w:rPr>
        <w:t>Modiolula phaseolina</w:t>
      </w:r>
      <w:r w:rsidRPr="0088780C">
        <w:rPr>
          <w:snapToGrid w:val="0"/>
          <w:kern w:val="22"/>
          <w:sz w:val="22"/>
          <w:szCs w:val="22"/>
          <w:lang w:val="ru-RU"/>
        </w:rPr>
        <w:t xml:space="preserve"> была ограничена глубинами 50-60 м и до 200м (Северо-западная... 2006). Распространение </w:t>
      </w:r>
      <w:r w:rsidRPr="0088780C">
        <w:rPr>
          <w:bCs/>
          <w:snapToGrid w:val="0"/>
          <w:kern w:val="22"/>
          <w:sz w:val="22"/>
          <w:szCs w:val="22"/>
          <w:lang w:val="ru-RU"/>
        </w:rPr>
        <w:t xml:space="preserve">в последние годы </w:t>
      </w:r>
      <w:r w:rsidRPr="0088780C">
        <w:rPr>
          <w:i/>
          <w:iCs/>
          <w:snapToGrid w:val="0"/>
          <w:kern w:val="22"/>
          <w:sz w:val="22"/>
          <w:szCs w:val="22"/>
          <w:lang w:val="ru-RU"/>
        </w:rPr>
        <w:t>Coccotylus</w:t>
      </w:r>
      <w:r w:rsidRPr="0088780C">
        <w:rPr>
          <w:i/>
          <w:snapToGrid w:val="0"/>
          <w:kern w:val="22"/>
          <w:sz w:val="22"/>
          <w:szCs w:val="22"/>
          <w:lang w:val="ru-RU"/>
        </w:rPr>
        <w:t xml:space="preserve"> truncatus</w:t>
      </w:r>
      <w:r w:rsidRPr="0088780C">
        <w:rPr>
          <w:bCs/>
          <w:snapToGrid w:val="0"/>
          <w:kern w:val="22"/>
          <w:sz w:val="22"/>
          <w:szCs w:val="22"/>
          <w:lang w:val="ru-RU"/>
        </w:rPr>
        <w:t xml:space="preserve"> </w:t>
      </w:r>
      <w:r w:rsidRPr="0088780C">
        <w:rPr>
          <w:snapToGrid w:val="0"/>
          <w:kern w:val="22"/>
          <w:sz w:val="22"/>
          <w:szCs w:val="22"/>
          <w:lang w:val="ru-RU"/>
        </w:rPr>
        <w:t>в более мелководные участки Поля, связано с уменьшением температуры придонных вод, вызванного повсеместным уменьшением прозрачности воды в 4-10 раз, что в свою очередь вызвало подъем нижней границы зоны фотосинтеза</w:t>
      </w:r>
      <w:r w:rsidRPr="0088780C">
        <w:rPr>
          <w:bCs/>
          <w:snapToGrid w:val="0"/>
          <w:kern w:val="22"/>
          <w:sz w:val="22"/>
          <w:szCs w:val="22"/>
          <w:lang w:val="ru-RU"/>
        </w:rPr>
        <w:t xml:space="preserve"> (</w:t>
      </w:r>
      <w:r w:rsidRPr="0088780C">
        <w:rPr>
          <w:snapToGrid w:val="0"/>
          <w:kern w:val="22"/>
          <w:sz w:val="22"/>
          <w:szCs w:val="22"/>
          <w:lang w:val="ru-RU"/>
        </w:rPr>
        <w:t>Калугина-Гутник</w:t>
      </w:r>
      <w:r w:rsidRPr="0088780C">
        <w:rPr>
          <w:i/>
          <w:snapToGrid w:val="0"/>
          <w:kern w:val="22"/>
          <w:sz w:val="22"/>
          <w:szCs w:val="22"/>
          <w:lang w:val="ru-RU"/>
        </w:rPr>
        <w:t xml:space="preserve"> </w:t>
      </w:r>
      <w:r w:rsidRPr="0088780C">
        <w:rPr>
          <w:i/>
          <w:snapToGrid w:val="0"/>
          <w:kern w:val="22"/>
          <w:sz w:val="22"/>
          <w:szCs w:val="22"/>
          <w:lang w:val="ru-RU" w:eastAsia="ru-RU"/>
        </w:rPr>
        <w:t>et al.</w:t>
      </w:r>
      <w:r w:rsidRPr="0088780C">
        <w:rPr>
          <w:snapToGrid w:val="0"/>
          <w:kern w:val="22"/>
          <w:sz w:val="22"/>
          <w:szCs w:val="22"/>
          <w:lang w:val="ru-RU" w:eastAsia="ru-RU"/>
        </w:rPr>
        <w:t xml:space="preserve"> </w:t>
      </w:r>
      <w:r w:rsidRPr="0088780C">
        <w:rPr>
          <w:snapToGrid w:val="0"/>
          <w:kern w:val="22"/>
          <w:sz w:val="22"/>
          <w:szCs w:val="22"/>
          <w:lang w:val="ru-RU"/>
        </w:rPr>
        <w:t xml:space="preserve">1989). За последние годы в районе увеличилось биоразнообразие макрофитобентоса, в основном за счет нитчатых форм с большой удельной поверхностью слоевища. </w:t>
      </w:r>
      <w:r w:rsidRPr="0088780C">
        <w:rPr>
          <w:rStyle w:val="shorttext"/>
          <w:snapToGrid w:val="0"/>
          <w:kern w:val="22"/>
          <w:sz w:val="22"/>
          <w:szCs w:val="22"/>
          <w:lang w:val="ru-RU"/>
        </w:rPr>
        <w:t xml:space="preserve">Это </w:t>
      </w:r>
      <w:r w:rsidRPr="0088780C">
        <w:rPr>
          <w:snapToGrid w:val="0"/>
          <w:kern w:val="22"/>
          <w:sz w:val="22"/>
          <w:szCs w:val="22"/>
          <w:lang w:val="ru-RU"/>
        </w:rPr>
        <w:t xml:space="preserve">можно объяснить поступлением биогенных элементов с речным стоком Днестра, Днепра, из Каркинитского залива </w:t>
      </w:r>
      <w:r w:rsidRPr="0088780C">
        <w:rPr>
          <w:snapToGrid w:val="0"/>
          <w:kern w:val="22"/>
          <w:sz w:val="22"/>
          <w:szCs w:val="22"/>
          <w:lang w:val="ru-RU" w:eastAsia="ru-RU"/>
        </w:rPr>
        <w:t>(</w:t>
      </w:r>
      <w:r w:rsidRPr="0088780C">
        <w:rPr>
          <w:rFonts w:eastAsia="Calibri"/>
          <w:snapToGrid w:val="0"/>
          <w:kern w:val="22"/>
          <w:sz w:val="22"/>
          <w:szCs w:val="22"/>
          <w:lang w:val="ru-RU"/>
        </w:rPr>
        <w:t>Report... 2013</w:t>
      </w:r>
      <w:r w:rsidRPr="0088780C">
        <w:rPr>
          <w:iCs/>
          <w:snapToGrid w:val="0"/>
          <w:kern w:val="22"/>
          <w:sz w:val="22"/>
          <w:szCs w:val="22"/>
          <w:lang w:val="ru-RU" w:eastAsia="ru-RU"/>
        </w:rPr>
        <w:t>), а также вымыванием биогенов из донных отложений</w:t>
      </w:r>
      <w:r w:rsidRPr="0088780C">
        <w:rPr>
          <w:snapToGrid w:val="0"/>
          <w:kern w:val="22"/>
          <w:sz w:val="22"/>
          <w:szCs w:val="22"/>
          <w:lang w:val="ru-RU"/>
        </w:rPr>
        <w:t xml:space="preserve"> (</w:t>
      </w:r>
      <w:r w:rsidRPr="0088780C">
        <w:rPr>
          <w:bCs/>
          <w:iCs/>
          <w:snapToGrid w:val="0"/>
          <w:kern w:val="22"/>
          <w:sz w:val="22"/>
          <w:szCs w:val="22"/>
          <w:lang w:val="ru-RU"/>
        </w:rPr>
        <w:t xml:space="preserve">Миничева </w:t>
      </w:r>
      <w:r w:rsidRPr="0088780C">
        <w:rPr>
          <w:snapToGrid w:val="0"/>
          <w:kern w:val="22"/>
          <w:sz w:val="22"/>
          <w:szCs w:val="22"/>
          <w:lang w:val="ru-RU"/>
        </w:rPr>
        <w:t xml:space="preserve">2007, Миничева </w:t>
      </w:r>
      <w:r w:rsidRPr="0088780C">
        <w:rPr>
          <w:i/>
          <w:snapToGrid w:val="0"/>
          <w:kern w:val="22"/>
          <w:sz w:val="22"/>
          <w:szCs w:val="22"/>
          <w:lang w:val="ru-RU" w:eastAsia="ru-RU"/>
        </w:rPr>
        <w:t>et al.</w:t>
      </w:r>
      <w:r w:rsidRPr="0088780C">
        <w:rPr>
          <w:snapToGrid w:val="0"/>
          <w:kern w:val="22"/>
          <w:sz w:val="22"/>
          <w:szCs w:val="22"/>
          <w:lang w:val="ru-RU" w:eastAsia="ru-RU"/>
        </w:rPr>
        <w:t xml:space="preserve"> </w:t>
      </w:r>
      <w:r w:rsidRPr="0088780C">
        <w:rPr>
          <w:snapToGrid w:val="0"/>
          <w:kern w:val="22"/>
          <w:sz w:val="22"/>
          <w:szCs w:val="22"/>
          <w:lang w:val="ru-RU"/>
        </w:rPr>
        <w:t>2009).</w:t>
      </w:r>
    </w:p>
    <w:p w14:paraId="609B3FDC"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EEDD043" w14:textId="77777777" w:rsidR="00A876F3" w:rsidRPr="0088780C" w:rsidRDefault="00A876F3" w:rsidP="001013AF">
      <w:pPr>
        <w:keepNext/>
        <w:suppressLineNumbers/>
        <w:suppressAutoHyphens/>
        <w:kinsoku w:val="0"/>
        <w:overflowPunct w:val="0"/>
        <w:autoSpaceDE w:val="0"/>
        <w:autoSpaceDN w:val="0"/>
        <w:rPr>
          <w:b/>
          <w:snapToGrid w:val="0"/>
          <w:kern w:val="22"/>
          <w:szCs w:val="22"/>
        </w:rPr>
      </w:pPr>
      <w:r w:rsidRPr="0088780C">
        <w:rPr>
          <w:b/>
          <w:snapToGrid w:val="0"/>
          <w:kern w:val="22"/>
          <w:szCs w:val="22"/>
        </w:rPr>
        <w:t xml:space="preserve">Assessment of the area against CBD EBSA Criteria </w:t>
      </w:r>
    </w:p>
    <w:p w14:paraId="445B5F0D" w14:textId="77777777" w:rsidR="00A876F3" w:rsidRPr="0088780C" w:rsidRDefault="00A876F3" w:rsidP="001013AF">
      <w:pPr>
        <w:keepNext/>
        <w:suppressLineNumbers/>
        <w:suppressAutoHyphens/>
        <w:kinsoku w:val="0"/>
        <w:overflowPunct w:val="0"/>
        <w:autoSpaceDE w:val="0"/>
        <w:autoSpaceDN w:val="0"/>
        <w:rPr>
          <w:snapToGrid w:val="0"/>
          <w:kern w:val="22"/>
          <w:szCs w:val="22"/>
        </w:rPr>
      </w:pPr>
    </w:p>
    <w:tbl>
      <w:tblPr>
        <w:tblW w:w="50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76"/>
        <w:gridCol w:w="4351"/>
        <w:gridCol w:w="29"/>
        <w:gridCol w:w="1018"/>
        <w:gridCol w:w="262"/>
        <w:gridCol w:w="29"/>
        <w:gridCol w:w="758"/>
        <w:gridCol w:w="110"/>
        <w:gridCol w:w="679"/>
        <w:gridCol w:w="87"/>
        <w:gridCol w:w="740"/>
      </w:tblGrid>
      <w:tr w:rsidR="00A876F3" w:rsidRPr="0088780C" w14:paraId="6D4291CB" w14:textId="77777777" w:rsidTr="001013AF">
        <w:trPr>
          <w:jc w:val="center"/>
        </w:trPr>
        <w:tc>
          <w:tcPr>
            <w:tcW w:w="818" w:type="pct"/>
            <w:vMerge w:val="restart"/>
          </w:tcPr>
          <w:p w14:paraId="005A3EDB" w14:textId="77777777" w:rsidR="00A876F3" w:rsidRPr="0088780C" w:rsidRDefault="00A876F3" w:rsidP="006679EF">
            <w:pPr>
              <w:suppressLineNumbers/>
              <w:suppressAutoHyphens/>
              <w:kinsoku w:val="0"/>
              <w:overflowPunct w:val="0"/>
              <w:autoSpaceDE w:val="0"/>
              <w:autoSpaceDN w:val="0"/>
              <w:jc w:val="left"/>
              <w:rPr>
                <w:b/>
                <w:snapToGrid w:val="0"/>
                <w:kern w:val="22"/>
                <w:szCs w:val="22"/>
              </w:rPr>
            </w:pPr>
            <w:r w:rsidRPr="0088780C">
              <w:rPr>
                <w:b/>
                <w:snapToGrid w:val="0"/>
                <w:kern w:val="22"/>
                <w:szCs w:val="22"/>
              </w:rPr>
              <w:t>CBD EBSA Criteria</w:t>
            </w:r>
          </w:p>
          <w:p w14:paraId="212A15D4" w14:textId="77777777" w:rsidR="00A876F3" w:rsidRPr="0088780C" w:rsidRDefault="00A876F3" w:rsidP="001013AF">
            <w:pPr>
              <w:suppressLineNumbers/>
              <w:suppressAutoHyphens/>
              <w:kinsoku w:val="0"/>
              <w:overflowPunct w:val="0"/>
              <w:autoSpaceDE w:val="0"/>
              <w:autoSpaceDN w:val="0"/>
              <w:jc w:val="left"/>
              <w:rPr>
                <w:b/>
                <w:snapToGrid w:val="0"/>
                <w:kern w:val="22"/>
                <w:szCs w:val="22"/>
              </w:rPr>
            </w:pPr>
            <w:r w:rsidRPr="0088780C">
              <w:rPr>
                <w:b/>
                <w:snapToGrid w:val="0"/>
                <w:kern w:val="22"/>
                <w:szCs w:val="22"/>
              </w:rPr>
              <w:t>(Annex I to decision IX/20)</w:t>
            </w:r>
          </w:p>
        </w:tc>
        <w:tc>
          <w:tcPr>
            <w:tcW w:w="2257" w:type="pct"/>
            <w:vMerge w:val="restart"/>
          </w:tcPr>
          <w:p w14:paraId="66941751"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Description</w:t>
            </w:r>
          </w:p>
          <w:p w14:paraId="5A4F7A95"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(Annex I to decision IX/20)</w:t>
            </w:r>
          </w:p>
        </w:tc>
        <w:tc>
          <w:tcPr>
            <w:tcW w:w="1924" w:type="pct"/>
            <w:gridSpan w:val="9"/>
          </w:tcPr>
          <w:p w14:paraId="361E7F25"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 xml:space="preserve">Ranking of criterion relevance </w:t>
            </w:r>
          </w:p>
          <w:p w14:paraId="4B008030"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(please mark one column with an X)</w:t>
            </w:r>
          </w:p>
        </w:tc>
      </w:tr>
      <w:tr w:rsidR="00A876F3" w:rsidRPr="0088780C" w14:paraId="26A04A31" w14:textId="77777777" w:rsidTr="001013AF">
        <w:trPr>
          <w:jc w:val="center"/>
        </w:trPr>
        <w:tc>
          <w:tcPr>
            <w:tcW w:w="818" w:type="pct"/>
            <w:vMerge/>
          </w:tcPr>
          <w:p w14:paraId="2DE00937"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2257" w:type="pct"/>
            <w:vMerge/>
          </w:tcPr>
          <w:p w14:paraId="06CE4F30"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543" w:type="pct"/>
            <w:gridSpan w:val="2"/>
          </w:tcPr>
          <w:p w14:paraId="33C08D80"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No information</w:t>
            </w:r>
          </w:p>
        </w:tc>
        <w:tc>
          <w:tcPr>
            <w:tcW w:w="543" w:type="pct"/>
            <w:gridSpan w:val="3"/>
          </w:tcPr>
          <w:p w14:paraId="7D012FA7"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Low</w:t>
            </w:r>
          </w:p>
        </w:tc>
        <w:tc>
          <w:tcPr>
            <w:tcW w:w="409" w:type="pct"/>
            <w:gridSpan w:val="2"/>
          </w:tcPr>
          <w:p w14:paraId="318E16CD"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Medium</w:t>
            </w:r>
          </w:p>
        </w:tc>
        <w:tc>
          <w:tcPr>
            <w:tcW w:w="429" w:type="pct"/>
            <w:gridSpan w:val="2"/>
          </w:tcPr>
          <w:p w14:paraId="330D7723"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High</w:t>
            </w:r>
          </w:p>
        </w:tc>
      </w:tr>
      <w:tr w:rsidR="00A876F3" w:rsidRPr="0088780C" w14:paraId="5D3B4A89" w14:textId="77777777" w:rsidTr="001013AF">
        <w:trPr>
          <w:jc w:val="center"/>
        </w:trPr>
        <w:tc>
          <w:tcPr>
            <w:tcW w:w="818" w:type="pct"/>
          </w:tcPr>
          <w:p w14:paraId="6E4AF06C"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Uniqueness or rarity</w:t>
            </w:r>
          </w:p>
        </w:tc>
        <w:tc>
          <w:tcPr>
            <w:tcW w:w="2257" w:type="pct"/>
          </w:tcPr>
          <w:p w14:paraId="4BF64908" w14:textId="0233A6BD"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Area contains either (i) unique (</w:t>
            </w:r>
            <w:r w:rsidR="00D8482D" w:rsidRPr="0088780C">
              <w:rPr>
                <w:snapToGrid w:val="0"/>
                <w:kern w:val="22"/>
                <w:szCs w:val="22"/>
              </w:rPr>
              <w:t>“</w:t>
            </w:r>
            <w:r w:rsidRPr="0088780C">
              <w:rPr>
                <w:snapToGrid w:val="0"/>
                <w:kern w:val="22"/>
                <w:szCs w:val="22"/>
              </w:rPr>
              <w:t>the only one of its kind</w:t>
            </w:r>
            <w:r w:rsidR="00D8482D" w:rsidRPr="0088780C">
              <w:rPr>
                <w:snapToGrid w:val="0"/>
                <w:kern w:val="22"/>
                <w:szCs w:val="22"/>
              </w:rPr>
              <w:t>”</w:t>
            </w:r>
            <w:r w:rsidRPr="0088780C">
              <w:rPr>
                <w:snapToGrid w:val="0"/>
                <w:kern w:val="22"/>
                <w:szCs w:val="22"/>
              </w:rPr>
              <w:t>), rare (occurs only in few locations) or endemic species, populations or communities, and/or (ii) unique, rare or distinct, habitats or ecosystems; and/or (iii) unique or unusual geomorphological or oceanographic features.</w:t>
            </w:r>
          </w:p>
        </w:tc>
        <w:tc>
          <w:tcPr>
            <w:tcW w:w="543" w:type="pct"/>
            <w:gridSpan w:val="2"/>
          </w:tcPr>
          <w:p w14:paraId="425CA407"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543" w:type="pct"/>
            <w:gridSpan w:val="3"/>
          </w:tcPr>
          <w:p w14:paraId="770D7E80"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09" w:type="pct"/>
            <w:gridSpan w:val="2"/>
          </w:tcPr>
          <w:p w14:paraId="5BBAEC29"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29" w:type="pct"/>
            <w:gridSpan w:val="2"/>
          </w:tcPr>
          <w:p w14:paraId="2D02BDE2"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X</w:t>
            </w:r>
          </w:p>
        </w:tc>
      </w:tr>
      <w:tr w:rsidR="00A876F3" w:rsidRPr="0088780C" w14:paraId="4DE38B17" w14:textId="77777777" w:rsidTr="001013AF">
        <w:trPr>
          <w:jc w:val="center"/>
        </w:trPr>
        <w:tc>
          <w:tcPr>
            <w:tcW w:w="5000" w:type="pct"/>
            <w:gridSpan w:val="11"/>
          </w:tcPr>
          <w:p w14:paraId="46A755E4"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1C96E9CA"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xml:space="preserve">There are two endemic species growing in the area: red algae </w:t>
            </w:r>
            <w:r w:rsidRPr="0088780C">
              <w:rPr>
                <w:i/>
                <w:snapToGrid w:val="0"/>
                <w:color w:val="000000"/>
                <w:kern w:val="22"/>
                <w:szCs w:val="22"/>
              </w:rPr>
              <w:t>Phyllophora pseudoceranoides</w:t>
            </w:r>
            <w:r w:rsidRPr="0088780C">
              <w:rPr>
                <w:snapToGrid w:val="0"/>
                <w:color w:val="000000"/>
                <w:kern w:val="22"/>
                <w:szCs w:val="22"/>
              </w:rPr>
              <w:t xml:space="preserve"> and brown </w:t>
            </w:r>
            <w:r w:rsidRPr="0088780C">
              <w:rPr>
                <w:i/>
                <w:snapToGrid w:val="0"/>
                <w:color w:val="000000"/>
                <w:kern w:val="22"/>
                <w:szCs w:val="22"/>
              </w:rPr>
              <w:t>Sphacelorbus nanus</w:t>
            </w:r>
            <w:r w:rsidRPr="0088780C">
              <w:rPr>
                <w:snapToGrid w:val="0"/>
                <w:color w:val="000000"/>
                <w:kern w:val="22"/>
                <w:szCs w:val="22"/>
              </w:rPr>
              <w:t xml:space="preserve"> (Red Data Book of Ukraine. Plants. 2009). The accumulation of algae Coccotylus and Phyllophora makes this a unique habitat of the Black Sea north-western shelf.</w:t>
            </w:r>
          </w:p>
          <w:p w14:paraId="6493BBAE"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1293DF20" w14:textId="77777777" w:rsidR="00A876F3" w:rsidRPr="0088780C" w:rsidRDefault="00A876F3" w:rsidP="001013AF">
            <w:pPr>
              <w:suppressLineNumbers/>
              <w:suppressAutoHyphens/>
              <w:kinsoku w:val="0"/>
              <w:overflowPunct w:val="0"/>
              <w:autoSpaceDE w:val="0"/>
              <w:autoSpaceDN w:val="0"/>
              <w:rPr>
                <w:snapToGrid w:val="0"/>
                <w:color w:val="000000"/>
                <w:kern w:val="22"/>
                <w:szCs w:val="22"/>
                <w:lang w:val="ru-RU"/>
              </w:rPr>
            </w:pPr>
            <w:r w:rsidRPr="0088780C">
              <w:rPr>
                <w:rFonts w:eastAsia="MS Mincho"/>
                <w:snapToGrid w:val="0"/>
                <w:color w:val="000000"/>
                <w:kern w:val="22"/>
                <w:szCs w:val="22"/>
                <w:lang w:val="ru-RU"/>
              </w:rPr>
              <w:t xml:space="preserve">В районе произрастают два </w:t>
            </w:r>
            <w:r w:rsidRPr="0088780C">
              <w:rPr>
                <w:bCs/>
                <w:iCs/>
                <w:snapToGrid w:val="0"/>
                <w:color w:val="000000"/>
                <w:kern w:val="22"/>
                <w:szCs w:val="22"/>
                <w:lang w:val="ru-RU"/>
              </w:rPr>
              <w:t xml:space="preserve">эндемика красная водоросль </w:t>
            </w:r>
            <w:r w:rsidRPr="0088780C">
              <w:rPr>
                <w:bCs/>
                <w:i/>
                <w:iCs/>
                <w:snapToGrid w:val="0"/>
                <w:color w:val="000000"/>
                <w:kern w:val="22"/>
                <w:szCs w:val="22"/>
                <w:lang w:val="ru-RU"/>
              </w:rPr>
              <w:t xml:space="preserve">Phyllophora pseudoceranoides </w:t>
            </w:r>
            <w:r w:rsidRPr="0088780C">
              <w:rPr>
                <w:bCs/>
                <w:iCs/>
                <w:snapToGrid w:val="0"/>
                <w:color w:val="000000"/>
                <w:kern w:val="22"/>
                <w:szCs w:val="22"/>
                <w:lang w:val="ru-RU"/>
              </w:rPr>
              <w:t xml:space="preserve">и бурая </w:t>
            </w:r>
            <w:r w:rsidRPr="0088780C">
              <w:rPr>
                <w:bCs/>
                <w:i/>
                <w:iCs/>
                <w:snapToGrid w:val="0"/>
                <w:color w:val="000000"/>
                <w:kern w:val="22"/>
                <w:szCs w:val="22"/>
                <w:lang w:val="ru-RU"/>
              </w:rPr>
              <w:t xml:space="preserve">Sphacelorbus nanus </w:t>
            </w:r>
            <w:r w:rsidRPr="0088780C">
              <w:rPr>
                <w:snapToGrid w:val="0"/>
                <w:color w:val="000000"/>
                <w:kern w:val="22"/>
                <w:szCs w:val="22"/>
                <w:lang w:val="ru-RU"/>
              </w:rPr>
              <w:t>(Червона... 2009)</w:t>
            </w:r>
            <w:r w:rsidRPr="0088780C">
              <w:rPr>
                <w:bCs/>
                <w:i/>
                <w:iCs/>
                <w:snapToGrid w:val="0"/>
                <w:color w:val="000000"/>
                <w:kern w:val="22"/>
                <w:szCs w:val="22"/>
                <w:lang w:val="ru-RU"/>
              </w:rPr>
              <w:t>.</w:t>
            </w:r>
            <w:r w:rsidRPr="0088780C">
              <w:rPr>
                <w:bCs/>
                <w:iCs/>
                <w:snapToGrid w:val="0"/>
                <w:color w:val="000000"/>
                <w:kern w:val="22"/>
                <w:szCs w:val="22"/>
                <w:lang w:val="ru-RU"/>
              </w:rPr>
              <w:t xml:space="preserve"> Скопление водорослей </w:t>
            </w:r>
            <w:r w:rsidRPr="0088780C">
              <w:rPr>
                <w:bCs/>
                <w:snapToGrid w:val="0"/>
                <w:color w:val="000000"/>
                <w:kern w:val="22"/>
                <w:szCs w:val="22"/>
                <w:lang w:val="ru-RU"/>
              </w:rPr>
              <w:t>родов</w:t>
            </w:r>
            <w:r w:rsidRPr="0088780C">
              <w:rPr>
                <w:snapToGrid w:val="0"/>
                <w:color w:val="000000"/>
                <w:kern w:val="22"/>
                <w:szCs w:val="22"/>
                <w:lang w:val="ru-RU"/>
              </w:rPr>
              <w:t xml:space="preserve"> </w:t>
            </w:r>
            <w:hyperlink r:id="rId112" w:history="1">
              <w:r w:rsidRPr="0088780C">
                <w:rPr>
                  <w:rStyle w:val="Hyperlink"/>
                  <w:i/>
                  <w:iCs/>
                  <w:snapToGrid w:val="0"/>
                  <w:color w:val="000000"/>
                  <w:kern w:val="22"/>
                  <w:szCs w:val="22"/>
                  <w:lang w:val="ru-RU"/>
                </w:rPr>
                <w:t>Coccotylus</w:t>
              </w:r>
              <w:r w:rsidRPr="0088780C">
                <w:rPr>
                  <w:rStyle w:val="Hyperlink"/>
                  <w:snapToGrid w:val="0"/>
                  <w:color w:val="000000"/>
                  <w:kern w:val="22"/>
                  <w:szCs w:val="22"/>
                  <w:lang w:val="ru-RU"/>
                </w:rPr>
                <w:t xml:space="preserve"> </w:t>
              </w:r>
            </w:hyperlink>
            <w:r w:rsidRPr="0088780C">
              <w:rPr>
                <w:snapToGrid w:val="0"/>
                <w:color w:val="000000"/>
                <w:kern w:val="22"/>
                <w:szCs w:val="22"/>
                <w:lang w:val="ru-RU"/>
              </w:rPr>
              <w:t xml:space="preserve">и </w:t>
            </w:r>
            <w:hyperlink r:id="rId113" w:history="1">
              <w:r w:rsidRPr="0088780C">
                <w:rPr>
                  <w:rStyle w:val="Hyperlink"/>
                  <w:i/>
                  <w:iCs/>
                  <w:snapToGrid w:val="0"/>
                  <w:color w:val="000000"/>
                  <w:kern w:val="22"/>
                  <w:szCs w:val="22"/>
                  <w:lang w:val="ru-RU"/>
                </w:rPr>
                <w:t>Phyllophora</w:t>
              </w:r>
              <w:r w:rsidRPr="0088780C">
                <w:rPr>
                  <w:rStyle w:val="Hyperlink"/>
                  <w:snapToGrid w:val="0"/>
                  <w:color w:val="000000"/>
                  <w:kern w:val="22"/>
                  <w:szCs w:val="22"/>
                  <w:lang w:val="ru-RU"/>
                </w:rPr>
                <w:t xml:space="preserve"> </w:t>
              </w:r>
            </w:hyperlink>
            <w:r w:rsidRPr="0088780C">
              <w:rPr>
                <w:snapToGrid w:val="0"/>
                <w:color w:val="000000"/>
                <w:kern w:val="22"/>
                <w:szCs w:val="22"/>
                <w:lang w:val="ru-RU"/>
              </w:rPr>
              <w:t>является единственным в своем роде местообитанием на шельфе СЗЧМ.</w:t>
            </w:r>
          </w:p>
        </w:tc>
      </w:tr>
      <w:tr w:rsidR="00A876F3" w:rsidRPr="0088780C" w14:paraId="5918EE4F" w14:textId="77777777" w:rsidTr="001013AF">
        <w:trPr>
          <w:jc w:val="center"/>
        </w:trPr>
        <w:tc>
          <w:tcPr>
            <w:tcW w:w="818" w:type="pct"/>
          </w:tcPr>
          <w:p w14:paraId="2D5BE199" w14:textId="77777777" w:rsidR="00A876F3" w:rsidRPr="0088780C" w:rsidRDefault="00A876F3" w:rsidP="00504F53">
            <w:pPr>
              <w:suppressLineNumbers/>
              <w:suppressAutoHyphens/>
              <w:kinsoku w:val="0"/>
              <w:overflowPunct w:val="0"/>
              <w:autoSpaceDE w:val="0"/>
              <w:autoSpaceDN w:val="0"/>
              <w:jc w:val="left"/>
              <w:rPr>
                <w:b/>
                <w:snapToGrid w:val="0"/>
                <w:kern w:val="22"/>
                <w:szCs w:val="22"/>
              </w:rPr>
            </w:pPr>
            <w:r w:rsidRPr="0088780C">
              <w:rPr>
                <w:b/>
                <w:snapToGrid w:val="0"/>
                <w:kern w:val="22"/>
                <w:szCs w:val="22"/>
              </w:rPr>
              <w:t>Special importance for life-history stages of species</w:t>
            </w:r>
          </w:p>
        </w:tc>
        <w:tc>
          <w:tcPr>
            <w:tcW w:w="2257" w:type="pct"/>
          </w:tcPr>
          <w:p w14:paraId="38EA882B"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Areas that are required for a population to survive and thrive.</w:t>
            </w:r>
          </w:p>
        </w:tc>
        <w:tc>
          <w:tcPr>
            <w:tcW w:w="679" w:type="pct"/>
            <w:gridSpan w:val="3"/>
          </w:tcPr>
          <w:p w14:paraId="1876AE71"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08" w:type="pct"/>
            <w:gridSpan w:val="2"/>
          </w:tcPr>
          <w:p w14:paraId="1C0EF035"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09" w:type="pct"/>
            <w:gridSpan w:val="2"/>
          </w:tcPr>
          <w:p w14:paraId="0421DBDA"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29" w:type="pct"/>
            <w:gridSpan w:val="2"/>
          </w:tcPr>
          <w:p w14:paraId="21FBEF52"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X</w:t>
            </w:r>
          </w:p>
        </w:tc>
      </w:tr>
      <w:tr w:rsidR="00A876F3" w:rsidRPr="0088780C" w14:paraId="51D8DFC6" w14:textId="77777777" w:rsidTr="001013AF">
        <w:trPr>
          <w:jc w:val="center"/>
        </w:trPr>
        <w:tc>
          <w:tcPr>
            <w:tcW w:w="5000" w:type="pct"/>
            <w:gridSpan w:val="11"/>
          </w:tcPr>
          <w:p w14:paraId="2C7B3E84"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0F1A246C"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xml:space="preserve">The area is required for populations of Phyllophoraceae, Mytilidae and many species of macrophytes, invertebrates and fish to survive and thrive. </w:t>
            </w:r>
            <w:r w:rsidRPr="0088780C">
              <w:rPr>
                <w:i/>
                <w:snapToGrid w:val="0"/>
                <w:color w:val="000000"/>
                <w:kern w:val="22"/>
                <w:szCs w:val="22"/>
              </w:rPr>
              <w:t>Phyllophora crispa</w:t>
            </w:r>
            <w:r w:rsidRPr="0088780C">
              <w:rPr>
                <w:snapToGrid w:val="0"/>
                <w:color w:val="000000"/>
                <w:kern w:val="22"/>
                <w:szCs w:val="22"/>
              </w:rPr>
              <w:t xml:space="preserve"> and </w:t>
            </w:r>
            <w:r w:rsidRPr="0088780C">
              <w:rPr>
                <w:i/>
                <w:snapToGrid w:val="0"/>
                <w:color w:val="000000"/>
                <w:kern w:val="22"/>
                <w:szCs w:val="22"/>
              </w:rPr>
              <w:t>Coccotylus truncatus</w:t>
            </w:r>
            <w:r w:rsidRPr="0088780C">
              <w:rPr>
                <w:snapToGrid w:val="0"/>
                <w:color w:val="000000"/>
                <w:kern w:val="22"/>
                <w:szCs w:val="22"/>
              </w:rPr>
              <w:t xml:space="preserve"> are the dominant habitat-forming species and create an ecological niche for more than 100 species of invertebrates and 40 species of fish at the same time (Bondarev 2008).</w:t>
            </w:r>
          </w:p>
          <w:p w14:paraId="78F40E3C"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45D30D2E" w14:textId="5DC4467F"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xml:space="preserve">Sergey Zernov, who conducted research on board the trawler </w:t>
            </w:r>
            <w:r w:rsidR="00D8482D" w:rsidRPr="0088780C">
              <w:rPr>
                <w:snapToGrid w:val="0"/>
                <w:color w:val="000000"/>
                <w:kern w:val="22"/>
                <w:szCs w:val="22"/>
              </w:rPr>
              <w:t>“</w:t>
            </w:r>
            <w:r w:rsidRPr="0088780C">
              <w:rPr>
                <w:snapToGrid w:val="0"/>
                <w:color w:val="000000"/>
                <w:kern w:val="22"/>
                <w:szCs w:val="22"/>
              </w:rPr>
              <w:t>Fedia</w:t>
            </w:r>
            <w:r w:rsidR="00D8482D" w:rsidRPr="0088780C">
              <w:rPr>
                <w:snapToGrid w:val="0"/>
                <w:color w:val="000000"/>
                <w:kern w:val="22"/>
                <w:szCs w:val="22"/>
              </w:rPr>
              <w:t>”</w:t>
            </w:r>
            <w:r w:rsidRPr="0088780C">
              <w:rPr>
                <w:snapToGrid w:val="0"/>
                <w:color w:val="000000"/>
                <w:kern w:val="22"/>
                <w:szCs w:val="22"/>
              </w:rPr>
              <w:t xml:space="preserve">, reported that its fishing logbook indicated that the amount of phyllophora raised at two stations was, respectively, two and three tonnes. Phyllophores are so numerous here that naturalists have named this part of the Black Sea the </w:t>
            </w:r>
            <w:r w:rsidR="00D8482D" w:rsidRPr="0088780C">
              <w:rPr>
                <w:snapToGrid w:val="0"/>
                <w:color w:val="000000"/>
                <w:kern w:val="22"/>
                <w:szCs w:val="22"/>
              </w:rPr>
              <w:t>“</w:t>
            </w:r>
            <w:r w:rsidRPr="0088780C">
              <w:rPr>
                <w:snapToGrid w:val="0"/>
                <w:color w:val="000000"/>
                <w:kern w:val="22"/>
                <w:szCs w:val="22"/>
              </w:rPr>
              <w:t>Phyllophora Sea</w:t>
            </w:r>
            <w:r w:rsidR="00D8482D" w:rsidRPr="0088780C">
              <w:rPr>
                <w:snapToGrid w:val="0"/>
                <w:color w:val="000000"/>
                <w:kern w:val="22"/>
                <w:szCs w:val="22"/>
              </w:rPr>
              <w:t>”</w:t>
            </w:r>
            <w:r w:rsidRPr="0088780C">
              <w:rPr>
                <w:snapToGrid w:val="0"/>
                <w:color w:val="000000"/>
                <w:kern w:val="22"/>
                <w:szCs w:val="22"/>
              </w:rPr>
              <w:t>, by analogy with the Sargasso Sea of the Atlantic Ocean (Zernov, 1909. – V. 14. – p. 181-191).</w:t>
            </w:r>
          </w:p>
          <w:p w14:paraId="4CAD8171"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374B9CD3" w14:textId="04447A99"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In the 1960s and 1970s, the ecological conditions were favourable for the development of algae, and some Phyllophora areas reached several tens and hundreds of square metres in area, and 20-40 cm high (Kalugina-Gutnik et al. 1966, pp 112-131). By the end of 1980s, due to the frequent suffocation phenomena observed in the north-western part of the Black Sea, the die-away of branches and whole thallus, Phyllophora bushes became very thinned and topped with a layer of suspended matter (Kalugina-Gutnik et al. 1993).</w:t>
            </w:r>
          </w:p>
          <w:p w14:paraId="6ACC1D25"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3387141F"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xml:space="preserve">In 2012 for the first time it was recorded that </w:t>
            </w:r>
            <w:r w:rsidRPr="0088780C">
              <w:rPr>
                <w:i/>
                <w:snapToGrid w:val="0"/>
                <w:color w:val="000000"/>
                <w:kern w:val="22"/>
                <w:szCs w:val="22"/>
              </w:rPr>
              <w:t>Phyllophora truncata</w:t>
            </w:r>
            <w:r w:rsidRPr="0088780C">
              <w:rPr>
                <w:snapToGrid w:val="0"/>
                <w:color w:val="000000"/>
                <w:kern w:val="22"/>
                <w:szCs w:val="22"/>
              </w:rPr>
              <w:t xml:space="preserve"> in the area of Zernov’s Phyllophora Field propagated in two ways: asexually (attached form) and vegetatively. Today there is the beginning of the transition to true </w:t>
            </w:r>
            <w:r w:rsidRPr="0088780C">
              <w:rPr>
                <w:i/>
                <w:snapToGrid w:val="0"/>
                <w:color w:val="000000"/>
                <w:kern w:val="22"/>
                <w:szCs w:val="22"/>
              </w:rPr>
              <w:t>Phyllophora truncata</w:t>
            </w:r>
            <w:r w:rsidRPr="0088780C">
              <w:rPr>
                <w:snapToGrid w:val="0"/>
                <w:color w:val="000000"/>
                <w:kern w:val="22"/>
                <w:szCs w:val="22"/>
              </w:rPr>
              <w:t xml:space="preserve"> vegetative propagation, probably due to reduction or complete absence of the appropriate substrate. Vegetative propagation is the safest option for this species, given contemporary conditions (Tretiak 2014).</w:t>
            </w:r>
          </w:p>
          <w:p w14:paraId="601BB084"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214FAE31"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In the first decade of the present century, following the de-eutrophication of the Black Sea basin, the restoration processes in phytobenthos of Zernov’s Phyllophora Field has begun (Minicheva 2009). The tendency of the increase in the total density of macrozoobenthos from 463 (1954-1960) and 2060 (1984-2003) to 2,417 specimens per m</w:t>
            </w:r>
            <w:r w:rsidRPr="0088780C">
              <w:rPr>
                <w:snapToGrid w:val="0"/>
                <w:color w:val="000000"/>
                <w:kern w:val="22"/>
                <w:szCs w:val="22"/>
                <w:vertAlign w:val="superscript"/>
              </w:rPr>
              <w:t>2</w:t>
            </w:r>
            <w:r w:rsidRPr="0088780C">
              <w:rPr>
                <w:snapToGrid w:val="0"/>
                <w:color w:val="000000"/>
                <w:kern w:val="22"/>
                <w:szCs w:val="22"/>
              </w:rPr>
              <w:t xml:space="preserve"> (2010-2013) was noted with a decrease in its biomass from 458.3 and 632.7 up to 283.4 g per m</w:t>
            </w:r>
            <w:r w:rsidRPr="0088780C">
              <w:rPr>
                <w:snapToGrid w:val="0"/>
                <w:color w:val="000000"/>
                <w:kern w:val="22"/>
                <w:szCs w:val="22"/>
                <w:vertAlign w:val="superscript"/>
              </w:rPr>
              <w:t>2</w:t>
            </w:r>
            <w:r w:rsidRPr="0088780C">
              <w:rPr>
                <w:snapToGrid w:val="0"/>
                <w:color w:val="000000"/>
                <w:kern w:val="22"/>
                <w:szCs w:val="22"/>
              </w:rPr>
              <w:t xml:space="preserve">. The latter is mainly due to the dynamics of the dominant species in the benthos of the Zernov’s Phyllophora Field, </w:t>
            </w:r>
            <w:r w:rsidRPr="0088780C">
              <w:rPr>
                <w:i/>
                <w:snapToGrid w:val="0"/>
                <w:color w:val="000000"/>
                <w:kern w:val="22"/>
                <w:szCs w:val="22"/>
              </w:rPr>
              <w:t>Mythilis galloprovincialis</w:t>
            </w:r>
            <w:r w:rsidRPr="0088780C">
              <w:rPr>
                <w:snapToGrid w:val="0"/>
                <w:color w:val="000000"/>
                <w:kern w:val="22"/>
                <w:szCs w:val="22"/>
              </w:rPr>
              <w:t>, whose biomass in the corresponding years of comparison varied from 409 and 591.3 to 205.5 gm</w:t>
            </w:r>
            <w:r w:rsidRPr="0088780C">
              <w:rPr>
                <w:snapToGrid w:val="0"/>
                <w:color w:val="000000"/>
                <w:kern w:val="22"/>
                <w:szCs w:val="22"/>
                <w:vertAlign w:val="superscript"/>
              </w:rPr>
              <w:t>2</w:t>
            </w:r>
            <w:r w:rsidRPr="0088780C">
              <w:rPr>
                <w:snapToGrid w:val="0"/>
                <w:color w:val="000000"/>
                <w:kern w:val="22"/>
                <w:szCs w:val="22"/>
              </w:rPr>
              <w:t xml:space="preserve"> (Revkov 2016).</w:t>
            </w:r>
          </w:p>
          <w:p w14:paraId="08DA5968"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3BA4A8D3"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snapToGrid w:val="0"/>
                <w:color w:val="000000"/>
                <w:kern w:val="22"/>
                <w:szCs w:val="22"/>
                <w:lang w:val="ru-RU"/>
              </w:rPr>
            </w:pPr>
            <w:r w:rsidRPr="0088780C">
              <w:rPr>
                <w:snapToGrid w:val="0"/>
                <w:color w:val="000000"/>
                <w:kern w:val="22"/>
                <w:szCs w:val="22"/>
                <w:lang w:val="ru-RU"/>
              </w:rPr>
              <w:t xml:space="preserve">Район, необходимый для выживания и успешного обитания популяций видов </w:t>
            </w:r>
            <w:r w:rsidRPr="0088780C">
              <w:rPr>
                <w:rFonts w:eastAsia="MS Mincho"/>
                <w:snapToGrid w:val="0"/>
                <w:color w:val="000000"/>
                <w:kern w:val="22"/>
                <w:szCs w:val="22"/>
                <w:lang w:val="ru-RU"/>
              </w:rPr>
              <w:t xml:space="preserve">семейства Phyllophoraceae, семейства </w:t>
            </w:r>
            <w:r w:rsidRPr="0088780C">
              <w:rPr>
                <w:snapToGrid w:val="0"/>
                <w:color w:val="000000"/>
                <w:kern w:val="22"/>
                <w:szCs w:val="22"/>
                <w:lang w:val="ru-RU"/>
              </w:rPr>
              <w:t>Mytilidae и многих видов макрофитов, беспозвоночных и рыб.</w:t>
            </w:r>
          </w:p>
          <w:p w14:paraId="36ED696A"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snapToGrid w:val="0"/>
                <w:color w:val="000000"/>
                <w:kern w:val="22"/>
                <w:szCs w:val="22"/>
                <w:lang w:val="ru-RU"/>
              </w:rPr>
            </w:pPr>
            <w:r w:rsidRPr="0088780C">
              <w:rPr>
                <w:bCs/>
                <w:i/>
                <w:snapToGrid w:val="0"/>
                <w:color w:val="000000"/>
                <w:kern w:val="22"/>
                <w:szCs w:val="22"/>
                <w:lang w:val="ru-RU"/>
              </w:rPr>
              <w:t>Phyllophora crispa</w:t>
            </w:r>
            <w:r w:rsidRPr="0088780C">
              <w:rPr>
                <w:bCs/>
                <w:snapToGrid w:val="0"/>
                <w:color w:val="000000"/>
                <w:kern w:val="22"/>
                <w:szCs w:val="22"/>
                <w:lang w:val="ru-RU"/>
              </w:rPr>
              <w:t xml:space="preserve"> и </w:t>
            </w:r>
            <w:r w:rsidRPr="0088780C">
              <w:rPr>
                <w:bCs/>
                <w:i/>
                <w:snapToGrid w:val="0"/>
                <w:color w:val="000000"/>
                <w:kern w:val="22"/>
                <w:szCs w:val="22"/>
                <w:lang w:val="ru-RU"/>
              </w:rPr>
              <w:t>Coccotylus truncatus</w:t>
            </w:r>
            <w:r w:rsidRPr="0088780C">
              <w:rPr>
                <w:bCs/>
                <w:snapToGrid w:val="0"/>
                <w:color w:val="000000"/>
                <w:kern w:val="22"/>
                <w:szCs w:val="22"/>
                <w:lang w:val="ru-RU"/>
              </w:rPr>
              <w:t xml:space="preserve"> являются доминантами и одновременно средообразующими видами, создававшими экологическую нишу для более чем 100 видов беспозвоночных и 40 видов рыб </w:t>
            </w:r>
            <w:r w:rsidRPr="0088780C">
              <w:rPr>
                <w:snapToGrid w:val="0"/>
                <w:color w:val="000000"/>
                <w:kern w:val="22"/>
                <w:szCs w:val="22"/>
                <w:lang w:val="ru-RU"/>
              </w:rPr>
              <w:t xml:space="preserve">(Бондарев </w:t>
            </w:r>
            <w:r w:rsidRPr="0088780C">
              <w:rPr>
                <w:snapToGrid w:val="0"/>
                <w:color w:val="000000"/>
                <w:kern w:val="22"/>
                <w:szCs w:val="22"/>
                <w:lang w:val="ru-RU" w:eastAsia="uk-UA"/>
              </w:rPr>
              <w:t>2008).</w:t>
            </w:r>
          </w:p>
          <w:p w14:paraId="4CF1DB47" w14:textId="3D536E40" w:rsidR="00A876F3" w:rsidRPr="0088780C" w:rsidRDefault="00A876F3" w:rsidP="001013AF">
            <w:pPr>
              <w:pStyle w:val="Default"/>
              <w:widowControl/>
              <w:suppressLineNumbers/>
              <w:suppressAutoHyphens/>
              <w:kinsoku w:val="0"/>
              <w:overflowPunct w:val="0"/>
              <w:jc w:val="both"/>
              <w:rPr>
                <w:rFonts w:eastAsia="ArialMT"/>
                <w:snapToGrid w:val="0"/>
                <w:kern w:val="22"/>
                <w:sz w:val="22"/>
                <w:szCs w:val="22"/>
                <w:lang w:val="ru-RU"/>
              </w:rPr>
            </w:pPr>
            <w:r w:rsidRPr="0088780C">
              <w:rPr>
                <w:rFonts w:eastAsia="ArialMT"/>
                <w:snapToGrid w:val="0"/>
                <w:kern w:val="22"/>
                <w:sz w:val="22"/>
                <w:szCs w:val="22"/>
                <w:lang w:val="ru-RU"/>
              </w:rPr>
              <w:t xml:space="preserve">В рыболовном журнале </w:t>
            </w:r>
            <w:r w:rsidR="00D8482D" w:rsidRPr="0088780C">
              <w:rPr>
                <w:rFonts w:eastAsia="ArialMT"/>
                <w:snapToGrid w:val="0"/>
                <w:kern w:val="22"/>
                <w:sz w:val="22"/>
                <w:szCs w:val="22"/>
                <w:lang w:val="ru-RU"/>
              </w:rPr>
              <w:t>“</w:t>
            </w:r>
            <w:r w:rsidRPr="0088780C">
              <w:rPr>
                <w:rFonts w:eastAsia="ArialMT"/>
                <w:snapToGrid w:val="0"/>
                <w:kern w:val="22"/>
                <w:sz w:val="22"/>
                <w:szCs w:val="22"/>
                <w:lang w:val="ru-RU"/>
              </w:rPr>
              <w:t>Феди</w:t>
            </w:r>
            <w:r w:rsidR="00D8482D" w:rsidRPr="0088780C">
              <w:rPr>
                <w:rFonts w:eastAsia="ArialMT"/>
                <w:snapToGrid w:val="0"/>
                <w:kern w:val="22"/>
                <w:sz w:val="22"/>
                <w:szCs w:val="22"/>
                <w:lang w:val="ru-RU"/>
              </w:rPr>
              <w:t>”</w:t>
            </w:r>
            <w:r w:rsidRPr="0088780C">
              <w:rPr>
                <w:rFonts w:eastAsia="ArialMT"/>
                <w:snapToGrid w:val="0"/>
                <w:kern w:val="22"/>
                <w:sz w:val="22"/>
                <w:szCs w:val="22"/>
                <w:lang w:val="ru-RU"/>
              </w:rPr>
              <w:t xml:space="preserve"> на двух станциях количество поднятой филлофоры определено было в 2 и 3 тонны. Филлофоры здесь так много, что мне кажется было бы вполне уместным с точки зрения натуралистов присвоить этой части Черного моря названия </w:t>
            </w:r>
            <w:r w:rsidR="00D8482D" w:rsidRPr="0088780C">
              <w:rPr>
                <w:rFonts w:eastAsia="ArialMT"/>
                <w:snapToGrid w:val="0"/>
                <w:kern w:val="22"/>
                <w:sz w:val="22"/>
                <w:szCs w:val="22"/>
                <w:lang w:val="ru-RU"/>
              </w:rPr>
              <w:t>“</w:t>
            </w:r>
            <w:r w:rsidRPr="0088780C">
              <w:rPr>
                <w:rFonts w:eastAsia="ArialMT"/>
                <w:snapToGrid w:val="0"/>
                <w:kern w:val="22"/>
                <w:sz w:val="22"/>
                <w:szCs w:val="22"/>
                <w:lang w:val="ru-RU"/>
              </w:rPr>
              <w:t>Филлофорное море</w:t>
            </w:r>
            <w:r w:rsidR="00D8482D" w:rsidRPr="0088780C">
              <w:rPr>
                <w:rFonts w:eastAsia="ArialMT"/>
                <w:snapToGrid w:val="0"/>
                <w:kern w:val="22"/>
                <w:sz w:val="22"/>
                <w:szCs w:val="22"/>
                <w:lang w:val="ru-RU"/>
              </w:rPr>
              <w:t>”</w:t>
            </w:r>
            <w:r w:rsidRPr="0088780C">
              <w:rPr>
                <w:rFonts w:eastAsia="ArialMT"/>
                <w:snapToGrid w:val="0"/>
                <w:kern w:val="22"/>
                <w:sz w:val="22"/>
                <w:szCs w:val="22"/>
                <w:lang w:val="ru-RU"/>
              </w:rPr>
              <w:t xml:space="preserve"> по аналогии с Саргассовым морем Атлантического океана [</w:t>
            </w:r>
            <w:r w:rsidRPr="0088780C">
              <w:rPr>
                <w:snapToGrid w:val="0"/>
                <w:kern w:val="22"/>
                <w:sz w:val="22"/>
                <w:szCs w:val="22"/>
                <w:lang w:val="ru-RU"/>
              </w:rPr>
              <w:t>Зернов С.А. 1909. – Т. 14. – С. 181-191.</w:t>
            </w:r>
            <w:r w:rsidRPr="0088780C">
              <w:rPr>
                <w:rFonts w:eastAsia="ArialMT"/>
                <w:snapToGrid w:val="0"/>
                <w:kern w:val="22"/>
                <w:sz w:val="22"/>
                <w:szCs w:val="22"/>
                <w:lang w:val="ru-RU"/>
              </w:rPr>
              <w:t>].</w:t>
            </w:r>
          </w:p>
          <w:p w14:paraId="75760F7A" w14:textId="77777777" w:rsidR="00A876F3" w:rsidRPr="0088780C" w:rsidRDefault="00A876F3" w:rsidP="001013AF">
            <w:pPr>
              <w:pStyle w:val="Default"/>
              <w:widowControl/>
              <w:suppressLineNumbers/>
              <w:suppressAutoHyphens/>
              <w:kinsoku w:val="0"/>
              <w:overflowPunct w:val="0"/>
              <w:jc w:val="both"/>
              <w:rPr>
                <w:snapToGrid w:val="0"/>
                <w:kern w:val="22"/>
                <w:sz w:val="22"/>
                <w:szCs w:val="22"/>
              </w:rPr>
            </w:pPr>
          </w:p>
          <w:p w14:paraId="4D3CAF9C" w14:textId="77777777" w:rsidR="00A876F3" w:rsidRPr="0088780C" w:rsidRDefault="00A876F3" w:rsidP="001013AF">
            <w:pPr>
              <w:suppressLineNumbers/>
              <w:suppressAutoHyphens/>
              <w:kinsoku w:val="0"/>
              <w:overflowPunct w:val="0"/>
              <w:autoSpaceDE w:val="0"/>
              <w:autoSpaceDN w:val="0"/>
              <w:rPr>
                <w:snapToGrid w:val="0"/>
                <w:color w:val="000000"/>
                <w:kern w:val="22"/>
                <w:szCs w:val="22"/>
                <w:lang w:val="ru-RU"/>
              </w:rPr>
            </w:pPr>
            <w:r w:rsidRPr="0088780C">
              <w:rPr>
                <w:snapToGrid w:val="0"/>
                <w:color w:val="000000"/>
                <w:kern w:val="22"/>
                <w:szCs w:val="22"/>
                <w:lang w:val="ru-RU"/>
              </w:rPr>
              <w:t xml:space="preserve">В 60-70-е годы 20 столетия, когда экологическая обстановка была благоприятной для развития водорослей, отдельные участки филлофоры достигали нескольких десятков и сотен квадратных метров, высота пласта составляла 20-40 см [Калугина-Гутник А.А. Лачко О.А. 1966. - С.112-131]. К концу 80-х годов из-за частых заморных явлений, наблюдающихся в северо-западной части Черного моря, отмирание ветвей и целых слоевищ, заросли филлофоры стали очень изреженными и сверху покрытыми слоем взвеси </w:t>
            </w:r>
            <w:r w:rsidRPr="0088780C">
              <w:rPr>
                <w:snapToGrid w:val="0"/>
                <w:color w:val="000000"/>
                <w:kern w:val="22"/>
                <w:szCs w:val="22"/>
                <w:lang w:val="ru-RU" w:eastAsia="uk-UA"/>
              </w:rPr>
              <w:t>[А.А.Калугина-Гутник, И.К Евстигнеева. 1993. - Вып.44. - С. 54-70]</w:t>
            </w:r>
            <w:r w:rsidRPr="0088780C">
              <w:rPr>
                <w:snapToGrid w:val="0"/>
                <w:color w:val="000000"/>
                <w:kern w:val="22"/>
                <w:szCs w:val="22"/>
                <w:lang w:val="ru-RU"/>
              </w:rPr>
              <w:t>.</w:t>
            </w:r>
          </w:p>
          <w:p w14:paraId="2C29C9EA" w14:textId="77777777" w:rsidR="00A876F3" w:rsidRPr="0088780C" w:rsidRDefault="00A876F3" w:rsidP="001013AF">
            <w:pPr>
              <w:suppressLineNumbers/>
              <w:suppressAutoHyphens/>
              <w:kinsoku w:val="0"/>
              <w:overflowPunct w:val="0"/>
              <w:autoSpaceDE w:val="0"/>
              <w:autoSpaceDN w:val="0"/>
              <w:rPr>
                <w:snapToGrid w:val="0"/>
                <w:color w:val="000000"/>
                <w:kern w:val="22"/>
                <w:szCs w:val="22"/>
                <w:lang w:val="en-US"/>
              </w:rPr>
            </w:pPr>
          </w:p>
          <w:p w14:paraId="5A33F278" w14:textId="44B961EB" w:rsidR="00A876F3" w:rsidRPr="0088780C" w:rsidRDefault="00A876F3" w:rsidP="001013AF">
            <w:pPr>
              <w:suppressLineNumbers/>
              <w:suppressAutoHyphens/>
              <w:kinsoku w:val="0"/>
              <w:overflowPunct w:val="0"/>
              <w:autoSpaceDE w:val="0"/>
              <w:autoSpaceDN w:val="0"/>
              <w:rPr>
                <w:rFonts w:eastAsia="ArialMT"/>
                <w:snapToGrid w:val="0"/>
                <w:color w:val="000000"/>
                <w:kern w:val="22"/>
                <w:szCs w:val="22"/>
                <w:lang w:val="ru-RU"/>
              </w:rPr>
            </w:pPr>
            <w:r w:rsidRPr="0088780C">
              <w:rPr>
                <w:rFonts w:eastAsia="ArialMT"/>
                <w:snapToGrid w:val="0"/>
                <w:color w:val="000000"/>
                <w:kern w:val="22"/>
                <w:szCs w:val="22"/>
                <w:lang w:val="ru-RU"/>
              </w:rPr>
              <w:t xml:space="preserve">У 2012 р. вперше зареєстровано, що </w:t>
            </w:r>
            <w:r w:rsidRPr="0088780C">
              <w:rPr>
                <w:rFonts w:eastAsia="Arial-ItalicMT"/>
                <w:i/>
                <w:iCs/>
                <w:snapToGrid w:val="0"/>
                <w:color w:val="000000"/>
                <w:kern w:val="22"/>
                <w:szCs w:val="22"/>
                <w:lang w:val="ru-RU"/>
              </w:rPr>
              <w:t xml:space="preserve">Ph. truncata </w:t>
            </w:r>
            <w:r w:rsidRPr="0088780C">
              <w:rPr>
                <w:rFonts w:eastAsia="ArialMT"/>
                <w:snapToGrid w:val="0"/>
                <w:color w:val="000000"/>
                <w:kern w:val="22"/>
                <w:szCs w:val="22"/>
                <w:lang w:val="ru-RU"/>
              </w:rPr>
              <w:t xml:space="preserve">в районі ФПЗ розмножується двома способами: безстатевим (прикріплена форма) й вегетативним. На сьогодні спостерігається початок процесу переходу </w:t>
            </w:r>
            <w:r w:rsidRPr="0088780C">
              <w:rPr>
                <w:i/>
                <w:iCs/>
                <w:snapToGrid w:val="0"/>
                <w:color w:val="000000"/>
                <w:kern w:val="22"/>
                <w:szCs w:val="22"/>
                <w:lang w:val="ru-RU"/>
              </w:rPr>
              <w:t xml:space="preserve">C. truncatus </w:t>
            </w:r>
            <w:r w:rsidRPr="0088780C">
              <w:rPr>
                <w:rFonts w:eastAsia="ArialMT"/>
                <w:snapToGrid w:val="0"/>
                <w:color w:val="000000"/>
                <w:kern w:val="22"/>
                <w:szCs w:val="22"/>
                <w:lang w:val="ru-RU"/>
              </w:rPr>
              <w:t xml:space="preserve">до справжнього вегетативного розмноження, мабудь у зв'язку із зменшенням або повною відсутністю відповідного субстрату. Справжнє вегетативне розмноження </w:t>
            </w:r>
            <w:r w:rsidRPr="0088780C">
              <w:rPr>
                <w:i/>
                <w:iCs/>
                <w:snapToGrid w:val="0"/>
                <w:color w:val="000000"/>
                <w:kern w:val="22"/>
                <w:szCs w:val="22"/>
                <w:lang w:val="ru-RU"/>
              </w:rPr>
              <w:t xml:space="preserve">цього виду </w:t>
            </w:r>
            <w:r w:rsidRPr="0088780C">
              <w:rPr>
                <w:rFonts w:eastAsia="ArialMT"/>
                <w:snapToGrid w:val="0"/>
                <w:color w:val="000000"/>
                <w:kern w:val="22"/>
                <w:szCs w:val="22"/>
                <w:lang w:val="ru-RU"/>
              </w:rPr>
              <w:t>найбільш екологічно безпомилкове до існування в умовах ФПЗ в сучасний період [</w:t>
            </w:r>
            <w:r w:rsidRPr="0088780C">
              <w:rPr>
                <w:rFonts w:eastAsia="Arial-BoldMT"/>
                <w:bCs/>
                <w:snapToGrid w:val="0"/>
                <w:color w:val="000000"/>
                <w:kern w:val="22"/>
                <w:szCs w:val="22"/>
                <w:lang w:val="ru-RU"/>
              </w:rPr>
              <w:t xml:space="preserve">Трет'як І.П. </w:t>
            </w:r>
            <w:r w:rsidRPr="0088780C">
              <w:rPr>
                <w:rFonts w:eastAsia="ArialMT"/>
                <w:snapToGrid w:val="0"/>
                <w:color w:val="000000"/>
                <w:kern w:val="22"/>
                <w:szCs w:val="22"/>
                <w:lang w:val="ru-RU"/>
              </w:rPr>
              <w:t>2014.].</w:t>
            </w:r>
          </w:p>
          <w:p w14:paraId="15E9C4FB" w14:textId="16EE57F4" w:rsidR="00A876F3" w:rsidRPr="0088780C" w:rsidRDefault="00A876F3" w:rsidP="001013AF">
            <w:pPr>
              <w:suppressLineNumbers/>
              <w:suppressAutoHyphens/>
              <w:kinsoku w:val="0"/>
              <w:overflowPunct w:val="0"/>
              <w:autoSpaceDE w:val="0"/>
              <w:autoSpaceDN w:val="0"/>
              <w:adjustRightInd w:val="0"/>
              <w:rPr>
                <w:rFonts w:eastAsia="ArialMT"/>
                <w:snapToGrid w:val="0"/>
                <w:color w:val="000000"/>
                <w:kern w:val="22"/>
                <w:szCs w:val="22"/>
                <w:lang w:val="ru-RU"/>
              </w:rPr>
            </w:pPr>
            <w:r w:rsidRPr="0088780C">
              <w:rPr>
                <w:snapToGrid w:val="0"/>
                <w:color w:val="000000"/>
                <w:kern w:val="22"/>
                <w:szCs w:val="22"/>
                <w:lang w:val="ru-RU"/>
              </w:rPr>
              <w:t>В первом десятилетии нынешнего столетия, после начала де-эвтрофикации бассейна Чѐрного моря, зарегистрированы восстановительные процессы в фитобентосе ФПЗ [Миничева 2009].</w:t>
            </w:r>
          </w:p>
          <w:p w14:paraId="44368D6D" w14:textId="77777777" w:rsidR="00A876F3" w:rsidRPr="0088780C" w:rsidRDefault="00A876F3" w:rsidP="001013AF">
            <w:pPr>
              <w:suppressLineNumbers/>
              <w:suppressAutoHyphens/>
              <w:kinsoku w:val="0"/>
              <w:overflowPunct w:val="0"/>
              <w:autoSpaceDE w:val="0"/>
              <w:autoSpaceDN w:val="0"/>
              <w:rPr>
                <w:snapToGrid w:val="0"/>
                <w:color w:val="000000"/>
                <w:kern w:val="22"/>
                <w:szCs w:val="22"/>
                <w:lang w:val="ru-RU"/>
              </w:rPr>
            </w:pPr>
          </w:p>
          <w:p w14:paraId="7BDC69EF"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lang w:val="ru-RU"/>
              </w:rPr>
              <w:t>Отмечена тенденция возрастания общей плотности макрозообентоса с 463 (1954–1960 гг ) и 2060 (1984–2003 гг) до 2417 экз.∙м-2 (2010–2013 гг.), при снижении в эти же периоды его биомассы с 458.3 и 632.7 до 283.4 г∙м</w:t>
            </w:r>
            <w:r w:rsidRPr="0088780C">
              <w:rPr>
                <w:snapToGrid w:val="0"/>
                <w:color w:val="000000"/>
                <w:kern w:val="22"/>
                <w:szCs w:val="22"/>
                <w:vertAlign w:val="superscript"/>
                <w:lang w:val="ru-RU"/>
              </w:rPr>
              <w:t>-2</w:t>
            </w:r>
            <w:r w:rsidRPr="0088780C">
              <w:rPr>
                <w:snapToGrid w:val="0"/>
                <w:color w:val="000000"/>
                <w:kern w:val="22"/>
                <w:szCs w:val="22"/>
                <w:lang w:val="ru-RU"/>
              </w:rPr>
              <w:t xml:space="preserve">. Последнее, в большей степени обусловлено динамикой доминирующего вида в бентосе ФПЗ – </w:t>
            </w:r>
            <w:r w:rsidRPr="0088780C">
              <w:rPr>
                <w:i/>
                <w:iCs/>
                <w:snapToGrid w:val="0"/>
                <w:color w:val="000000"/>
                <w:kern w:val="22"/>
                <w:szCs w:val="22"/>
                <w:lang w:val="ru-RU"/>
              </w:rPr>
              <w:t>M. galloprovincialis</w:t>
            </w:r>
            <w:r w:rsidRPr="0088780C">
              <w:rPr>
                <w:snapToGrid w:val="0"/>
                <w:color w:val="000000"/>
                <w:kern w:val="22"/>
                <w:szCs w:val="22"/>
                <w:lang w:val="ru-RU"/>
              </w:rPr>
              <w:t>, биомасса которой в соответствующие годы сравнения изменялась с 409 и 591.3 до 205.5 г∙м</w:t>
            </w:r>
            <w:r w:rsidRPr="0088780C">
              <w:rPr>
                <w:snapToGrid w:val="0"/>
                <w:color w:val="000000"/>
                <w:kern w:val="22"/>
                <w:szCs w:val="22"/>
                <w:vertAlign w:val="superscript"/>
                <w:lang w:val="ru-RU"/>
              </w:rPr>
              <w:t>-2</w:t>
            </w:r>
            <w:r w:rsidRPr="0088780C">
              <w:rPr>
                <w:snapToGrid w:val="0"/>
                <w:color w:val="000000"/>
                <w:kern w:val="22"/>
                <w:szCs w:val="22"/>
                <w:lang w:val="ru-RU"/>
              </w:rPr>
              <w:t>.</w:t>
            </w:r>
            <w:r w:rsidRPr="0088780C">
              <w:rPr>
                <w:snapToGrid w:val="0"/>
                <w:color w:val="000000"/>
                <w:kern w:val="22"/>
                <w:szCs w:val="22"/>
                <w:lang w:val="ru-RU" w:eastAsia="ru-RU"/>
              </w:rPr>
              <w:t>[Ревков Н.К.</w:t>
            </w:r>
            <w:r w:rsidRPr="0088780C">
              <w:rPr>
                <w:bCs/>
                <w:snapToGrid w:val="0"/>
                <w:color w:val="000000"/>
                <w:kern w:val="22"/>
                <w:szCs w:val="22"/>
                <w:lang w:val="ru-RU" w:eastAsia="ru-RU"/>
              </w:rPr>
              <w:t xml:space="preserve"> </w:t>
            </w:r>
            <w:r w:rsidRPr="0088780C">
              <w:rPr>
                <w:snapToGrid w:val="0"/>
                <w:color w:val="000000"/>
                <w:kern w:val="22"/>
                <w:szCs w:val="22"/>
                <w:lang w:val="ru-RU" w:eastAsia="ru-RU"/>
              </w:rPr>
              <w:t>2016.]</w:t>
            </w:r>
          </w:p>
        </w:tc>
      </w:tr>
      <w:tr w:rsidR="00A876F3" w:rsidRPr="0088780C" w14:paraId="08254700" w14:textId="77777777" w:rsidTr="001013AF">
        <w:trPr>
          <w:trHeight w:val="2051"/>
          <w:jc w:val="center"/>
        </w:trPr>
        <w:tc>
          <w:tcPr>
            <w:tcW w:w="818" w:type="pct"/>
          </w:tcPr>
          <w:p w14:paraId="080D82C7" w14:textId="77777777" w:rsidR="00A876F3" w:rsidRPr="0088780C" w:rsidRDefault="00A876F3" w:rsidP="00504F53">
            <w:pPr>
              <w:suppressLineNumbers/>
              <w:suppressAutoHyphens/>
              <w:kinsoku w:val="0"/>
              <w:overflowPunct w:val="0"/>
              <w:autoSpaceDE w:val="0"/>
              <w:autoSpaceDN w:val="0"/>
              <w:jc w:val="left"/>
              <w:rPr>
                <w:b/>
                <w:snapToGrid w:val="0"/>
                <w:kern w:val="22"/>
                <w:szCs w:val="22"/>
              </w:rPr>
            </w:pPr>
            <w:r w:rsidRPr="0088780C">
              <w:rPr>
                <w:b/>
                <w:snapToGrid w:val="0"/>
                <w:kern w:val="22"/>
                <w:szCs w:val="22"/>
              </w:rPr>
              <w:t>Importance for threatened, endangered or declining species and/or habitats</w:t>
            </w:r>
          </w:p>
        </w:tc>
        <w:tc>
          <w:tcPr>
            <w:tcW w:w="2257" w:type="pct"/>
          </w:tcPr>
          <w:p w14:paraId="095EC99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Area containing habitat for the survival and recovery of endangered, threatened, declining species or area with significant assemblages of such species.</w:t>
            </w:r>
          </w:p>
        </w:tc>
        <w:tc>
          <w:tcPr>
            <w:tcW w:w="679" w:type="pct"/>
            <w:gridSpan w:val="3"/>
          </w:tcPr>
          <w:p w14:paraId="1468494D"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08" w:type="pct"/>
            <w:gridSpan w:val="2"/>
          </w:tcPr>
          <w:p w14:paraId="7FD0BF39"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09" w:type="pct"/>
            <w:gridSpan w:val="2"/>
          </w:tcPr>
          <w:p w14:paraId="0644ED04"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29" w:type="pct"/>
            <w:gridSpan w:val="2"/>
          </w:tcPr>
          <w:p w14:paraId="1D4556F2"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X</w:t>
            </w:r>
          </w:p>
        </w:tc>
      </w:tr>
      <w:tr w:rsidR="00A876F3" w:rsidRPr="0088780C" w14:paraId="1BD6E350" w14:textId="77777777" w:rsidTr="001013AF">
        <w:trPr>
          <w:jc w:val="center"/>
        </w:trPr>
        <w:tc>
          <w:tcPr>
            <w:tcW w:w="5000" w:type="pct"/>
            <w:gridSpan w:val="11"/>
          </w:tcPr>
          <w:p w14:paraId="1921909C"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37B580B2"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xml:space="preserve">The area contains habitat for the survival and recovery of endangered, threatened and declining species, such as: </w:t>
            </w:r>
            <w:r w:rsidRPr="0088780C">
              <w:rPr>
                <w:i/>
                <w:snapToGrid w:val="0"/>
                <w:color w:val="000000"/>
                <w:kern w:val="22"/>
                <w:szCs w:val="22"/>
              </w:rPr>
              <w:t>Sphacelorbus nanus</w:t>
            </w:r>
            <w:r w:rsidRPr="0088780C">
              <w:rPr>
                <w:snapToGrid w:val="0"/>
                <w:color w:val="000000"/>
                <w:kern w:val="22"/>
                <w:szCs w:val="22"/>
              </w:rPr>
              <w:t xml:space="preserve"> (Ochrophyta) (Vulnerable), </w:t>
            </w:r>
            <w:r w:rsidRPr="0088780C">
              <w:rPr>
                <w:i/>
                <w:snapToGrid w:val="0"/>
                <w:color w:val="000000"/>
                <w:kern w:val="22"/>
                <w:szCs w:val="22"/>
              </w:rPr>
              <w:t>Ectocarpus siliculosus</w:t>
            </w:r>
            <w:r w:rsidRPr="0088780C">
              <w:rPr>
                <w:snapToGrid w:val="0"/>
                <w:color w:val="000000"/>
                <w:kern w:val="22"/>
                <w:szCs w:val="22"/>
              </w:rPr>
              <w:t xml:space="preserve"> (Ochrophyta) (Vulnerable), </w:t>
            </w:r>
            <w:hyperlink r:id="rId114" w:history="1">
              <w:r w:rsidRPr="0088780C">
                <w:rPr>
                  <w:i/>
                  <w:snapToGrid w:val="0"/>
                  <w:color w:val="000000"/>
                  <w:kern w:val="22"/>
                  <w:szCs w:val="22"/>
                </w:rPr>
                <w:t xml:space="preserve">Phyllophora </w:t>
              </w:r>
            </w:hyperlink>
            <w:r w:rsidRPr="0088780C">
              <w:rPr>
                <w:i/>
                <w:snapToGrid w:val="0"/>
                <w:color w:val="000000"/>
                <w:kern w:val="22"/>
                <w:szCs w:val="22"/>
              </w:rPr>
              <w:t>pseudoceranoides</w:t>
            </w:r>
            <w:r w:rsidRPr="0088780C">
              <w:rPr>
                <w:snapToGrid w:val="0"/>
                <w:color w:val="000000"/>
                <w:kern w:val="22"/>
                <w:szCs w:val="22"/>
              </w:rPr>
              <w:t xml:space="preserve"> (Rhodophyta) (Critically Endangered) (Red Data Book of Ukraine. Plants. 2009). </w:t>
            </w:r>
            <w:r w:rsidRPr="0088780C">
              <w:rPr>
                <w:i/>
                <w:snapToGrid w:val="0"/>
                <w:color w:val="000000"/>
                <w:kern w:val="22"/>
                <w:szCs w:val="22"/>
              </w:rPr>
              <w:t>Coccotylus truncatus</w:t>
            </w:r>
            <w:r w:rsidRPr="0088780C">
              <w:rPr>
                <w:snapToGrid w:val="0"/>
                <w:color w:val="000000"/>
                <w:kern w:val="22"/>
                <w:szCs w:val="22"/>
              </w:rPr>
              <w:t xml:space="preserve"> (Rhodophyta) (=</w:t>
            </w:r>
            <w:r w:rsidRPr="0088780C">
              <w:rPr>
                <w:i/>
                <w:snapToGrid w:val="0"/>
                <w:color w:val="000000"/>
                <w:kern w:val="22"/>
                <w:szCs w:val="22"/>
              </w:rPr>
              <w:t>Phyllophora brodiaei</w:t>
            </w:r>
            <w:r w:rsidRPr="0088780C">
              <w:rPr>
                <w:snapToGrid w:val="0"/>
                <w:color w:val="000000"/>
                <w:kern w:val="22"/>
                <w:szCs w:val="22"/>
              </w:rPr>
              <w:t xml:space="preserve">) («Vulnerable»), </w:t>
            </w:r>
            <w:r w:rsidRPr="0088780C">
              <w:rPr>
                <w:i/>
                <w:snapToGrid w:val="0"/>
                <w:color w:val="000000"/>
                <w:kern w:val="22"/>
                <w:szCs w:val="22"/>
              </w:rPr>
              <w:t>Phyllophora pseudoceranoides</w:t>
            </w:r>
            <w:r w:rsidRPr="0088780C">
              <w:rPr>
                <w:snapToGrid w:val="0"/>
                <w:color w:val="000000"/>
                <w:kern w:val="22"/>
                <w:szCs w:val="22"/>
              </w:rPr>
              <w:t xml:space="preserve"> (Rhodophyta) (Critically Endangered), </w:t>
            </w:r>
            <w:r w:rsidRPr="0088780C">
              <w:rPr>
                <w:i/>
                <w:snapToGrid w:val="0"/>
                <w:color w:val="000000"/>
                <w:kern w:val="22"/>
                <w:szCs w:val="22"/>
              </w:rPr>
              <w:t>Phyllophora crispa</w:t>
            </w:r>
            <w:r w:rsidRPr="0088780C">
              <w:rPr>
                <w:snapToGrid w:val="0"/>
                <w:color w:val="000000"/>
                <w:kern w:val="22"/>
                <w:szCs w:val="22"/>
              </w:rPr>
              <w:t xml:space="preserve"> (Rhodophyta) (</w:t>
            </w:r>
            <w:r w:rsidRPr="0088780C">
              <w:rPr>
                <w:i/>
                <w:snapToGrid w:val="0"/>
                <w:color w:val="000000"/>
                <w:kern w:val="22"/>
                <w:szCs w:val="22"/>
              </w:rPr>
              <w:t>Phyllophora nervosa</w:t>
            </w:r>
            <w:r w:rsidRPr="0088780C">
              <w:rPr>
                <w:snapToGrid w:val="0"/>
                <w:color w:val="000000"/>
                <w:kern w:val="22"/>
                <w:szCs w:val="22"/>
              </w:rPr>
              <w:t xml:space="preserve">) (Vulnerable), </w:t>
            </w:r>
            <w:r w:rsidRPr="0088780C">
              <w:rPr>
                <w:i/>
                <w:snapToGrid w:val="0"/>
                <w:color w:val="000000"/>
                <w:kern w:val="22"/>
                <w:szCs w:val="22"/>
              </w:rPr>
              <w:t>Dіogenes pugіlator</w:t>
            </w:r>
            <w:r w:rsidRPr="0088780C">
              <w:rPr>
                <w:snapToGrid w:val="0"/>
                <w:color w:val="000000"/>
                <w:kern w:val="22"/>
                <w:szCs w:val="22"/>
              </w:rPr>
              <w:t xml:space="preserve"> (Decapoda) (Endangered) (</w:t>
            </w:r>
            <w:r w:rsidRPr="0088780C">
              <w:rPr>
                <w:snapToGrid w:val="0"/>
                <w:kern w:val="22"/>
                <w:szCs w:val="22"/>
              </w:rPr>
              <w:t>Dumont, 1999</w:t>
            </w:r>
            <w:r w:rsidRPr="0088780C">
              <w:rPr>
                <w:snapToGrid w:val="0"/>
                <w:color w:val="000000"/>
                <w:kern w:val="22"/>
                <w:szCs w:val="22"/>
              </w:rPr>
              <w:t>).</w:t>
            </w:r>
          </w:p>
          <w:p w14:paraId="49170634"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1355D50E" w14:textId="77777777" w:rsidR="00A876F3" w:rsidRPr="0088780C" w:rsidRDefault="00A876F3" w:rsidP="001013AF">
            <w:pPr>
              <w:suppressLineNumbers/>
              <w:suppressAutoHyphens/>
              <w:kinsoku w:val="0"/>
              <w:overflowPunct w:val="0"/>
              <w:autoSpaceDE w:val="0"/>
              <w:autoSpaceDN w:val="0"/>
              <w:rPr>
                <w:snapToGrid w:val="0"/>
                <w:color w:val="000000"/>
                <w:kern w:val="22"/>
                <w:szCs w:val="22"/>
                <w:lang w:val="ru-RU"/>
              </w:rPr>
            </w:pPr>
            <w:r w:rsidRPr="0088780C">
              <w:rPr>
                <w:rFonts w:eastAsia="MS Mincho"/>
                <w:bCs/>
                <w:snapToGrid w:val="0"/>
                <w:color w:val="000000"/>
                <w:kern w:val="22"/>
                <w:szCs w:val="22"/>
                <w:lang w:val="ru-RU"/>
              </w:rPr>
              <w:t xml:space="preserve">Район содержит место обитания </w:t>
            </w:r>
            <w:r w:rsidRPr="0088780C">
              <w:rPr>
                <w:snapToGrid w:val="0"/>
                <w:color w:val="000000"/>
                <w:kern w:val="22"/>
                <w:szCs w:val="22"/>
                <w:lang w:val="ru-RU" w:eastAsia="ko-KR"/>
              </w:rPr>
              <w:t>для выживания или восстановления</w:t>
            </w:r>
            <w:r w:rsidRPr="0088780C">
              <w:rPr>
                <w:snapToGrid w:val="0"/>
                <w:color w:val="000000"/>
                <w:kern w:val="22"/>
                <w:szCs w:val="22"/>
                <w:lang w:val="ru-RU"/>
              </w:rPr>
              <w:t xml:space="preserve"> находящихся под угрозой исчезновения, угрожаемых или исчезающих видов: </w:t>
            </w:r>
            <w:r w:rsidRPr="0088780C">
              <w:rPr>
                <w:bCs/>
                <w:i/>
                <w:iCs/>
                <w:snapToGrid w:val="0"/>
                <w:color w:val="000000"/>
                <w:kern w:val="22"/>
                <w:szCs w:val="22"/>
                <w:lang w:val="ru-RU"/>
              </w:rPr>
              <w:t xml:space="preserve">Sphacelorbus nanus </w:t>
            </w:r>
            <w:r w:rsidRPr="0088780C">
              <w:rPr>
                <w:bCs/>
                <w:iCs/>
                <w:snapToGrid w:val="0"/>
                <w:color w:val="000000"/>
                <w:kern w:val="22"/>
                <w:szCs w:val="22"/>
                <w:lang w:val="ru-RU"/>
              </w:rPr>
              <w:t>(</w:t>
            </w:r>
            <w:r w:rsidRPr="0088780C">
              <w:rPr>
                <w:snapToGrid w:val="0"/>
                <w:color w:val="000000"/>
                <w:kern w:val="22"/>
                <w:szCs w:val="22"/>
                <w:lang w:val="ru-RU"/>
              </w:rPr>
              <w:t>Ochrophyta</w:t>
            </w:r>
            <w:r w:rsidRPr="0088780C">
              <w:rPr>
                <w:bCs/>
                <w:iCs/>
                <w:snapToGrid w:val="0"/>
                <w:color w:val="000000"/>
                <w:kern w:val="22"/>
                <w:szCs w:val="22"/>
                <w:lang w:val="ru-RU"/>
              </w:rPr>
              <w:t>) (</w:t>
            </w:r>
            <w:r w:rsidRPr="0088780C">
              <w:rPr>
                <w:bCs/>
                <w:i/>
                <w:iCs/>
                <w:snapToGrid w:val="0"/>
                <w:color w:val="000000"/>
                <w:kern w:val="22"/>
                <w:szCs w:val="22"/>
                <w:lang w:val="ru-RU"/>
              </w:rPr>
              <w:t>=</w:t>
            </w:r>
            <w:r w:rsidRPr="0088780C">
              <w:rPr>
                <w:i/>
                <w:iCs/>
                <w:snapToGrid w:val="0"/>
                <w:color w:val="000000"/>
                <w:kern w:val="22"/>
                <w:szCs w:val="22"/>
                <w:lang w:val="ru-RU" w:eastAsia="ru-RU"/>
              </w:rPr>
              <w:t>Sphacelaria nana</w:t>
            </w:r>
            <w:r w:rsidRPr="0088780C">
              <w:rPr>
                <w:bCs/>
                <w:iCs/>
                <w:snapToGrid w:val="0"/>
                <w:color w:val="000000"/>
                <w:kern w:val="22"/>
                <w:szCs w:val="22"/>
                <w:lang w:val="ru-RU"/>
              </w:rPr>
              <w:t>) («</w:t>
            </w:r>
            <w:r w:rsidRPr="0088780C">
              <w:rPr>
                <w:snapToGrid w:val="0"/>
                <w:color w:val="000000"/>
                <w:kern w:val="22"/>
                <w:szCs w:val="22"/>
                <w:lang w:val="ru-RU" w:eastAsia="ru-RU"/>
              </w:rPr>
              <w:t>вразливий»</w:t>
            </w:r>
            <w:r w:rsidRPr="0088780C">
              <w:rPr>
                <w:bCs/>
                <w:iCs/>
                <w:snapToGrid w:val="0"/>
                <w:color w:val="000000"/>
                <w:kern w:val="22"/>
                <w:szCs w:val="22"/>
                <w:lang w:val="ru-RU"/>
              </w:rPr>
              <w:t xml:space="preserve">), </w:t>
            </w:r>
            <w:r w:rsidRPr="0088780C">
              <w:rPr>
                <w:i/>
                <w:iCs/>
                <w:snapToGrid w:val="0"/>
                <w:color w:val="000000"/>
                <w:kern w:val="22"/>
                <w:szCs w:val="22"/>
                <w:lang w:val="ru-RU" w:eastAsia="ru-RU"/>
              </w:rPr>
              <w:t xml:space="preserve">Ectocarpus siliculosus </w:t>
            </w:r>
            <w:r w:rsidRPr="0088780C">
              <w:rPr>
                <w:bCs/>
                <w:iCs/>
                <w:snapToGrid w:val="0"/>
                <w:color w:val="000000"/>
                <w:kern w:val="22"/>
                <w:szCs w:val="22"/>
                <w:lang w:val="ru-RU"/>
              </w:rPr>
              <w:t>(</w:t>
            </w:r>
            <w:r w:rsidRPr="0088780C">
              <w:rPr>
                <w:snapToGrid w:val="0"/>
                <w:color w:val="000000"/>
                <w:kern w:val="22"/>
                <w:szCs w:val="22"/>
                <w:lang w:val="ru-RU"/>
              </w:rPr>
              <w:t>Ochrophyta</w:t>
            </w:r>
            <w:r w:rsidRPr="0088780C">
              <w:rPr>
                <w:bCs/>
                <w:iCs/>
                <w:snapToGrid w:val="0"/>
                <w:color w:val="000000"/>
                <w:kern w:val="22"/>
                <w:szCs w:val="22"/>
                <w:lang w:val="ru-RU"/>
              </w:rPr>
              <w:t xml:space="preserve">) </w:t>
            </w:r>
            <w:r w:rsidRPr="0088780C">
              <w:rPr>
                <w:rFonts w:eastAsia="MyriadPro-Cond"/>
                <w:snapToGrid w:val="0"/>
                <w:color w:val="000000"/>
                <w:kern w:val="22"/>
                <w:szCs w:val="22"/>
                <w:lang w:val="ru-RU" w:eastAsia="ru-RU"/>
              </w:rPr>
              <w:t>(«</w:t>
            </w:r>
            <w:r w:rsidRPr="0088780C">
              <w:rPr>
                <w:snapToGrid w:val="0"/>
                <w:color w:val="000000"/>
                <w:kern w:val="22"/>
                <w:szCs w:val="22"/>
                <w:lang w:val="ru-RU" w:eastAsia="ru-RU"/>
              </w:rPr>
              <w:t>вразливий»</w:t>
            </w:r>
            <w:r w:rsidRPr="0088780C">
              <w:rPr>
                <w:bCs/>
                <w:iCs/>
                <w:snapToGrid w:val="0"/>
                <w:color w:val="000000"/>
                <w:kern w:val="22"/>
                <w:szCs w:val="22"/>
                <w:lang w:val="ru-RU"/>
              </w:rPr>
              <w:t xml:space="preserve">), </w:t>
            </w:r>
            <w:hyperlink r:id="rId115" w:history="1">
              <w:r w:rsidRPr="0088780C">
                <w:rPr>
                  <w:rStyle w:val="Hyperlink"/>
                  <w:i/>
                  <w:iCs/>
                  <w:snapToGrid w:val="0"/>
                  <w:color w:val="000000"/>
                  <w:kern w:val="22"/>
                  <w:szCs w:val="22"/>
                  <w:lang w:val="ru-RU"/>
                </w:rPr>
                <w:t>Phyllophora</w:t>
              </w:r>
              <w:r w:rsidRPr="0088780C">
                <w:rPr>
                  <w:rStyle w:val="Hyperlink"/>
                  <w:snapToGrid w:val="0"/>
                  <w:color w:val="000000"/>
                  <w:kern w:val="22"/>
                  <w:szCs w:val="22"/>
                  <w:lang w:val="ru-RU"/>
                </w:rPr>
                <w:t xml:space="preserve"> </w:t>
              </w:r>
            </w:hyperlink>
            <w:r w:rsidRPr="0088780C">
              <w:rPr>
                <w:bCs/>
                <w:i/>
                <w:iCs/>
                <w:snapToGrid w:val="0"/>
                <w:color w:val="000000"/>
                <w:kern w:val="22"/>
                <w:szCs w:val="22"/>
                <w:lang w:val="ru-RU"/>
              </w:rPr>
              <w:t>pseudoceranoides</w:t>
            </w:r>
            <w:r w:rsidRPr="0088780C">
              <w:rPr>
                <w:bCs/>
                <w:iCs/>
                <w:snapToGrid w:val="0"/>
                <w:color w:val="000000"/>
                <w:kern w:val="22"/>
                <w:szCs w:val="22"/>
                <w:lang w:val="ru-RU"/>
              </w:rPr>
              <w:t xml:space="preserve"> (</w:t>
            </w:r>
            <w:r w:rsidRPr="0088780C">
              <w:rPr>
                <w:snapToGrid w:val="0"/>
                <w:color w:val="000000"/>
                <w:kern w:val="22"/>
                <w:szCs w:val="22"/>
                <w:lang w:val="ru-RU"/>
              </w:rPr>
              <w:t>Rhodophyta</w:t>
            </w:r>
            <w:r w:rsidRPr="0088780C">
              <w:rPr>
                <w:bCs/>
                <w:iCs/>
                <w:snapToGrid w:val="0"/>
                <w:color w:val="000000"/>
                <w:kern w:val="22"/>
                <w:szCs w:val="22"/>
                <w:lang w:val="ru-RU"/>
              </w:rPr>
              <w:t>) («</w:t>
            </w:r>
            <w:r w:rsidRPr="0088780C">
              <w:rPr>
                <w:snapToGrid w:val="0"/>
                <w:color w:val="000000"/>
                <w:kern w:val="22"/>
                <w:szCs w:val="22"/>
                <w:lang w:val="ru-RU" w:eastAsia="ru-RU"/>
              </w:rPr>
              <w:t xml:space="preserve">зникаючий») </w:t>
            </w:r>
            <w:r w:rsidRPr="0088780C">
              <w:rPr>
                <w:snapToGrid w:val="0"/>
                <w:color w:val="000000"/>
                <w:kern w:val="22"/>
                <w:szCs w:val="22"/>
                <w:lang w:val="ru-RU"/>
              </w:rPr>
              <w:t>(Червона... 2009)</w:t>
            </w:r>
            <w:r w:rsidRPr="0088780C">
              <w:rPr>
                <w:snapToGrid w:val="0"/>
                <w:color w:val="000000"/>
                <w:kern w:val="22"/>
                <w:szCs w:val="22"/>
                <w:lang w:val="ru-RU" w:eastAsia="ru-RU"/>
              </w:rPr>
              <w:t>.</w:t>
            </w:r>
            <w:r w:rsidRPr="0088780C">
              <w:rPr>
                <w:i/>
                <w:snapToGrid w:val="0"/>
                <w:color w:val="000000"/>
                <w:kern w:val="22"/>
                <w:szCs w:val="22"/>
                <w:lang w:val="ru-RU"/>
              </w:rPr>
              <w:t xml:space="preserve"> </w:t>
            </w:r>
            <w:r w:rsidRPr="0088780C">
              <w:rPr>
                <w:i/>
                <w:iCs/>
                <w:snapToGrid w:val="0"/>
                <w:color w:val="000000"/>
                <w:kern w:val="22"/>
                <w:szCs w:val="22"/>
                <w:lang w:val="ru-RU"/>
              </w:rPr>
              <w:t xml:space="preserve">Coccotylus truncatus </w:t>
            </w:r>
            <w:r w:rsidRPr="0088780C">
              <w:rPr>
                <w:bCs/>
                <w:iCs/>
                <w:snapToGrid w:val="0"/>
                <w:color w:val="000000"/>
                <w:kern w:val="22"/>
                <w:szCs w:val="22"/>
                <w:lang w:val="ru-RU"/>
              </w:rPr>
              <w:t>(</w:t>
            </w:r>
            <w:r w:rsidRPr="0088780C">
              <w:rPr>
                <w:snapToGrid w:val="0"/>
                <w:color w:val="000000"/>
                <w:kern w:val="22"/>
                <w:szCs w:val="22"/>
                <w:lang w:val="ru-RU"/>
              </w:rPr>
              <w:t>Rhodophyta</w:t>
            </w:r>
            <w:r w:rsidRPr="0088780C">
              <w:rPr>
                <w:bCs/>
                <w:iCs/>
                <w:snapToGrid w:val="0"/>
                <w:color w:val="000000"/>
                <w:kern w:val="22"/>
                <w:szCs w:val="22"/>
                <w:lang w:val="ru-RU"/>
              </w:rPr>
              <w:t xml:space="preserve">) </w:t>
            </w:r>
            <w:r w:rsidRPr="0088780C">
              <w:rPr>
                <w:iCs/>
                <w:snapToGrid w:val="0"/>
                <w:color w:val="000000"/>
                <w:kern w:val="22"/>
                <w:szCs w:val="22"/>
                <w:lang w:val="ru-RU"/>
              </w:rPr>
              <w:t>(=</w:t>
            </w:r>
            <w:r w:rsidRPr="0088780C">
              <w:rPr>
                <w:i/>
                <w:iCs/>
                <w:snapToGrid w:val="0"/>
                <w:color w:val="000000"/>
                <w:kern w:val="22"/>
                <w:szCs w:val="22"/>
                <w:lang w:val="ru-RU"/>
              </w:rPr>
              <w:t>Phyllophora brodiaei</w:t>
            </w:r>
            <w:r w:rsidRPr="0088780C">
              <w:rPr>
                <w:iCs/>
                <w:snapToGrid w:val="0"/>
                <w:color w:val="000000"/>
                <w:kern w:val="22"/>
                <w:szCs w:val="22"/>
                <w:lang w:val="ru-RU"/>
              </w:rPr>
              <w:t>) (</w:t>
            </w:r>
            <w:r w:rsidRPr="0088780C">
              <w:rPr>
                <w:snapToGrid w:val="0"/>
                <w:color w:val="000000"/>
                <w:kern w:val="22"/>
                <w:szCs w:val="22"/>
                <w:lang w:val="ru-RU"/>
              </w:rPr>
              <w:t>«Vulnerable»</w:t>
            </w:r>
            <w:r w:rsidRPr="0088780C">
              <w:rPr>
                <w:iCs/>
                <w:snapToGrid w:val="0"/>
                <w:color w:val="000000"/>
                <w:kern w:val="22"/>
                <w:szCs w:val="22"/>
                <w:lang w:val="ru-RU"/>
              </w:rPr>
              <w:t xml:space="preserve">), </w:t>
            </w:r>
            <w:r w:rsidRPr="0088780C">
              <w:rPr>
                <w:i/>
                <w:iCs/>
                <w:snapToGrid w:val="0"/>
                <w:color w:val="000000"/>
                <w:kern w:val="22"/>
                <w:szCs w:val="22"/>
                <w:lang w:val="ru-RU"/>
              </w:rPr>
              <w:t>Phyllophora</w:t>
            </w:r>
            <w:r w:rsidRPr="0088780C">
              <w:rPr>
                <w:iCs/>
                <w:snapToGrid w:val="0"/>
                <w:color w:val="000000"/>
                <w:kern w:val="22"/>
                <w:szCs w:val="22"/>
                <w:lang w:val="ru-RU"/>
              </w:rPr>
              <w:t xml:space="preserve"> </w:t>
            </w:r>
            <w:r w:rsidRPr="0088780C">
              <w:rPr>
                <w:bCs/>
                <w:i/>
                <w:iCs/>
                <w:snapToGrid w:val="0"/>
                <w:color w:val="000000"/>
                <w:kern w:val="22"/>
                <w:szCs w:val="22"/>
                <w:lang w:val="ru-RU"/>
              </w:rPr>
              <w:t xml:space="preserve">pseudoceranoides </w:t>
            </w:r>
            <w:r w:rsidRPr="0088780C">
              <w:rPr>
                <w:bCs/>
                <w:iCs/>
                <w:snapToGrid w:val="0"/>
                <w:color w:val="000000"/>
                <w:kern w:val="22"/>
                <w:szCs w:val="22"/>
                <w:lang w:val="ru-RU"/>
              </w:rPr>
              <w:t>(</w:t>
            </w:r>
            <w:r w:rsidRPr="0088780C">
              <w:rPr>
                <w:snapToGrid w:val="0"/>
                <w:color w:val="000000"/>
                <w:kern w:val="22"/>
                <w:szCs w:val="22"/>
                <w:lang w:val="ru-RU"/>
              </w:rPr>
              <w:t>Rhodophyta</w:t>
            </w:r>
            <w:r w:rsidRPr="0088780C">
              <w:rPr>
                <w:bCs/>
                <w:iCs/>
                <w:snapToGrid w:val="0"/>
                <w:color w:val="000000"/>
                <w:kern w:val="22"/>
                <w:szCs w:val="22"/>
                <w:lang w:val="ru-RU"/>
              </w:rPr>
              <w:t>) (</w:t>
            </w:r>
            <w:r w:rsidRPr="0088780C">
              <w:rPr>
                <w:snapToGrid w:val="0"/>
                <w:color w:val="000000"/>
                <w:kern w:val="22"/>
                <w:szCs w:val="22"/>
                <w:lang w:val="ru-RU"/>
              </w:rPr>
              <w:t>«Critically Endangered»</w:t>
            </w:r>
            <w:r w:rsidRPr="0088780C">
              <w:rPr>
                <w:bCs/>
                <w:iCs/>
                <w:snapToGrid w:val="0"/>
                <w:color w:val="000000"/>
                <w:kern w:val="22"/>
                <w:szCs w:val="22"/>
                <w:lang w:val="ru-RU"/>
              </w:rPr>
              <w:t>),</w:t>
            </w:r>
            <w:r w:rsidRPr="0088780C">
              <w:rPr>
                <w:bCs/>
                <w:i/>
                <w:iCs/>
                <w:snapToGrid w:val="0"/>
                <w:color w:val="000000"/>
                <w:kern w:val="22"/>
                <w:szCs w:val="22"/>
                <w:lang w:val="ru-RU"/>
              </w:rPr>
              <w:t xml:space="preserve"> </w:t>
            </w:r>
            <w:r w:rsidRPr="0088780C">
              <w:rPr>
                <w:bCs/>
                <w:i/>
                <w:snapToGrid w:val="0"/>
                <w:color w:val="000000"/>
                <w:kern w:val="22"/>
                <w:szCs w:val="22"/>
                <w:lang w:val="ru-RU"/>
              </w:rPr>
              <w:t xml:space="preserve">Phyllophora crispa </w:t>
            </w:r>
            <w:r w:rsidRPr="0088780C">
              <w:rPr>
                <w:bCs/>
                <w:iCs/>
                <w:snapToGrid w:val="0"/>
                <w:color w:val="000000"/>
                <w:kern w:val="22"/>
                <w:szCs w:val="22"/>
                <w:lang w:val="ru-RU"/>
              </w:rPr>
              <w:t>(</w:t>
            </w:r>
            <w:r w:rsidRPr="0088780C">
              <w:rPr>
                <w:snapToGrid w:val="0"/>
                <w:color w:val="000000"/>
                <w:kern w:val="22"/>
                <w:szCs w:val="22"/>
                <w:lang w:val="ru-RU"/>
              </w:rPr>
              <w:t>Rhodophyta</w:t>
            </w:r>
            <w:r w:rsidRPr="0088780C">
              <w:rPr>
                <w:bCs/>
                <w:iCs/>
                <w:snapToGrid w:val="0"/>
                <w:color w:val="000000"/>
                <w:kern w:val="22"/>
                <w:szCs w:val="22"/>
                <w:lang w:val="ru-RU"/>
              </w:rPr>
              <w:t xml:space="preserve">) </w:t>
            </w:r>
            <w:r w:rsidRPr="0088780C">
              <w:rPr>
                <w:bCs/>
                <w:snapToGrid w:val="0"/>
                <w:color w:val="000000"/>
                <w:kern w:val="22"/>
                <w:szCs w:val="22"/>
                <w:lang w:val="ru-RU"/>
              </w:rPr>
              <w:t>(</w:t>
            </w:r>
            <w:r w:rsidRPr="0088780C">
              <w:rPr>
                <w:i/>
                <w:iCs/>
                <w:snapToGrid w:val="0"/>
                <w:color w:val="000000"/>
                <w:kern w:val="22"/>
                <w:szCs w:val="22"/>
                <w:lang w:val="ru-RU"/>
              </w:rPr>
              <w:t>Phyllophora nervosa</w:t>
            </w:r>
            <w:r w:rsidRPr="0088780C">
              <w:rPr>
                <w:bCs/>
                <w:snapToGrid w:val="0"/>
                <w:color w:val="000000"/>
                <w:kern w:val="22"/>
                <w:szCs w:val="22"/>
                <w:lang w:val="ru-RU"/>
              </w:rPr>
              <w:t>) (</w:t>
            </w:r>
            <w:r w:rsidRPr="0088780C">
              <w:rPr>
                <w:snapToGrid w:val="0"/>
                <w:color w:val="000000"/>
                <w:kern w:val="22"/>
                <w:szCs w:val="22"/>
                <w:lang w:val="ru-RU"/>
              </w:rPr>
              <w:t>«Vulnerable»</w:t>
            </w:r>
            <w:r w:rsidRPr="0088780C">
              <w:rPr>
                <w:bCs/>
                <w:snapToGrid w:val="0"/>
                <w:color w:val="000000"/>
                <w:kern w:val="22"/>
                <w:szCs w:val="22"/>
                <w:lang w:val="ru-RU"/>
              </w:rPr>
              <w:t xml:space="preserve">), </w:t>
            </w:r>
            <w:r w:rsidRPr="0088780C">
              <w:rPr>
                <w:i/>
                <w:snapToGrid w:val="0"/>
                <w:color w:val="000000"/>
                <w:kern w:val="22"/>
                <w:szCs w:val="22"/>
                <w:lang w:val="ru-RU"/>
              </w:rPr>
              <w:t xml:space="preserve">Dіogenes pugіlator </w:t>
            </w:r>
            <w:r w:rsidRPr="0088780C">
              <w:rPr>
                <w:snapToGrid w:val="0"/>
                <w:color w:val="000000"/>
                <w:kern w:val="22"/>
                <w:szCs w:val="22"/>
                <w:lang w:val="ru-RU"/>
              </w:rPr>
              <w:t>(</w:t>
            </w:r>
            <w:r w:rsidRPr="0088780C">
              <w:rPr>
                <w:iCs/>
                <w:snapToGrid w:val="0"/>
                <w:color w:val="000000"/>
                <w:kern w:val="22"/>
                <w:szCs w:val="22"/>
                <w:lang w:val="ru-RU"/>
              </w:rPr>
              <w:t>Decapoda</w:t>
            </w:r>
            <w:r w:rsidRPr="0088780C">
              <w:rPr>
                <w:snapToGrid w:val="0"/>
                <w:color w:val="000000"/>
                <w:kern w:val="22"/>
                <w:szCs w:val="22"/>
                <w:lang w:val="ru-RU"/>
              </w:rPr>
              <w:t>)</w:t>
            </w:r>
            <w:r w:rsidRPr="0088780C">
              <w:rPr>
                <w:i/>
                <w:snapToGrid w:val="0"/>
                <w:color w:val="000000"/>
                <w:kern w:val="22"/>
                <w:szCs w:val="22"/>
                <w:lang w:val="ru-RU"/>
              </w:rPr>
              <w:t xml:space="preserve"> </w:t>
            </w:r>
            <w:r w:rsidRPr="0088780C">
              <w:rPr>
                <w:snapToGrid w:val="0"/>
                <w:color w:val="000000"/>
                <w:kern w:val="22"/>
                <w:szCs w:val="22"/>
                <w:lang w:val="ru-RU"/>
              </w:rPr>
              <w:t>(«Endangered») (</w:t>
            </w:r>
            <w:r w:rsidRPr="0088780C">
              <w:rPr>
                <w:snapToGrid w:val="0"/>
                <w:kern w:val="22"/>
                <w:szCs w:val="22"/>
                <w:lang w:val="ru-RU"/>
              </w:rPr>
              <w:t>Dumont, 1999</w:t>
            </w:r>
            <w:r w:rsidRPr="0088780C">
              <w:rPr>
                <w:snapToGrid w:val="0"/>
                <w:color w:val="000000"/>
                <w:kern w:val="22"/>
                <w:szCs w:val="22"/>
                <w:lang w:val="ru-RU"/>
              </w:rPr>
              <w:t>) и</w:t>
            </w:r>
            <w:r w:rsidRPr="0088780C">
              <w:rPr>
                <w:i/>
                <w:snapToGrid w:val="0"/>
                <w:color w:val="000000"/>
                <w:kern w:val="22"/>
                <w:szCs w:val="22"/>
                <w:lang w:val="ru-RU"/>
              </w:rPr>
              <w:t xml:space="preserve"> </w:t>
            </w:r>
            <w:r w:rsidRPr="0088780C">
              <w:rPr>
                <w:snapToGrid w:val="0"/>
                <w:color w:val="000000"/>
                <w:kern w:val="22"/>
                <w:szCs w:val="22"/>
                <w:lang w:val="ru-RU"/>
              </w:rPr>
              <w:t>другие.</w:t>
            </w:r>
          </w:p>
          <w:p w14:paraId="5EDB3D98"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2C5854ED" w14:textId="77777777" w:rsidTr="001013AF">
        <w:trPr>
          <w:jc w:val="center"/>
        </w:trPr>
        <w:tc>
          <w:tcPr>
            <w:tcW w:w="818" w:type="pct"/>
          </w:tcPr>
          <w:p w14:paraId="1DDB278A" w14:textId="77777777" w:rsidR="00A876F3" w:rsidRPr="0088780C" w:rsidRDefault="00A876F3" w:rsidP="00504F53">
            <w:pPr>
              <w:suppressLineNumbers/>
              <w:suppressAutoHyphens/>
              <w:kinsoku w:val="0"/>
              <w:overflowPunct w:val="0"/>
              <w:autoSpaceDE w:val="0"/>
              <w:autoSpaceDN w:val="0"/>
              <w:jc w:val="left"/>
              <w:rPr>
                <w:b/>
                <w:snapToGrid w:val="0"/>
                <w:kern w:val="22"/>
                <w:szCs w:val="22"/>
              </w:rPr>
            </w:pPr>
            <w:r w:rsidRPr="0088780C">
              <w:rPr>
                <w:b/>
                <w:snapToGrid w:val="0"/>
                <w:kern w:val="22"/>
                <w:szCs w:val="22"/>
              </w:rPr>
              <w:t>Vulnerability, fragility, sensitivity, or slow recovery</w:t>
            </w:r>
          </w:p>
        </w:tc>
        <w:tc>
          <w:tcPr>
            <w:tcW w:w="2257" w:type="pct"/>
          </w:tcPr>
          <w:p w14:paraId="7B88AACD"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79" w:type="pct"/>
            <w:gridSpan w:val="3"/>
          </w:tcPr>
          <w:p w14:paraId="450D7A3A"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08" w:type="pct"/>
            <w:gridSpan w:val="2"/>
          </w:tcPr>
          <w:p w14:paraId="3116D15F"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09" w:type="pct"/>
            <w:gridSpan w:val="2"/>
          </w:tcPr>
          <w:p w14:paraId="536AFC3B"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29" w:type="pct"/>
            <w:gridSpan w:val="2"/>
          </w:tcPr>
          <w:p w14:paraId="4A5B51A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X</w:t>
            </w:r>
          </w:p>
        </w:tc>
      </w:tr>
      <w:tr w:rsidR="00A876F3" w:rsidRPr="0088780C" w14:paraId="73EF0E3E" w14:textId="77777777" w:rsidTr="001013AF">
        <w:trPr>
          <w:jc w:val="center"/>
        </w:trPr>
        <w:tc>
          <w:tcPr>
            <w:tcW w:w="5000" w:type="pct"/>
            <w:gridSpan w:val="11"/>
          </w:tcPr>
          <w:p w14:paraId="53BED918"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5B9B551E"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Coccotylus and Phyllophora have minimum values of the specific surface area ratios S/Wp, m2∙kg-1, and are therefore the most vulnerable to eutrophication (Minicheva et al. 2009) and are characterized by a slow recovery rate.</w:t>
            </w:r>
          </w:p>
          <w:p w14:paraId="711D5336"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0D0E2D5D" w14:textId="77777777" w:rsidR="00A876F3" w:rsidRPr="0088780C" w:rsidRDefault="00A876F3" w:rsidP="001013AF">
            <w:pPr>
              <w:suppressLineNumbers/>
              <w:suppressAutoHyphens/>
              <w:kinsoku w:val="0"/>
              <w:overflowPunct w:val="0"/>
              <w:autoSpaceDE w:val="0"/>
              <w:autoSpaceDN w:val="0"/>
              <w:rPr>
                <w:snapToGrid w:val="0"/>
                <w:color w:val="000000"/>
                <w:kern w:val="22"/>
                <w:szCs w:val="22"/>
                <w:lang w:val="ru-RU"/>
              </w:rPr>
            </w:pPr>
            <w:r w:rsidRPr="0088780C">
              <w:rPr>
                <w:snapToGrid w:val="0"/>
                <w:color w:val="000000"/>
                <w:kern w:val="22"/>
                <w:szCs w:val="22"/>
                <w:lang w:val="ru-RU"/>
              </w:rPr>
              <w:t xml:space="preserve">Из всех черноморских макрофитов виды </w:t>
            </w:r>
            <w:r w:rsidRPr="0088780C">
              <w:rPr>
                <w:bCs/>
                <w:snapToGrid w:val="0"/>
                <w:color w:val="000000"/>
                <w:kern w:val="22"/>
                <w:szCs w:val="22"/>
                <w:lang w:val="ru-RU"/>
              </w:rPr>
              <w:t>родов</w:t>
            </w:r>
            <w:r w:rsidRPr="0088780C">
              <w:rPr>
                <w:snapToGrid w:val="0"/>
                <w:color w:val="000000"/>
                <w:kern w:val="22"/>
                <w:szCs w:val="22"/>
                <w:lang w:val="ru-RU"/>
              </w:rPr>
              <w:t xml:space="preserve"> </w:t>
            </w:r>
            <w:hyperlink r:id="rId116" w:history="1">
              <w:r w:rsidRPr="0088780C">
                <w:rPr>
                  <w:rStyle w:val="Hyperlink"/>
                  <w:i/>
                  <w:iCs/>
                  <w:snapToGrid w:val="0"/>
                  <w:color w:val="000000"/>
                  <w:kern w:val="22"/>
                  <w:szCs w:val="22"/>
                  <w:lang w:val="ru-RU"/>
                </w:rPr>
                <w:t>Coccotylus</w:t>
              </w:r>
              <w:r w:rsidRPr="0088780C">
                <w:rPr>
                  <w:rStyle w:val="Hyperlink"/>
                  <w:snapToGrid w:val="0"/>
                  <w:color w:val="000000"/>
                  <w:kern w:val="22"/>
                  <w:szCs w:val="22"/>
                  <w:lang w:val="ru-RU"/>
                </w:rPr>
                <w:t xml:space="preserve"> </w:t>
              </w:r>
            </w:hyperlink>
            <w:r w:rsidRPr="0088780C">
              <w:rPr>
                <w:snapToGrid w:val="0"/>
                <w:color w:val="000000"/>
                <w:kern w:val="22"/>
                <w:szCs w:val="22"/>
                <w:lang w:val="ru-RU"/>
              </w:rPr>
              <w:t xml:space="preserve">и </w:t>
            </w:r>
            <w:hyperlink r:id="rId117" w:history="1">
              <w:r w:rsidRPr="0088780C">
                <w:rPr>
                  <w:rStyle w:val="Hyperlink"/>
                  <w:i/>
                  <w:iCs/>
                  <w:snapToGrid w:val="0"/>
                  <w:color w:val="000000"/>
                  <w:kern w:val="22"/>
                  <w:szCs w:val="22"/>
                  <w:lang w:val="ru-RU"/>
                </w:rPr>
                <w:t>Phyllophora</w:t>
              </w:r>
              <w:r w:rsidRPr="0088780C">
                <w:rPr>
                  <w:rStyle w:val="Hyperlink"/>
                  <w:snapToGrid w:val="0"/>
                  <w:color w:val="000000"/>
                  <w:kern w:val="22"/>
                  <w:szCs w:val="22"/>
                  <w:lang w:val="ru-RU"/>
                </w:rPr>
                <w:t xml:space="preserve"> </w:t>
              </w:r>
            </w:hyperlink>
            <w:r w:rsidRPr="0088780C">
              <w:rPr>
                <w:snapToGrid w:val="0"/>
                <w:color w:val="000000"/>
                <w:kern w:val="22"/>
                <w:szCs w:val="22"/>
                <w:lang w:val="ru-RU"/>
              </w:rPr>
              <w:t>имеют минимальные значения коэффициентов удельной поверхности S/Wp, m</w:t>
            </w:r>
            <w:r w:rsidRPr="0088780C">
              <w:rPr>
                <w:snapToGrid w:val="0"/>
                <w:color w:val="000000"/>
                <w:kern w:val="22"/>
                <w:szCs w:val="22"/>
                <w:vertAlign w:val="superscript"/>
                <w:lang w:val="ru-RU"/>
              </w:rPr>
              <w:t>2</w:t>
            </w:r>
            <w:r w:rsidRPr="0088780C">
              <w:rPr>
                <w:snapToGrid w:val="0"/>
                <w:color w:val="000000"/>
                <w:kern w:val="22"/>
                <w:szCs w:val="22"/>
                <w:lang w:val="ru-RU"/>
              </w:rPr>
              <w:t>∙kg</w:t>
            </w:r>
            <w:r w:rsidRPr="0088780C">
              <w:rPr>
                <w:snapToGrid w:val="0"/>
                <w:color w:val="000000"/>
                <w:kern w:val="22"/>
                <w:szCs w:val="22"/>
                <w:vertAlign w:val="superscript"/>
                <w:lang w:val="ru-RU"/>
              </w:rPr>
              <w:t>-1</w:t>
            </w:r>
            <w:r w:rsidRPr="0088780C">
              <w:rPr>
                <w:snapToGrid w:val="0"/>
                <w:color w:val="000000"/>
                <w:kern w:val="22"/>
                <w:szCs w:val="22"/>
                <w:lang w:val="ru-RU"/>
              </w:rPr>
              <w:t xml:space="preserve">, поэтому наиболее уязвимы при эвтрофировании (Миничева </w:t>
            </w:r>
            <w:r w:rsidRPr="0088780C">
              <w:rPr>
                <w:i/>
                <w:snapToGrid w:val="0"/>
                <w:color w:val="000000"/>
                <w:kern w:val="22"/>
                <w:szCs w:val="22"/>
                <w:lang w:val="ru-RU"/>
              </w:rPr>
              <w:t>et al.</w:t>
            </w:r>
            <w:r w:rsidRPr="0088780C">
              <w:rPr>
                <w:snapToGrid w:val="0"/>
                <w:color w:val="000000"/>
                <w:kern w:val="22"/>
                <w:szCs w:val="22"/>
                <w:lang w:val="ru-RU"/>
              </w:rPr>
              <w:t xml:space="preserve"> 2009) и отличаются медленными темпами восстановления.</w:t>
            </w:r>
          </w:p>
        </w:tc>
      </w:tr>
      <w:tr w:rsidR="00A876F3" w:rsidRPr="0088780C" w14:paraId="56AB7905" w14:textId="77777777" w:rsidTr="001013AF">
        <w:trPr>
          <w:jc w:val="center"/>
        </w:trPr>
        <w:tc>
          <w:tcPr>
            <w:tcW w:w="818" w:type="pct"/>
          </w:tcPr>
          <w:p w14:paraId="350248F9"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Biological productivity</w:t>
            </w:r>
          </w:p>
        </w:tc>
        <w:tc>
          <w:tcPr>
            <w:tcW w:w="2257" w:type="pct"/>
          </w:tcPr>
          <w:p w14:paraId="33B65A64"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Area containing species, populations or communities with comparatively higher natural biological productivity.</w:t>
            </w:r>
          </w:p>
        </w:tc>
        <w:tc>
          <w:tcPr>
            <w:tcW w:w="679" w:type="pct"/>
            <w:gridSpan w:val="3"/>
          </w:tcPr>
          <w:p w14:paraId="75B67150"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08" w:type="pct"/>
            <w:gridSpan w:val="2"/>
          </w:tcPr>
          <w:p w14:paraId="7325F2BC"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09" w:type="pct"/>
            <w:gridSpan w:val="2"/>
          </w:tcPr>
          <w:p w14:paraId="11DE0D10"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29" w:type="pct"/>
            <w:gridSpan w:val="2"/>
          </w:tcPr>
          <w:p w14:paraId="0EA7CE8C"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X</w:t>
            </w:r>
          </w:p>
        </w:tc>
      </w:tr>
      <w:tr w:rsidR="00A876F3" w:rsidRPr="0088780C" w14:paraId="237729C0" w14:textId="77777777" w:rsidTr="001013AF">
        <w:trPr>
          <w:jc w:val="center"/>
        </w:trPr>
        <w:tc>
          <w:tcPr>
            <w:tcW w:w="5000" w:type="pct"/>
            <w:gridSpan w:val="11"/>
          </w:tcPr>
          <w:p w14:paraId="0B4E9C72"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61D47CE8"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xml:space="preserve">Favourable conditions for the mass development of highly productive filamentous macrophytes Ochrophyta: </w:t>
            </w:r>
            <w:r w:rsidRPr="0088780C">
              <w:rPr>
                <w:i/>
                <w:snapToGrid w:val="0"/>
                <w:color w:val="000000"/>
                <w:kern w:val="22"/>
                <w:szCs w:val="22"/>
              </w:rPr>
              <w:t>Sphacelaria saxatilis, Ectocarpus siliculosus, Feldmannia irregularis</w:t>
            </w:r>
            <w:r w:rsidRPr="0088780C">
              <w:rPr>
                <w:snapToGrid w:val="0"/>
                <w:color w:val="000000"/>
                <w:kern w:val="22"/>
                <w:szCs w:val="22"/>
              </w:rPr>
              <w:t xml:space="preserve"> and Rhodophyta: </w:t>
            </w:r>
            <w:r w:rsidRPr="0088780C">
              <w:rPr>
                <w:i/>
                <w:snapToGrid w:val="0"/>
                <w:color w:val="000000"/>
                <w:kern w:val="22"/>
                <w:szCs w:val="22"/>
              </w:rPr>
              <w:t>Spermothamnion strictum, Callithamnion corymbosum, Antithamnion cruciatum</w:t>
            </w:r>
            <w:r w:rsidRPr="0088780C">
              <w:rPr>
                <w:snapToGrid w:val="0"/>
                <w:color w:val="000000"/>
                <w:kern w:val="22"/>
                <w:szCs w:val="22"/>
              </w:rPr>
              <w:t xml:space="preserve"> (Tkachenko et al. 2015).</w:t>
            </w:r>
          </w:p>
          <w:p w14:paraId="2FC8B2AA"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417AEA31"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xml:space="preserve">В современных условиях Поля создались благоприятные условия для массового развития высокопродуктивных видов нитчатых макрофитов представителей отделов/Division Ochrophyta: </w:t>
            </w:r>
            <w:r w:rsidRPr="0088780C">
              <w:rPr>
                <w:i/>
                <w:iCs/>
                <w:snapToGrid w:val="0"/>
                <w:color w:val="000000"/>
                <w:kern w:val="22"/>
                <w:szCs w:val="22"/>
                <w:lang w:eastAsia="ru-RU"/>
              </w:rPr>
              <w:t xml:space="preserve">Sphacelaria saxatilis, Ectocarpus siliculosus, </w:t>
            </w:r>
            <w:hyperlink r:id="rId118" w:history="1">
              <w:r w:rsidRPr="0088780C">
                <w:rPr>
                  <w:i/>
                  <w:iCs/>
                  <w:snapToGrid w:val="0"/>
                  <w:color w:val="000000"/>
                  <w:kern w:val="22"/>
                  <w:szCs w:val="22"/>
                </w:rPr>
                <w:t>Feldmannia</w:t>
              </w:r>
            </w:hyperlink>
            <w:r w:rsidRPr="0088780C">
              <w:rPr>
                <w:i/>
                <w:iCs/>
                <w:snapToGrid w:val="0"/>
                <w:color w:val="000000"/>
                <w:kern w:val="22"/>
                <w:szCs w:val="22"/>
              </w:rPr>
              <w:t xml:space="preserve"> irregularis </w:t>
            </w:r>
            <w:r w:rsidRPr="0088780C">
              <w:rPr>
                <w:iCs/>
                <w:snapToGrid w:val="0"/>
                <w:color w:val="000000"/>
                <w:kern w:val="22"/>
                <w:szCs w:val="22"/>
              </w:rPr>
              <w:t xml:space="preserve">и </w:t>
            </w:r>
            <w:r w:rsidRPr="0088780C">
              <w:rPr>
                <w:snapToGrid w:val="0"/>
                <w:color w:val="000000"/>
                <w:kern w:val="22"/>
                <w:szCs w:val="22"/>
              </w:rPr>
              <w:t xml:space="preserve">Rhodophyta: </w:t>
            </w:r>
            <w:r w:rsidRPr="0088780C">
              <w:rPr>
                <w:bCs/>
                <w:i/>
                <w:iCs/>
                <w:snapToGrid w:val="0"/>
                <w:color w:val="000000"/>
                <w:kern w:val="22"/>
                <w:szCs w:val="22"/>
              </w:rPr>
              <w:t>Spermothamnion st rictum,</w:t>
            </w:r>
            <w:r w:rsidRPr="0088780C">
              <w:rPr>
                <w:i/>
                <w:snapToGrid w:val="0"/>
                <w:color w:val="000000"/>
                <w:kern w:val="22"/>
                <w:szCs w:val="22"/>
              </w:rPr>
              <w:t xml:space="preserve"> Callithamnion corymbosum,</w:t>
            </w:r>
            <w:r w:rsidRPr="0088780C">
              <w:rPr>
                <w:i/>
                <w:iCs/>
                <w:snapToGrid w:val="0"/>
                <w:color w:val="000000"/>
                <w:kern w:val="22"/>
                <w:szCs w:val="22"/>
                <w:lang w:eastAsia="ru-RU"/>
              </w:rPr>
              <w:t xml:space="preserve"> Antithamnion cruciatum</w:t>
            </w:r>
            <w:r w:rsidRPr="0088780C">
              <w:rPr>
                <w:snapToGrid w:val="0"/>
                <w:color w:val="000000"/>
                <w:kern w:val="22"/>
                <w:szCs w:val="22"/>
              </w:rPr>
              <w:t xml:space="preserve"> </w:t>
            </w:r>
            <w:r w:rsidRPr="0088780C">
              <w:rPr>
                <w:b/>
                <w:snapToGrid w:val="0"/>
                <w:color w:val="000000"/>
                <w:kern w:val="22"/>
                <w:szCs w:val="22"/>
              </w:rPr>
              <w:t>(</w:t>
            </w:r>
            <w:r w:rsidRPr="0088780C">
              <w:rPr>
                <w:snapToGrid w:val="0"/>
                <w:color w:val="000000"/>
                <w:kern w:val="22"/>
                <w:szCs w:val="22"/>
              </w:rPr>
              <w:t>Ткаченко 2015,</w:t>
            </w:r>
            <w:r w:rsidRPr="0088780C">
              <w:rPr>
                <w:bCs/>
                <w:snapToGrid w:val="0"/>
                <w:color w:val="000000"/>
                <w:kern w:val="22"/>
                <w:szCs w:val="22"/>
              </w:rPr>
              <w:t xml:space="preserve"> неопубликованные данные 2016 года</w:t>
            </w:r>
            <w:r w:rsidRPr="0088780C">
              <w:rPr>
                <w:snapToGrid w:val="0"/>
                <w:color w:val="000000"/>
                <w:kern w:val="22"/>
                <w:szCs w:val="22"/>
              </w:rPr>
              <w:t>).</w:t>
            </w:r>
          </w:p>
        </w:tc>
      </w:tr>
      <w:tr w:rsidR="00A876F3" w:rsidRPr="0088780C" w14:paraId="6D91DC02" w14:textId="77777777" w:rsidTr="001013AF">
        <w:trPr>
          <w:jc w:val="center"/>
        </w:trPr>
        <w:tc>
          <w:tcPr>
            <w:tcW w:w="818" w:type="pct"/>
          </w:tcPr>
          <w:p w14:paraId="2D897D53"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Biological diversity</w:t>
            </w:r>
          </w:p>
        </w:tc>
        <w:tc>
          <w:tcPr>
            <w:tcW w:w="2257" w:type="pct"/>
          </w:tcPr>
          <w:p w14:paraId="0E999313"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Area contains comparatively higher diversity of ecosystems, habitats, communities, or species, or has higher genetic diversity.</w:t>
            </w:r>
          </w:p>
        </w:tc>
        <w:tc>
          <w:tcPr>
            <w:tcW w:w="679" w:type="pct"/>
            <w:gridSpan w:val="3"/>
          </w:tcPr>
          <w:p w14:paraId="34AC030A"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08" w:type="pct"/>
            <w:gridSpan w:val="2"/>
          </w:tcPr>
          <w:p w14:paraId="45FD66E2"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09" w:type="pct"/>
            <w:gridSpan w:val="2"/>
          </w:tcPr>
          <w:p w14:paraId="2560B42F"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29" w:type="pct"/>
            <w:gridSpan w:val="2"/>
          </w:tcPr>
          <w:p w14:paraId="09ED3EE0"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X</w:t>
            </w:r>
          </w:p>
        </w:tc>
      </w:tr>
      <w:tr w:rsidR="00A876F3" w:rsidRPr="0088780C" w14:paraId="5F3F029A" w14:textId="77777777" w:rsidTr="001013AF">
        <w:trPr>
          <w:jc w:val="center"/>
        </w:trPr>
        <w:tc>
          <w:tcPr>
            <w:tcW w:w="5000" w:type="pct"/>
            <w:gridSpan w:val="11"/>
          </w:tcPr>
          <w:p w14:paraId="0FB22141"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3FB27D13" w14:textId="2131AD04"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According to the results of benthic surveys conducted in ZPF in 2010, 2011 and 2013 on board the ship</w:t>
            </w:r>
            <w:r w:rsidR="00D8482D" w:rsidRPr="0088780C">
              <w:rPr>
                <w:snapToGrid w:val="0"/>
                <w:color w:val="000000"/>
                <w:kern w:val="22"/>
                <w:szCs w:val="22"/>
              </w:rPr>
              <w:t>”</w:t>
            </w:r>
            <w:r w:rsidRPr="0088780C">
              <w:rPr>
                <w:snapToGrid w:val="0"/>
                <w:color w:val="000000"/>
                <w:kern w:val="22"/>
                <w:szCs w:val="22"/>
              </w:rPr>
              <w:t>Professor Vodyanitsky</w:t>
            </w:r>
            <w:r w:rsidR="00D8482D" w:rsidRPr="0088780C">
              <w:rPr>
                <w:snapToGrid w:val="0"/>
                <w:color w:val="000000"/>
                <w:kern w:val="22"/>
                <w:szCs w:val="22"/>
              </w:rPr>
              <w:t>”</w:t>
            </w:r>
            <w:r w:rsidRPr="0088780C">
              <w:rPr>
                <w:snapToGrid w:val="0"/>
                <w:color w:val="000000"/>
                <w:kern w:val="22"/>
                <w:szCs w:val="22"/>
              </w:rPr>
              <w:t xml:space="preserve"> more than 162 species of benthic macrofauna were found (Revkov N. K., 2016). During expeditions in 2012 and 2016 in the waters of ZPF,</w:t>
            </w:r>
            <w:r w:rsidR="00D264F9" w:rsidRPr="0088780C">
              <w:rPr>
                <w:snapToGrid w:val="0"/>
                <w:color w:val="000000"/>
                <w:kern w:val="22"/>
                <w:szCs w:val="22"/>
              </w:rPr>
              <w:t xml:space="preserve"> </w:t>
            </w:r>
            <w:r w:rsidRPr="0088780C">
              <w:rPr>
                <w:snapToGrid w:val="0"/>
                <w:color w:val="000000"/>
                <w:kern w:val="22"/>
                <w:szCs w:val="22"/>
              </w:rPr>
              <w:t>30 species of macrophytes were found (Tkachenko et al. 2015).</w:t>
            </w:r>
          </w:p>
          <w:p w14:paraId="3D75202A"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p w14:paraId="515FB210" w14:textId="77777777" w:rsidR="00A876F3" w:rsidRPr="0088780C" w:rsidRDefault="00A876F3" w:rsidP="001013AF">
            <w:pPr>
              <w:suppressLineNumbers/>
              <w:suppressAutoHyphens/>
              <w:kinsoku w:val="0"/>
              <w:overflowPunct w:val="0"/>
              <w:autoSpaceDE w:val="0"/>
              <w:autoSpaceDN w:val="0"/>
              <w:rPr>
                <w:snapToGrid w:val="0"/>
                <w:color w:val="000000"/>
                <w:kern w:val="22"/>
                <w:szCs w:val="22"/>
                <w:lang w:val="ru-RU"/>
              </w:rPr>
            </w:pPr>
            <w:r w:rsidRPr="0088780C">
              <w:rPr>
                <w:snapToGrid w:val="0"/>
                <w:color w:val="000000"/>
                <w:kern w:val="22"/>
                <w:szCs w:val="22"/>
                <w:lang w:val="ru-RU" w:eastAsia="ru-RU"/>
              </w:rPr>
              <w:t xml:space="preserve">По результатам бентосных съемок 2010, 2011 и 2013 гг. в акватории ФПЗ в 68, 70 и 72 рейсах НИС «Профессор Водяницкий» в бентосе ФПЗ обнаружено более 162 видов донной макрофауны (Ревков </w:t>
            </w:r>
            <w:r w:rsidRPr="0088780C">
              <w:rPr>
                <w:i/>
                <w:snapToGrid w:val="0"/>
                <w:color w:val="000000"/>
                <w:kern w:val="22"/>
                <w:szCs w:val="22"/>
                <w:lang w:val="ru-RU"/>
              </w:rPr>
              <w:t>et al.</w:t>
            </w:r>
            <w:r w:rsidRPr="0088780C">
              <w:rPr>
                <w:snapToGrid w:val="0"/>
                <w:color w:val="000000"/>
                <w:kern w:val="22"/>
                <w:szCs w:val="22"/>
                <w:lang w:val="ru-RU"/>
              </w:rPr>
              <w:t xml:space="preserve"> </w:t>
            </w:r>
            <w:r w:rsidRPr="0088780C">
              <w:rPr>
                <w:snapToGrid w:val="0"/>
                <w:color w:val="000000"/>
                <w:kern w:val="22"/>
                <w:szCs w:val="22"/>
                <w:lang w:val="ru-RU" w:eastAsia="ru-RU"/>
              </w:rPr>
              <w:t xml:space="preserve">2016). По результатам экспедиций 2012, 2016 годов в акватории ФПЗ в фитобентосе обнаружено 30 видов макрофитов </w:t>
            </w:r>
            <w:r w:rsidRPr="0088780C">
              <w:rPr>
                <w:snapToGrid w:val="0"/>
                <w:color w:val="000000"/>
                <w:kern w:val="22"/>
                <w:szCs w:val="22"/>
                <w:lang w:val="ru-RU"/>
              </w:rPr>
              <w:t>(Ткаченко 2015,</w:t>
            </w:r>
            <w:r w:rsidRPr="0088780C">
              <w:rPr>
                <w:bCs/>
                <w:snapToGrid w:val="0"/>
                <w:color w:val="000000"/>
                <w:kern w:val="22"/>
                <w:szCs w:val="22"/>
                <w:lang w:val="ru-RU"/>
              </w:rPr>
              <w:t xml:space="preserve"> неопубликованные данные 2016 года</w:t>
            </w:r>
            <w:r w:rsidRPr="0088780C">
              <w:rPr>
                <w:snapToGrid w:val="0"/>
                <w:color w:val="000000"/>
                <w:kern w:val="22"/>
                <w:szCs w:val="22"/>
                <w:lang w:val="ru-RU"/>
              </w:rPr>
              <w:t>).</w:t>
            </w:r>
          </w:p>
        </w:tc>
      </w:tr>
      <w:tr w:rsidR="00A876F3" w:rsidRPr="0088780C" w14:paraId="4A17E780" w14:textId="77777777" w:rsidTr="001013AF">
        <w:trPr>
          <w:jc w:val="center"/>
        </w:trPr>
        <w:tc>
          <w:tcPr>
            <w:tcW w:w="818" w:type="pct"/>
          </w:tcPr>
          <w:p w14:paraId="0F53B247"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Naturalness</w:t>
            </w:r>
          </w:p>
        </w:tc>
        <w:tc>
          <w:tcPr>
            <w:tcW w:w="2272" w:type="pct"/>
            <w:gridSpan w:val="2"/>
          </w:tcPr>
          <w:p w14:paraId="18EB099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Area with a comparatively higher degree of naturalness as a result of the lack of or low level of human-induced disturbance or degradation.</w:t>
            </w:r>
          </w:p>
        </w:tc>
        <w:tc>
          <w:tcPr>
            <w:tcW w:w="679" w:type="pct"/>
            <w:gridSpan w:val="3"/>
          </w:tcPr>
          <w:p w14:paraId="0BDB9763"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450" w:type="pct"/>
            <w:gridSpan w:val="2"/>
          </w:tcPr>
          <w:p w14:paraId="024B66EB"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X</w:t>
            </w:r>
          </w:p>
        </w:tc>
        <w:tc>
          <w:tcPr>
            <w:tcW w:w="397" w:type="pct"/>
            <w:gridSpan w:val="2"/>
          </w:tcPr>
          <w:p w14:paraId="21B7F075"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382" w:type="pct"/>
          </w:tcPr>
          <w:p w14:paraId="28907CFE" w14:textId="77777777" w:rsidR="00A876F3" w:rsidRPr="0088780C" w:rsidRDefault="00A876F3" w:rsidP="001013AF">
            <w:pPr>
              <w:suppressLineNumbers/>
              <w:suppressAutoHyphens/>
              <w:kinsoku w:val="0"/>
              <w:overflowPunct w:val="0"/>
              <w:autoSpaceDE w:val="0"/>
              <w:autoSpaceDN w:val="0"/>
              <w:rPr>
                <w:snapToGrid w:val="0"/>
                <w:kern w:val="22"/>
                <w:szCs w:val="22"/>
              </w:rPr>
            </w:pPr>
          </w:p>
        </w:tc>
      </w:tr>
      <w:tr w:rsidR="00A876F3" w:rsidRPr="0088780C" w14:paraId="0D19231A" w14:textId="77777777" w:rsidTr="001013AF">
        <w:trPr>
          <w:jc w:val="center"/>
        </w:trPr>
        <w:tc>
          <w:tcPr>
            <w:tcW w:w="5000" w:type="pct"/>
            <w:gridSpan w:val="11"/>
          </w:tcPr>
          <w:p w14:paraId="1219016E"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645889F6"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level of human impact was very high to the end of the last century. For 50 years bottom trawling of Phyllophora (Kitrana trawls) was conducted in the area for agar production.</w:t>
            </w:r>
          </w:p>
          <w:p w14:paraId="33B19AA1"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F85DA6B" w14:textId="77777777" w:rsidR="00A876F3" w:rsidRPr="0088780C" w:rsidRDefault="00A876F3" w:rsidP="001013AF">
            <w:pPr>
              <w:suppressLineNumbers/>
              <w:suppressAutoHyphens/>
              <w:kinsoku w:val="0"/>
              <w:overflowPunct w:val="0"/>
              <w:autoSpaceDE w:val="0"/>
              <w:autoSpaceDN w:val="0"/>
              <w:rPr>
                <w:snapToGrid w:val="0"/>
                <w:kern w:val="22"/>
                <w:szCs w:val="22"/>
                <w:lang w:val="ru-RU"/>
              </w:rPr>
            </w:pPr>
            <w:r w:rsidRPr="0088780C">
              <w:rPr>
                <w:rFonts w:eastAsia="MS Mincho"/>
                <w:snapToGrid w:val="0"/>
                <w:color w:val="000000"/>
                <w:kern w:val="22"/>
                <w:szCs w:val="22"/>
                <w:lang w:val="ru-RU"/>
              </w:rPr>
              <w:t xml:space="preserve">Уровень антропогенных нарушений до конца прошлого века был очень высоким </w:t>
            </w:r>
            <w:r w:rsidRPr="0088780C">
              <w:rPr>
                <w:snapToGrid w:val="0"/>
                <w:kern w:val="22"/>
                <w:szCs w:val="22"/>
                <w:lang w:val="ru-RU" w:eastAsia="ru-RU"/>
              </w:rPr>
              <w:t>–</w:t>
            </w:r>
            <w:r w:rsidRPr="0088780C">
              <w:rPr>
                <w:rFonts w:eastAsia="MS Mincho"/>
                <w:snapToGrid w:val="0"/>
                <w:color w:val="000000"/>
                <w:kern w:val="22"/>
                <w:szCs w:val="22"/>
                <w:lang w:val="ru-RU"/>
              </w:rPr>
              <w:t xml:space="preserve"> на протяжении 50 лет в районе проводилась промышленная добыча филлофоры тралами Китрана (донное траление).</w:t>
            </w:r>
          </w:p>
        </w:tc>
      </w:tr>
    </w:tbl>
    <w:p w14:paraId="186442F6"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96998C7"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References</w:t>
      </w:r>
    </w:p>
    <w:p w14:paraId="4316FA16"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p>
    <w:p w14:paraId="6384F821"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 xml:space="preserve">Babanets A.A., Emelyanov V.A., Mitropolsky A.Yu., et al. Physical and chemical properties of benthic sediments of the Black Sea. Kiev: Naukova Dumka, 1981. </w:t>
      </w:r>
      <w:r w:rsidRPr="0088780C">
        <w:rPr>
          <w:snapToGrid w:val="0"/>
          <w:kern w:val="22"/>
          <w:szCs w:val="22"/>
        </w:rPr>
        <w:sym w:font="Symbol" w:char="F02D"/>
      </w:r>
      <w:r w:rsidRPr="0088780C">
        <w:rPr>
          <w:snapToGrid w:val="0"/>
          <w:kern w:val="22"/>
          <w:szCs w:val="22"/>
        </w:rPr>
        <w:t xml:space="preserve"> 204 p. (In Russian)</w:t>
      </w:r>
    </w:p>
    <w:p w14:paraId="7F2FF788"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Berlinsky N.A., Denga Yu.M., Matveev A.V., Podust O.S., Popov Yu.I., Tretyak I.P. Influence of variation of conditions of marine environment on dynamics of Zernov’s Phyllophora Field / Visnyk ONU. Ser. Geogr. and Geol. Sci. 2014. - 19, 2. - P. 40-57. (In Russian)</w:t>
      </w:r>
    </w:p>
    <w:p w14:paraId="6E380BAC"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Bondarev I. P. Problems of instability of underwater seascape (on the example of the northern Black Sea) / Uchene Zapiski TNU. - Ser. Geogr. - 21, 2. - 2008. - P. 128-133 (In Russian)</w:t>
      </w:r>
    </w:p>
    <w:p w14:paraId="7724BBA5"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Bondarev I. P. General features and stages of forming of the Black Sea ecosystem in the Late Pleistocene-Holocene / Geology and fossils of the World Ocean, 2012, 2. - P. 53-71 (In Russian)</w:t>
      </w:r>
    </w:p>
    <w:p w14:paraId="573F9403"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 xml:space="preserve">Bondarev I. P. Biological basics of facial structuring of the Black Sea shelf / Geology and fossils of the World Ocean. - № 4. - 2014. - P. 72-90 (In Russian). </w:t>
      </w:r>
    </w:p>
    <w:p w14:paraId="3D1E26A9"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Dumont, H.J. (Ed.). 1999. Black Sea Red Data Book (Text) /. – New York: United Nations Office for Project Services (UNOPS), 413 pp.</w:t>
      </w:r>
    </w:p>
    <w:p w14:paraId="48BDE6A1"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Kalugina-Gutnik A.A., Lachko O.A. Composition, distribution and stock of the Black Sea’s seaweeds in the region of Zernov’s Phyllophora Field. Benthos distribution and biology of benthic animal in south seas. – Kiev: Naukova Dumka, 1966.-P.112-130. (in Russian)</w:t>
      </w:r>
    </w:p>
    <w:p w14:paraId="38458209"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Kalugina-Gutnik AA. Phytobenthos of the Black Sea. Kiev: Naukova Dumka; 1975. 247 pp (in Russian).</w:t>
      </w:r>
    </w:p>
    <w:p w14:paraId="5D9A5B0D"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Kalugina-Gutnik AA, Evstigneeva IK. Perennial dynamics of species composition and structure of seabed phytocenoses of Zernov’s Phyllophora Field. Ecology of Seas 1993: 43:90-7 (In Russian).</w:t>
      </w:r>
    </w:p>
    <w:p w14:paraId="05A3DC04"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Khovansky AD, Chernousiv SYa. Geochemistry of landscapes of the north-western Black Sea // Geokhimia.– 1989.– 12.– P.1727-1735.</w:t>
      </w:r>
    </w:p>
    <w:p w14:paraId="7A3C3435"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Minicheva GG. Phytocenoses of Zernov’s Phyllophora Field as indicators of the current ecological state for Northwest shelf of the Black Sea. In: Proceedings of international applied science conference on ecological problems of the Black sea; 2007. p. 229-233 (in Russian)</w:t>
      </w:r>
    </w:p>
    <w:p w14:paraId="72ABBC47"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Minicheva GG., Kosenko MN, Shvets AV Phytobenthos of the Big and Small Phyllophora fields as a reflection of modern ecological state of the north-western Black Sea. Morskoy Ekologicheskiy Zhurnal, №4, Т.VIII – 2009. – P. 24-40.</w:t>
      </w:r>
    </w:p>
    <w:p w14:paraId="4162E6B4"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Red Data Book of Ukraine. Plants. – Kiev: Globalkonsalting. – 2009. – 900 p.</w:t>
      </w:r>
    </w:p>
    <w:p w14:paraId="0A396B6C" w14:textId="77777777" w:rsidR="00A876F3" w:rsidRPr="0088780C" w:rsidRDefault="00A876F3" w:rsidP="001013AF">
      <w:pPr>
        <w:keepLines/>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Revkov N. K. Species richness and quantitative development of macrozoobenthos on Zernov’s phyllophora Field/ MARINE BIOLOGICAL RESEARCH: ACHIEVEMENTS AND PERSPECTIVES All-Russian Scientific-Practical Conference with International Participation dedicated to the 145th anniversary of Sevastopol Biological Station Sevastopol, 19–24 September, 2016, v.2 p. 501.</w:t>
      </w:r>
    </w:p>
    <w:p w14:paraId="57DAD484" w14:textId="77777777" w:rsidR="00A876F3" w:rsidRPr="0088780C" w:rsidRDefault="00E7219D" w:rsidP="001013AF">
      <w:pPr>
        <w:suppressLineNumbers/>
        <w:suppressAutoHyphens/>
        <w:kinsoku w:val="0"/>
        <w:overflowPunct w:val="0"/>
        <w:autoSpaceDE w:val="0"/>
        <w:autoSpaceDN w:val="0"/>
        <w:spacing w:after="120"/>
        <w:ind w:left="720" w:hanging="720"/>
        <w:rPr>
          <w:snapToGrid w:val="0"/>
          <w:kern w:val="22"/>
          <w:szCs w:val="22"/>
        </w:rPr>
      </w:pPr>
      <w:hyperlink r:id="rId119" w:tooltip="Пошук за автором" w:history="1">
        <w:r w:rsidR="00A876F3" w:rsidRPr="0088780C">
          <w:rPr>
            <w:snapToGrid w:val="0"/>
            <w:kern w:val="22"/>
            <w:szCs w:val="22"/>
          </w:rPr>
          <w:t xml:space="preserve">Sovga EE, Zhorov VA, Boguslavsky SG, Siden VP. </w:t>
        </w:r>
      </w:hyperlink>
      <w:r w:rsidR="00A876F3" w:rsidRPr="0088780C">
        <w:rPr>
          <w:snapToGrid w:val="0"/>
          <w:kern w:val="22"/>
          <w:szCs w:val="22"/>
        </w:rPr>
        <w:t xml:space="preserve">Classification of sea area in the north-western Black Sea in mathematical modelling of shelf ecosystems // </w:t>
      </w:r>
      <w:hyperlink r:id="rId120" w:tooltip="Пошук за серією" w:history="1">
        <w:r w:rsidR="00A876F3" w:rsidRPr="0088780C">
          <w:rPr>
            <w:snapToGrid w:val="0"/>
            <w:kern w:val="22"/>
            <w:szCs w:val="22"/>
          </w:rPr>
          <w:t xml:space="preserve">Ecological safety of shelf and coastal zones and complex use of shelf resources </w:t>
        </w:r>
      </w:hyperlink>
      <w:r w:rsidR="00A876F3" w:rsidRPr="0088780C">
        <w:rPr>
          <w:snapToGrid w:val="0"/>
          <w:kern w:val="22"/>
          <w:szCs w:val="22"/>
        </w:rPr>
        <w:t>. – 2005. –. 12. – P. 421-428.</w:t>
      </w:r>
    </w:p>
    <w:p w14:paraId="0117B455" w14:textId="3C0BFED6" w:rsidR="00A876F3" w:rsidRPr="0088780C" w:rsidRDefault="00E7219D" w:rsidP="001013AF">
      <w:pPr>
        <w:suppressLineNumbers/>
        <w:suppressAutoHyphens/>
        <w:kinsoku w:val="0"/>
        <w:overflowPunct w:val="0"/>
        <w:autoSpaceDE w:val="0"/>
        <w:autoSpaceDN w:val="0"/>
        <w:spacing w:after="120"/>
        <w:ind w:left="720" w:hanging="720"/>
        <w:rPr>
          <w:snapToGrid w:val="0"/>
          <w:kern w:val="22"/>
          <w:szCs w:val="22"/>
        </w:rPr>
      </w:pPr>
      <w:hyperlink r:id="rId121" w:tooltip="Пошук за автором" w:history="1">
        <w:r w:rsidR="00A876F3" w:rsidRPr="0088780C">
          <w:rPr>
            <w:snapToGrid w:val="0"/>
            <w:kern w:val="22"/>
            <w:szCs w:val="22"/>
          </w:rPr>
          <w:t xml:space="preserve">Tkachenko FP, Tretyak IP Macrophytobenthos of </w:t>
        </w:r>
      </w:hyperlink>
      <w:r w:rsidR="00A876F3" w:rsidRPr="0088780C">
        <w:rPr>
          <w:snapToGrid w:val="0"/>
          <w:kern w:val="22"/>
          <w:szCs w:val="22"/>
        </w:rPr>
        <w:t xml:space="preserve">a botanical preserve of state-wide importance </w:t>
      </w:r>
      <w:r w:rsidR="00D8482D" w:rsidRPr="0088780C">
        <w:rPr>
          <w:snapToGrid w:val="0"/>
          <w:kern w:val="22"/>
          <w:szCs w:val="22"/>
        </w:rPr>
        <w:t>“</w:t>
      </w:r>
      <w:r w:rsidR="00A876F3" w:rsidRPr="0088780C">
        <w:rPr>
          <w:snapToGrid w:val="0"/>
          <w:kern w:val="22"/>
          <w:szCs w:val="22"/>
        </w:rPr>
        <w:t>Zernov’s Phyllophora Field</w:t>
      </w:r>
      <w:r w:rsidR="00D8482D" w:rsidRPr="0088780C">
        <w:rPr>
          <w:snapToGrid w:val="0"/>
          <w:kern w:val="22"/>
          <w:szCs w:val="22"/>
        </w:rPr>
        <w:t>”</w:t>
      </w:r>
      <w:r w:rsidR="00A876F3" w:rsidRPr="0088780C">
        <w:rPr>
          <w:snapToGrid w:val="0"/>
          <w:kern w:val="22"/>
          <w:szCs w:val="22"/>
        </w:rPr>
        <w:t xml:space="preserve"> (Ukraine) // </w:t>
      </w:r>
      <w:hyperlink r:id="rId122" w:tooltip="Періодичне видання" w:history="1">
        <w:r w:rsidR="00A876F3" w:rsidRPr="0088780C">
          <w:rPr>
            <w:snapToGrid w:val="0"/>
            <w:kern w:val="22"/>
            <w:szCs w:val="22"/>
          </w:rPr>
          <w:t>Algologia</w:t>
        </w:r>
      </w:hyperlink>
      <w:r w:rsidR="00A876F3" w:rsidRPr="0088780C">
        <w:rPr>
          <w:snapToGrid w:val="0"/>
          <w:kern w:val="22"/>
          <w:szCs w:val="22"/>
        </w:rPr>
        <w:t xml:space="preserve">. – 2015. –25, 3. – P. 238-246. </w:t>
      </w:r>
    </w:p>
    <w:p w14:paraId="056DD555"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Tretiak I.P. Saving rare macrophytes of the north-western Black Sea / Flora in the Red Book of Ukraine: implementation of the Global Strategy for Plant Conservation / Proceedings of the III International Conference (4-7 June 2014, m. Lviv). - Lviv, 2014. - P. 161-164.</w:t>
      </w:r>
    </w:p>
    <w:p w14:paraId="619DD70C"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 xml:space="preserve">Ukraine, 2012. Report on Monitoring and Assessment/. Reg. ID 0113U007210 – 2013. – 68 с. </w:t>
      </w:r>
    </w:p>
    <w:p w14:paraId="7F4FE365"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Zaitsev Yu, Alexandrov B, Minicheva G, editors. 2006. Northwest part of the Black Sea: biology and ecology. Kiev: Naukova Dumka,  p. 701 (In Russian).</w:t>
      </w:r>
    </w:p>
    <w:p w14:paraId="6ECF376B" w14:textId="249511D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 xml:space="preserve">Yuschenko VA. Presidential order #1064/2008. On declaring an area of natural waters of the Black Sea a botanical preserve of state-wide importance </w:t>
      </w:r>
      <w:r w:rsidR="00D8482D" w:rsidRPr="0088780C">
        <w:rPr>
          <w:snapToGrid w:val="0"/>
          <w:kern w:val="22"/>
          <w:szCs w:val="22"/>
        </w:rPr>
        <w:t>“</w:t>
      </w:r>
      <w:r w:rsidRPr="0088780C">
        <w:rPr>
          <w:snapToGrid w:val="0"/>
          <w:kern w:val="22"/>
          <w:szCs w:val="22"/>
        </w:rPr>
        <w:t>Zernov’s Phyllophora Field</w:t>
      </w:r>
      <w:r w:rsidR="00D8482D" w:rsidRPr="0088780C">
        <w:rPr>
          <w:snapToGrid w:val="0"/>
          <w:kern w:val="22"/>
          <w:szCs w:val="22"/>
        </w:rPr>
        <w:t>”</w:t>
      </w:r>
      <w:r w:rsidRPr="0088780C">
        <w:rPr>
          <w:snapToGrid w:val="0"/>
          <w:kern w:val="22"/>
          <w:szCs w:val="22"/>
        </w:rPr>
        <w:t>; 21 November 2008.</w:t>
      </w:r>
    </w:p>
    <w:p w14:paraId="1E8DFA1C" w14:textId="77777777"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Zaitsev YuP. Ecological state of the Black Sea shelf zone along the coast of Ukraine (review). Hydrobiological Journal 1992;28(4): 3-18 (In Russian)</w:t>
      </w:r>
    </w:p>
    <w:p w14:paraId="47C0CFED" w14:textId="05DA361B"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 xml:space="preserve">Zaitsev YuP. The Most Blue in the World. Copyright © 1998 by United Nations Development Programme, 1 </w:t>
      </w:r>
      <w:r w:rsidR="00981D31" w:rsidRPr="0088780C">
        <w:rPr>
          <w:snapToGrid w:val="0"/>
          <w:kern w:val="22"/>
          <w:szCs w:val="22"/>
        </w:rPr>
        <w:t xml:space="preserve">United Nations </w:t>
      </w:r>
      <w:r w:rsidRPr="0088780C">
        <w:rPr>
          <w:snapToGrid w:val="0"/>
          <w:kern w:val="22"/>
          <w:szCs w:val="22"/>
        </w:rPr>
        <w:t>Plaza, New York, NY</w:t>
      </w:r>
    </w:p>
    <w:p w14:paraId="4AF58313" w14:textId="6AC1D3C8" w:rsidR="00A876F3" w:rsidRPr="0088780C" w:rsidRDefault="00A876F3" w:rsidP="001013AF">
      <w:pPr>
        <w:suppressLineNumbers/>
        <w:suppressAutoHyphens/>
        <w:kinsoku w:val="0"/>
        <w:overflowPunct w:val="0"/>
        <w:autoSpaceDE w:val="0"/>
        <w:autoSpaceDN w:val="0"/>
        <w:spacing w:after="120"/>
        <w:ind w:left="720" w:hanging="720"/>
        <w:rPr>
          <w:snapToGrid w:val="0"/>
          <w:kern w:val="22"/>
          <w:szCs w:val="22"/>
        </w:rPr>
      </w:pPr>
      <w:r w:rsidRPr="0088780C">
        <w:rPr>
          <w:snapToGrid w:val="0"/>
          <w:kern w:val="22"/>
          <w:szCs w:val="22"/>
        </w:rPr>
        <w:t xml:space="preserve">Zernov S. A. Facies of Phyllophora (Algae-Rhodophyceae), a phyllophore filed in the north-western part of the Black Sea. A zoological cruise on a steam ship Fedya 11-14 April 1909 / Bull Zool Mus Acad Sci </w:t>
      </w:r>
      <w:r w:rsidR="00981D31" w:rsidRPr="0088780C">
        <w:rPr>
          <w:snapToGrid w:val="0"/>
          <w:kern w:val="22"/>
          <w:szCs w:val="22"/>
        </w:rPr>
        <w:t>–</w:t>
      </w:r>
      <w:r w:rsidRPr="0088780C">
        <w:rPr>
          <w:snapToGrid w:val="0"/>
          <w:kern w:val="22"/>
          <w:szCs w:val="22"/>
        </w:rPr>
        <w:t xml:space="preserve"> St</w:t>
      </w:r>
      <w:r w:rsidR="00981D31" w:rsidRPr="0088780C">
        <w:rPr>
          <w:snapToGrid w:val="0"/>
          <w:kern w:val="22"/>
          <w:szCs w:val="22"/>
        </w:rPr>
        <w:t>.</w:t>
      </w:r>
      <w:r w:rsidRPr="0088780C">
        <w:rPr>
          <w:snapToGrid w:val="0"/>
          <w:kern w:val="22"/>
          <w:szCs w:val="22"/>
        </w:rPr>
        <w:t xml:space="preserve"> Petersburg. - Typogr Imp Acad Sci. - 1909. –14. – </w:t>
      </w:r>
      <w:r w:rsidR="00981D31" w:rsidRPr="0088780C">
        <w:rPr>
          <w:snapToGrid w:val="0"/>
          <w:kern w:val="22"/>
          <w:szCs w:val="22"/>
        </w:rPr>
        <w:t>pp</w:t>
      </w:r>
      <w:r w:rsidRPr="0088780C">
        <w:rPr>
          <w:snapToGrid w:val="0"/>
          <w:kern w:val="22"/>
          <w:szCs w:val="22"/>
        </w:rPr>
        <w:t>. 181-191.</w:t>
      </w:r>
    </w:p>
    <w:p w14:paraId="47B250C9" w14:textId="77777777" w:rsidR="00A876F3" w:rsidRPr="0088780C" w:rsidRDefault="00A876F3" w:rsidP="001013AF">
      <w:pPr>
        <w:suppressLineNumbers/>
        <w:suppressAutoHyphens/>
        <w:kinsoku w:val="0"/>
        <w:overflowPunct w:val="0"/>
        <w:autoSpaceDE w:val="0"/>
        <w:autoSpaceDN w:val="0"/>
        <w:ind w:left="709" w:hanging="709"/>
        <w:rPr>
          <w:snapToGrid w:val="0"/>
          <w:kern w:val="22"/>
          <w:szCs w:val="22"/>
        </w:rPr>
      </w:pPr>
    </w:p>
    <w:p w14:paraId="1ED2038A"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rPr>
      </w:pPr>
      <w:r w:rsidRPr="0088780C">
        <w:rPr>
          <w:snapToGrid w:val="0"/>
          <w:kern w:val="22"/>
          <w:szCs w:val="22"/>
          <w:lang w:val="ru-RU"/>
        </w:rPr>
        <w:t xml:space="preserve">Бабанец А.Е. Физико-механические свойства донных осадков Черного моря / А.Е. Бабанец, В.А. Емельянов, А.Ю. Митропольский и др. - Киев : Наукова думка, 1981. </w:t>
      </w:r>
      <w:r w:rsidRPr="0088780C">
        <w:rPr>
          <w:snapToGrid w:val="0"/>
          <w:kern w:val="22"/>
          <w:szCs w:val="22"/>
          <w:lang w:val="ru-RU"/>
        </w:rPr>
        <w:sym w:font="Symbol" w:char="F02D"/>
      </w:r>
      <w:r w:rsidRPr="0088780C">
        <w:rPr>
          <w:snapToGrid w:val="0"/>
          <w:kern w:val="22"/>
          <w:szCs w:val="22"/>
          <w:lang w:val="ru-RU"/>
        </w:rPr>
        <w:t xml:space="preserve"> 204 с.</w:t>
      </w:r>
    </w:p>
    <w:p w14:paraId="79DE9AC6"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rPr>
      </w:pPr>
      <w:r w:rsidRPr="0088780C">
        <w:rPr>
          <w:snapToGrid w:val="0"/>
          <w:kern w:val="22"/>
          <w:szCs w:val="22"/>
          <w:lang w:val="ru-RU" w:eastAsia="ru-RU"/>
        </w:rPr>
        <w:t>Берлинский Н.А., Деньга Ю.М., Матвеев А.В., Подуст О.С., Попов Ю.И., Третьяк И.П.</w:t>
      </w:r>
      <w:r w:rsidRPr="0088780C">
        <w:rPr>
          <w:snapToGrid w:val="0"/>
          <w:kern w:val="22"/>
          <w:szCs w:val="22"/>
          <w:lang w:val="ru-RU"/>
        </w:rPr>
        <w:t xml:space="preserve"> Влияние изменчивости условий морской среды на динамику Филлофорного поля Зернова /</w:t>
      </w:r>
      <w:r w:rsidRPr="0088780C">
        <w:rPr>
          <w:snapToGrid w:val="0"/>
          <w:kern w:val="22"/>
          <w:szCs w:val="22"/>
          <w:lang w:val="ru-RU" w:eastAsia="ru-RU"/>
        </w:rPr>
        <w:t xml:space="preserve"> </w:t>
      </w:r>
      <w:r w:rsidRPr="0088780C">
        <w:rPr>
          <w:snapToGrid w:val="0"/>
          <w:kern w:val="22"/>
          <w:szCs w:val="22"/>
          <w:lang w:val="ru-RU"/>
        </w:rPr>
        <w:t>Вісник ОНУ. Сер.: Географічні та геологічні науки. 2014. Т. 19, вип. 2. - С. 40-57.</w:t>
      </w:r>
    </w:p>
    <w:p w14:paraId="6BE48F5E"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rFonts w:eastAsia="Times New Roman"/>
          <w:snapToGrid w:val="0"/>
          <w:kern w:val="22"/>
          <w:szCs w:val="22"/>
          <w:lang w:val="ru-RU" w:eastAsia="uk-UA"/>
        </w:rPr>
      </w:pPr>
      <w:r w:rsidRPr="0088780C">
        <w:rPr>
          <w:snapToGrid w:val="0"/>
          <w:kern w:val="22"/>
          <w:szCs w:val="22"/>
          <w:lang w:val="ru-RU"/>
        </w:rPr>
        <w:t xml:space="preserve">Бондарев И.П. Проблемы нестабильности подводного ландшафта (на примере северной части Черного моря) / </w:t>
      </w:r>
      <w:r w:rsidRPr="0088780C">
        <w:rPr>
          <w:rFonts w:eastAsia="Times New Roman"/>
          <w:snapToGrid w:val="0"/>
          <w:kern w:val="22"/>
          <w:szCs w:val="22"/>
          <w:lang w:val="ru-RU" w:eastAsia="uk-UA"/>
        </w:rPr>
        <w:t>Ученые записки Таврического Национального университета им. В. И. Вернадского. - Серия География. - Том 21, № 2. - 2008. - С. 128-133</w:t>
      </w:r>
    </w:p>
    <w:p w14:paraId="3A5D09A7"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iCs/>
          <w:snapToGrid w:val="0"/>
          <w:kern w:val="22"/>
          <w:szCs w:val="22"/>
          <w:lang w:val="ru-RU" w:eastAsia="ru-RU"/>
        </w:rPr>
      </w:pPr>
      <w:r w:rsidRPr="0088780C">
        <w:rPr>
          <w:bCs/>
          <w:snapToGrid w:val="0"/>
          <w:kern w:val="22"/>
          <w:szCs w:val="22"/>
          <w:lang w:val="ru-RU" w:eastAsia="ru-RU"/>
        </w:rPr>
        <w:t>Бондарев И.П. Основные черты и этапы формирования экосистемы Черного моря в позднем плейстоцене-голоцене /</w:t>
      </w:r>
      <w:r w:rsidRPr="0088780C">
        <w:rPr>
          <w:b/>
          <w:bCs/>
          <w:snapToGrid w:val="0"/>
          <w:kern w:val="22"/>
          <w:szCs w:val="22"/>
          <w:lang w:val="ru-RU" w:eastAsia="ru-RU"/>
        </w:rPr>
        <w:t xml:space="preserve"> </w:t>
      </w:r>
      <w:r w:rsidRPr="0088780C">
        <w:rPr>
          <w:iCs/>
          <w:snapToGrid w:val="0"/>
          <w:kern w:val="22"/>
          <w:szCs w:val="22"/>
          <w:lang w:val="ru-RU" w:eastAsia="ru-RU"/>
        </w:rPr>
        <w:t>Геология и полезные ископаемые Мирового океана, 2012, №2. - С. 53-71</w:t>
      </w:r>
    </w:p>
    <w:p w14:paraId="1E4812ED"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iCs/>
          <w:snapToGrid w:val="0"/>
          <w:kern w:val="22"/>
          <w:szCs w:val="22"/>
          <w:lang w:val="ru-RU" w:eastAsia="ru-RU"/>
        </w:rPr>
      </w:pPr>
      <w:r w:rsidRPr="0088780C">
        <w:rPr>
          <w:bCs/>
          <w:snapToGrid w:val="0"/>
          <w:kern w:val="22"/>
          <w:szCs w:val="22"/>
          <w:lang w:val="ru-RU" w:eastAsia="ru-RU"/>
        </w:rPr>
        <w:t>Бондарев И.П. Биологические основы фациального структурирования шельфа Черного моря /</w:t>
      </w:r>
      <w:r w:rsidRPr="0088780C">
        <w:rPr>
          <w:b/>
          <w:bCs/>
          <w:snapToGrid w:val="0"/>
          <w:kern w:val="22"/>
          <w:szCs w:val="22"/>
          <w:lang w:val="ru-RU" w:eastAsia="ru-RU"/>
        </w:rPr>
        <w:t xml:space="preserve"> </w:t>
      </w:r>
      <w:r w:rsidRPr="0088780C">
        <w:rPr>
          <w:iCs/>
          <w:snapToGrid w:val="0"/>
          <w:kern w:val="22"/>
          <w:szCs w:val="22"/>
          <w:lang w:val="ru-RU" w:eastAsia="ru-RU"/>
        </w:rPr>
        <w:t>Геология и полезные ископаемые Мирового океана. - № 4. - 2014. - С. 72-90</w:t>
      </w:r>
    </w:p>
    <w:p w14:paraId="4E0ADDF8"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eastAsia="ru-RU"/>
        </w:rPr>
      </w:pPr>
      <w:r w:rsidRPr="0088780C">
        <w:rPr>
          <w:iCs/>
          <w:snapToGrid w:val="0"/>
          <w:kern w:val="22"/>
          <w:szCs w:val="22"/>
          <w:lang w:val="ru-RU" w:eastAsia="ru-RU"/>
        </w:rPr>
        <w:t xml:space="preserve">Зайцев Ю.П. </w:t>
      </w:r>
      <w:r w:rsidRPr="0088780C">
        <w:rPr>
          <w:rFonts w:eastAsia="TimesNewRoman"/>
          <w:snapToGrid w:val="0"/>
          <w:kern w:val="22"/>
          <w:szCs w:val="22"/>
          <w:lang w:val="ru-RU" w:eastAsia="ru-RU"/>
        </w:rPr>
        <w:t xml:space="preserve">Экологическое состояние шельфовой зоны Черного моря у побережья Украины </w:t>
      </w:r>
      <w:r w:rsidRPr="0088780C">
        <w:rPr>
          <w:snapToGrid w:val="0"/>
          <w:kern w:val="22"/>
          <w:szCs w:val="22"/>
          <w:lang w:val="ru-RU" w:eastAsia="ru-RU"/>
        </w:rPr>
        <w:t xml:space="preserve">// </w:t>
      </w:r>
      <w:r w:rsidRPr="0088780C">
        <w:rPr>
          <w:rFonts w:eastAsia="TimesNewRoman"/>
          <w:snapToGrid w:val="0"/>
          <w:kern w:val="22"/>
          <w:szCs w:val="22"/>
          <w:lang w:val="ru-RU" w:eastAsia="ru-RU"/>
        </w:rPr>
        <w:t>Гидробиологический журнал</w:t>
      </w:r>
      <w:r w:rsidRPr="0088780C">
        <w:rPr>
          <w:snapToGrid w:val="0"/>
          <w:kern w:val="22"/>
          <w:szCs w:val="22"/>
          <w:lang w:val="ru-RU" w:eastAsia="ru-RU"/>
        </w:rPr>
        <w:t xml:space="preserve">.– 1992.– 4.– </w:t>
      </w:r>
      <w:r w:rsidRPr="0088780C">
        <w:rPr>
          <w:rFonts w:eastAsia="TimesNewRoman"/>
          <w:snapToGrid w:val="0"/>
          <w:kern w:val="22"/>
          <w:szCs w:val="22"/>
          <w:lang w:val="ru-RU" w:eastAsia="ru-RU"/>
        </w:rPr>
        <w:t>С</w:t>
      </w:r>
      <w:r w:rsidRPr="0088780C">
        <w:rPr>
          <w:snapToGrid w:val="0"/>
          <w:kern w:val="22"/>
          <w:szCs w:val="22"/>
          <w:lang w:val="ru-RU" w:eastAsia="ru-RU"/>
        </w:rPr>
        <w:t>.3-18.</w:t>
      </w:r>
    </w:p>
    <w:p w14:paraId="11F26510" w14:textId="28E68E67" w:rsidR="00A876F3" w:rsidRPr="0088780C" w:rsidRDefault="00A876F3" w:rsidP="001013AF">
      <w:pPr>
        <w:pStyle w:val="BodyText"/>
        <w:suppressLineNumbers/>
        <w:suppressAutoHyphens/>
        <w:kinsoku w:val="0"/>
        <w:overflowPunct w:val="0"/>
        <w:autoSpaceDE w:val="0"/>
        <w:autoSpaceDN w:val="0"/>
        <w:adjustRightInd w:val="0"/>
        <w:snapToGrid w:val="0"/>
        <w:spacing w:before="0"/>
        <w:ind w:left="720" w:hanging="720"/>
        <w:rPr>
          <w:rFonts w:eastAsia="Calibri"/>
          <w:bCs/>
          <w:snapToGrid w:val="0"/>
          <w:kern w:val="22"/>
          <w:szCs w:val="22"/>
          <w:lang w:val="en-US"/>
        </w:rPr>
      </w:pPr>
      <w:r w:rsidRPr="0088780C">
        <w:rPr>
          <w:rFonts w:eastAsia="Calibri"/>
          <w:snapToGrid w:val="0"/>
          <w:kern w:val="22"/>
          <w:szCs w:val="22"/>
          <w:lang w:val="ru-RU"/>
        </w:rPr>
        <w:t>Report on Monitoring and Assessment: Ukraine, 2012</w:t>
      </w:r>
      <w:r w:rsidRPr="0088780C">
        <w:rPr>
          <w:snapToGrid w:val="0"/>
          <w:kern w:val="22"/>
          <w:szCs w:val="22"/>
          <w:lang w:val="ru-RU"/>
        </w:rPr>
        <w:t xml:space="preserve"> / Звіт про науково-дослідну роботу «</w:t>
      </w:r>
      <w:r w:rsidRPr="0088780C">
        <w:rPr>
          <w:rFonts w:eastAsia="Calibri"/>
          <w:snapToGrid w:val="0"/>
          <w:kern w:val="22"/>
          <w:szCs w:val="22"/>
          <w:lang w:val="ru-RU"/>
        </w:rPr>
        <w:t>Оцінка стану Чорного моря в форматі Секретаріату Чорноморської Комісіїї»</w:t>
      </w:r>
      <w:r w:rsidRPr="0088780C">
        <w:rPr>
          <w:snapToGrid w:val="0"/>
          <w:kern w:val="22"/>
          <w:szCs w:val="22"/>
          <w:lang w:val="ru-RU"/>
        </w:rPr>
        <w:t>. № держреєстрації 0113U007210 – 2013. – 68 с.</w:t>
      </w:r>
    </w:p>
    <w:p w14:paraId="1B1BD4DB" w14:textId="69FB1C15" w:rsidR="00A876F3" w:rsidRPr="0088780C" w:rsidRDefault="00A876F3" w:rsidP="001013AF">
      <w:pPr>
        <w:pStyle w:val="Default"/>
        <w:widowControl/>
        <w:suppressLineNumbers/>
        <w:suppressAutoHyphens/>
        <w:kinsoku w:val="0"/>
        <w:overflowPunct w:val="0"/>
        <w:snapToGrid w:val="0"/>
        <w:spacing w:after="120"/>
        <w:ind w:left="720" w:hanging="720"/>
        <w:jc w:val="both"/>
        <w:rPr>
          <w:snapToGrid w:val="0"/>
          <w:color w:val="auto"/>
          <w:kern w:val="22"/>
          <w:sz w:val="22"/>
          <w:szCs w:val="22"/>
          <w:lang w:val="ru-RU"/>
        </w:rPr>
      </w:pPr>
      <w:r w:rsidRPr="0088780C">
        <w:rPr>
          <w:snapToGrid w:val="0"/>
          <w:color w:val="auto"/>
          <w:kern w:val="22"/>
          <w:sz w:val="22"/>
          <w:szCs w:val="22"/>
          <w:lang w:val="ru-RU"/>
        </w:rPr>
        <w:t>Зернов С.А. Фація филлофоры [Algae-Rhodophyceae] - филлоф</w:t>
      </w:r>
      <w:r w:rsidRPr="0088780C">
        <w:rPr>
          <w:bCs/>
          <w:snapToGrid w:val="0"/>
          <w:color w:val="auto"/>
          <w:kern w:val="22"/>
          <w:sz w:val="22"/>
          <w:szCs w:val="22"/>
          <w:lang w:val="ru-RU"/>
        </w:rPr>
        <w:t>о</w:t>
      </w:r>
      <w:r w:rsidRPr="0088780C">
        <w:rPr>
          <w:snapToGrid w:val="0"/>
          <w:color w:val="auto"/>
          <w:kern w:val="22"/>
          <w:sz w:val="22"/>
          <w:szCs w:val="22"/>
          <w:lang w:val="ru-RU"/>
        </w:rPr>
        <w:t>рное поле въ С.-З. части Чернаго моря. Зоологическая экскурсія на пароход</w:t>
      </w:r>
      <w:r w:rsidRPr="0088780C">
        <w:rPr>
          <w:rStyle w:val="script-slavonic"/>
          <w:rFonts w:eastAsia="Arial Unicode MS"/>
          <w:snapToGrid w:val="0"/>
          <w:color w:val="auto"/>
          <w:kern w:val="22"/>
          <w:sz w:val="22"/>
          <w:szCs w:val="22"/>
          <w:lang w:val="ru-RU"/>
        </w:rPr>
        <w:t>ѣ</w:t>
      </w:r>
      <w:r w:rsidR="00D8482D" w:rsidRPr="0088780C">
        <w:rPr>
          <w:rStyle w:val="script-slavonic"/>
          <w:rFonts w:eastAsia="Arial Unicode MS"/>
          <w:snapToGrid w:val="0"/>
          <w:color w:val="auto"/>
          <w:kern w:val="22"/>
          <w:sz w:val="22"/>
          <w:szCs w:val="22"/>
          <w:lang w:val="ru-RU"/>
        </w:rPr>
        <w:t>”</w:t>
      </w:r>
      <w:r w:rsidRPr="0088780C">
        <w:rPr>
          <w:rFonts w:eastAsia="Arial Unicode MS"/>
          <w:caps/>
          <w:snapToGrid w:val="0"/>
          <w:color w:val="auto"/>
          <w:kern w:val="22"/>
          <w:sz w:val="22"/>
          <w:szCs w:val="22"/>
          <w:lang w:val="ru-RU" w:eastAsia="uk-UA"/>
        </w:rPr>
        <w:t>θ</w:t>
      </w:r>
      <w:r w:rsidRPr="0088780C">
        <w:rPr>
          <w:rFonts w:eastAsia="Arial Unicode MS"/>
          <w:snapToGrid w:val="0"/>
          <w:color w:val="auto"/>
          <w:kern w:val="22"/>
          <w:sz w:val="22"/>
          <w:szCs w:val="22"/>
          <w:lang w:val="ru-RU" w:eastAsia="uk-UA"/>
        </w:rPr>
        <w:t>едя</w:t>
      </w:r>
      <w:r w:rsidR="00D8482D" w:rsidRPr="0088780C">
        <w:rPr>
          <w:rStyle w:val="script-slavonic"/>
          <w:rFonts w:eastAsia="Arial Unicode MS"/>
          <w:snapToGrid w:val="0"/>
          <w:color w:val="auto"/>
          <w:kern w:val="22"/>
          <w:sz w:val="22"/>
          <w:szCs w:val="22"/>
          <w:lang w:val="ru-RU"/>
        </w:rPr>
        <w:t>”</w:t>
      </w:r>
      <w:r w:rsidRPr="0088780C">
        <w:rPr>
          <w:rStyle w:val="script-slavonic"/>
          <w:rFonts w:eastAsia="Arial Unicode MS"/>
          <w:snapToGrid w:val="0"/>
          <w:color w:val="auto"/>
          <w:kern w:val="22"/>
          <w:sz w:val="22"/>
          <w:szCs w:val="22"/>
          <w:lang w:val="ru-RU"/>
        </w:rPr>
        <w:t>11-14 апрѣля 1909 г. /</w:t>
      </w:r>
      <w:r w:rsidRPr="0088780C">
        <w:rPr>
          <w:snapToGrid w:val="0"/>
          <w:color w:val="auto"/>
          <w:kern w:val="22"/>
          <w:sz w:val="22"/>
          <w:szCs w:val="22"/>
          <w:lang w:val="ru-RU"/>
        </w:rPr>
        <w:t xml:space="preserve"> Бюл. зоол. музея АН. - </w:t>
      </w:r>
      <w:r w:rsidRPr="0088780C">
        <w:rPr>
          <w:rStyle w:val="script-slavonic"/>
          <w:rFonts w:eastAsia="Arial Unicode MS"/>
          <w:snapToGrid w:val="0"/>
          <w:color w:val="auto"/>
          <w:kern w:val="22"/>
          <w:sz w:val="22"/>
          <w:szCs w:val="22"/>
          <w:lang w:val="ru-RU"/>
        </w:rPr>
        <w:t>С.-Петербургъ. - Типограф</w:t>
      </w:r>
      <w:r w:rsidRPr="0088780C">
        <w:rPr>
          <w:snapToGrid w:val="0"/>
          <w:color w:val="auto"/>
          <w:kern w:val="22"/>
          <w:sz w:val="22"/>
          <w:szCs w:val="22"/>
          <w:lang w:val="ru-RU"/>
        </w:rPr>
        <w:t>ія Императорской академіи наук. - 1909. – Т. 14. – С. 181-191.</w:t>
      </w:r>
    </w:p>
    <w:p w14:paraId="15C19853"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eastAsia="ru-RU"/>
        </w:rPr>
      </w:pPr>
      <w:r w:rsidRPr="0088780C">
        <w:rPr>
          <w:iCs/>
          <w:snapToGrid w:val="0"/>
          <w:kern w:val="22"/>
          <w:szCs w:val="22"/>
          <w:lang w:val="ru-RU" w:eastAsia="ru-RU"/>
        </w:rPr>
        <w:t>Калугина-Гутник А.В</w:t>
      </w:r>
      <w:r w:rsidRPr="0088780C">
        <w:rPr>
          <w:i/>
          <w:iCs/>
          <w:snapToGrid w:val="0"/>
          <w:kern w:val="22"/>
          <w:szCs w:val="22"/>
          <w:lang w:val="ru-RU" w:eastAsia="ru-RU"/>
        </w:rPr>
        <w:t xml:space="preserve">. </w:t>
      </w:r>
      <w:r w:rsidRPr="0088780C">
        <w:rPr>
          <w:rFonts w:eastAsia="TimesNewRoman"/>
          <w:snapToGrid w:val="0"/>
          <w:kern w:val="22"/>
          <w:szCs w:val="22"/>
          <w:lang w:val="ru-RU" w:eastAsia="ru-RU"/>
        </w:rPr>
        <w:t>Фитобентос Черного моря</w:t>
      </w:r>
      <w:r w:rsidRPr="0088780C">
        <w:rPr>
          <w:snapToGrid w:val="0"/>
          <w:kern w:val="22"/>
          <w:szCs w:val="22"/>
          <w:lang w:val="ru-RU" w:eastAsia="ru-RU"/>
        </w:rPr>
        <w:t xml:space="preserve">.– </w:t>
      </w:r>
      <w:r w:rsidRPr="0088780C">
        <w:rPr>
          <w:rFonts w:eastAsia="TimesNewRoman"/>
          <w:snapToGrid w:val="0"/>
          <w:kern w:val="22"/>
          <w:szCs w:val="22"/>
          <w:lang w:val="ru-RU" w:eastAsia="ru-RU"/>
        </w:rPr>
        <w:t>Киев</w:t>
      </w:r>
      <w:r w:rsidRPr="0088780C">
        <w:rPr>
          <w:snapToGrid w:val="0"/>
          <w:kern w:val="22"/>
          <w:szCs w:val="22"/>
          <w:lang w:val="ru-RU" w:eastAsia="ru-RU"/>
        </w:rPr>
        <w:t xml:space="preserve">: </w:t>
      </w:r>
      <w:r w:rsidRPr="0088780C">
        <w:rPr>
          <w:rFonts w:eastAsia="TimesNewRoman"/>
          <w:snapToGrid w:val="0"/>
          <w:kern w:val="22"/>
          <w:szCs w:val="22"/>
          <w:lang w:val="ru-RU" w:eastAsia="ru-RU"/>
        </w:rPr>
        <w:t>Наукова думка</w:t>
      </w:r>
      <w:r w:rsidRPr="0088780C">
        <w:rPr>
          <w:snapToGrid w:val="0"/>
          <w:kern w:val="22"/>
          <w:szCs w:val="22"/>
          <w:lang w:val="ru-RU" w:eastAsia="ru-RU"/>
        </w:rPr>
        <w:t xml:space="preserve">, 1975. - 247 </w:t>
      </w:r>
      <w:r w:rsidRPr="0088780C">
        <w:rPr>
          <w:rFonts w:eastAsia="TimesNewRoman"/>
          <w:snapToGrid w:val="0"/>
          <w:kern w:val="22"/>
          <w:szCs w:val="22"/>
          <w:lang w:val="ru-RU" w:eastAsia="ru-RU"/>
        </w:rPr>
        <w:t>с</w:t>
      </w:r>
      <w:r w:rsidRPr="0088780C">
        <w:rPr>
          <w:snapToGrid w:val="0"/>
          <w:kern w:val="22"/>
          <w:szCs w:val="22"/>
          <w:lang w:val="ru-RU" w:eastAsia="ru-RU"/>
        </w:rPr>
        <w:t>.</w:t>
      </w:r>
    </w:p>
    <w:p w14:paraId="3EFD558F"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rPr>
      </w:pPr>
      <w:r w:rsidRPr="0088780C">
        <w:rPr>
          <w:snapToGrid w:val="0"/>
          <w:kern w:val="22"/>
          <w:szCs w:val="22"/>
          <w:lang w:val="ru-RU"/>
        </w:rPr>
        <w:t xml:space="preserve">Калугина-Гутник А.А., Евстигнеева И.К. Структура ценопопуляции </w:t>
      </w:r>
      <w:r w:rsidRPr="0088780C">
        <w:rPr>
          <w:i/>
          <w:snapToGrid w:val="0"/>
          <w:kern w:val="22"/>
          <w:szCs w:val="22"/>
          <w:lang w:val="ru-RU"/>
        </w:rPr>
        <w:t>Phyllophora brodiaei</w:t>
      </w:r>
      <w:r w:rsidRPr="0088780C">
        <w:rPr>
          <w:snapToGrid w:val="0"/>
          <w:kern w:val="22"/>
          <w:szCs w:val="22"/>
          <w:lang w:val="ru-RU"/>
        </w:rPr>
        <w:t xml:space="preserve"> на Филлофорном поле Зернова в июле-августе 1989 г. Экология моря, 1993, вып. 44. с. 57-63.</w:t>
      </w:r>
    </w:p>
    <w:p w14:paraId="17C82BA3"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rPr>
      </w:pPr>
      <w:r w:rsidRPr="0088780C">
        <w:rPr>
          <w:snapToGrid w:val="0"/>
          <w:kern w:val="22"/>
          <w:szCs w:val="22"/>
          <w:lang w:val="ru-RU"/>
        </w:rPr>
        <w:t>Калугина-Гутник А.А. Лачко О.А. Состав, распределение и запасы водорослей Черного моря в районе Филлофорного поля // Распределение бентоса и биология донных животных в южных морях. - Киев : Наукова думка. - 1966. - С.112-131</w:t>
      </w:r>
    </w:p>
    <w:p w14:paraId="753EDA23" w14:textId="500A5055" w:rsidR="00A876F3" w:rsidRPr="0088780C" w:rsidRDefault="00A876F3" w:rsidP="001013AF">
      <w:pPr>
        <w:suppressLineNumbers/>
        <w:suppressAutoHyphens/>
        <w:kinsoku w:val="0"/>
        <w:overflowPunct w:val="0"/>
        <w:autoSpaceDE w:val="0"/>
        <w:autoSpaceDN w:val="0"/>
        <w:adjustRightInd w:val="0"/>
        <w:snapToGrid w:val="0"/>
        <w:spacing w:after="120"/>
        <w:ind w:left="720" w:hanging="720"/>
        <w:textAlignment w:val="baseline"/>
        <w:rPr>
          <w:snapToGrid w:val="0"/>
          <w:kern w:val="22"/>
          <w:szCs w:val="22"/>
          <w:lang w:val="ru-RU"/>
        </w:rPr>
      </w:pPr>
      <w:r w:rsidRPr="0088780C">
        <w:rPr>
          <w:bCs/>
          <w:iCs/>
          <w:snapToGrid w:val="0"/>
          <w:kern w:val="22"/>
          <w:szCs w:val="22"/>
          <w:lang w:val="ru-RU"/>
        </w:rPr>
        <w:t xml:space="preserve">Миничева Г.Г. </w:t>
      </w:r>
      <w:r w:rsidRPr="0088780C">
        <w:rPr>
          <w:bCs/>
          <w:snapToGrid w:val="0"/>
          <w:kern w:val="22"/>
          <w:szCs w:val="22"/>
          <w:lang w:val="ru-RU"/>
        </w:rPr>
        <w:t xml:space="preserve">Фитоценозы Филлофорного поля Зернова, как индикаторы современного экологического состояния северо-западного шельфа Черного моря / </w:t>
      </w:r>
      <w:r w:rsidRPr="0088780C">
        <w:rPr>
          <w:snapToGrid w:val="0"/>
          <w:kern w:val="22"/>
          <w:szCs w:val="22"/>
          <w:lang w:val="ru-RU"/>
        </w:rPr>
        <w:t xml:space="preserve">Збірник наукових статей до Міжнародної науково-практичної конференції </w:t>
      </w:r>
      <w:r w:rsidR="00D8482D" w:rsidRPr="0088780C">
        <w:rPr>
          <w:bCs/>
          <w:snapToGrid w:val="0"/>
          <w:kern w:val="22"/>
          <w:szCs w:val="22"/>
          <w:lang w:val="ru-RU"/>
        </w:rPr>
        <w:t>“</w:t>
      </w:r>
      <w:r w:rsidRPr="0088780C">
        <w:rPr>
          <w:bCs/>
          <w:snapToGrid w:val="0"/>
          <w:kern w:val="22"/>
          <w:szCs w:val="22"/>
          <w:lang w:val="ru-RU"/>
        </w:rPr>
        <w:t>Екологічні проблеми Чорного моря</w:t>
      </w:r>
      <w:r w:rsidR="00D8482D" w:rsidRPr="0088780C">
        <w:rPr>
          <w:bCs/>
          <w:snapToGrid w:val="0"/>
          <w:kern w:val="22"/>
          <w:szCs w:val="22"/>
          <w:lang w:val="ru-RU"/>
        </w:rPr>
        <w:t>”</w:t>
      </w:r>
      <w:r w:rsidRPr="0088780C">
        <w:rPr>
          <w:b/>
          <w:bCs/>
          <w:snapToGrid w:val="0"/>
          <w:kern w:val="22"/>
          <w:szCs w:val="22"/>
          <w:lang w:val="ru-RU"/>
        </w:rPr>
        <w:t xml:space="preserve"> </w:t>
      </w:r>
      <w:r w:rsidRPr="0088780C">
        <w:rPr>
          <w:snapToGrid w:val="0"/>
          <w:kern w:val="22"/>
          <w:szCs w:val="22"/>
          <w:lang w:val="ru-RU"/>
        </w:rPr>
        <w:t xml:space="preserve">(ЗІ травня - </w:t>
      </w:r>
      <w:r w:rsidRPr="0088780C">
        <w:rPr>
          <w:bCs/>
          <w:snapToGrid w:val="0"/>
          <w:kern w:val="22"/>
          <w:szCs w:val="22"/>
          <w:lang w:val="ru-RU"/>
        </w:rPr>
        <w:t>1</w:t>
      </w:r>
      <w:r w:rsidRPr="0088780C">
        <w:rPr>
          <w:b/>
          <w:bCs/>
          <w:snapToGrid w:val="0"/>
          <w:kern w:val="22"/>
          <w:szCs w:val="22"/>
          <w:lang w:val="ru-RU"/>
        </w:rPr>
        <w:t xml:space="preserve"> </w:t>
      </w:r>
      <w:r w:rsidRPr="0088780C">
        <w:rPr>
          <w:snapToGrid w:val="0"/>
          <w:kern w:val="22"/>
          <w:szCs w:val="22"/>
          <w:lang w:val="ru-RU"/>
        </w:rPr>
        <w:t>червня, 2007, Одеса): З-б наук.ст./відп. ред. В.М. Небрат - Одеса:[нновашйно-інформаційний центр «ІНВАЦ», 2007 р.- C. 229-233;</w:t>
      </w:r>
    </w:p>
    <w:p w14:paraId="07436D53"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rPr>
      </w:pPr>
      <w:r w:rsidRPr="0088780C">
        <w:rPr>
          <w:snapToGrid w:val="0"/>
          <w:kern w:val="22"/>
          <w:szCs w:val="22"/>
          <w:lang w:val="ru-RU"/>
        </w:rPr>
        <w:t>Миничева Г.Г., Косенко М.Н., Швец А.В.. Фитобентос Большого и Малого филлофорных полей как отражение современного экологического состояния северо-западной части Черного моря. Морський екологічний журнал, №4, Т.VIII – 2009. – С. 24-40.</w:t>
      </w:r>
    </w:p>
    <w:p w14:paraId="40C5BF53"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rPr>
      </w:pPr>
      <w:r w:rsidRPr="0088780C">
        <w:rPr>
          <w:snapToGrid w:val="0"/>
          <w:kern w:val="22"/>
          <w:szCs w:val="22"/>
          <w:lang w:val="ru-RU" w:eastAsia="ru-RU"/>
        </w:rPr>
        <w:t>Ревков Н.К.</w:t>
      </w:r>
      <w:r w:rsidRPr="0088780C">
        <w:rPr>
          <w:bCs/>
          <w:snapToGrid w:val="0"/>
          <w:kern w:val="22"/>
          <w:szCs w:val="22"/>
          <w:lang w:val="ru-RU" w:eastAsia="ru-RU"/>
        </w:rPr>
        <w:t xml:space="preserve"> Видовое богатство и количественное развитие макрозообентоса Филлофорного поля Зернова /</w:t>
      </w:r>
      <w:r w:rsidRPr="0088780C">
        <w:rPr>
          <w:snapToGrid w:val="0"/>
          <w:kern w:val="22"/>
          <w:szCs w:val="22"/>
          <w:lang w:val="ru-RU" w:eastAsia="ru-RU"/>
        </w:rPr>
        <w:t xml:space="preserve">, Н. А. Болтачева, И. П. Бондарев, В. А. Тимофеев, Л. В. Бондаренко. </w:t>
      </w:r>
      <w:r w:rsidRPr="0088780C">
        <w:rPr>
          <w:bCs/>
          <w:snapToGrid w:val="0"/>
          <w:kern w:val="22"/>
          <w:szCs w:val="22"/>
          <w:lang w:val="ru-RU" w:eastAsia="ru-RU"/>
        </w:rPr>
        <w:t xml:space="preserve">Морские биологические исследования: достижения и перспективы </w:t>
      </w:r>
      <w:r w:rsidRPr="0088780C">
        <w:rPr>
          <w:snapToGrid w:val="0"/>
          <w:kern w:val="22"/>
          <w:szCs w:val="22"/>
          <w:lang w:val="ru-RU" w:eastAsia="ru-RU"/>
        </w:rPr>
        <w:t>:в 3-х т. : сборник материалов Всероссийской научно-практической конференции с международным участием, приуроченной к 145-летию Севастопольской биологической станции (Севастополь, 19–24 сентября 2016 г.) / под общ. ред. А.В. Гаевской. – Севастополь : ЭКОСИ-Гидрофизика, 2016. – Т. 2. – 501 с.</w:t>
      </w:r>
    </w:p>
    <w:p w14:paraId="7D49B980" w14:textId="63A480BD"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rPr>
      </w:pPr>
      <w:r w:rsidRPr="0088780C">
        <w:rPr>
          <w:snapToGrid w:val="0"/>
          <w:kern w:val="22"/>
          <w:szCs w:val="22"/>
          <w:lang w:val="ru-RU"/>
        </w:rPr>
        <w:t xml:space="preserve">Северо-западная часть Черного моря: биология и экология / Под ред. Ю. П. Зайцева, Б. Г. Александрова, Г.Г. Миничевой. – К, </w:t>
      </w:r>
      <w:r w:rsidR="00D8482D" w:rsidRPr="0088780C">
        <w:rPr>
          <w:snapToGrid w:val="0"/>
          <w:kern w:val="22"/>
          <w:szCs w:val="22"/>
          <w:lang w:val="ru-RU"/>
        </w:rPr>
        <w:t>“</w:t>
      </w:r>
      <w:r w:rsidRPr="0088780C">
        <w:rPr>
          <w:snapToGrid w:val="0"/>
          <w:kern w:val="22"/>
          <w:szCs w:val="22"/>
          <w:lang w:val="ru-RU"/>
        </w:rPr>
        <w:t>Наукова думка</w:t>
      </w:r>
      <w:r w:rsidR="00D8482D" w:rsidRPr="0088780C">
        <w:rPr>
          <w:snapToGrid w:val="0"/>
          <w:kern w:val="22"/>
          <w:szCs w:val="22"/>
          <w:lang w:val="ru-RU"/>
        </w:rPr>
        <w:t>”</w:t>
      </w:r>
      <w:r w:rsidRPr="0088780C">
        <w:rPr>
          <w:snapToGrid w:val="0"/>
          <w:kern w:val="22"/>
          <w:szCs w:val="22"/>
          <w:lang w:val="ru-RU"/>
        </w:rPr>
        <w:t>, 2006.-701с.</w:t>
      </w:r>
    </w:p>
    <w:p w14:paraId="105E685A" w14:textId="77777777" w:rsidR="00A876F3" w:rsidRPr="0088780C" w:rsidRDefault="00E7219D" w:rsidP="001013AF">
      <w:pPr>
        <w:suppressLineNumbers/>
        <w:suppressAutoHyphens/>
        <w:kinsoku w:val="0"/>
        <w:overflowPunct w:val="0"/>
        <w:autoSpaceDE w:val="0"/>
        <w:autoSpaceDN w:val="0"/>
        <w:adjustRightInd w:val="0"/>
        <w:snapToGrid w:val="0"/>
        <w:spacing w:after="120"/>
        <w:ind w:left="720" w:hanging="720"/>
        <w:rPr>
          <w:rFonts w:eastAsia="Times New Roman"/>
          <w:snapToGrid w:val="0"/>
          <w:kern w:val="22"/>
          <w:szCs w:val="22"/>
          <w:lang w:val="ru-RU" w:eastAsia="uk-UA"/>
        </w:rPr>
      </w:pPr>
      <w:hyperlink r:id="rId123" w:tooltip="Пошук за автором" w:history="1">
        <w:r w:rsidR="00A876F3" w:rsidRPr="0088780C">
          <w:rPr>
            <w:rFonts w:eastAsia="Times New Roman"/>
            <w:snapToGrid w:val="0"/>
            <w:kern w:val="22"/>
            <w:szCs w:val="22"/>
            <w:lang w:val="ru-RU" w:eastAsia="uk-UA"/>
          </w:rPr>
          <w:t>Совга Е. Е.</w:t>
        </w:r>
      </w:hyperlink>
      <w:r w:rsidR="00A876F3" w:rsidRPr="0088780C">
        <w:rPr>
          <w:rFonts w:eastAsia="Times New Roman"/>
          <w:snapToGrid w:val="0"/>
          <w:kern w:val="22"/>
          <w:szCs w:val="22"/>
          <w:lang w:val="ru-RU" w:eastAsia="uk-UA"/>
        </w:rPr>
        <w:t> </w:t>
      </w:r>
      <w:r w:rsidR="00A876F3" w:rsidRPr="0088780C">
        <w:rPr>
          <w:rFonts w:eastAsia="Times New Roman"/>
          <w:bCs/>
          <w:snapToGrid w:val="0"/>
          <w:kern w:val="22"/>
          <w:szCs w:val="22"/>
          <w:lang w:val="ru-RU" w:eastAsia="uk-UA"/>
        </w:rPr>
        <w:t>Районирование акватории северо-западной части Черного моря при математическом моделировании шельфовых экосистем</w:t>
      </w:r>
      <w:r w:rsidR="00A876F3" w:rsidRPr="0088780C">
        <w:rPr>
          <w:rFonts w:eastAsia="Times New Roman"/>
          <w:snapToGrid w:val="0"/>
          <w:kern w:val="22"/>
          <w:szCs w:val="22"/>
          <w:lang w:val="ru-RU" w:eastAsia="uk-UA"/>
        </w:rPr>
        <w:t xml:space="preserve"> / Е. Е. Совга, В. А. </w:t>
      </w:r>
      <w:r w:rsidR="00A876F3" w:rsidRPr="0088780C">
        <w:rPr>
          <w:rFonts w:eastAsia="Times New Roman"/>
          <w:bCs/>
          <w:snapToGrid w:val="0"/>
          <w:kern w:val="22"/>
          <w:szCs w:val="22"/>
          <w:lang w:val="ru-RU" w:eastAsia="uk-UA"/>
        </w:rPr>
        <w:t>Жоров</w:t>
      </w:r>
      <w:r w:rsidR="00A876F3" w:rsidRPr="0088780C">
        <w:rPr>
          <w:rFonts w:eastAsia="Times New Roman"/>
          <w:snapToGrid w:val="0"/>
          <w:kern w:val="22"/>
          <w:szCs w:val="22"/>
          <w:lang w:val="ru-RU" w:eastAsia="uk-UA"/>
        </w:rPr>
        <w:t xml:space="preserve">, С. Г. Богуславский, В. П. Сидень // </w:t>
      </w:r>
      <w:hyperlink r:id="rId124" w:tooltip="Пошук за серією" w:history="1">
        <w:r w:rsidR="00A876F3" w:rsidRPr="0088780C">
          <w:rPr>
            <w:rFonts w:eastAsia="Times New Roman"/>
            <w:snapToGrid w:val="0"/>
            <w:kern w:val="22"/>
            <w:szCs w:val="22"/>
            <w:lang w:val="ru-RU" w:eastAsia="uk-UA"/>
          </w:rPr>
          <w:t>Екол. безпека прибереж. та шельфової зон та комплекс. використ. ресурсів шельфу</w:t>
        </w:r>
      </w:hyperlink>
      <w:r w:rsidR="00A876F3" w:rsidRPr="0088780C">
        <w:rPr>
          <w:rFonts w:eastAsia="Times New Roman"/>
          <w:snapToGrid w:val="0"/>
          <w:kern w:val="22"/>
          <w:szCs w:val="22"/>
          <w:lang w:val="ru-RU" w:eastAsia="uk-UA"/>
        </w:rPr>
        <w:t xml:space="preserve">. </w:t>
      </w:r>
      <w:r w:rsidR="00A876F3" w:rsidRPr="0088780C">
        <w:rPr>
          <w:snapToGrid w:val="0"/>
          <w:kern w:val="22"/>
          <w:szCs w:val="22"/>
          <w:lang w:val="ru-RU" w:eastAsia="ru-RU"/>
        </w:rPr>
        <w:t>–</w:t>
      </w:r>
      <w:r w:rsidR="00A876F3" w:rsidRPr="0088780C">
        <w:rPr>
          <w:rFonts w:eastAsia="Times New Roman"/>
          <w:snapToGrid w:val="0"/>
          <w:kern w:val="22"/>
          <w:szCs w:val="22"/>
          <w:lang w:val="ru-RU" w:eastAsia="uk-UA"/>
        </w:rPr>
        <w:t xml:space="preserve"> 2005. </w:t>
      </w:r>
      <w:r w:rsidR="00A876F3" w:rsidRPr="0088780C">
        <w:rPr>
          <w:snapToGrid w:val="0"/>
          <w:kern w:val="22"/>
          <w:szCs w:val="22"/>
          <w:lang w:val="ru-RU" w:eastAsia="ru-RU"/>
        </w:rPr>
        <w:t>–</w:t>
      </w:r>
      <w:r w:rsidR="00A876F3" w:rsidRPr="0088780C">
        <w:rPr>
          <w:rFonts w:eastAsia="Times New Roman"/>
          <w:snapToGrid w:val="0"/>
          <w:kern w:val="22"/>
          <w:szCs w:val="22"/>
          <w:lang w:val="ru-RU" w:eastAsia="uk-UA"/>
        </w:rPr>
        <w:t xml:space="preserve"> Вип. 12. </w:t>
      </w:r>
      <w:r w:rsidR="00A876F3" w:rsidRPr="0088780C">
        <w:rPr>
          <w:snapToGrid w:val="0"/>
          <w:kern w:val="22"/>
          <w:szCs w:val="22"/>
          <w:lang w:val="ru-RU" w:eastAsia="ru-RU"/>
        </w:rPr>
        <w:t>–</w:t>
      </w:r>
      <w:r w:rsidR="00A876F3" w:rsidRPr="0088780C">
        <w:rPr>
          <w:rFonts w:eastAsia="Times New Roman"/>
          <w:snapToGrid w:val="0"/>
          <w:kern w:val="22"/>
          <w:szCs w:val="22"/>
          <w:lang w:val="ru-RU" w:eastAsia="uk-UA"/>
        </w:rPr>
        <w:t xml:space="preserve"> С. 421-428.</w:t>
      </w:r>
    </w:p>
    <w:p w14:paraId="10D5FA1F" w14:textId="77777777" w:rsidR="00A876F3" w:rsidRPr="0088780C" w:rsidRDefault="00E7219D" w:rsidP="004828B5">
      <w:pPr>
        <w:suppressLineNumbers/>
        <w:suppressAutoHyphens/>
        <w:kinsoku w:val="0"/>
        <w:overflowPunct w:val="0"/>
        <w:autoSpaceDE w:val="0"/>
        <w:autoSpaceDN w:val="0"/>
        <w:adjustRightInd w:val="0"/>
        <w:snapToGrid w:val="0"/>
        <w:spacing w:after="120"/>
        <w:ind w:left="720" w:hanging="720"/>
        <w:jc w:val="left"/>
        <w:rPr>
          <w:snapToGrid w:val="0"/>
          <w:kern w:val="22"/>
          <w:szCs w:val="22"/>
          <w:lang w:val="ru-RU"/>
        </w:rPr>
      </w:pPr>
      <w:hyperlink r:id="rId125" w:tooltip="Пошук за автором" w:history="1">
        <w:r w:rsidR="00A876F3" w:rsidRPr="0088780C">
          <w:rPr>
            <w:snapToGrid w:val="0"/>
            <w:kern w:val="22"/>
            <w:szCs w:val="22"/>
            <w:lang w:val="ru-RU"/>
          </w:rPr>
          <w:t>Ткаченко Ф. П.</w:t>
        </w:r>
      </w:hyperlink>
      <w:r w:rsidR="00A876F3" w:rsidRPr="0088780C">
        <w:rPr>
          <w:snapToGrid w:val="0"/>
          <w:kern w:val="22"/>
          <w:szCs w:val="22"/>
          <w:lang w:val="ru-RU"/>
        </w:rPr>
        <w:t xml:space="preserve"> </w:t>
      </w:r>
      <w:r w:rsidR="00A876F3" w:rsidRPr="0088780C">
        <w:rPr>
          <w:bCs/>
          <w:snapToGrid w:val="0"/>
          <w:kern w:val="22"/>
          <w:szCs w:val="22"/>
          <w:lang w:val="ru-RU"/>
        </w:rPr>
        <w:t>Макрофитобентос ботаническогo заказника общегосударственного значения «Филлофорное поле Зернова» (Украина)</w:t>
      </w:r>
      <w:r w:rsidR="00A876F3" w:rsidRPr="0088780C">
        <w:rPr>
          <w:snapToGrid w:val="0"/>
          <w:kern w:val="22"/>
          <w:szCs w:val="22"/>
          <w:lang w:val="ru-RU"/>
        </w:rPr>
        <w:t xml:space="preserve"> / Ф. П. Ткаченко, И. П. Третьяк // </w:t>
      </w:r>
      <w:hyperlink r:id="rId126" w:tooltip="Періодичне видання" w:history="1">
        <w:r w:rsidR="00A876F3" w:rsidRPr="0088780C">
          <w:rPr>
            <w:snapToGrid w:val="0"/>
            <w:kern w:val="22"/>
            <w:szCs w:val="22"/>
            <w:lang w:val="ru-RU"/>
          </w:rPr>
          <w:t>Альгология</w:t>
        </w:r>
      </w:hyperlink>
      <w:r w:rsidR="00A876F3" w:rsidRPr="0088780C">
        <w:rPr>
          <w:snapToGrid w:val="0"/>
          <w:kern w:val="22"/>
          <w:szCs w:val="22"/>
          <w:lang w:val="ru-RU"/>
        </w:rPr>
        <w:t xml:space="preserve">. </w:t>
      </w:r>
      <w:r w:rsidR="00A876F3" w:rsidRPr="0088780C">
        <w:rPr>
          <w:snapToGrid w:val="0"/>
          <w:kern w:val="22"/>
          <w:szCs w:val="22"/>
          <w:lang w:val="ru-RU" w:eastAsia="ru-RU"/>
        </w:rPr>
        <w:t>–</w:t>
      </w:r>
      <w:r w:rsidR="00A876F3" w:rsidRPr="0088780C">
        <w:rPr>
          <w:snapToGrid w:val="0"/>
          <w:kern w:val="22"/>
          <w:szCs w:val="22"/>
          <w:lang w:val="ru-RU"/>
        </w:rPr>
        <w:t xml:space="preserve"> 2015. </w:t>
      </w:r>
      <w:r w:rsidR="00A876F3" w:rsidRPr="0088780C">
        <w:rPr>
          <w:snapToGrid w:val="0"/>
          <w:kern w:val="22"/>
          <w:szCs w:val="22"/>
          <w:lang w:val="ru-RU" w:eastAsia="ru-RU"/>
        </w:rPr>
        <w:t>–</w:t>
      </w:r>
      <w:r w:rsidR="00A876F3" w:rsidRPr="0088780C">
        <w:rPr>
          <w:snapToGrid w:val="0"/>
          <w:kern w:val="22"/>
          <w:szCs w:val="22"/>
          <w:lang w:val="ru-RU"/>
        </w:rPr>
        <w:t xml:space="preserve"> Т. 25, № 3. </w:t>
      </w:r>
      <w:r w:rsidR="00A876F3" w:rsidRPr="0088780C">
        <w:rPr>
          <w:snapToGrid w:val="0"/>
          <w:kern w:val="22"/>
          <w:szCs w:val="22"/>
          <w:lang w:val="ru-RU" w:eastAsia="ru-RU"/>
        </w:rPr>
        <w:t>–</w:t>
      </w:r>
      <w:r w:rsidR="00A876F3" w:rsidRPr="0088780C">
        <w:rPr>
          <w:snapToGrid w:val="0"/>
          <w:kern w:val="22"/>
          <w:szCs w:val="22"/>
          <w:lang w:val="ru-RU"/>
        </w:rPr>
        <w:t xml:space="preserve"> С. 238-246. </w:t>
      </w:r>
      <w:r w:rsidR="00A876F3" w:rsidRPr="0088780C">
        <w:rPr>
          <w:snapToGrid w:val="0"/>
          <w:kern w:val="22"/>
          <w:szCs w:val="22"/>
          <w:lang w:val="ru-RU" w:eastAsia="ru-RU"/>
        </w:rPr>
        <w:t>–</w:t>
      </w:r>
      <w:r w:rsidR="00A876F3" w:rsidRPr="0088780C">
        <w:rPr>
          <w:snapToGrid w:val="0"/>
          <w:kern w:val="22"/>
          <w:szCs w:val="22"/>
          <w:lang w:val="ru-RU"/>
        </w:rPr>
        <w:t xml:space="preserve"> Режим доступу: </w:t>
      </w:r>
      <w:hyperlink r:id="rId127" w:history="1">
        <w:r w:rsidR="00A876F3" w:rsidRPr="0088780C">
          <w:rPr>
            <w:snapToGrid w:val="0"/>
            <w:kern w:val="22"/>
            <w:szCs w:val="22"/>
            <w:lang w:val="ru-RU"/>
          </w:rPr>
          <w:t>http://nbuv.gov.ua/UJRN/</w:t>
        </w:r>
        <w:r w:rsidR="00A876F3" w:rsidRPr="0088780C">
          <w:rPr>
            <w:bCs/>
            <w:snapToGrid w:val="0"/>
            <w:kern w:val="22"/>
            <w:szCs w:val="22"/>
            <w:lang w:val="ru-RU"/>
          </w:rPr>
          <w:t>algol</w:t>
        </w:r>
        <w:r w:rsidR="00A876F3" w:rsidRPr="0088780C">
          <w:rPr>
            <w:snapToGrid w:val="0"/>
            <w:kern w:val="22"/>
            <w:szCs w:val="22"/>
            <w:lang w:val="ru-RU"/>
          </w:rPr>
          <w:t>_2015_25_3_4</w:t>
        </w:r>
      </w:hyperlink>
    </w:p>
    <w:p w14:paraId="7BE93E4A"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rPr>
      </w:pPr>
      <w:r w:rsidRPr="0088780C">
        <w:rPr>
          <w:rFonts w:eastAsia="Arial-BoldMT"/>
          <w:bCs/>
          <w:snapToGrid w:val="0"/>
          <w:kern w:val="22"/>
          <w:szCs w:val="22"/>
          <w:lang w:val="ru-RU"/>
        </w:rPr>
        <w:t>Трет'як І.П. Збереження рідкісних видів макрофітів північно-західної частини Чорного моря / Рослинний світ у Червоній книзі України: впровадження Глобальної стратегії збереження рослин</w:t>
      </w:r>
      <w:r w:rsidRPr="0088780C">
        <w:rPr>
          <w:rFonts w:eastAsia="Arial-BoldMT"/>
          <w:b/>
          <w:bCs/>
          <w:snapToGrid w:val="0"/>
          <w:kern w:val="22"/>
          <w:szCs w:val="22"/>
          <w:lang w:val="ru-RU"/>
        </w:rPr>
        <w:t xml:space="preserve"> </w:t>
      </w:r>
      <w:r w:rsidRPr="0088780C">
        <w:rPr>
          <w:rFonts w:eastAsia="ArialMT"/>
          <w:snapToGrid w:val="0"/>
          <w:kern w:val="22"/>
          <w:szCs w:val="22"/>
          <w:lang w:val="ru-RU"/>
        </w:rPr>
        <w:t>/ Матеріали III Міжнародної наукової конференції (4-7 червня 2014 р., м. Львів). – Львів, 2014. – С. 161-164</w:t>
      </w:r>
    </w:p>
    <w:p w14:paraId="3E07A494" w14:textId="77777777" w:rsidR="00A876F3" w:rsidRPr="0088780C" w:rsidRDefault="00A876F3" w:rsidP="004828B5">
      <w:pPr>
        <w:suppressLineNumbers/>
        <w:suppressAutoHyphens/>
        <w:kinsoku w:val="0"/>
        <w:overflowPunct w:val="0"/>
        <w:autoSpaceDE w:val="0"/>
        <w:autoSpaceDN w:val="0"/>
        <w:adjustRightInd w:val="0"/>
        <w:snapToGrid w:val="0"/>
        <w:spacing w:after="120"/>
        <w:ind w:left="720" w:hanging="720"/>
        <w:jc w:val="left"/>
        <w:rPr>
          <w:snapToGrid w:val="0"/>
          <w:kern w:val="22"/>
          <w:szCs w:val="22"/>
          <w:lang w:val="ru-RU"/>
        </w:rPr>
      </w:pPr>
      <w:r w:rsidRPr="0088780C">
        <w:rPr>
          <w:snapToGrid w:val="0"/>
          <w:kern w:val="22"/>
          <w:szCs w:val="22"/>
          <w:lang w:val="ru-RU"/>
        </w:rPr>
        <w:t xml:space="preserve">Указ Президента України </w:t>
      </w:r>
      <w:r w:rsidRPr="0088780C">
        <w:rPr>
          <w:rFonts w:eastAsia="MS Mincho"/>
          <w:snapToGrid w:val="0"/>
          <w:kern w:val="22"/>
          <w:szCs w:val="22"/>
          <w:lang w:val="ru-RU"/>
        </w:rPr>
        <w:t xml:space="preserve">№ 1064/2008 от 21.11.2008 </w:t>
      </w:r>
      <w:r w:rsidRPr="0088780C">
        <w:rPr>
          <w:snapToGrid w:val="0"/>
          <w:kern w:val="22"/>
          <w:szCs w:val="22"/>
          <w:lang w:val="ru-RU"/>
        </w:rPr>
        <w:t>http://www.president.gov.ua/documents/10642008-8223</w:t>
      </w:r>
    </w:p>
    <w:p w14:paraId="464199CE"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eastAsia="ru-RU"/>
        </w:rPr>
      </w:pPr>
      <w:r w:rsidRPr="0088780C">
        <w:rPr>
          <w:iCs/>
          <w:snapToGrid w:val="0"/>
          <w:kern w:val="22"/>
          <w:szCs w:val="22"/>
          <w:lang w:val="ru-RU" w:eastAsia="ru-RU"/>
        </w:rPr>
        <w:t>Хованский А.Д., Черноусов С.Я.</w:t>
      </w:r>
      <w:r w:rsidRPr="0088780C">
        <w:rPr>
          <w:i/>
          <w:iCs/>
          <w:snapToGrid w:val="0"/>
          <w:kern w:val="22"/>
          <w:szCs w:val="22"/>
          <w:lang w:val="ru-RU" w:eastAsia="ru-RU"/>
        </w:rPr>
        <w:t xml:space="preserve"> </w:t>
      </w:r>
      <w:r w:rsidRPr="0088780C">
        <w:rPr>
          <w:rFonts w:eastAsia="TimesNewRoman"/>
          <w:snapToGrid w:val="0"/>
          <w:kern w:val="22"/>
          <w:szCs w:val="22"/>
          <w:lang w:val="ru-RU" w:eastAsia="ru-RU"/>
        </w:rPr>
        <w:t>Геохимия ландшафтов северо</w:t>
      </w:r>
      <w:r w:rsidRPr="0088780C">
        <w:rPr>
          <w:snapToGrid w:val="0"/>
          <w:kern w:val="22"/>
          <w:szCs w:val="22"/>
          <w:lang w:val="ru-RU" w:eastAsia="ru-RU"/>
        </w:rPr>
        <w:t>-</w:t>
      </w:r>
      <w:r w:rsidRPr="0088780C">
        <w:rPr>
          <w:rFonts w:eastAsia="TimesNewRoman"/>
          <w:snapToGrid w:val="0"/>
          <w:kern w:val="22"/>
          <w:szCs w:val="22"/>
          <w:lang w:val="ru-RU" w:eastAsia="ru-RU"/>
        </w:rPr>
        <w:t xml:space="preserve">западной части Черного моря </w:t>
      </w:r>
      <w:r w:rsidRPr="0088780C">
        <w:rPr>
          <w:snapToGrid w:val="0"/>
          <w:kern w:val="22"/>
          <w:szCs w:val="22"/>
          <w:lang w:val="ru-RU" w:eastAsia="ru-RU"/>
        </w:rPr>
        <w:t xml:space="preserve">// </w:t>
      </w:r>
      <w:r w:rsidRPr="0088780C">
        <w:rPr>
          <w:rFonts w:eastAsia="TimesNewRoman"/>
          <w:snapToGrid w:val="0"/>
          <w:kern w:val="22"/>
          <w:szCs w:val="22"/>
          <w:lang w:val="ru-RU" w:eastAsia="ru-RU"/>
        </w:rPr>
        <w:t>Геохимия</w:t>
      </w:r>
      <w:r w:rsidRPr="0088780C">
        <w:rPr>
          <w:snapToGrid w:val="0"/>
          <w:kern w:val="22"/>
          <w:szCs w:val="22"/>
          <w:lang w:val="ru-RU" w:eastAsia="ru-RU"/>
        </w:rPr>
        <w:t xml:space="preserve">.– 1989.– 12.– </w:t>
      </w:r>
      <w:r w:rsidRPr="0088780C">
        <w:rPr>
          <w:rFonts w:eastAsia="TimesNewRoman"/>
          <w:snapToGrid w:val="0"/>
          <w:kern w:val="22"/>
          <w:szCs w:val="22"/>
          <w:lang w:val="ru-RU" w:eastAsia="ru-RU"/>
        </w:rPr>
        <w:t>С</w:t>
      </w:r>
      <w:r w:rsidRPr="0088780C">
        <w:rPr>
          <w:snapToGrid w:val="0"/>
          <w:kern w:val="22"/>
          <w:szCs w:val="22"/>
          <w:lang w:val="ru-RU" w:eastAsia="ru-RU"/>
        </w:rPr>
        <w:t>.1727-1735.</w:t>
      </w:r>
    </w:p>
    <w:p w14:paraId="5DB65E15" w14:textId="77777777" w:rsidR="00A876F3" w:rsidRPr="0088780C" w:rsidRDefault="00A876F3" w:rsidP="001013AF">
      <w:pPr>
        <w:suppressLineNumbers/>
        <w:suppressAutoHyphens/>
        <w:kinsoku w:val="0"/>
        <w:overflowPunct w:val="0"/>
        <w:autoSpaceDE w:val="0"/>
        <w:autoSpaceDN w:val="0"/>
        <w:adjustRightInd w:val="0"/>
        <w:snapToGrid w:val="0"/>
        <w:spacing w:after="120"/>
        <w:ind w:left="720" w:hanging="720"/>
        <w:rPr>
          <w:snapToGrid w:val="0"/>
          <w:kern w:val="22"/>
          <w:szCs w:val="22"/>
          <w:lang w:val="ru-RU"/>
        </w:rPr>
      </w:pPr>
      <w:r w:rsidRPr="0088780C">
        <w:rPr>
          <w:snapToGrid w:val="0"/>
          <w:kern w:val="22"/>
          <w:szCs w:val="22"/>
          <w:lang w:val="ru-RU"/>
        </w:rPr>
        <w:t>Червона книга України. Рослинний світ – Київ : Глобалконсалтинг. – 2009. – 900 с.</w:t>
      </w:r>
    </w:p>
    <w:p w14:paraId="38443B33"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br w:type="page"/>
      </w:r>
    </w:p>
    <w:p w14:paraId="2C9FD8C3"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B4B8463"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b/>
          <w:snapToGrid w:val="0"/>
          <w:kern w:val="22"/>
          <w:szCs w:val="22"/>
        </w:rPr>
        <w:t>Maps and Figures</w:t>
      </w:r>
    </w:p>
    <w:p w14:paraId="6B2291BE"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3CB976EE" wp14:editId="3214556A">
            <wp:extent cx="5486400" cy="4572000"/>
            <wp:effectExtent l="0" t="0" r="0" b="0"/>
            <wp:docPr id="64556" name="Picture 64556" descr="C:\Users\grekin\AppData\Local\Microsoft\Windows\Temporary Internet Files\Content.Wor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grekin\AppData\Local\Microsoft\Windows\Temporary Internet Files\Content.Word\5.pn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283E26AD"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 xml:space="preserve">Figure 1. </w:t>
      </w:r>
      <w:r w:rsidRPr="0088780C">
        <w:rPr>
          <w:rFonts w:eastAsia="MS Mincho"/>
          <w:b/>
          <w:snapToGrid w:val="0"/>
          <w:color w:val="000000" w:themeColor="text1"/>
          <w:kern w:val="22"/>
          <w:szCs w:val="22"/>
        </w:rPr>
        <w:t>Area meeting the EBSA criteria</w:t>
      </w:r>
    </w:p>
    <w:p w14:paraId="735E900A"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DC8BDA2"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91F95D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511D8BE3" wp14:editId="758C6F22">
            <wp:extent cx="3771900" cy="3457575"/>
            <wp:effectExtent l="0" t="0" r="0" b="9525"/>
            <wp:docPr id="64540" name="Рисунок 21" descr="Описание: DeepNG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писание: DeepNG6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771900" cy="3457575"/>
                    </a:xfrm>
                    <a:prstGeom prst="rect">
                      <a:avLst/>
                    </a:prstGeom>
                    <a:noFill/>
                    <a:ln>
                      <a:noFill/>
                    </a:ln>
                  </pic:spPr>
                </pic:pic>
              </a:graphicData>
            </a:graphic>
          </wp:inline>
        </w:drawing>
      </w:r>
    </w:p>
    <w:p w14:paraId="7BC43676"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16A5982" w14:textId="48E5C6E4"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Figure 2. Bathymetric scheme of Zernov’s Phyllophora Field</w:t>
      </w:r>
    </w:p>
    <w:p w14:paraId="57F8A7D1"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94AE3B9"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90F3880"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27906C3B" wp14:editId="6A94D717">
            <wp:extent cx="3295650" cy="2476500"/>
            <wp:effectExtent l="0" t="0" r="0" b="0"/>
            <wp:docPr id="6453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295650" cy="2476500"/>
                    </a:xfrm>
                    <a:prstGeom prst="rect">
                      <a:avLst/>
                    </a:prstGeom>
                    <a:noFill/>
                    <a:ln>
                      <a:noFill/>
                    </a:ln>
                  </pic:spPr>
                </pic:pic>
              </a:graphicData>
            </a:graphic>
          </wp:inline>
        </w:drawing>
      </w:r>
    </w:p>
    <w:p w14:paraId="67F76FEC"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A8DA061"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Figure 3. Zernov’s Phyllophora Field (sea floor)</w:t>
      </w:r>
    </w:p>
    <w:p w14:paraId="464E7571"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AFC3F79"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A1BF37A"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6B0C8E61" wp14:editId="5BBF1732">
            <wp:extent cx="4343400" cy="2838450"/>
            <wp:effectExtent l="0" t="0" r="0" b="0"/>
            <wp:docPr id="64538" name="Рисунок 17" descr="Описание: Філофорне поле Зернова- уточнення координ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Філофорне поле Зернова- уточнення координат"/>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343400" cy="2838450"/>
                    </a:xfrm>
                    <a:prstGeom prst="rect">
                      <a:avLst/>
                    </a:prstGeom>
                    <a:noFill/>
                    <a:ln>
                      <a:noFill/>
                    </a:ln>
                  </pic:spPr>
                </pic:pic>
              </a:graphicData>
            </a:graphic>
          </wp:inline>
        </w:drawing>
      </w:r>
    </w:p>
    <w:p w14:paraId="2D586617" w14:textId="0DDCADA5"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 xml:space="preserve">Figure 4. </w:t>
      </w:r>
      <w:r w:rsidR="00D8482D" w:rsidRPr="0088780C">
        <w:rPr>
          <w:b/>
          <w:snapToGrid w:val="0"/>
          <w:kern w:val="22"/>
          <w:szCs w:val="22"/>
        </w:rPr>
        <w:t>“</w:t>
      </w:r>
      <w:r w:rsidRPr="0088780C">
        <w:rPr>
          <w:b/>
          <w:snapToGrid w:val="0"/>
          <w:kern w:val="22"/>
          <w:szCs w:val="22"/>
        </w:rPr>
        <w:t>Zernov’s Phyllophora Field</w:t>
      </w:r>
      <w:r w:rsidR="00D8482D" w:rsidRPr="0088780C">
        <w:rPr>
          <w:b/>
          <w:snapToGrid w:val="0"/>
          <w:kern w:val="22"/>
          <w:szCs w:val="22"/>
        </w:rPr>
        <w:t>”</w:t>
      </w:r>
      <w:r w:rsidRPr="0088780C">
        <w:rPr>
          <w:b/>
          <w:snapToGrid w:val="0"/>
          <w:kern w:val="22"/>
          <w:szCs w:val="22"/>
        </w:rPr>
        <w:t xml:space="preserve"> MPA boundaries</w:t>
      </w:r>
    </w:p>
    <w:p w14:paraId="335140DF"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http://ims.sea.gov.ua:8081/MPA/</w:t>
      </w:r>
    </w:p>
    <w:p w14:paraId="4F326D8C"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CA17916"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4CE9D206" wp14:editId="412B097F">
            <wp:extent cx="4143375" cy="2952750"/>
            <wp:effectExtent l="0" t="0" r="9525" b="0"/>
            <wp:docPr id="6453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143375" cy="2952750"/>
                    </a:xfrm>
                    <a:prstGeom prst="rect">
                      <a:avLst/>
                    </a:prstGeom>
                    <a:noFill/>
                    <a:ln>
                      <a:noFill/>
                    </a:ln>
                  </pic:spPr>
                </pic:pic>
              </a:graphicData>
            </a:graphic>
          </wp:inline>
        </w:drawing>
      </w:r>
    </w:p>
    <w:p w14:paraId="39AF2A0B" w14:textId="65FE3F39" w:rsidR="00A876F3" w:rsidRPr="0088780C" w:rsidRDefault="00A876F3" w:rsidP="001013AF">
      <w:pPr>
        <w:suppressLineNumbers/>
        <w:suppressAutoHyphens/>
        <w:kinsoku w:val="0"/>
        <w:overflowPunct w:val="0"/>
        <w:autoSpaceDE w:val="0"/>
        <w:autoSpaceDN w:val="0"/>
        <w:jc w:val="left"/>
        <w:rPr>
          <w:b/>
          <w:bCs/>
          <w:snapToGrid w:val="0"/>
          <w:kern w:val="22"/>
          <w:szCs w:val="22"/>
        </w:rPr>
      </w:pPr>
      <w:r w:rsidRPr="0088780C">
        <w:rPr>
          <w:b/>
          <w:bCs/>
          <w:snapToGrid w:val="0"/>
          <w:kern w:val="22"/>
          <w:szCs w:val="22"/>
        </w:rPr>
        <w:t>Figure 5. Location of Zernov’s Phyllophora Field (http://ims.sea.gov.ua:8081/MPA/)</w:t>
      </w:r>
    </w:p>
    <w:p w14:paraId="0FECB4CD"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6E0D6EC"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AA1C2EB" w14:textId="65CC54F5"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Historical trends of the phytobenthos parameters and boundary changes of the Zernov’s Phyllophora Field were provided by digitizing of the data received from OB IBSS - Odessa Branch Institute Biology of Southern Seas of National Academy of Sciences of Ukraine, complied by Coordinator from OBIBSS: Prof. Galina Minicheva. The digitizing work was performed by SR Geo-information Analysis Department UkrSCES O. Bratchenko and O. Neprokin within the framework of CoCoNet Project. This work was carried out using ESRI ArcGIS 10 software. As a result</w:t>
      </w:r>
      <w:r w:rsidR="00BD4482" w:rsidRPr="0088780C">
        <w:rPr>
          <w:snapToGrid w:val="0"/>
          <w:kern w:val="22"/>
          <w:szCs w:val="22"/>
        </w:rPr>
        <w:t>,</w:t>
      </w:r>
      <w:r w:rsidRPr="0088780C">
        <w:rPr>
          <w:snapToGrid w:val="0"/>
          <w:kern w:val="22"/>
          <w:szCs w:val="22"/>
        </w:rPr>
        <w:t xml:space="preserve"> 5 polygonal layers were created and attribute tables for each layer were prepared.</w:t>
      </w:r>
    </w:p>
    <w:p w14:paraId="2ABFB18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709465B" w14:textId="6AE42061"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Maps were created in GIA Department, ©UkrSCES 2013.</w:t>
      </w:r>
    </w:p>
    <w:p w14:paraId="59DCD624"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Base map: Electronic Nautical Chart of the Black Sea in the scale 1:750 000. ©Ukrmorkartographia.</w:t>
      </w:r>
    </w:p>
    <w:p w14:paraId="6B1E35BE"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Complied by Coordinator from OBIBSS: Prof. Galina Minicheva</w:t>
      </w:r>
    </w:p>
    <w:p w14:paraId="0100B9EE"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3E99556" w14:textId="66DAA30B"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b/>
          <w:snapToGrid w:val="0"/>
          <w:kern w:val="22"/>
          <w:szCs w:val="22"/>
        </w:rPr>
        <w:t>Table 1</w:t>
      </w:r>
      <w:r w:rsidRPr="0088780C">
        <w:rPr>
          <w:snapToGrid w:val="0"/>
          <w:kern w:val="22"/>
          <w:szCs w:val="22"/>
        </w:rPr>
        <w:t>. List of distribution maps of the Phyllophora community in the north-western shelf of the Black Sea</w:t>
      </w:r>
    </w:p>
    <w:p w14:paraId="0312CEBA" w14:textId="77777777" w:rsidR="00A876F3" w:rsidRPr="0088780C" w:rsidRDefault="00A876F3" w:rsidP="001013AF">
      <w:pPr>
        <w:suppressLineNumbers/>
        <w:suppressAutoHyphens/>
        <w:kinsoku w:val="0"/>
        <w:overflowPunct w:val="0"/>
        <w:autoSpaceDE w:val="0"/>
        <w:autoSpaceDN w:val="0"/>
        <w:rPr>
          <w:snapToGrid w:val="0"/>
          <w:kern w:val="22"/>
          <w:szCs w:val="22"/>
        </w:rPr>
      </w:pPr>
    </w:p>
    <w:tbl>
      <w:tblPr>
        <w:tblW w:w="45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1"/>
        <w:gridCol w:w="2915"/>
        <w:gridCol w:w="1050"/>
        <w:gridCol w:w="3961"/>
      </w:tblGrid>
      <w:tr w:rsidR="00A876F3" w:rsidRPr="0088780C" w14:paraId="086714F4" w14:textId="77777777" w:rsidTr="001013AF">
        <w:trPr>
          <w:jc w:val="center"/>
        </w:trPr>
        <w:tc>
          <w:tcPr>
            <w:tcW w:w="464" w:type="pct"/>
          </w:tcPr>
          <w:p w14:paraId="03916351" w14:textId="77777777" w:rsidR="00A876F3" w:rsidRPr="0088780C" w:rsidRDefault="00A876F3" w:rsidP="001013AF">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Year</w:t>
            </w:r>
          </w:p>
        </w:tc>
        <w:tc>
          <w:tcPr>
            <w:tcW w:w="1668" w:type="pct"/>
          </w:tcPr>
          <w:p w14:paraId="7B9BDCEC" w14:textId="77777777" w:rsidR="00A876F3" w:rsidRPr="0088780C" w:rsidRDefault="00A876F3" w:rsidP="001013AF">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Title of map</w:t>
            </w:r>
          </w:p>
        </w:tc>
        <w:tc>
          <w:tcPr>
            <w:tcW w:w="601" w:type="pct"/>
          </w:tcPr>
          <w:p w14:paraId="257755A8" w14:textId="6CADC9DD" w:rsidR="00A876F3" w:rsidRPr="0088780C" w:rsidRDefault="00A876F3" w:rsidP="001013AF">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 fig.</w:t>
            </w:r>
          </w:p>
        </w:tc>
        <w:tc>
          <w:tcPr>
            <w:tcW w:w="2267" w:type="pct"/>
          </w:tcPr>
          <w:p w14:paraId="6E1DCDA5" w14:textId="77777777" w:rsidR="00A876F3" w:rsidRPr="0088780C" w:rsidRDefault="00A876F3" w:rsidP="001013AF">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Reference</w:t>
            </w:r>
          </w:p>
        </w:tc>
      </w:tr>
      <w:tr w:rsidR="00A876F3" w:rsidRPr="0088780C" w14:paraId="3329CD16" w14:textId="77777777" w:rsidTr="001013AF">
        <w:trPr>
          <w:jc w:val="center"/>
        </w:trPr>
        <w:tc>
          <w:tcPr>
            <w:tcW w:w="464" w:type="pct"/>
          </w:tcPr>
          <w:p w14:paraId="759B783B"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86053FC"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1951,</w:t>
            </w:r>
          </w:p>
          <w:p w14:paraId="5282E1C2"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1952</w:t>
            </w:r>
          </w:p>
        </w:tc>
        <w:tc>
          <w:tcPr>
            <w:tcW w:w="1668" w:type="pct"/>
          </w:tcPr>
          <w:p w14:paraId="021BA8F2"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p>
          <w:p w14:paraId="2A9C3906" w14:textId="6BBC2920"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 xml:space="preserve">Distribution the Ph. nervosa, Ph. brodiaei and Ph. membranifolia in the </w:t>
            </w:r>
            <w:r w:rsidR="00C656A2" w:rsidRPr="0088780C">
              <w:rPr>
                <w:snapToGrid w:val="0"/>
                <w:kern w:val="22"/>
                <w:szCs w:val="22"/>
              </w:rPr>
              <w:t>north-west</w:t>
            </w:r>
            <w:r w:rsidRPr="0088780C">
              <w:rPr>
                <w:snapToGrid w:val="0"/>
                <w:kern w:val="22"/>
                <w:szCs w:val="22"/>
              </w:rPr>
              <w:t>ern part of the Black Sea.</w:t>
            </w:r>
          </w:p>
        </w:tc>
        <w:tc>
          <w:tcPr>
            <w:tcW w:w="601" w:type="pct"/>
          </w:tcPr>
          <w:p w14:paraId="4644583F"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6FA4426"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Fig. 6 </w:t>
            </w:r>
          </w:p>
        </w:tc>
        <w:tc>
          <w:tcPr>
            <w:tcW w:w="2267" w:type="pct"/>
          </w:tcPr>
          <w:p w14:paraId="0A1548CA"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p>
          <w:p w14:paraId="6D961ED5" w14:textId="2C829149"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 xml:space="preserve">Schapova T.F. Phyllophora of the Black Sea / Proceedings of Institute of Oceanology. Publishing house: Academy of </w:t>
            </w:r>
            <w:r w:rsidR="00D57593" w:rsidRPr="0088780C">
              <w:rPr>
                <w:snapToGrid w:val="0"/>
                <w:kern w:val="22"/>
                <w:szCs w:val="22"/>
              </w:rPr>
              <w:t>S</w:t>
            </w:r>
            <w:r w:rsidRPr="0088780C">
              <w:rPr>
                <w:snapToGrid w:val="0"/>
                <w:kern w:val="22"/>
                <w:szCs w:val="22"/>
              </w:rPr>
              <w:t>ciences of USSR. - Moscow, 1954. - V. XI. – P. 3-35. (in Russian)</w:t>
            </w:r>
          </w:p>
        </w:tc>
      </w:tr>
      <w:tr w:rsidR="00A876F3" w:rsidRPr="0088780C" w14:paraId="3624169F" w14:textId="77777777" w:rsidTr="001013AF">
        <w:trPr>
          <w:jc w:val="center"/>
        </w:trPr>
        <w:tc>
          <w:tcPr>
            <w:tcW w:w="464" w:type="pct"/>
          </w:tcPr>
          <w:p w14:paraId="65AD9AA2"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0122A4B"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1964</w:t>
            </w:r>
          </w:p>
        </w:tc>
        <w:tc>
          <w:tcPr>
            <w:tcW w:w="1668" w:type="pct"/>
          </w:tcPr>
          <w:p w14:paraId="63ED593C"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p>
          <w:p w14:paraId="23853268"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Distribution species and forms of Phyllophora on the Zernov’s Phyllophora Field.</w:t>
            </w:r>
          </w:p>
          <w:p w14:paraId="47EB90EE"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p>
          <w:p w14:paraId="3323C970" w14:textId="280C5D23"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The phyllophora area covering of bottom.</w:t>
            </w:r>
          </w:p>
          <w:p w14:paraId="7EF39265"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p>
          <w:p w14:paraId="61441C2F"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Distribution of phyllophora stocks (all species and forms) on the Zernov’s Phillophora Field.</w:t>
            </w:r>
          </w:p>
        </w:tc>
        <w:tc>
          <w:tcPr>
            <w:tcW w:w="601" w:type="pct"/>
          </w:tcPr>
          <w:p w14:paraId="0CFA1BB5"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205A00E"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Fig. 7</w:t>
            </w:r>
          </w:p>
          <w:p w14:paraId="5CDA26DB"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8117D72"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20648BF"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Fig. 8</w:t>
            </w:r>
          </w:p>
          <w:p w14:paraId="1621820F"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E87358B"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41DE2E6"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Fig. 9</w:t>
            </w:r>
          </w:p>
        </w:tc>
        <w:tc>
          <w:tcPr>
            <w:tcW w:w="2267" w:type="pct"/>
          </w:tcPr>
          <w:p w14:paraId="49965D62"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p>
          <w:p w14:paraId="28894B8D"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Kalugina A.A., Lachko O.A. Composition, distribution and stock of the Black Sea’s seaweeds in the region of Zernov’s Phyllophora Field. Benthos distribution and biology of benthic animal in south seas. – Kiev: Naukova Dumka, 1966.-P.112-130. (in Russian)</w:t>
            </w:r>
          </w:p>
        </w:tc>
      </w:tr>
      <w:tr w:rsidR="00A876F3" w:rsidRPr="0088780C" w14:paraId="249122F8" w14:textId="77777777" w:rsidTr="001013AF">
        <w:trPr>
          <w:trHeight w:val="1623"/>
          <w:jc w:val="center"/>
        </w:trPr>
        <w:tc>
          <w:tcPr>
            <w:tcW w:w="464" w:type="pct"/>
          </w:tcPr>
          <w:p w14:paraId="2184A6A8"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8FA4D26"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1975</w:t>
            </w:r>
          </w:p>
        </w:tc>
        <w:tc>
          <w:tcPr>
            <w:tcW w:w="1668" w:type="pct"/>
          </w:tcPr>
          <w:p w14:paraId="356EAE01"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p>
          <w:p w14:paraId="7216384C"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 xml:space="preserve"> Distribution stock, of the Phyllophora brodiaei in the area of Zernov’s Phyllophora Field.</w:t>
            </w:r>
          </w:p>
          <w:p w14:paraId="597AB6F1"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 xml:space="preserve"> Distribution stock, of Phyllophora nervosa in the area of the Zernov’s Phyllophora Field.</w:t>
            </w:r>
          </w:p>
        </w:tc>
        <w:tc>
          <w:tcPr>
            <w:tcW w:w="601" w:type="pct"/>
          </w:tcPr>
          <w:p w14:paraId="53C914CA"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42F7008"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Fig. 10</w:t>
            </w:r>
          </w:p>
          <w:p w14:paraId="0AE9DD45"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8DA44EE"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8934662"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Fig. 11</w:t>
            </w:r>
          </w:p>
        </w:tc>
        <w:tc>
          <w:tcPr>
            <w:tcW w:w="2267" w:type="pct"/>
          </w:tcPr>
          <w:p w14:paraId="45001B55"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p>
          <w:p w14:paraId="30255DED"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Kalugina-Gutnik A.A. Phytobentos of the Black Sea. -Kiev: Naukova Dumka, 1975. – 247 p.(in Russian)</w:t>
            </w:r>
          </w:p>
        </w:tc>
      </w:tr>
      <w:tr w:rsidR="00A876F3" w:rsidRPr="0088780C" w14:paraId="23F10DDC" w14:textId="77777777" w:rsidTr="001013AF">
        <w:trPr>
          <w:trHeight w:val="70"/>
          <w:jc w:val="center"/>
        </w:trPr>
        <w:tc>
          <w:tcPr>
            <w:tcW w:w="464" w:type="pct"/>
          </w:tcPr>
          <w:p w14:paraId="6EF73DB6"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E07631C"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C71E38B"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1977</w:t>
            </w:r>
          </w:p>
          <w:p w14:paraId="58331214"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A496727"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D070D8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29DA22C"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1978</w:t>
            </w:r>
          </w:p>
          <w:p w14:paraId="74632E13"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1668" w:type="pct"/>
          </w:tcPr>
          <w:p w14:paraId="1BEB82AC" w14:textId="7D5DC35B"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 xml:space="preserve">Boundary of Zernov,s Phyllophora Field and distribution of total biomass (g/m2) of the Phyllophora nervosa and Phyllophora brodiaei in the </w:t>
            </w:r>
            <w:r w:rsidR="00C656A2" w:rsidRPr="0088780C">
              <w:rPr>
                <w:snapToGrid w:val="0"/>
                <w:kern w:val="22"/>
                <w:szCs w:val="22"/>
              </w:rPr>
              <w:t>north-west</w:t>
            </w:r>
            <w:r w:rsidRPr="0088780C">
              <w:rPr>
                <w:snapToGrid w:val="0"/>
                <w:kern w:val="22"/>
                <w:szCs w:val="22"/>
              </w:rPr>
              <w:t xml:space="preserve">ern part of the Black Sea. </w:t>
            </w:r>
          </w:p>
          <w:p w14:paraId="3500BCF4"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p>
          <w:p w14:paraId="785DA684" w14:textId="0A29C982"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 xml:space="preserve">Distribution of ecological form of Phyllophora brodiaei in the </w:t>
            </w:r>
            <w:r w:rsidR="00C656A2" w:rsidRPr="0088780C">
              <w:rPr>
                <w:snapToGrid w:val="0"/>
                <w:kern w:val="22"/>
                <w:szCs w:val="22"/>
              </w:rPr>
              <w:t>north-west</w:t>
            </w:r>
            <w:r w:rsidRPr="0088780C">
              <w:rPr>
                <w:snapToGrid w:val="0"/>
                <w:kern w:val="22"/>
                <w:szCs w:val="22"/>
              </w:rPr>
              <w:t>ern part of the Black Sea</w:t>
            </w:r>
          </w:p>
        </w:tc>
        <w:tc>
          <w:tcPr>
            <w:tcW w:w="601" w:type="pct"/>
          </w:tcPr>
          <w:p w14:paraId="3BCA19E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Fig. 12</w:t>
            </w:r>
          </w:p>
          <w:p w14:paraId="535087D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37708AF"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894FE6A"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6F0DE02"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181C0BB"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9CB7CC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Fig. 13</w:t>
            </w:r>
          </w:p>
        </w:tc>
        <w:tc>
          <w:tcPr>
            <w:tcW w:w="2267" w:type="pct"/>
          </w:tcPr>
          <w:p w14:paraId="3E7EDD00" w14:textId="77777777" w:rsidR="00A876F3" w:rsidRPr="0088780C" w:rsidRDefault="00A876F3" w:rsidP="001013AF">
            <w:pPr>
              <w:suppressLineNumbers/>
              <w:suppressAutoHyphens/>
              <w:kinsoku w:val="0"/>
              <w:overflowPunct w:val="0"/>
              <w:autoSpaceDE w:val="0"/>
              <w:autoSpaceDN w:val="0"/>
              <w:jc w:val="left"/>
              <w:rPr>
                <w:snapToGrid w:val="0"/>
                <w:kern w:val="22"/>
                <w:szCs w:val="22"/>
              </w:rPr>
            </w:pPr>
            <w:r w:rsidRPr="0088780C">
              <w:rPr>
                <w:snapToGrid w:val="0"/>
                <w:kern w:val="22"/>
                <w:szCs w:val="22"/>
              </w:rPr>
              <w:t>Kaminer K.M. Phyllophora nervosa (DC) Grev. and Ph. Brodiaei (Turn.) J.Ag. of the north-western part of Black Sea // The trade seaweeds and their use. – Moscow, 1981.-P. 87-97. (in Russian)</w:t>
            </w:r>
          </w:p>
        </w:tc>
      </w:tr>
    </w:tbl>
    <w:p w14:paraId="71AD87FC"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946D14C"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2B181465" wp14:editId="55D33690">
            <wp:extent cx="5876925" cy="4105275"/>
            <wp:effectExtent l="0" t="0" r="9525" b="9525"/>
            <wp:docPr id="64536" name="Picture 5" descr="Minichev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nicheva2"/>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876925" cy="4105275"/>
                    </a:xfrm>
                    <a:prstGeom prst="rect">
                      <a:avLst/>
                    </a:prstGeom>
                    <a:noFill/>
                    <a:ln>
                      <a:noFill/>
                    </a:ln>
                  </pic:spPr>
                </pic:pic>
              </a:graphicData>
            </a:graphic>
          </wp:inline>
        </w:drawing>
      </w:r>
      <w:r w:rsidRPr="0088780C">
        <w:rPr>
          <w:b/>
          <w:snapToGrid w:val="0"/>
          <w:kern w:val="22"/>
          <w:szCs w:val="22"/>
        </w:rPr>
        <w:t>Figure 6. Calculated area (ArcGIS 10): 12 285,536 km</w:t>
      </w:r>
      <w:r w:rsidRPr="0088780C">
        <w:rPr>
          <w:b/>
          <w:snapToGrid w:val="0"/>
          <w:kern w:val="22"/>
          <w:szCs w:val="22"/>
          <w:vertAlign w:val="superscript"/>
        </w:rPr>
        <w:t>2</w:t>
      </w:r>
    </w:p>
    <w:p w14:paraId="1CD8291A"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BAD91C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22E12448" wp14:editId="32399C33">
            <wp:extent cx="6334125" cy="4419600"/>
            <wp:effectExtent l="0" t="0" r="9525" b="0"/>
            <wp:docPr id="64535" name="Picture 6" descr="Minicheva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nicheva_4"/>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6334125" cy="4419600"/>
                    </a:xfrm>
                    <a:prstGeom prst="rect">
                      <a:avLst/>
                    </a:prstGeom>
                    <a:noFill/>
                    <a:ln>
                      <a:noFill/>
                    </a:ln>
                  </pic:spPr>
                </pic:pic>
              </a:graphicData>
            </a:graphic>
          </wp:inline>
        </w:drawing>
      </w:r>
      <w:r w:rsidRPr="0088780C">
        <w:rPr>
          <w:b/>
          <w:snapToGrid w:val="0"/>
          <w:kern w:val="22"/>
          <w:szCs w:val="22"/>
        </w:rPr>
        <w:t>Figure 7. Distribution of species and forms of Phyllophora</w:t>
      </w:r>
    </w:p>
    <w:p w14:paraId="3CBE5623" w14:textId="00243189" w:rsidR="00A876F3" w:rsidRPr="0088780C" w:rsidRDefault="00A876F3" w:rsidP="001013AF">
      <w:pPr>
        <w:suppressLineNumbers/>
        <w:suppressAutoHyphens/>
        <w:kinsoku w:val="0"/>
        <w:overflowPunct w:val="0"/>
        <w:autoSpaceDE w:val="0"/>
        <w:autoSpaceDN w:val="0"/>
        <w:rPr>
          <w:b/>
          <w:bCs/>
          <w:snapToGrid w:val="0"/>
          <w:kern w:val="22"/>
          <w:szCs w:val="22"/>
          <w:vertAlign w:val="superscript"/>
        </w:rPr>
      </w:pPr>
      <w:r w:rsidRPr="0088780C">
        <w:rPr>
          <w:noProof/>
          <w:snapToGrid w:val="0"/>
          <w:kern w:val="22"/>
          <w:szCs w:val="22"/>
          <w:lang w:eastAsia="zh-CN"/>
        </w:rPr>
        <w:drawing>
          <wp:inline distT="0" distB="0" distL="0" distR="0" wp14:anchorId="672A1349" wp14:editId="5432D1A7">
            <wp:extent cx="6219825" cy="4400550"/>
            <wp:effectExtent l="0" t="0" r="9525" b="0"/>
            <wp:docPr id="64534" name="Picture 7" descr="Minichev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inicheva5"/>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219825" cy="4400550"/>
                    </a:xfrm>
                    <a:prstGeom prst="rect">
                      <a:avLst/>
                    </a:prstGeom>
                    <a:noFill/>
                    <a:ln>
                      <a:noFill/>
                    </a:ln>
                  </pic:spPr>
                </pic:pic>
              </a:graphicData>
            </a:graphic>
          </wp:inline>
        </w:drawing>
      </w:r>
      <w:r w:rsidRPr="0088780C">
        <w:rPr>
          <w:b/>
          <w:bCs/>
          <w:snapToGrid w:val="0"/>
          <w:kern w:val="22"/>
          <w:szCs w:val="22"/>
        </w:rPr>
        <w:t xml:space="preserve"> Figure 8. Calculated area (ArcGIS 10): 11</w:t>
      </w:r>
      <w:r w:rsidR="000C6069" w:rsidRPr="0088780C">
        <w:rPr>
          <w:b/>
          <w:bCs/>
          <w:snapToGrid w:val="0"/>
          <w:kern w:val="22"/>
          <w:szCs w:val="22"/>
        </w:rPr>
        <w:t>,</w:t>
      </w:r>
      <w:r w:rsidRPr="0088780C">
        <w:rPr>
          <w:b/>
          <w:bCs/>
          <w:snapToGrid w:val="0"/>
          <w:kern w:val="22"/>
          <w:szCs w:val="22"/>
        </w:rPr>
        <w:t>220,596 km</w:t>
      </w:r>
      <w:r w:rsidRPr="0088780C">
        <w:rPr>
          <w:b/>
          <w:bCs/>
          <w:snapToGrid w:val="0"/>
          <w:kern w:val="22"/>
          <w:szCs w:val="22"/>
          <w:vertAlign w:val="superscript"/>
        </w:rPr>
        <w:t>2</w:t>
      </w:r>
    </w:p>
    <w:p w14:paraId="6CFB4432"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E7416F0" w14:textId="45BF0A60" w:rsidR="00A876F3" w:rsidRPr="0088780C" w:rsidRDefault="00A876F3" w:rsidP="001013AF">
      <w:pPr>
        <w:suppressLineNumbers/>
        <w:suppressAutoHyphens/>
        <w:kinsoku w:val="0"/>
        <w:overflowPunct w:val="0"/>
        <w:autoSpaceDE w:val="0"/>
        <w:autoSpaceDN w:val="0"/>
        <w:rPr>
          <w:snapToGrid w:val="0"/>
          <w:kern w:val="22"/>
          <w:szCs w:val="22"/>
          <w:lang w:eastAsia="zh-CN"/>
        </w:rPr>
      </w:pPr>
      <w:r w:rsidRPr="0088780C">
        <w:rPr>
          <w:noProof/>
          <w:snapToGrid w:val="0"/>
          <w:kern w:val="22"/>
          <w:szCs w:val="22"/>
          <w:lang w:eastAsia="zh-CN"/>
        </w:rPr>
        <w:drawing>
          <wp:inline distT="0" distB="0" distL="0" distR="0" wp14:anchorId="3CA1D05B" wp14:editId="26C300FC">
            <wp:extent cx="5686425" cy="4000500"/>
            <wp:effectExtent l="0" t="0" r="9525" b="0"/>
            <wp:docPr id="64533" name="Picture 8" descr="Minicheva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inicheva_7"/>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686425" cy="4000500"/>
                    </a:xfrm>
                    <a:prstGeom prst="rect">
                      <a:avLst/>
                    </a:prstGeom>
                    <a:noFill/>
                    <a:ln>
                      <a:noFill/>
                    </a:ln>
                  </pic:spPr>
                </pic:pic>
              </a:graphicData>
            </a:graphic>
          </wp:inline>
        </w:drawing>
      </w:r>
      <w:r w:rsidRPr="0088780C">
        <w:rPr>
          <w:snapToGrid w:val="0"/>
          <w:kern w:val="22"/>
          <w:szCs w:val="22"/>
        </w:rPr>
        <w:t xml:space="preserve"> </w:t>
      </w:r>
      <w:r w:rsidRPr="0088780C">
        <w:rPr>
          <w:b/>
          <w:snapToGrid w:val="0"/>
          <w:kern w:val="22"/>
          <w:szCs w:val="22"/>
        </w:rPr>
        <w:t>Figure 9. Calculated area (ArcGIS 10): 10</w:t>
      </w:r>
      <w:r w:rsidR="000C6069" w:rsidRPr="0088780C">
        <w:rPr>
          <w:b/>
          <w:snapToGrid w:val="0"/>
          <w:kern w:val="22"/>
          <w:szCs w:val="22"/>
        </w:rPr>
        <w:t>,</w:t>
      </w:r>
      <w:r w:rsidRPr="0088780C">
        <w:rPr>
          <w:b/>
          <w:snapToGrid w:val="0"/>
          <w:kern w:val="22"/>
          <w:szCs w:val="22"/>
        </w:rPr>
        <w:t>949 km</w:t>
      </w:r>
      <w:r w:rsidRPr="0088780C">
        <w:rPr>
          <w:b/>
          <w:snapToGrid w:val="0"/>
          <w:kern w:val="22"/>
          <w:szCs w:val="22"/>
          <w:vertAlign w:val="superscript"/>
        </w:rPr>
        <w:t>2</w:t>
      </w:r>
      <w:r w:rsidRPr="0088780C">
        <w:rPr>
          <w:b/>
          <w:snapToGrid w:val="0"/>
          <w:kern w:val="22"/>
          <w:szCs w:val="22"/>
        </w:rPr>
        <w:t xml:space="preserve"> (1966)</w:t>
      </w:r>
    </w:p>
    <w:p w14:paraId="46A1013A" w14:textId="4CFDD69D" w:rsidR="00A876F3" w:rsidRPr="0088780C" w:rsidRDefault="00A876F3" w:rsidP="001013AF">
      <w:pPr>
        <w:suppressLineNumbers/>
        <w:suppressAutoHyphens/>
        <w:kinsoku w:val="0"/>
        <w:overflowPunct w:val="0"/>
        <w:autoSpaceDE w:val="0"/>
        <w:autoSpaceDN w:val="0"/>
        <w:rPr>
          <w:b/>
          <w:snapToGrid w:val="0"/>
          <w:kern w:val="22"/>
          <w:szCs w:val="22"/>
          <w:vertAlign w:val="superscript"/>
        </w:rPr>
      </w:pPr>
      <w:r w:rsidRPr="0088780C">
        <w:rPr>
          <w:noProof/>
          <w:snapToGrid w:val="0"/>
          <w:kern w:val="22"/>
          <w:szCs w:val="22"/>
          <w:lang w:eastAsia="zh-CN"/>
        </w:rPr>
        <w:drawing>
          <wp:inline distT="0" distB="0" distL="0" distR="0" wp14:anchorId="220999CB" wp14:editId="655DB6D8">
            <wp:extent cx="6267450" cy="4400550"/>
            <wp:effectExtent l="0" t="0" r="0" b="0"/>
            <wp:docPr id="64532" name="Picture 9" descr="Minicheva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icheva_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6267450" cy="4400550"/>
                    </a:xfrm>
                    <a:prstGeom prst="rect">
                      <a:avLst/>
                    </a:prstGeom>
                    <a:noFill/>
                    <a:ln>
                      <a:noFill/>
                    </a:ln>
                  </pic:spPr>
                </pic:pic>
              </a:graphicData>
            </a:graphic>
          </wp:inline>
        </w:drawing>
      </w:r>
      <w:r w:rsidRPr="0088780C">
        <w:rPr>
          <w:b/>
          <w:snapToGrid w:val="0"/>
          <w:kern w:val="22"/>
          <w:szCs w:val="22"/>
        </w:rPr>
        <w:t>Figure 10. Calculated area (ArcGIS 10): 8</w:t>
      </w:r>
      <w:r w:rsidR="000C6069" w:rsidRPr="0088780C">
        <w:rPr>
          <w:b/>
          <w:snapToGrid w:val="0"/>
          <w:kern w:val="22"/>
          <w:szCs w:val="22"/>
        </w:rPr>
        <w:t>,</w:t>
      </w:r>
      <w:r w:rsidRPr="0088780C">
        <w:rPr>
          <w:b/>
          <w:snapToGrid w:val="0"/>
          <w:kern w:val="22"/>
          <w:szCs w:val="22"/>
        </w:rPr>
        <w:t>366,837 km</w:t>
      </w:r>
      <w:r w:rsidRPr="0088780C">
        <w:rPr>
          <w:b/>
          <w:snapToGrid w:val="0"/>
          <w:kern w:val="22"/>
          <w:szCs w:val="22"/>
          <w:vertAlign w:val="superscript"/>
        </w:rPr>
        <w:t>2</w:t>
      </w:r>
    </w:p>
    <w:p w14:paraId="29B8FAA5"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87446FC"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noProof/>
          <w:snapToGrid w:val="0"/>
          <w:kern w:val="22"/>
          <w:szCs w:val="22"/>
          <w:lang w:eastAsia="zh-CN"/>
        </w:rPr>
        <w:drawing>
          <wp:inline distT="0" distB="0" distL="0" distR="0" wp14:anchorId="573C5BDA" wp14:editId="419C9CCD">
            <wp:extent cx="6057900" cy="4219575"/>
            <wp:effectExtent l="0" t="0" r="0" b="9525"/>
            <wp:docPr id="64530" name="Picture 10" descr="Minichev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inicheva1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6057900" cy="4219575"/>
                    </a:xfrm>
                    <a:prstGeom prst="rect">
                      <a:avLst/>
                    </a:prstGeom>
                    <a:noFill/>
                    <a:ln>
                      <a:noFill/>
                    </a:ln>
                  </pic:spPr>
                </pic:pic>
              </a:graphicData>
            </a:graphic>
          </wp:inline>
        </w:drawing>
      </w:r>
      <w:r w:rsidRPr="0088780C">
        <w:rPr>
          <w:b/>
          <w:snapToGrid w:val="0"/>
          <w:kern w:val="22"/>
          <w:szCs w:val="22"/>
        </w:rPr>
        <w:t>Figure 11. Distribution stock of Phyllophora</w:t>
      </w:r>
    </w:p>
    <w:p w14:paraId="5FD4107B"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5891DD7" w14:textId="411F161C" w:rsidR="00A876F3" w:rsidRPr="0088780C" w:rsidRDefault="00A876F3" w:rsidP="001013AF">
      <w:pPr>
        <w:suppressLineNumbers/>
        <w:suppressAutoHyphens/>
        <w:kinsoku w:val="0"/>
        <w:overflowPunct w:val="0"/>
        <w:autoSpaceDE w:val="0"/>
        <w:autoSpaceDN w:val="0"/>
        <w:rPr>
          <w:b/>
          <w:snapToGrid w:val="0"/>
          <w:kern w:val="22"/>
          <w:szCs w:val="22"/>
        </w:rPr>
      </w:pPr>
      <w:r w:rsidRPr="0088780C">
        <w:rPr>
          <w:noProof/>
          <w:snapToGrid w:val="0"/>
          <w:kern w:val="22"/>
          <w:szCs w:val="22"/>
          <w:lang w:eastAsia="zh-CN"/>
        </w:rPr>
        <w:drawing>
          <wp:inline distT="0" distB="0" distL="0" distR="0" wp14:anchorId="30383FD0" wp14:editId="78F4D225">
            <wp:extent cx="6105525" cy="4276725"/>
            <wp:effectExtent l="0" t="0" r="9525" b="9525"/>
            <wp:docPr id="64529" name="Picture 11" descr="Minichev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inicheva1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6105525" cy="4276725"/>
                    </a:xfrm>
                    <a:prstGeom prst="rect">
                      <a:avLst/>
                    </a:prstGeom>
                    <a:noFill/>
                    <a:ln>
                      <a:noFill/>
                    </a:ln>
                  </pic:spPr>
                </pic:pic>
              </a:graphicData>
            </a:graphic>
          </wp:inline>
        </w:drawing>
      </w:r>
      <w:r w:rsidRPr="0088780C">
        <w:rPr>
          <w:b/>
          <w:snapToGrid w:val="0"/>
          <w:kern w:val="22"/>
          <w:szCs w:val="22"/>
        </w:rPr>
        <w:t>Figure 12. Calculated area (ArcGIS 10): 853</w:t>
      </w:r>
      <w:r w:rsidR="0070438C" w:rsidRPr="0088780C">
        <w:rPr>
          <w:b/>
          <w:snapToGrid w:val="0"/>
          <w:kern w:val="22"/>
          <w:szCs w:val="22"/>
        </w:rPr>
        <w:t>,</w:t>
      </w:r>
      <w:r w:rsidRPr="0088780C">
        <w:rPr>
          <w:b/>
          <w:snapToGrid w:val="0"/>
          <w:kern w:val="22"/>
          <w:szCs w:val="22"/>
        </w:rPr>
        <w:t>785 km</w:t>
      </w:r>
      <w:r w:rsidRPr="0088780C">
        <w:rPr>
          <w:b/>
          <w:snapToGrid w:val="0"/>
          <w:kern w:val="22"/>
          <w:szCs w:val="22"/>
          <w:vertAlign w:val="superscript"/>
        </w:rPr>
        <w:t>2</w:t>
      </w:r>
    </w:p>
    <w:p w14:paraId="584AB52B"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5151A52" w14:textId="609FF82D" w:rsidR="00A876F3" w:rsidRPr="0088780C" w:rsidRDefault="00A876F3" w:rsidP="001013AF">
      <w:pPr>
        <w:suppressLineNumbers/>
        <w:suppressAutoHyphens/>
        <w:kinsoku w:val="0"/>
        <w:overflowPunct w:val="0"/>
        <w:autoSpaceDE w:val="0"/>
        <w:autoSpaceDN w:val="0"/>
        <w:rPr>
          <w:b/>
          <w:snapToGrid w:val="0"/>
          <w:kern w:val="22"/>
          <w:szCs w:val="22"/>
        </w:rPr>
      </w:pPr>
      <w:r w:rsidRPr="0088780C">
        <w:rPr>
          <w:noProof/>
          <w:snapToGrid w:val="0"/>
          <w:kern w:val="22"/>
          <w:szCs w:val="22"/>
          <w:lang w:eastAsia="zh-CN"/>
        </w:rPr>
        <w:drawing>
          <wp:inline distT="0" distB="0" distL="0" distR="0" wp14:anchorId="632ECF7F" wp14:editId="15DB374C">
            <wp:extent cx="5876925" cy="4114800"/>
            <wp:effectExtent l="0" t="0" r="9525" b="0"/>
            <wp:docPr id="64528" name="Picture 12" descr="Minicheva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inicheva_14"/>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876925" cy="4114800"/>
                    </a:xfrm>
                    <a:prstGeom prst="rect">
                      <a:avLst/>
                    </a:prstGeom>
                    <a:noFill/>
                    <a:ln>
                      <a:noFill/>
                    </a:ln>
                  </pic:spPr>
                </pic:pic>
              </a:graphicData>
            </a:graphic>
          </wp:inline>
        </w:drawing>
      </w:r>
      <w:r w:rsidRPr="0088780C">
        <w:rPr>
          <w:b/>
          <w:snapToGrid w:val="0"/>
          <w:kern w:val="22"/>
          <w:szCs w:val="22"/>
        </w:rPr>
        <w:t>Figure 13. Calculated area (ArcGIS 10): 11</w:t>
      </w:r>
      <w:r w:rsidR="00591032" w:rsidRPr="0088780C">
        <w:rPr>
          <w:b/>
          <w:snapToGrid w:val="0"/>
          <w:kern w:val="22"/>
          <w:szCs w:val="22"/>
        </w:rPr>
        <w:t>,</w:t>
      </w:r>
      <w:r w:rsidRPr="0088780C">
        <w:rPr>
          <w:b/>
          <w:snapToGrid w:val="0"/>
          <w:kern w:val="22"/>
          <w:szCs w:val="22"/>
        </w:rPr>
        <w:t>166,709 km</w:t>
      </w:r>
      <w:r w:rsidRPr="0088780C">
        <w:rPr>
          <w:b/>
          <w:snapToGrid w:val="0"/>
          <w:kern w:val="22"/>
          <w:szCs w:val="22"/>
          <w:vertAlign w:val="superscript"/>
        </w:rPr>
        <w:t>2</w:t>
      </w:r>
    </w:p>
    <w:p w14:paraId="559FA49D"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87AF94B"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br w:type="page"/>
      </w:r>
    </w:p>
    <w:p w14:paraId="2282984D" w14:textId="7400C58A"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6: </w:t>
      </w:r>
      <w:r w:rsidRPr="0088780C">
        <w:rPr>
          <w:rFonts w:eastAsia="MS Mincho"/>
          <w:b/>
          <w:snapToGrid w:val="0"/>
          <w:color w:val="000000" w:themeColor="text1"/>
          <w:kern w:val="22"/>
          <w:szCs w:val="22"/>
        </w:rPr>
        <w:t>The Small Phyllophora Field</w:t>
      </w:r>
    </w:p>
    <w:p w14:paraId="07197FF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84DFC57" w14:textId="5CA72E40" w:rsidR="00A876F3" w:rsidRPr="0088780C" w:rsidRDefault="00A876F3" w:rsidP="001013AF">
      <w:pPr>
        <w:pStyle w:val="BodyText"/>
        <w:suppressLineNumbers/>
        <w:suppressAutoHyphens/>
        <w:kinsoku w:val="0"/>
        <w:overflowPunct w:val="0"/>
        <w:autoSpaceDE w:val="0"/>
        <w:autoSpaceDN w:val="0"/>
        <w:spacing w:before="0" w:after="0"/>
        <w:ind w:firstLine="0"/>
        <w:contextualSpacing/>
        <w:rPr>
          <w:snapToGrid w:val="0"/>
          <w:kern w:val="22"/>
          <w:szCs w:val="22"/>
        </w:rPr>
      </w:pPr>
      <w:r w:rsidRPr="0088780C">
        <w:rPr>
          <w:rFonts w:eastAsia="MS Mincho"/>
          <w:b/>
          <w:snapToGrid w:val="0"/>
          <w:kern w:val="22"/>
          <w:szCs w:val="22"/>
        </w:rPr>
        <w:t>Abstract</w:t>
      </w:r>
    </w:p>
    <w:p w14:paraId="62D693DC" w14:textId="51271DFB"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Phyllophora are a group of red algae that have commercial value for harvesting and extraction of agaroids. Phyllophor are also an important source of oxygen, resulting from the photosynthesis performed by the algae. In addition, Phyllophora fields in the north-western Black Sea have associated with them speciali</w:t>
      </w:r>
      <w:r w:rsidR="009E6247" w:rsidRPr="0088780C">
        <w:rPr>
          <w:rFonts w:eastAsia="Times New Roman"/>
          <w:snapToGrid w:val="0"/>
          <w:color w:val="000000" w:themeColor="text1"/>
          <w:kern w:val="22"/>
          <w:szCs w:val="22"/>
          <w:lang w:eastAsia="ru-RU"/>
        </w:rPr>
        <w:t>z</w:t>
      </w:r>
      <w:r w:rsidRPr="0088780C">
        <w:rPr>
          <w:rFonts w:eastAsia="Times New Roman"/>
          <w:snapToGrid w:val="0"/>
          <w:color w:val="000000" w:themeColor="text1"/>
          <w:kern w:val="22"/>
          <w:szCs w:val="22"/>
          <w:lang w:eastAsia="ru-RU"/>
        </w:rPr>
        <w:t xml:space="preserve">ed faunal communities, including more than 110 species of invertebrates and 47 species of fish. Many species have evolved a reddish colouration specifically to camouflage themselves inside the algae. The world’s largest area of Phyllophora, Zernov’s Philophora Field (ZPF, area </w:t>
      </w:r>
      <w:r w:rsidR="00F743B2" w:rsidRPr="0088780C">
        <w:rPr>
          <w:rFonts w:eastAsia="Times New Roman"/>
          <w:snapToGrid w:val="0"/>
          <w:color w:val="000000" w:themeColor="text1"/>
          <w:kern w:val="22"/>
          <w:szCs w:val="22"/>
          <w:lang w:eastAsia="ru-RU"/>
        </w:rPr>
        <w:t>No.</w:t>
      </w:r>
      <w:r w:rsidRPr="0088780C">
        <w:rPr>
          <w:rFonts w:eastAsia="Times New Roman"/>
          <w:snapToGrid w:val="0"/>
          <w:color w:val="000000" w:themeColor="text1"/>
          <w:kern w:val="22"/>
          <w:szCs w:val="22"/>
          <w:lang w:eastAsia="ru-RU"/>
        </w:rPr>
        <w:t xml:space="preserve"> 5, above) once covered some 11,000 km</w:t>
      </w:r>
      <w:r w:rsidRPr="0088780C">
        <w:rPr>
          <w:rFonts w:eastAsia="Times New Roman"/>
          <w:snapToGrid w:val="0"/>
          <w:color w:val="000000" w:themeColor="text1"/>
          <w:kern w:val="22"/>
          <w:szCs w:val="22"/>
          <w:vertAlign w:val="superscript"/>
          <w:lang w:eastAsia="ru-RU"/>
        </w:rPr>
        <w:t>2</w:t>
      </w:r>
      <w:r w:rsidRPr="0088780C">
        <w:rPr>
          <w:rFonts w:eastAsia="Times New Roman"/>
          <w:snapToGrid w:val="0"/>
          <w:color w:val="000000" w:themeColor="text1"/>
          <w:kern w:val="22"/>
          <w:szCs w:val="22"/>
          <w:lang w:eastAsia="ru-RU"/>
        </w:rPr>
        <w:t xml:space="preserve"> of the </w:t>
      </w:r>
      <w:r w:rsidR="00C656A2" w:rsidRPr="0088780C">
        <w:rPr>
          <w:rFonts w:eastAsia="Times New Roman"/>
          <w:snapToGrid w:val="0"/>
          <w:color w:val="000000" w:themeColor="text1"/>
          <w:kern w:val="22"/>
          <w:szCs w:val="22"/>
          <w:lang w:eastAsia="ru-RU"/>
        </w:rPr>
        <w:t>north-west</w:t>
      </w:r>
      <w:r w:rsidRPr="0088780C">
        <w:rPr>
          <w:rFonts w:eastAsia="Times New Roman"/>
          <w:snapToGrid w:val="0"/>
          <w:color w:val="000000" w:themeColor="text1"/>
          <w:kern w:val="22"/>
          <w:szCs w:val="22"/>
          <w:lang w:eastAsia="ru-RU"/>
        </w:rPr>
        <w:t xml:space="preserve"> shelf of the Black Sea and had a biomass of 7-10 million tonnes. By the early 1990s, the algal field had shrunk to 500 km</w:t>
      </w:r>
      <w:r w:rsidRPr="0088780C">
        <w:rPr>
          <w:rFonts w:eastAsia="Times New Roman"/>
          <w:snapToGrid w:val="0"/>
          <w:color w:val="000000" w:themeColor="text1"/>
          <w:kern w:val="22"/>
          <w:szCs w:val="22"/>
          <w:vertAlign w:val="superscript"/>
          <w:lang w:eastAsia="ru-RU"/>
        </w:rPr>
        <w:t>2</w:t>
      </w:r>
      <w:r w:rsidRPr="0088780C">
        <w:rPr>
          <w:rFonts w:eastAsia="Times New Roman"/>
          <w:snapToGrid w:val="0"/>
          <w:color w:val="000000" w:themeColor="text1"/>
          <w:kern w:val="22"/>
          <w:szCs w:val="22"/>
          <w:lang w:eastAsia="ru-RU"/>
        </w:rPr>
        <w:t xml:space="preserve"> and its biomass to under 0.5 million tonnes. As a result, the Small Phyllophora Field (SPF) in Karkinitsky Bay has assumed greater importance for conservation and ecosystem management.</w:t>
      </w:r>
    </w:p>
    <w:p w14:paraId="5CF33B4F" w14:textId="77777777" w:rsidR="00A876F3" w:rsidRPr="0088780C" w:rsidRDefault="00A876F3" w:rsidP="001013AF">
      <w:pPr>
        <w:suppressLineNumbers/>
        <w:suppressAutoHyphens/>
        <w:kinsoku w:val="0"/>
        <w:overflowPunct w:val="0"/>
        <w:autoSpaceDE w:val="0"/>
        <w:autoSpaceDN w:val="0"/>
        <w:rPr>
          <w:rFonts w:eastAsia="MS Mincho"/>
          <w:i/>
          <w:snapToGrid w:val="0"/>
          <w:color w:val="000000" w:themeColor="text1"/>
          <w:kern w:val="22"/>
          <w:szCs w:val="22"/>
        </w:rPr>
      </w:pPr>
    </w:p>
    <w:p w14:paraId="7A371E1D"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rFonts w:eastAsia="MS Mincho"/>
          <w:b/>
          <w:snapToGrid w:val="0"/>
          <w:kern w:val="22"/>
          <w:szCs w:val="22"/>
        </w:rPr>
        <w:t>Introduction</w:t>
      </w:r>
    </w:p>
    <w:p w14:paraId="2F8B2543" w14:textId="45D3EC02"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The marine waters in Karkinitsky and Dzharylgachsky bays have a relatively high salinity of 18-19 ‰ (the average salinity of the open Black Sea is 17-18 ‰ at the surface and 22-24 ‰ at a depth of 2,000 m). The perimeter of Karkinitsky Bay is more than 118 km. It is divided by Bakal Spit and Bakal Bank into a western offshore part (some 80 km wide and up to 36 m deep) with relatively straight sandy shores, and an eastern inshore part (up to 11.2 m deep) with indented clayey shores. The sea bottom is composed of sand, silt and shell substrates. In summer, the water temperature is 22 – 24 </w:t>
      </w:r>
      <w:r w:rsidRPr="0088780C">
        <w:rPr>
          <w:snapToGrid w:val="0"/>
          <w:color w:val="000000" w:themeColor="text1"/>
          <w:kern w:val="22"/>
          <w:szCs w:val="22"/>
          <w:vertAlign w:val="superscript"/>
        </w:rPr>
        <w:t xml:space="preserve">o </w:t>
      </w:r>
      <w:r w:rsidRPr="0088780C">
        <w:rPr>
          <w:snapToGrid w:val="0"/>
          <w:color w:val="000000" w:themeColor="text1"/>
          <w:kern w:val="22"/>
          <w:szCs w:val="22"/>
        </w:rPr>
        <w:t xml:space="preserve">C; in winter, it lies between 0.06 – 0.7 </w:t>
      </w:r>
      <w:r w:rsidRPr="0088780C">
        <w:rPr>
          <w:snapToGrid w:val="0"/>
          <w:color w:val="000000" w:themeColor="text1"/>
          <w:kern w:val="22"/>
          <w:szCs w:val="22"/>
          <w:vertAlign w:val="superscript"/>
        </w:rPr>
        <w:t xml:space="preserve">o </w:t>
      </w:r>
      <w:r w:rsidRPr="0088780C">
        <w:rPr>
          <w:snapToGrid w:val="0"/>
          <w:color w:val="000000" w:themeColor="text1"/>
          <w:kern w:val="22"/>
          <w:szCs w:val="22"/>
        </w:rPr>
        <w:t>C, though in severe winters the water freezes over (Geo</w:t>
      </w:r>
      <w:r w:rsidR="00EA742F" w:rsidRPr="0088780C">
        <w:rPr>
          <w:snapToGrid w:val="0"/>
          <w:color w:val="000000" w:themeColor="text1"/>
          <w:kern w:val="22"/>
          <w:szCs w:val="22"/>
        </w:rPr>
        <w:t>graphical Encyclopaedia, 1990).</w:t>
      </w:r>
    </w:p>
    <w:p w14:paraId="08215662"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01FB9551" w14:textId="32EB6DFB" w:rsidR="00A876F3" w:rsidRPr="0088780C" w:rsidRDefault="00A876F3" w:rsidP="00812B72">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Two currents flow in different directions along the shores of Karkinitsky Bay, due to which sand and silt are transported from up to a depth of 5m. Thus, the shell-sand deposits found in the bay result from the joint action of waves and underwater currents. There are a number of islands in the bay, covering about 5,700 ha; by far the largest is Dzharylgach, which is 42 km long and 5,605 ha in extent (Wetlands International, 2006). The main marine current flows north-east along the north-western coast of Crimea. At Bakal spit, it divides, one part going north, the other bending around Peschany Cape and </w:t>
      </w:r>
      <w:r w:rsidR="00812B72" w:rsidRPr="0088780C">
        <w:rPr>
          <w:snapToGrid w:val="0"/>
          <w:color w:val="000000" w:themeColor="text1"/>
          <w:kern w:val="22"/>
          <w:szCs w:val="22"/>
        </w:rPr>
        <w:t>continuing</w:t>
      </w:r>
      <w:r w:rsidRPr="0088780C">
        <w:rPr>
          <w:snapToGrid w:val="0"/>
          <w:color w:val="000000" w:themeColor="text1"/>
          <w:kern w:val="22"/>
          <w:szCs w:val="22"/>
        </w:rPr>
        <w:t xml:space="preserve"> along the coast to Andreevsky Liman, Lebyazhie islands and Perekopsk Bay (Fig. 2).</w:t>
      </w:r>
    </w:p>
    <w:p w14:paraId="2B9C023E"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1B0ED8B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Location</w:t>
      </w:r>
    </w:p>
    <w:p w14:paraId="239DE829"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shd w:val="clear" w:color="auto" w:fill="FFFFFF"/>
        </w:rPr>
      </w:pPr>
      <w:r w:rsidRPr="0088780C">
        <w:rPr>
          <w:snapToGrid w:val="0"/>
          <w:color w:val="000000" w:themeColor="text1"/>
          <w:kern w:val="22"/>
          <w:szCs w:val="22"/>
          <w:shd w:val="clear" w:color="auto" w:fill="FFFFFF"/>
        </w:rPr>
        <w:t>The Small Phyllophora Field is situated in Karkinitsky Bay, the largest bay in the Black Sea, between the north-western shore of the Crimean peninsula and the coast of Kherson oblast, where it is bounded by Dzharylgach Island and Tendrovsky Spit (Fig. 3).</w:t>
      </w:r>
    </w:p>
    <w:p w14:paraId="7BE03F63"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shd w:val="clear" w:color="auto" w:fill="FFFFFF"/>
        </w:rPr>
      </w:pPr>
    </w:p>
    <w:p w14:paraId="64ECB8A4" w14:textId="57E32C87" w:rsidR="00A876F3" w:rsidRPr="0088780C" w:rsidRDefault="00A876F3" w:rsidP="001013AF">
      <w:pPr>
        <w:suppressLineNumbers/>
        <w:suppressAutoHyphens/>
        <w:kinsoku w:val="0"/>
        <w:overflowPunct w:val="0"/>
        <w:autoSpaceDE w:val="0"/>
        <w:autoSpaceDN w:val="0"/>
        <w:rPr>
          <w:snapToGrid w:val="0"/>
          <w:color w:val="000000" w:themeColor="text1"/>
          <w:kern w:val="22"/>
          <w:szCs w:val="22"/>
          <w:shd w:val="clear" w:color="auto" w:fill="FFFFFF"/>
        </w:rPr>
      </w:pPr>
      <w:r w:rsidRPr="0088780C">
        <w:rPr>
          <w:snapToGrid w:val="0"/>
          <w:color w:val="000000" w:themeColor="text1"/>
          <w:kern w:val="22"/>
          <w:szCs w:val="22"/>
          <w:shd w:val="clear" w:color="auto" w:fill="FFFFFF"/>
        </w:rPr>
        <w:t>A Presidential decree of August 31 2012, № 527/2012  (</w:t>
      </w:r>
      <w:hyperlink r:id="rId141" w:history="1">
        <w:r w:rsidRPr="0088780C">
          <w:rPr>
            <w:rStyle w:val="Hyperlink"/>
            <w:snapToGrid w:val="0"/>
            <w:kern w:val="22"/>
            <w:szCs w:val="22"/>
            <w:shd w:val="clear" w:color="auto" w:fill="FFFFFF"/>
          </w:rPr>
          <w:t>http://zakon0.rada.gov.ua/laws/show/527/2012</w:t>
        </w:r>
      </w:hyperlink>
      <w:r w:rsidRPr="0088780C">
        <w:rPr>
          <w:snapToGrid w:val="0"/>
          <w:color w:val="000000" w:themeColor="text1"/>
          <w:kern w:val="22"/>
          <w:szCs w:val="22"/>
          <w:shd w:val="clear" w:color="auto" w:fill="FFFFFF"/>
        </w:rPr>
        <w:t xml:space="preserve">) declared a botanical reserve of national importance, the </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Small Phyllophora field</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 measuring 385 square kilometres, with the following coordinates:</w:t>
      </w:r>
    </w:p>
    <w:p w14:paraId="61CC04F7" w14:textId="77777777" w:rsidR="002C63DA" w:rsidRPr="0088780C" w:rsidRDefault="002C63DA" w:rsidP="001013AF">
      <w:pPr>
        <w:suppressLineNumbers/>
        <w:suppressAutoHyphens/>
        <w:kinsoku w:val="0"/>
        <w:overflowPunct w:val="0"/>
        <w:autoSpaceDE w:val="0"/>
        <w:autoSpaceDN w:val="0"/>
        <w:rPr>
          <w:snapToGrid w:val="0"/>
          <w:color w:val="000000" w:themeColor="text1"/>
          <w:kern w:val="22"/>
          <w:szCs w:val="22"/>
          <w:shd w:val="clear" w:color="auto" w:fill="FFFFFF"/>
        </w:rPr>
      </w:pPr>
    </w:p>
    <w:p w14:paraId="68745932" w14:textId="6D8B6E2F" w:rsidR="00A876F3" w:rsidRPr="0088780C" w:rsidRDefault="00A876F3" w:rsidP="001013AF">
      <w:pPr>
        <w:suppressLineNumbers/>
        <w:suppressAutoHyphens/>
        <w:kinsoku w:val="0"/>
        <w:overflowPunct w:val="0"/>
        <w:autoSpaceDE w:val="0"/>
        <w:autoSpaceDN w:val="0"/>
        <w:ind w:firstLine="720"/>
        <w:rPr>
          <w:snapToGrid w:val="0"/>
          <w:color w:val="000000" w:themeColor="text1"/>
          <w:kern w:val="22"/>
          <w:szCs w:val="22"/>
          <w:shd w:val="clear" w:color="auto" w:fill="FFFFFF"/>
        </w:rPr>
      </w:pPr>
      <w:r w:rsidRPr="0088780C">
        <w:rPr>
          <w:snapToGrid w:val="0"/>
          <w:color w:val="000000" w:themeColor="text1"/>
          <w:kern w:val="22"/>
          <w:szCs w:val="22"/>
          <w:shd w:val="clear" w:color="auto" w:fill="FFFFFF"/>
        </w:rPr>
        <w:t xml:space="preserve">A - 45 °48'03 </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N and 33 °10'06</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 xml:space="preserve"> E;</w:t>
      </w:r>
    </w:p>
    <w:p w14:paraId="528EC966" w14:textId="6C1EBBAA" w:rsidR="00A876F3" w:rsidRPr="0088780C" w:rsidRDefault="00A876F3" w:rsidP="001013AF">
      <w:pPr>
        <w:suppressLineNumbers/>
        <w:suppressAutoHyphens/>
        <w:kinsoku w:val="0"/>
        <w:overflowPunct w:val="0"/>
        <w:autoSpaceDE w:val="0"/>
        <w:autoSpaceDN w:val="0"/>
        <w:ind w:firstLine="720"/>
        <w:rPr>
          <w:snapToGrid w:val="0"/>
          <w:color w:val="000000" w:themeColor="text1"/>
          <w:kern w:val="22"/>
          <w:szCs w:val="22"/>
          <w:shd w:val="clear" w:color="auto" w:fill="FFFFFF"/>
        </w:rPr>
      </w:pPr>
      <w:r w:rsidRPr="0088780C">
        <w:rPr>
          <w:snapToGrid w:val="0"/>
          <w:color w:val="000000" w:themeColor="text1"/>
          <w:kern w:val="22"/>
          <w:szCs w:val="22"/>
          <w:shd w:val="clear" w:color="auto" w:fill="FFFFFF"/>
        </w:rPr>
        <w:t xml:space="preserve">B - 45°54'29 </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N and 33 °09'12</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 xml:space="preserve"> E;</w:t>
      </w:r>
    </w:p>
    <w:p w14:paraId="4AD14005" w14:textId="43778366" w:rsidR="00A876F3" w:rsidRPr="0088780C" w:rsidRDefault="00A876F3" w:rsidP="001013AF">
      <w:pPr>
        <w:suppressLineNumbers/>
        <w:suppressAutoHyphens/>
        <w:kinsoku w:val="0"/>
        <w:overflowPunct w:val="0"/>
        <w:autoSpaceDE w:val="0"/>
        <w:autoSpaceDN w:val="0"/>
        <w:ind w:firstLine="720"/>
        <w:rPr>
          <w:snapToGrid w:val="0"/>
          <w:color w:val="000000" w:themeColor="text1"/>
          <w:kern w:val="22"/>
          <w:szCs w:val="22"/>
          <w:shd w:val="clear" w:color="auto" w:fill="FFFFFF"/>
        </w:rPr>
      </w:pPr>
      <w:r w:rsidRPr="0088780C">
        <w:rPr>
          <w:snapToGrid w:val="0"/>
          <w:color w:val="000000" w:themeColor="text1"/>
          <w:kern w:val="22"/>
          <w:szCs w:val="22"/>
          <w:shd w:val="clear" w:color="auto" w:fill="FFFFFF"/>
        </w:rPr>
        <w:t xml:space="preserve">C - 45°59'00 </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N and 33 °06'00</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 xml:space="preserve"> E;</w:t>
      </w:r>
    </w:p>
    <w:p w14:paraId="5891E438" w14:textId="120EE2BB" w:rsidR="00A876F3" w:rsidRPr="0088780C" w:rsidRDefault="00A876F3" w:rsidP="001013AF">
      <w:pPr>
        <w:suppressLineNumbers/>
        <w:suppressAutoHyphens/>
        <w:kinsoku w:val="0"/>
        <w:overflowPunct w:val="0"/>
        <w:autoSpaceDE w:val="0"/>
        <w:autoSpaceDN w:val="0"/>
        <w:ind w:firstLine="720"/>
        <w:rPr>
          <w:snapToGrid w:val="0"/>
          <w:color w:val="000000" w:themeColor="text1"/>
          <w:kern w:val="22"/>
          <w:szCs w:val="22"/>
          <w:shd w:val="clear" w:color="auto" w:fill="FFFFFF"/>
        </w:rPr>
      </w:pPr>
      <w:r w:rsidRPr="0088780C">
        <w:rPr>
          <w:snapToGrid w:val="0"/>
          <w:color w:val="000000" w:themeColor="text1"/>
          <w:kern w:val="22"/>
          <w:szCs w:val="22"/>
          <w:shd w:val="clear" w:color="auto" w:fill="FFFFFF"/>
        </w:rPr>
        <w:t xml:space="preserve">D - 45°59'00 </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N and 33°21'00</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 xml:space="preserve"> E;</w:t>
      </w:r>
    </w:p>
    <w:p w14:paraId="6FED2177" w14:textId="4CF8740A" w:rsidR="00A876F3" w:rsidRPr="0088780C" w:rsidRDefault="00A876F3" w:rsidP="001013AF">
      <w:pPr>
        <w:suppressLineNumbers/>
        <w:suppressAutoHyphens/>
        <w:kinsoku w:val="0"/>
        <w:overflowPunct w:val="0"/>
        <w:autoSpaceDE w:val="0"/>
        <w:autoSpaceDN w:val="0"/>
        <w:ind w:firstLine="720"/>
        <w:rPr>
          <w:snapToGrid w:val="0"/>
          <w:color w:val="000000" w:themeColor="text1"/>
          <w:kern w:val="22"/>
          <w:szCs w:val="22"/>
          <w:shd w:val="clear" w:color="auto" w:fill="FFFFFF"/>
        </w:rPr>
      </w:pPr>
      <w:r w:rsidRPr="0088780C">
        <w:rPr>
          <w:snapToGrid w:val="0"/>
          <w:color w:val="000000" w:themeColor="text1"/>
          <w:kern w:val="22"/>
          <w:szCs w:val="22"/>
          <w:shd w:val="clear" w:color="auto" w:fill="FFFFFF"/>
        </w:rPr>
        <w:t xml:space="preserve">E - 45 °57'07 </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N and 33°24'15</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 xml:space="preserve"> E;</w:t>
      </w:r>
    </w:p>
    <w:p w14:paraId="7729CC5C" w14:textId="7B3C45DD" w:rsidR="00A876F3" w:rsidRPr="0088780C" w:rsidRDefault="00A876F3" w:rsidP="001013AF">
      <w:pPr>
        <w:suppressLineNumbers/>
        <w:suppressAutoHyphens/>
        <w:kinsoku w:val="0"/>
        <w:overflowPunct w:val="0"/>
        <w:autoSpaceDE w:val="0"/>
        <w:autoSpaceDN w:val="0"/>
        <w:ind w:firstLine="720"/>
        <w:rPr>
          <w:snapToGrid w:val="0"/>
          <w:color w:val="000000" w:themeColor="text1"/>
          <w:kern w:val="22"/>
          <w:szCs w:val="22"/>
          <w:shd w:val="clear" w:color="auto" w:fill="FFFFFF"/>
        </w:rPr>
      </w:pPr>
      <w:r w:rsidRPr="0088780C">
        <w:rPr>
          <w:snapToGrid w:val="0"/>
          <w:color w:val="000000" w:themeColor="text1"/>
          <w:kern w:val="22"/>
          <w:szCs w:val="22"/>
          <w:shd w:val="clear" w:color="auto" w:fill="FFFFFF"/>
        </w:rPr>
        <w:t xml:space="preserve">F - 45 °48'33 </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N and 33°23'50</w:t>
      </w:r>
      <w:r w:rsidR="00D8482D" w:rsidRPr="0088780C">
        <w:rPr>
          <w:snapToGrid w:val="0"/>
          <w:color w:val="000000" w:themeColor="text1"/>
          <w:kern w:val="22"/>
          <w:szCs w:val="22"/>
          <w:shd w:val="clear" w:color="auto" w:fill="FFFFFF"/>
        </w:rPr>
        <w:t>”</w:t>
      </w:r>
      <w:r w:rsidRPr="0088780C">
        <w:rPr>
          <w:snapToGrid w:val="0"/>
          <w:color w:val="000000" w:themeColor="text1"/>
          <w:kern w:val="22"/>
          <w:szCs w:val="22"/>
          <w:shd w:val="clear" w:color="auto" w:fill="FFFFFF"/>
        </w:rPr>
        <w:t xml:space="preserve"> E.</w:t>
      </w:r>
    </w:p>
    <w:p w14:paraId="1991E8A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D95F7B4" w14:textId="77777777" w:rsidR="00A876F3" w:rsidRPr="0088780C" w:rsidRDefault="00A876F3" w:rsidP="001013AF">
      <w:pPr>
        <w:suppressLineNumbers/>
        <w:suppressAutoHyphens/>
        <w:kinsoku w:val="0"/>
        <w:overflowPunct w:val="0"/>
        <w:autoSpaceDE w:val="0"/>
        <w:autoSpaceDN w:val="0"/>
        <w:rPr>
          <w:rFonts w:eastAsia="SimSun"/>
          <w:snapToGrid w:val="0"/>
          <w:color w:val="000000" w:themeColor="text1"/>
          <w:kern w:val="22"/>
          <w:szCs w:val="22"/>
          <w:u w:val="single"/>
          <w:lang w:eastAsia="zh-CN"/>
        </w:rPr>
      </w:pPr>
      <w:r w:rsidRPr="0088780C">
        <w:rPr>
          <w:rFonts w:eastAsia="MS Mincho"/>
          <w:b/>
          <w:snapToGrid w:val="0"/>
          <w:kern w:val="22"/>
          <w:szCs w:val="22"/>
        </w:rPr>
        <w:t>Feature description of the area</w:t>
      </w:r>
    </w:p>
    <w:p w14:paraId="4D4C62FF"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r w:rsidRPr="0088780C">
        <w:rPr>
          <w:rFonts w:eastAsia="SimSun"/>
          <w:snapToGrid w:val="0"/>
          <w:color w:val="000000" w:themeColor="text1"/>
          <w:kern w:val="22"/>
          <w:szCs w:val="22"/>
          <w:u w:val="single"/>
          <w:lang w:eastAsia="zh-CN"/>
        </w:rPr>
        <w:t>Physiographic description</w:t>
      </w:r>
    </w:p>
    <w:p w14:paraId="067EA9BB"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r w:rsidRPr="0088780C">
        <w:rPr>
          <w:rFonts w:eastAsia="MS Mincho"/>
          <w:snapToGrid w:val="0"/>
          <w:color w:val="000000" w:themeColor="text1"/>
          <w:kern w:val="22"/>
          <w:szCs w:val="22"/>
        </w:rPr>
        <w:t>The general landscape of Karkinitsky Bay is a low to gently undulating coastal relief, with a very gentle slope from the coast out to the open sea. The southern coast of Karkinitsky Bay is divided by many sandbars, small embayments and limans. The shallower waters hold many areas with charophytic algae, banks, sedimentary islands, spits, and fish breeding ponds. According to international habitat classifications, the wetlands of Karkinitsky Bay include: open sea shallow water; sea bays and straits; сoasts; various shorelines; small islands and spits of sedimentary origin; lakes; near-coastal freshwater biotopes.</w:t>
      </w:r>
    </w:p>
    <w:p w14:paraId="44421D49"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376A55C2"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r w:rsidRPr="0088780C">
        <w:rPr>
          <w:rFonts w:eastAsia="MS Mincho"/>
          <w:snapToGrid w:val="0"/>
          <w:color w:val="000000" w:themeColor="text1"/>
          <w:kern w:val="22"/>
          <w:szCs w:val="22"/>
        </w:rPr>
        <w:t>This area is among the driest in Ukraine, with average annual total precipitation of 300-325 mm. In the driest periods, precipitation is 209 mm while in the wettest, 466 mm (exceptionally 597 mm), with the highest amount falling between December and January.</w:t>
      </w:r>
    </w:p>
    <w:p w14:paraId="0568BDF6"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1E4C289D" w14:textId="6F41FBF4" w:rsidR="00A876F3" w:rsidRPr="0088780C" w:rsidRDefault="00A876F3" w:rsidP="00812B72">
      <w:pPr>
        <w:suppressLineNumbers/>
        <w:suppressAutoHyphens/>
        <w:kinsoku w:val="0"/>
        <w:overflowPunct w:val="0"/>
        <w:autoSpaceDE w:val="0"/>
        <w:autoSpaceDN w:val="0"/>
        <w:rPr>
          <w:rFonts w:eastAsia="MS Mincho"/>
          <w:snapToGrid w:val="0"/>
          <w:color w:val="000000" w:themeColor="text1"/>
          <w:kern w:val="22"/>
          <w:szCs w:val="22"/>
        </w:rPr>
      </w:pPr>
      <w:r w:rsidRPr="0088780C">
        <w:rPr>
          <w:rFonts w:eastAsia="MS Mincho"/>
          <w:snapToGrid w:val="0"/>
          <w:color w:val="000000" w:themeColor="text1"/>
          <w:kern w:val="22"/>
          <w:szCs w:val="22"/>
        </w:rPr>
        <w:t>The average annual air temperature for the past four decades was 10.2</w:t>
      </w:r>
      <w:r w:rsidR="00812B72" w:rsidRPr="0088780C">
        <w:rPr>
          <w:rFonts w:eastAsia="MS Mincho"/>
          <w:snapToGrid w:val="0"/>
          <w:color w:val="000000" w:themeColor="text1"/>
          <w:kern w:val="22"/>
          <w:szCs w:val="22"/>
        </w:rPr>
        <w:t>º</w:t>
      </w:r>
      <w:r w:rsidRPr="0088780C">
        <w:rPr>
          <w:rFonts w:eastAsia="MS Mincho"/>
          <w:snapToGrid w:val="0"/>
          <w:color w:val="000000" w:themeColor="text1"/>
          <w:kern w:val="22"/>
          <w:szCs w:val="22"/>
        </w:rPr>
        <w:t>C. The coldest months are January and February, the hottest July and August. The lowest temperature recorde</w:t>
      </w:r>
      <w:r w:rsidR="00812B72" w:rsidRPr="0088780C">
        <w:rPr>
          <w:rFonts w:eastAsia="MS Mincho"/>
          <w:snapToGrid w:val="0"/>
          <w:color w:val="000000" w:themeColor="text1"/>
          <w:kern w:val="22"/>
          <w:szCs w:val="22"/>
        </w:rPr>
        <w:t xml:space="preserve">d at Bekhtersky station was </w:t>
      </w:r>
      <w:r w:rsidR="00812B72" w:rsidRPr="0088780C">
        <w:rPr>
          <w:rFonts w:eastAsia="MS Mincho"/>
          <w:snapToGrid w:val="0"/>
          <w:color w:val="000000" w:themeColor="text1"/>
          <w:kern w:val="22"/>
          <w:szCs w:val="22"/>
        </w:rPr>
        <w:noBreakHyphen/>
        <w:t>27º</w:t>
      </w:r>
      <w:r w:rsidRPr="0088780C">
        <w:rPr>
          <w:rFonts w:eastAsia="MS Mincho"/>
          <w:snapToGrid w:val="0"/>
          <w:color w:val="000000" w:themeColor="text1"/>
          <w:kern w:val="22"/>
          <w:szCs w:val="22"/>
        </w:rPr>
        <w:t>C on 28 January 1954 and the highest 50</w:t>
      </w:r>
      <w:r w:rsidR="00812B72" w:rsidRPr="0088780C">
        <w:rPr>
          <w:rFonts w:eastAsia="MS Mincho"/>
          <w:snapToGrid w:val="0"/>
          <w:color w:val="000000" w:themeColor="text1"/>
          <w:kern w:val="22"/>
          <w:szCs w:val="22"/>
        </w:rPr>
        <w:t>º</w:t>
      </w:r>
      <w:r w:rsidRPr="0088780C">
        <w:rPr>
          <w:rFonts w:eastAsia="MS Mincho"/>
          <w:snapToGrid w:val="0"/>
          <w:color w:val="000000" w:themeColor="text1"/>
          <w:kern w:val="22"/>
          <w:szCs w:val="22"/>
        </w:rPr>
        <w:t>C on 2 August 1986. The beginning and end of vegetation growth occurs when average daily air temperature rises above 5</w:t>
      </w:r>
      <w:r w:rsidR="00812B72" w:rsidRPr="0088780C">
        <w:rPr>
          <w:rFonts w:eastAsia="MS Mincho"/>
          <w:snapToGrid w:val="0"/>
          <w:color w:val="000000" w:themeColor="text1"/>
          <w:kern w:val="22"/>
          <w:szCs w:val="22"/>
        </w:rPr>
        <w:t>ºC</w:t>
      </w:r>
      <w:r w:rsidRPr="0088780C">
        <w:rPr>
          <w:rFonts w:eastAsia="MS Mincho"/>
          <w:snapToGrid w:val="0"/>
          <w:color w:val="000000" w:themeColor="text1"/>
          <w:kern w:val="22"/>
          <w:szCs w:val="22"/>
        </w:rPr>
        <w:t>, during the third week of March and mid-November, respectively. The average length of the plant growth period is 230 days. Karkinitsky Bay experiences intense wind activity. Although patterns change significantly from year to year, the prevailing winds are from the north-east; south-eastern winds are the least frequent (Nazarenko, Amonsky, 1986). On the average, there are 30 days per year with winds of 3m/s or so; winds of 6-12 m/s occur for 223 days per year; winds of 15-18 m/s occur 13 days per year.</w:t>
      </w:r>
    </w:p>
    <w:p w14:paraId="6ABEC2E2"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33474C9E" w14:textId="77777777" w:rsidR="00A876F3" w:rsidRPr="0088780C" w:rsidRDefault="00A876F3" w:rsidP="001013AF">
      <w:pPr>
        <w:suppressLineNumbers/>
        <w:shd w:val="clear" w:color="auto" w:fill="FFFFFF"/>
        <w:suppressAutoHyphens/>
        <w:kinsoku w:val="0"/>
        <w:overflowPunct w:val="0"/>
        <w:autoSpaceDE w:val="0"/>
        <w:autoSpaceDN w:val="0"/>
        <w:rPr>
          <w:rFonts w:eastAsia="SimSun"/>
          <w:snapToGrid w:val="0"/>
          <w:color w:val="000000" w:themeColor="text1"/>
          <w:kern w:val="22"/>
          <w:szCs w:val="22"/>
          <w:u w:val="single"/>
          <w:lang w:eastAsia="zh-CN"/>
        </w:rPr>
      </w:pPr>
      <w:r w:rsidRPr="0088780C">
        <w:rPr>
          <w:rFonts w:eastAsia="SimSun"/>
          <w:snapToGrid w:val="0"/>
          <w:color w:val="000000" w:themeColor="text1"/>
          <w:kern w:val="22"/>
          <w:szCs w:val="22"/>
          <w:u w:val="single"/>
          <w:lang w:eastAsia="zh-CN"/>
        </w:rPr>
        <w:t>Biological communities</w:t>
      </w:r>
    </w:p>
    <w:p w14:paraId="51530E2F" w14:textId="77777777" w:rsidR="00A876F3" w:rsidRPr="0088780C" w:rsidRDefault="00A876F3" w:rsidP="001013AF">
      <w:pPr>
        <w:suppressLineNumbers/>
        <w:shd w:val="clear" w:color="auto" w:fill="FFFFFF"/>
        <w:suppressAutoHyphens/>
        <w:kinsoku w:val="0"/>
        <w:overflowPunct w:val="0"/>
        <w:autoSpaceDE w:val="0"/>
        <w:autoSpaceDN w:val="0"/>
        <w:rPr>
          <w:rFonts w:eastAsia="SimSun"/>
          <w:snapToGrid w:val="0"/>
          <w:color w:val="000000" w:themeColor="text1"/>
          <w:kern w:val="22"/>
          <w:szCs w:val="22"/>
          <w:u w:val="single"/>
          <w:lang w:eastAsia="zh-CN"/>
        </w:rPr>
      </w:pPr>
      <w:r w:rsidRPr="0088780C">
        <w:rPr>
          <w:rFonts w:eastAsia="SimSun"/>
          <w:i/>
          <w:snapToGrid w:val="0"/>
          <w:color w:val="000000" w:themeColor="text1"/>
          <w:kern w:val="22"/>
          <w:szCs w:val="22"/>
          <w:lang w:eastAsia="zh-CN"/>
        </w:rPr>
        <w:t>Macrophytobenthos</w:t>
      </w:r>
    </w:p>
    <w:p w14:paraId="7A53F12B" w14:textId="516BB906" w:rsidR="00A876F3" w:rsidRPr="0088780C" w:rsidRDefault="00A876F3" w:rsidP="00812B72">
      <w:pPr>
        <w:suppressLineNumbers/>
        <w:suppressAutoHyphens/>
        <w:kinsoku w:val="0"/>
        <w:overflowPunct w:val="0"/>
        <w:autoSpaceDE w:val="0"/>
        <w:autoSpaceDN w:val="0"/>
        <w:rPr>
          <w:snapToGrid w:val="0"/>
          <w:color w:val="000000" w:themeColor="text1"/>
          <w:kern w:val="22"/>
          <w:szCs w:val="22"/>
        </w:rPr>
      </w:pPr>
      <w:r w:rsidRPr="0088780C">
        <w:rPr>
          <w:rFonts w:eastAsia="SimSun"/>
          <w:snapToGrid w:val="0"/>
          <w:color w:val="000000" w:themeColor="text1"/>
          <w:kern w:val="22"/>
          <w:szCs w:val="22"/>
          <w:lang w:eastAsia="zh-CN"/>
        </w:rPr>
        <w:t xml:space="preserve">Karkinitsky Bay is included on the Ramsar List of Wetlands of International Importance (see Fig. 1). There are seven biocenoses (habitats) in Karkinitsky Bay where plants are key species (edificator). One of the famous is biocenosis of red algae </w:t>
      </w:r>
      <w:r w:rsidRPr="0088780C">
        <w:rPr>
          <w:rFonts w:eastAsia="SimSun"/>
          <w:i/>
          <w:snapToGrid w:val="0"/>
          <w:color w:val="000000" w:themeColor="text1"/>
          <w:kern w:val="22"/>
          <w:szCs w:val="22"/>
          <w:lang w:eastAsia="zh-CN"/>
        </w:rPr>
        <w:t>Phillophora crispa</w:t>
      </w:r>
      <w:r w:rsidRPr="0088780C">
        <w:rPr>
          <w:rFonts w:eastAsia="SimSun"/>
          <w:snapToGrid w:val="0"/>
          <w:color w:val="000000" w:themeColor="text1"/>
          <w:kern w:val="22"/>
          <w:szCs w:val="22"/>
          <w:lang w:eastAsia="zh-CN"/>
        </w:rPr>
        <w:t xml:space="preserve"> (=</w:t>
      </w:r>
      <w:r w:rsidRPr="0088780C">
        <w:rPr>
          <w:rFonts w:eastAsia="SimSun"/>
          <w:i/>
          <w:snapToGrid w:val="0"/>
          <w:color w:val="000000" w:themeColor="text1"/>
          <w:kern w:val="22"/>
          <w:szCs w:val="22"/>
          <w:lang w:eastAsia="zh-CN"/>
        </w:rPr>
        <w:t>nervosa</w:t>
      </w:r>
      <w:r w:rsidRPr="0088780C">
        <w:rPr>
          <w:rFonts w:eastAsia="SimSun"/>
          <w:snapToGrid w:val="0"/>
          <w:color w:val="000000" w:themeColor="text1"/>
          <w:kern w:val="22"/>
          <w:szCs w:val="22"/>
          <w:lang w:eastAsia="zh-CN"/>
        </w:rPr>
        <w:t>), that</w:t>
      </w:r>
      <w:r w:rsidRPr="0088780C">
        <w:rPr>
          <w:snapToGrid w:val="0"/>
          <w:color w:val="000000" w:themeColor="text1"/>
          <w:kern w:val="22"/>
          <w:szCs w:val="22"/>
        </w:rPr>
        <w:t xml:space="preserve"> formed local concentrations in the eastern part of the bay. </w:t>
      </w:r>
      <w:r w:rsidRPr="0088780C">
        <w:rPr>
          <w:rFonts w:eastAsia="SimSun"/>
          <w:snapToGrid w:val="0"/>
          <w:color w:val="000000" w:themeColor="text1"/>
          <w:kern w:val="22"/>
          <w:szCs w:val="22"/>
          <w:lang w:eastAsia="zh-CN"/>
        </w:rPr>
        <w:t>The state of this biocenosis is stable, and Karkinitsky Bay has the biggest population of this species in the Black Sea. The maximal concentration of this species is about 6 kg/m</w:t>
      </w:r>
      <w:r w:rsidRPr="0088780C">
        <w:rPr>
          <w:rFonts w:eastAsia="SimSun"/>
          <w:snapToGrid w:val="0"/>
          <w:color w:val="000000" w:themeColor="text1"/>
          <w:kern w:val="22"/>
          <w:szCs w:val="22"/>
          <w:vertAlign w:val="superscript"/>
          <w:lang w:eastAsia="zh-CN"/>
        </w:rPr>
        <w:t>2</w:t>
      </w:r>
      <w:r w:rsidRPr="0088780C">
        <w:rPr>
          <w:rFonts w:eastAsia="SimSun"/>
          <w:snapToGrid w:val="0"/>
          <w:color w:val="000000" w:themeColor="text1"/>
          <w:kern w:val="22"/>
          <w:szCs w:val="22"/>
          <w:lang w:eastAsia="zh-CN"/>
        </w:rPr>
        <w:t xml:space="preserve"> here. The field survey of the inner part of Karkinitsky Bay in September 2008 showed that communities of benthic macrophytes covered more than 80% of the seabed (Fig. 4). The second biocenosis formed by the macrophytes is eelgrass </w:t>
      </w:r>
      <w:r w:rsidRPr="0088780C">
        <w:rPr>
          <w:rFonts w:eastAsia="SimSun"/>
          <w:i/>
          <w:snapToGrid w:val="0"/>
          <w:color w:val="000000" w:themeColor="text1"/>
          <w:kern w:val="22"/>
          <w:szCs w:val="22"/>
          <w:lang w:eastAsia="zh-CN"/>
        </w:rPr>
        <w:t>Zostera nana</w:t>
      </w:r>
      <w:r w:rsidRPr="0088780C">
        <w:rPr>
          <w:rFonts w:eastAsia="SimSun"/>
          <w:snapToGrid w:val="0"/>
          <w:color w:val="000000" w:themeColor="text1"/>
          <w:kern w:val="22"/>
          <w:szCs w:val="22"/>
          <w:lang w:eastAsia="zh-CN"/>
        </w:rPr>
        <w:t xml:space="preserve"> and </w:t>
      </w:r>
      <w:r w:rsidRPr="0088780C">
        <w:rPr>
          <w:rFonts w:eastAsia="SimSun"/>
          <w:i/>
          <w:snapToGrid w:val="0"/>
          <w:color w:val="000000" w:themeColor="text1"/>
          <w:kern w:val="22"/>
          <w:szCs w:val="22"/>
          <w:lang w:eastAsia="zh-CN"/>
        </w:rPr>
        <w:t>Z. marina</w:t>
      </w:r>
      <w:r w:rsidRPr="0088780C">
        <w:rPr>
          <w:rFonts w:eastAsia="SimSun"/>
          <w:snapToGrid w:val="0"/>
          <w:color w:val="000000" w:themeColor="text1"/>
          <w:kern w:val="22"/>
          <w:szCs w:val="22"/>
          <w:lang w:eastAsia="zh-CN"/>
        </w:rPr>
        <w:t xml:space="preserve"> (key species) in</w:t>
      </w:r>
      <w:r w:rsidRPr="0088780C">
        <w:rPr>
          <w:snapToGrid w:val="0"/>
          <w:color w:val="000000" w:themeColor="text1"/>
          <w:kern w:val="22"/>
          <w:szCs w:val="22"/>
        </w:rPr>
        <w:t xml:space="preserve"> shallow coastal waters with soft sediments up to 1 m deep (Aleksandrov et al., 2009). Other macrophyte communities comprise </w:t>
      </w:r>
      <w:r w:rsidRPr="0088780C">
        <w:rPr>
          <w:i/>
          <w:snapToGrid w:val="0"/>
          <w:color w:val="000000" w:themeColor="text1"/>
          <w:kern w:val="22"/>
          <w:szCs w:val="22"/>
        </w:rPr>
        <w:t>Potamogeton, Ruppia, Zannichellia</w:t>
      </w:r>
      <w:r w:rsidRPr="0088780C">
        <w:rPr>
          <w:snapToGrid w:val="0"/>
          <w:color w:val="000000" w:themeColor="text1"/>
          <w:kern w:val="22"/>
          <w:szCs w:val="22"/>
        </w:rPr>
        <w:t xml:space="preserve"> and charophytic algae </w:t>
      </w:r>
      <w:r w:rsidRPr="0088780C">
        <w:rPr>
          <w:i/>
          <w:snapToGrid w:val="0"/>
          <w:color w:val="000000" w:themeColor="text1"/>
          <w:kern w:val="22"/>
          <w:szCs w:val="22"/>
        </w:rPr>
        <w:t>Chara</w:t>
      </w:r>
      <w:r w:rsidRPr="0088780C">
        <w:rPr>
          <w:snapToGrid w:val="0"/>
          <w:color w:val="000000" w:themeColor="text1"/>
          <w:kern w:val="22"/>
          <w:szCs w:val="22"/>
        </w:rPr>
        <w:t xml:space="preserve"> and </w:t>
      </w:r>
      <w:r w:rsidRPr="0088780C">
        <w:rPr>
          <w:i/>
          <w:snapToGrid w:val="0"/>
          <w:color w:val="000000" w:themeColor="text1"/>
          <w:kern w:val="22"/>
          <w:szCs w:val="22"/>
        </w:rPr>
        <w:t xml:space="preserve">Lamprothamnium </w:t>
      </w:r>
      <w:r w:rsidRPr="0088780C">
        <w:rPr>
          <w:rFonts w:eastAsia="SimSun"/>
          <w:snapToGrid w:val="0"/>
          <w:color w:val="000000" w:themeColor="text1"/>
          <w:kern w:val="22"/>
          <w:szCs w:val="22"/>
          <w:lang w:eastAsia="zh-CN"/>
        </w:rPr>
        <w:t>(Fig. 5)</w:t>
      </w:r>
      <w:r w:rsidRPr="0088780C">
        <w:rPr>
          <w:snapToGrid w:val="0"/>
          <w:color w:val="000000" w:themeColor="text1"/>
          <w:kern w:val="22"/>
          <w:szCs w:val="22"/>
        </w:rPr>
        <w:t>.</w:t>
      </w:r>
    </w:p>
    <w:p w14:paraId="0158057F"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28D78AD1"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The diversity of macrophytes in the SPF in the mid-1960s comprised a total of 35 species: eight green algae; 14 brown algae; 11 red algae; and two eelgrasses. However, by 1986 the floristic diversity had declined significantly and furthermore according to the latest data, only 20 species of benthic macrophytes were found in the SPF (Kalugina-Gutnik, Evstigneeva, 1993). There are two species (eelgrass </w:t>
      </w:r>
      <w:r w:rsidRPr="0088780C">
        <w:rPr>
          <w:i/>
          <w:snapToGrid w:val="0"/>
          <w:color w:val="000000" w:themeColor="text1"/>
          <w:kern w:val="22"/>
          <w:szCs w:val="22"/>
        </w:rPr>
        <w:t>Zostera marina</w:t>
      </w:r>
      <w:r w:rsidRPr="0088780C">
        <w:rPr>
          <w:snapToGrid w:val="0"/>
          <w:color w:val="000000" w:themeColor="text1"/>
          <w:kern w:val="22"/>
          <w:szCs w:val="22"/>
        </w:rPr>
        <w:t xml:space="preserve"> and red algae </w:t>
      </w:r>
      <w:r w:rsidRPr="0088780C">
        <w:rPr>
          <w:i/>
          <w:snapToGrid w:val="0"/>
          <w:color w:val="000000" w:themeColor="text1"/>
          <w:kern w:val="22"/>
          <w:szCs w:val="22"/>
        </w:rPr>
        <w:t>Phyllophora crispa</w:t>
      </w:r>
      <w:r w:rsidRPr="0088780C">
        <w:rPr>
          <w:snapToGrid w:val="0"/>
          <w:color w:val="000000" w:themeColor="text1"/>
          <w:kern w:val="22"/>
          <w:szCs w:val="22"/>
        </w:rPr>
        <w:t>) that are included in the Black Sea Red Data Book; four species</w:t>
      </w:r>
      <w:r w:rsidRPr="0088780C">
        <w:rPr>
          <w:i/>
          <w:iCs/>
          <w:snapToGrid w:val="0"/>
          <w:kern w:val="22"/>
          <w:szCs w:val="22"/>
        </w:rPr>
        <w:t xml:space="preserve"> (Dictyota dichotoma, </w:t>
      </w:r>
      <w:r w:rsidRPr="0088780C">
        <w:rPr>
          <w:i/>
          <w:snapToGrid w:val="0"/>
          <w:kern w:val="22"/>
          <w:szCs w:val="22"/>
        </w:rPr>
        <w:t xml:space="preserve">Cladostephus spongiosus, </w:t>
      </w:r>
      <w:r w:rsidRPr="0088780C">
        <w:rPr>
          <w:i/>
          <w:snapToGrid w:val="0"/>
          <w:color w:val="000000"/>
          <w:kern w:val="22"/>
          <w:szCs w:val="22"/>
        </w:rPr>
        <w:t xml:space="preserve">Laurencia coronopus, </w:t>
      </w:r>
      <w:r w:rsidRPr="0088780C">
        <w:rPr>
          <w:i/>
          <w:snapToGrid w:val="0"/>
          <w:kern w:val="22"/>
          <w:szCs w:val="22"/>
        </w:rPr>
        <w:t xml:space="preserve">Lamprothamnium papullosum) </w:t>
      </w:r>
      <w:r w:rsidRPr="0088780C">
        <w:rPr>
          <w:snapToGrid w:val="0"/>
          <w:kern w:val="22"/>
          <w:szCs w:val="22"/>
        </w:rPr>
        <w:t>are</w:t>
      </w:r>
      <w:r w:rsidRPr="0088780C">
        <w:rPr>
          <w:i/>
          <w:snapToGrid w:val="0"/>
          <w:kern w:val="22"/>
          <w:szCs w:val="22"/>
        </w:rPr>
        <w:t xml:space="preserve"> </w:t>
      </w:r>
      <w:r w:rsidRPr="0088780C">
        <w:rPr>
          <w:snapToGrid w:val="0"/>
          <w:color w:val="000000" w:themeColor="text1"/>
          <w:kern w:val="22"/>
          <w:szCs w:val="22"/>
        </w:rPr>
        <w:t>incuded in the Red Data Book of Ukraine (Aleksandrov et al., 2009).</w:t>
      </w:r>
    </w:p>
    <w:p w14:paraId="6FF537CF"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2D6AFB45" w14:textId="10105ABA" w:rsidR="00A876F3" w:rsidRPr="0088780C" w:rsidRDefault="00A876F3" w:rsidP="001013AF">
      <w:pPr>
        <w:suppressLineNumbers/>
        <w:suppressAutoHyphens/>
        <w:kinsoku w:val="0"/>
        <w:overflowPunct w:val="0"/>
        <w:autoSpaceDE w:val="0"/>
        <w:autoSpaceDN w:val="0"/>
        <w:rPr>
          <w:i/>
          <w:snapToGrid w:val="0"/>
          <w:color w:val="000000" w:themeColor="text1"/>
          <w:kern w:val="22"/>
          <w:szCs w:val="22"/>
        </w:rPr>
      </w:pPr>
      <w:r w:rsidRPr="0088780C">
        <w:rPr>
          <w:i/>
          <w:snapToGrid w:val="0"/>
          <w:color w:val="000000" w:themeColor="text1"/>
          <w:kern w:val="22"/>
          <w:szCs w:val="22"/>
        </w:rPr>
        <w:t>Macrozoobenthos</w:t>
      </w:r>
    </w:p>
    <w:p w14:paraId="7C365A0F" w14:textId="57AF6373"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In 1957 studies carried out in Karkinitsky Bay on </w:t>
      </w:r>
      <w:r w:rsidRPr="0088780C">
        <w:rPr>
          <w:i/>
          <w:snapToGrid w:val="0"/>
          <w:kern w:val="22"/>
          <w:szCs w:val="22"/>
        </w:rPr>
        <w:t xml:space="preserve">Phyllophora thalli </w:t>
      </w:r>
      <w:r w:rsidRPr="0088780C">
        <w:rPr>
          <w:snapToGrid w:val="0"/>
          <w:kern w:val="22"/>
          <w:szCs w:val="22"/>
        </w:rPr>
        <w:t>showed large amounts of sessile sponges, ascidians (</w:t>
      </w:r>
      <w:r w:rsidRPr="0088780C">
        <w:rPr>
          <w:i/>
          <w:snapToGrid w:val="0"/>
          <w:kern w:val="22"/>
          <w:szCs w:val="22"/>
        </w:rPr>
        <w:t>Ascidiella aspersa</w:t>
      </w:r>
      <w:r w:rsidRPr="0088780C">
        <w:rPr>
          <w:snapToGrid w:val="0"/>
          <w:kern w:val="22"/>
          <w:szCs w:val="22"/>
        </w:rPr>
        <w:t xml:space="preserve">, </w:t>
      </w:r>
      <w:r w:rsidRPr="0088780C">
        <w:rPr>
          <w:i/>
          <w:snapToGrid w:val="0"/>
          <w:kern w:val="22"/>
          <w:szCs w:val="22"/>
        </w:rPr>
        <w:t>Molgula euprocta</w:t>
      </w:r>
      <w:r w:rsidRPr="0088780C">
        <w:rPr>
          <w:snapToGrid w:val="0"/>
          <w:kern w:val="22"/>
          <w:szCs w:val="22"/>
        </w:rPr>
        <w:t xml:space="preserve">, </w:t>
      </w:r>
      <w:r w:rsidRPr="0088780C">
        <w:rPr>
          <w:i/>
          <w:snapToGrid w:val="0"/>
          <w:kern w:val="22"/>
          <w:szCs w:val="22"/>
        </w:rPr>
        <w:t>Botryllus schlosseri</w:t>
      </w:r>
      <w:r w:rsidRPr="0088780C">
        <w:rPr>
          <w:snapToGrid w:val="0"/>
          <w:kern w:val="22"/>
          <w:szCs w:val="22"/>
        </w:rPr>
        <w:t>), and molluscs (</w:t>
      </w:r>
      <w:r w:rsidRPr="0088780C">
        <w:rPr>
          <w:i/>
          <w:snapToGrid w:val="0"/>
          <w:kern w:val="22"/>
          <w:szCs w:val="22"/>
        </w:rPr>
        <w:t>Mytilaster lineatus</w:t>
      </w:r>
      <w:r w:rsidRPr="0088780C">
        <w:rPr>
          <w:snapToGrid w:val="0"/>
          <w:kern w:val="22"/>
          <w:szCs w:val="22"/>
        </w:rPr>
        <w:t>) (</w:t>
      </w:r>
      <w:r w:rsidRPr="0088780C">
        <w:rPr>
          <w:rFonts w:eastAsia="Calibri"/>
          <w:snapToGrid w:val="0"/>
          <w:kern w:val="22"/>
          <w:szCs w:val="22"/>
        </w:rPr>
        <w:t>Vinogradov</w:t>
      </w:r>
      <w:r w:rsidRPr="0088780C">
        <w:rPr>
          <w:snapToGrid w:val="0"/>
          <w:kern w:val="22"/>
          <w:szCs w:val="22"/>
        </w:rPr>
        <w:t xml:space="preserve"> 1967). In addition, a high number of mobile invertebrates were encountered on Phyllophora, such as crabs (</w:t>
      </w:r>
      <w:r w:rsidRPr="0088780C">
        <w:rPr>
          <w:i/>
          <w:snapToGrid w:val="0"/>
          <w:kern w:val="22"/>
          <w:szCs w:val="22"/>
        </w:rPr>
        <w:t>Pisidia longimana</w:t>
      </w:r>
      <w:r w:rsidRPr="0088780C">
        <w:rPr>
          <w:snapToGrid w:val="0"/>
          <w:kern w:val="22"/>
          <w:szCs w:val="22"/>
        </w:rPr>
        <w:t xml:space="preserve">, </w:t>
      </w:r>
      <w:r w:rsidRPr="0088780C">
        <w:rPr>
          <w:i/>
          <w:snapToGrid w:val="0"/>
          <w:kern w:val="22"/>
          <w:szCs w:val="22"/>
        </w:rPr>
        <w:t>Pilumnus hirtellus</w:t>
      </w:r>
      <w:r w:rsidRPr="0088780C">
        <w:rPr>
          <w:snapToGrid w:val="0"/>
          <w:kern w:val="22"/>
          <w:szCs w:val="22"/>
        </w:rPr>
        <w:t xml:space="preserve">, </w:t>
      </w:r>
      <w:r w:rsidRPr="0088780C">
        <w:rPr>
          <w:bCs/>
          <w:i/>
          <w:iCs/>
          <w:snapToGrid w:val="0"/>
          <w:kern w:val="22"/>
          <w:szCs w:val="22"/>
        </w:rPr>
        <w:t>Rhithropanopeus harrisii</w:t>
      </w:r>
      <w:r w:rsidRPr="0088780C">
        <w:rPr>
          <w:bCs/>
          <w:iCs/>
          <w:snapToGrid w:val="0"/>
          <w:kern w:val="22"/>
          <w:szCs w:val="22"/>
        </w:rPr>
        <w:t>)</w:t>
      </w:r>
      <w:r w:rsidRPr="0088780C">
        <w:rPr>
          <w:snapToGrid w:val="0"/>
          <w:kern w:val="22"/>
          <w:szCs w:val="22"/>
        </w:rPr>
        <w:t>, decapods (</w:t>
      </w:r>
      <w:r w:rsidRPr="0088780C">
        <w:rPr>
          <w:i/>
          <w:snapToGrid w:val="0"/>
          <w:kern w:val="22"/>
          <w:szCs w:val="22"/>
        </w:rPr>
        <w:t>Leander adspersus</w:t>
      </w:r>
      <w:r w:rsidRPr="0088780C">
        <w:rPr>
          <w:snapToGrid w:val="0"/>
          <w:kern w:val="22"/>
          <w:szCs w:val="22"/>
        </w:rPr>
        <w:t xml:space="preserve">, </w:t>
      </w:r>
      <w:r w:rsidRPr="0088780C">
        <w:rPr>
          <w:i/>
          <w:snapToGrid w:val="0"/>
          <w:kern w:val="22"/>
          <w:szCs w:val="22"/>
        </w:rPr>
        <w:t>Athanas nitescens</w:t>
      </w:r>
      <w:r w:rsidRPr="0088780C">
        <w:rPr>
          <w:snapToGrid w:val="0"/>
          <w:kern w:val="22"/>
          <w:szCs w:val="22"/>
        </w:rPr>
        <w:t>), and hermit crabs (</w:t>
      </w:r>
      <w:r w:rsidRPr="0088780C">
        <w:rPr>
          <w:i/>
          <w:snapToGrid w:val="0"/>
          <w:kern w:val="22"/>
          <w:szCs w:val="22"/>
        </w:rPr>
        <w:t>Diogenes pugilator</w:t>
      </w:r>
      <w:r w:rsidRPr="0088780C">
        <w:rPr>
          <w:snapToGrid w:val="0"/>
          <w:kern w:val="22"/>
          <w:szCs w:val="22"/>
        </w:rPr>
        <w:t xml:space="preserve">). In part of the SPF area, natural reefs from oyster shells up to 1 m height were observed. Unfortunately, no observations have been recorded in recent years of live </w:t>
      </w:r>
      <w:r w:rsidRPr="0088780C">
        <w:rPr>
          <w:i/>
          <w:snapToGrid w:val="0"/>
          <w:kern w:val="22"/>
          <w:szCs w:val="22"/>
        </w:rPr>
        <w:t>Ostrea edulis</w:t>
      </w:r>
      <w:r w:rsidRPr="0088780C">
        <w:rPr>
          <w:snapToGrid w:val="0"/>
          <w:kern w:val="22"/>
          <w:szCs w:val="22"/>
        </w:rPr>
        <w:t xml:space="preserve"> molluscs (Povchun, 1992). During special investigation of benthos in the SPF 72 species of macrozoobenthos were identified (Aleksandrov et al., 2009).</w:t>
      </w:r>
    </w:p>
    <w:p w14:paraId="4C29E30A"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7DF7DE8E" w14:textId="1CC2892B" w:rsidR="00A876F3" w:rsidRPr="0088780C" w:rsidRDefault="00A876F3" w:rsidP="001013AF">
      <w:pPr>
        <w:suppressLineNumbers/>
        <w:suppressAutoHyphens/>
        <w:kinsoku w:val="0"/>
        <w:overflowPunct w:val="0"/>
        <w:autoSpaceDE w:val="0"/>
        <w:autoSpaceDN w:val="0"/>
        <w:rPr>
          <w:i/>
          <w:snapToGrid w:val="0"/>
          <w:color w:val="000000" w:themeColor="text1"/>
          <w:kern w:val="22"/>
          <w:szCs w:val="22"/>
        </w:rPr>
      </w:pPr>
      <w:r w:rsidRPr="0088780C">
        <w:rPr>
          <w:snapToGrid w:val="0"/>
          <w:color w:val="000000" w:themeColor="text1"/>
          <w:kern w:val="22"/>
          <w:szCs w:val="22"/>
        </w:rPr>
        <w:t xml:space="preserve">The average abundance and biomass </w:t>
      </w:r>
      <w:r w:rsidR="006201B0" w:rsidRPr="0088780C">
        <w:rPr>
          <w:snapToGrid w:val="0"/>
          <w:color w:val="000000" w:themeColor="text1"/>
          <w:kern w:val="22"/>
          <w:szCs w:val="22"/>
        </w:rPr>
        <w:t xml:space="preserve">were </w:t>
      </w:r>
      <w:r w:rsidRPr="0088780C">
        <w:rPr>
          <w:snapToGrid w:val="0"/>
          <w:color w:val="000000" w:themeColor="text1"/>
          <w:kern w:val="22"/>
          <w:szCs w:val="22"/>
        </w:rPr>
        <w:t>1,668 ind/m</w:t>
      </w:r>
      <w:r w:rsidRPr="0088780C">
        <w:rPr>
          <w:snapToGrid w:val="0"/>
          <w:color w:val="000000" w:themeColor="text1"/>
          <w:kern w:val="22"/>
          <w:szCs w:val="22"/>
          <w:vertAlign w:val="superscript"/>
        </w:rPr>
        <w:t>2</w:t>
      </w:r>
      <w:r w:rsidRPr="0088780C">
        <w:rPr>
          <w:snapToGrid w:val="0"/>
          <w:color w:val="000000" w:themeColor="text1"/>
          <w:kern w:val="22"/>
          <w:szCs w:val="22"/>
        </w:rPr>
        <w:t xml:space="preserve"> and 208</w:t>
      </w:r>
      <w:r w:rsidR="006201B0" w:rsidRPr="0088780C">
        <w:rPr>
          <w:snapToGrid w:val="0"/>
          <w:color w:val="000000" w:themeColor="text1"/>
          <w:kern w:val="22"/>
          <w:szCs w:val="22"/>
        </w:rPr>
        <w:t>.</w:t>
      </w:r>
      <w:r w:rsidRPr="0088780C">
        <w:rPr>
          <w:snapToGrid w:val="0"/>
          <w:color w:val="000000" w:themeColor="text1"/>
          <w:kern w:val="22"/>
          <w:szCs w:val="22"/>
        </w:rPr>
        <w:t>6 g/m</w:t>
      </w:r>
      <w:r w:rsidRPr="0088780C">
        <w:rPr>
          <w:snapToGrid w:val="0"/>
          <w:color w:val="000000" w:themeColor="text1"/>
          <w:kern w:val="22"/>
          <w:szCs w:val="22"/>
          <w:vertAlign w:val="superscript"/>
        </w:rPr>
        <w:t>2</w:t>
      </w:r>
      <w:r w:rsidRPr="0088780C">
        <w:rPr>
          <w:snapToGrid w:val="0"/>
          <w:color w:val="000000" w:themeColor="text1"/>
          <w:kern w:val="22"/>
          <w:szCs w:val="22"/>
        </w:rPr>
        <w:t xml:space="preserve"> respectively (</w:t>
      </w:r>
      <w:r w:rsidRPr="0088780C">
        <w:rPr>
          <w:snapToGrid w:val="0"/>
          <w:kern w:val="22"/>
          <w:szCs w:val="22"/>
        </w:rPr>
        <w:t>National Academy of Sciences of Ukraine,</w:t>
      </w:r>
      <w:r w:rsidRPr="0088780C">
        <w:rPr>
          <w:snapToGrid w:val="0"/>
          <w:color w:val="000000" w:themeColor="text1"/>
          <w:kern w:val="22"/>
          <w:szCs w:val="22"/>
        </w:rPr>
        <w:t xml:space="preserve"> 2001). Among the main systematic groups, molluscs were dominant, with 46,0% abundance and 90,1% biomass. The most predominant species were the bivalve mollusc </w:t>
      </w:r>
      <w:r w:rsidRPr="0088780C">
        <w:rPr>
          <w:i/>
          <w:snapToGrid w:val="0"/>
          <w:color w:val="000000" w:themeColor="text1"/>
          <w:kern w:val="22"/>
          <w:szCs w:val="22"/>
        </w:rPr>
        <w:t>Mytilaster lineatus,</w:t>
      </w:r>
      <w:r w:rsidRPr="0088780C">
        <w:rPr>
          <w:snapToGrid w:val="0"/>
          <w:color w:val="000000" w:themeColor="text1"/>
          <w:kern w:val="22"/>
          <w:szCs w:val="22"/>
        </w:rPr>
        <w:t xml:space="preserve"> with 35.5% abundance and 45.5% biomass (Table 1). The results of the survey showed that the species diversity of macrozoobenthic communities and their biomass were quite high. There are two biocenoses (habitats) in Karkinitsky Bay formed by benthic invertebrates: bivalve mollusk </w:t>
      </w:r>
      <w:r w:rsidRPr="0088780C">
        <w:rPr>
          <w:i/>
          <w:snapToGrid w:val="0"/>
          <w:color w:val="000000" w:themeColor="text1"/>
          <w:kern w:val="22"/>
          <w:szCs w:val="22"/>
        </w:rPr>
        <w:t>Chamelea gallina</w:t>
      </w:r>
      <w:r w:rsidRPr="0088780C">
        <w:rPr>
          <w:snapToGrid w:val="0"/>
          <w:color w:val="000000" w:themeColor="text1"/>
          <w:kern w:val="22"/>
          <w:szCs w:val="22"/>
        </w:rPr>
        <w:t xml:space="preserve"> and decapoda </w:t>
      </w:r>
      <w:r w:rsidRPr="0088780C">
        <w:rPr>
          <w:i/>
          <w:snapToGrid w:val="0"/>
          <w:color w:val="000000" w:themeColor="text1"/>
          <w:kern w:val="22"/>
          <w:szCs w:val="22"/>
        </w:rPr>
        <w:t>Upogebia pusilla</w:t>
      </w:r>
      <w:r w:rsidRPr="0088780C">
        <w:rPr>
          <w:snapToGrid w:val="0"/>
          <w:color w:val="000000" w:themeColor="text1"/>
          <w:kern w:val="22"/>
          <w:szCs w:val="22"/>
        </w:rPr>
        <w:t xml:space="preserve">. The </w:t>
      </w:r>
      <w:r w:rsidRPr="0088780C">
        <w:rPr>
          <w:i/>
          <w:snapToGrid w:val="0"/>
          <w:color w:val="000000" w:themeColor="text1"/>
          <w:kern w:val="22"/>
          <w:szCs w:val="22"/>
        </w:rPr>
        <w:t>Ch. gallina</w:t>
      </w:r>
      <w:r w:rsidRPr="0088780C">
        <w:rPr>
          <w:snapToGrid w:val="0"/>
          <w:color w:val="000000" w:themeColor="text1"/>
          <w:kern w:val="22"/>
          <w:szCs w:val="22"/>
        </w:rPr>
        <w:t xml:space="preserve"> community prevalent on sandy and clay-sand sediments at depths of 0.2-22 m along the Karkinitsky Bay coast. It then comprised some 28 species. In the 1980s, the Chamelea community was found at 5-12 m depth (Zolotarev et al., 1991). There are five species (crabs: </w:t>
      </w:r>
      <w:r w:rsidRPr="0088780C">
        <w:rPr>
          <w:i/>
          <w:snapToGrid w:val="0"/>
          <w:kern w:val="22"/>
          <w:szCs w:val="22"/>
        </w:rPr>
        <w:t xml:space="preserve">Xantho poressa, </w:t>
      </w:r>
      <w:r w:rsidRPr="0088780C">
        <w:rPr>
          <w:i/>
          <w:iCs/>
          <w:snapToGrid w:val="0"/>
          <w:color w:val="000000"/>
          <w:kern w:val="22"/>
          <w:szCs w:val="22"/>
        </w:rPr>
        <w:t xml:space="preserve">Carсinus aestuarii, </w:t>
      </w:r>
      <w:r w:rsidRPr="0088780C">
        <w:rPr>
          <w:i/>
          <w:iCs/>
          <w:snapToGrid w:val="0"/>
          <w:kern w:val="22"/>
          <w:szCs w:val="22"/>
        </w:rPr>
        <w:t xml:space="preserve">Pilumnus hirtellus, </w:t>
      </w:r>
      <w:r w:rsidRPr="0088780C">
        <w:rPr>
          <w:iCs/>
          <w:snapToGrid w:val="0"/>
          <w:kern w:val="22"/>
          <w:szCs w:val="22"/>
        </w:rPr>
        <w:t>Mediterranean mud shrimp</w:t>
      </w:r>
      <w:r w:rsidRPr="0088780C">
        <w:rPr>
          <w:i/>
          <w:iCs/>
          <w:snapToGrid w:val="0"/>
          <w:kern w:val="22"/>
          <w:szCs w:val="22"/>
        </w:rPr>
        <w:t xml:space="preserve"> Upogebia pusilla </w:t>
      </w:r>
      <w:r w:rsidRPr="0088780C">
        <w:rPr>
          <w:iCs/>
          <w:snapToGrid w:val="0"/>
          <w:kern w:val="22"/>
          <w:szCs w:val="22"/>
        </w:rPr>
        <w:t xml:space="preserve">and European flat oyster </w:t>
      </w:r>
      <w:r w:rsidRPr="0088780C">
        <w:rPr>
          <w:i/>
          <w:iCs/>
          <w:snapToGrid w:val="0"/>
          <w:kern w:val="22"/>
          <w:szCs w:val="22"/>
        </w:rPr>
        <w:t>Ostrea edulis</w:t>
      </w:r>
      <w:r w:rsidRPr="0088780C">
        <w:rPr>
          <w:iCs/>
          <w:snapToGrid w:val="0"/>
          <w:kern w:val="22"/>
          <w:szCs w:val="22"/>
        </w:rPr>
        <w:t>)</w:t>
      </w:r>
      <w:r w:rsidRPr="0088780C">
        <w:rPr>
          <w:snapToGrid w:val="0"/>
          <w:color w:val="000000" w:themeColor="text1"/>
          <w:kern w:val="22"/>
          <w:szCs w:val="22"/>
        </w:rPr>
        <w:t xml:space="preserve"> included in the Black Sea Red Data Book and Red Data Book of Ukraine.</w:t>
      </w:r>
    </w:p>
    <w:p w14:paraId="2921EB51"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154D547A" w14:textId="6E1504EB" w:rsidR="00A876F3" w:rsidRPr="0088780C" w:rsidRDefault="00A876F3" w:rsidP="001013AF">
      <w:pPr>
        <w:suppressLineNumbers/>
        <w:suppressAutoHyphens/>
        <w:kinsoku w:val="0"/>
        <w:overflowPunct w:val="0"/>
        <w:autoSpaceDE w:val="0"/>
        <w:autoSpaceDN w:val="0"/>
        <w:rPr>
          <w:i/>
          <w:snapToGrid w:val="0"/>
          <w:color w:val="000000" w:themeColor="text1"/>
          <w:kern w:val="22"/>
          <w:szCs w:val="22"/>
        </w:rPr>
      </w:pPr>
      <w:r w:rsidRPr="0088780C">
        <w:rPr>
          <w:i/>
          <w:snapToGrid w:val="0"/>
          <w:color w:val="000000" w:themeColor="text1"/>
          <w:kern w:val="22"/>
          <w:szCs w:val="22"/>
        </w:rPr>
        <w:t>Fish</w:t>
      </w:r>
    </w:p>
    <w:p w14:paraId="52AE7BD3" w14:textId="376AA475"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According to published data (Vinogradov, 1960), 64 species of fish have been found in Dzharylgachsky Bay and the corner of Karkinitsky Bay. Due to the shallow water and marked warming of the water in summer, North Atlantic species such as sprat and whiting are lacking. Many of the fish recorded in the bays are quite rare and there have been no observations in recent years. Eight species recorded in Karkinitsky Bay are listed in the Red Data Book of Ukraine: </w:t>
      </w:r>
      <w:r w:rsidRPr="0088780C">
        <w:rPr>
          <w:i/>
          <w:iCs/>
          <w:snapToGrid w:val="0"/>
          <w:kern w:val="22"/>
          <w:szCs w:val="22"/>
        </w:rPr>
        <w:t xml:space="preserve">Acipenser sturio, Acipenser nudiventris, </w:t>
      </w:r>
      <w:r w:rsidRPr="0088780C">
        <w:rPr>
          <w:snapToGrid w:val="0"/>
          <w:color w:val="000000" w:themeColor="text1"/>
          <w:kern w:val="22"/>
          <w:szCs w:val="22"/>
        </w:rPr>
        <w:t xml:space="preserve">great sturgeon </w:t>
      </w:r>
      <w:r w:rsidRPr="0088780C">
        <w:rPr>
          <w:i/>
          <w:snapToGrid w:val="0"/>
          <w:color w:val="000000" w:themeColor="text1"/>
          <w:kern w:val="22"/>
          <w:szCs w:val="22"/>
        </w:rPr>
        <w:t>Huso huso,</w:t>
      </w:r>
      <w:r w:rsidRPr="0088780C">
        <w:rPr>
          <w:snapToGrid w:val="0"/>
          <w:color w:val="000000" w:themeColor="text1"/>
          <w:kern w:val="22"/>
          <w:szCs w:val="22"/>
        </w:rPr>
        <w:t xml:space="preserve"> Black Sea salmon </w:t>
      </w:r>
      <w:r w:rsidRPr="0088780C">
        <w:rPr>
          <w:i/>
          <w:snapToGrid w:val="0"/>
          <w:color w:val="000000" w:themeColor="text1"/>
          <w:kern w:val="22"/>
          <w:szCs w:val="22"/>
        </w:rPr>
        <w:t>Salmo trutta labrax,</w:t>
      </w:r>
      <w:r w:rsidRPr="0088780C">
        <w:rPr>
          <w:i/>
          <w:iCs/>
          <w:snapToGrid w:val="0"/>
          <w:kern w:val="22"/>
          <w:szCs w:val="22"/>
        </w:rPr>
        <w:t xml:space="preserve"> Hippocampus guttulatus,</w:t>
      </w:r>
      <w:r w:rsidRPr="0088780C">
        <w:rPr>
          <w:i/>
          <w:snapToGrid w:val="0"/>
          <w:color w:val="000000"/>
          <w:kern w:val="22"/>
          <w:szCs w:val="22"/>
        </w:rPr>
        <w:t xml:space="preserve"> Syngnathus variegatus </w:t>
      </w:r>
      <w:r w:rsidRPr="0088780C">
        <w:rPr>
          <w:snapToGrid w:val="0"/>
          <w:color w:val="000000"/>
          <w:kern w:val="22"/>
          <w:szCs w:val="22"/>
        </w:rPr>
        <w:t>and</w:t>
      </w:r>
      <w:r w:rsidRPr="0088780C">
        <w:rPr>
          <w:i/>
          <w:iCs/>
          <w:snapToGrid w:val="0"/>
          <w:kern w:val="22"/>
          <w:szCs w:val="22"/>
        </w:rPr>
        <w:t xml:space="preserve"> </w:t>
      </w:r>
      <w:r w:rsidRPr="0088780C">
        <w:rPr>
          <w:i/>
          <w:snapToGrid w:val="0"/>
          <w:color w:val="000000"/>
          <w:kern w:val="22"/>
          <w:szCs w:val="22"/>
        </w:rPr>
        <w:t>Syngnathus tenuirostris (Aleksandrov et al., 2009)</w:t>
      </w:r>
      <w:r w:rsidRPr="0088780C">
        <w:rPr>
          <w:snapToGrid w:val="0"/>
          <w:color w:val="000000" w:themeColor="text1"/>
          <w:kern w:val="22"/>
          <w:szCs w:val="22"/>
        </w:rPr>
        <w:t xml:space="preserve">. In 1957, studies carried out in in the SPF of Karkinitsky Bay found several commonly occurring fish, including: </w:t>
      </w:r>
      <w:r w:rsidRPr="0088780C">
        <w:rPr>
          <w:i/>
          <w:snapToGrid w:val="0"/>
          <w:color w:val="000000" w:themeColor="text1"/>
          <w:kern w:val="22"/>
          <w:szCs w:val="22"/>
        </w:rPr>
        <w:t>Nerophis ophidian teres, Syngnathus nigrolineatus</w:t>
      </w:r>
      <w:r w:rsidRPr="0088780C">
        <w:rPr>
          <w:snapToGrid w:val="0"/>
          <w:color w:val="000000" w:themeColor="text1"/>
          <w:kern w:val="22"/>
          <w:szCs w:val="22"/>
        </w:rPr>
        <w:t xml:space="preserve">, </w:t>
      </w:r>
      <w:r w:rsidRPr="0088780C">
        <w:rPr>
          <w:i/>
          <w:snapToGrid w:val="0"/>
          <w:color w:val="000000" w:themeColor="text1"/>
          <w:kern w:val="22"/>
          <w:szCs w:val="22"/>
        </w:rPr>
        <w:t>S. typhle argentatus</w:t>
      </w:r>
      <w:r w:rsidRPr="0088780C">
        <w:rPr>
          <w:snapToGrid w:val="0"/>
          <w:color w:val="000000" w:themeColor="text1"/>
          <w:kern w:val="22"/>
          <w:szCs w:val="22"/>
        </w:rPr>
        <w:t xml:space="preserve">, </w:t>
      </w:r>
      <w:r w:rsidRPr="0088780C">
        <w:rPr>
          <w:i/>
          <w:snapToGrid w:val="0"/>
          <w:color w:val="000000" w:themeColor="text1"/>
          <w:kern w:val="22"/>
          <w:szCs w:val="22"/>
        </w:rPr>
        <w:t xml:space="preserve">Pleuronectes flesus luscus, Belone belone euxini, Blennius tentacularis, Grenilabrus ocellatus </w:t>
      </w:r>
      <w:r w:rsidRPr="0088780C">
        <w:rPr>
          <w:snapToGrid w:val="0"/>
          <w:color w:val="000000" w:themeColor="text1"/>
          <w:kern w:val="22"/>
          <w:szCs w:val="22"/>
        </w:rPr>
        <w:t>and</w:t>
      </w:r>
      <w:r w:rsidRPr="0088780C">
        <w:rPr>
          <w:i/>
          <w:snapToGrid w:val="0"/>
          <w:color w:val="000000" w:themeColor="text1"/>
          <w:kern w:val="22"/>
          <w:szCs w:val="22"/>
        </w:rPr>
        <w:t xml:space="preserve"> Pomatoschistus pictus </w:t>
      </w:r>
      <w:r w:rsidRPr="0088780C">
        <w:rPr>
          <w:snapToGrid w:val="0"/>
          <w:color w:val="000000" w:themeColor="text1"/>
          <w:kern w:val="22"/>
          <w:szCs w:val="22"/>
        </w:rPr>
        <w:t>(</w:t>
      </w:r>
      <w:r w:rsidRPr="0088780C">
        <w:rPr>
          <w:rFonts w:eastAsia="Calibri"/>
          <w:snapToGrid w:val="0"/>
          <w:kern w:val="22"/>
          <w:szCs w:val="22"/>
        </w:rPr>
        <w:t>Vinogradov</w:t>
      </w:r>
      <w:r w:rsidRPr="0088780C">
        <w:rPr>
          <w:snapToGrid w:val="0"/>
          <w:color w:val="000000" w:themeColor="text1"/>
          <w:kern w:val="22"/>
          <w:szCs w:val="22"/>
        </w:rPr>
        <w:t xml:space="preserve"> 1967). Further studies carried out in August 2000 discovered eggs of anchovy </w:t>
      </w:r>
      <w:r w:rsidRPr="0088780C">
        <w:rPr>
          <w:i/>
          <w:snapToGrid w:val="0"/>
          <w:color w:val="000000" w:themeColor="text1"/>
          <w:kern w:val="22"/>
          <w:szCs w:val="22"/>
        </w:rPr>
        <w:t>Engraulis encrasicholus</w:t>
      </w:r>
      <w:r w:rsidRPr="0088780C">
        <w:rPr>
          <w:snapToGrid w:val="0"/>
          <w:color w:val="000000" w:themeColor="text1"/>
          <w:kern w:val="22"/>
          <w:szCs w:val="22"/>
        </w:rPr>
        <w:t xml:space="preserve"> pontica (III-IV stage of development) in Karkinitsky Bay: in most of the samples they comprised a large share of the total zooplankton. In two samples, leaping mullet </w:t>
      </w:r>
      <w:r w:rsidRPr="0088780C">
        <w:rPr>
          <w:i/>
          <w:snapToGrid w:val="0"/>
          <w:color w:val="000000" w:themeColor="text1"/>
          <w:kern w:val="22"/>
          <w:szCs w:val="22"/>
        </w:rPr>
        <w:t>Lizo saliens</w:t>
      </w:r>
      <w:r w:rsidRPr="0088780C">
        <w:rPr>
          <w:snapToGrid w:val="0"/>
          <w:color w:val="000000" w:themeColor="text1"/>
          <w:kern w:val="22"/>
          <w:szCs w:val="22"/>
        </w:rPr>
        <w:t xml:space="preserve"> larvae and eggs were found, and at one station a single garfish </w:t>
      </w:r>
      <w:r w:rsidRPr="0088780C">
        <w:rPr>
          <w:i/>
          <w:snapToGrid w:val="0"/>
          <w:color w:val="000000" w:themeColor="text1"/>
          <w:kern w:val="22"/>
          <w:szCs w:val="22"/>
        </w:rPr>
        <w:t>B. belone</w:t>
      </w:r>
      <w:r w:rsidRPr="0088780C">
        <w:rPr>
          <w:snapToGrid w:val="0"/>
          <w:color w:val="000000" w:themeColor="text1"/>
          <w:kern w:val="22"/>
          <w:szCs w:val="22"/>
        </w:rPr>
        <w:t xml:space="preserve"> fry was found.  Karinitsky Bay is a breeding ground for some fish with pelagic eggs. The good state of most anchovy and leaping mullet eggs and larvae is attributed to normal conditions for fish breeding in this area.</w:t>
      </w:r>
    </w:p>
    <w:p w14:paraId="0AD12DA4" w14:textId="77777777" w:rsidR="00A876F3" w:rsidRPr="0088780C" w:rsidRDefault="00A876F3" w:rsidP="001013AF">
      <w:pPr>
        <w:suppressLineNumbers/>
        <w:suppressAutoHyphens/>
        <w:kinsoku w:val="0"/>
        <w:overflowPunct w:val="0"/>
        <w:autoSpaceDE w:val="0"/>
        <w:autoSpaceDN w:val="0"/>
        <w:rPr>
          <w:i/>
          <w:snapToGrid w:val="0"/>
          <w:color w:val="000000" w:themeColor="text1"/>
          <w:kern w:val="22"/>
          <w:szCs w:val="22"/>
        </w:rPr>
      </w:pPr>
    </w:p>
    <w:p w14:paraId="15D093D8" w14:textId="77777777" w:rsidR="00A876F3" w:rsidRPr="0088780C" w:rsidRDefault="00A876F3" w:rsidP="001013AF">
      <w:pPr>
        <w:suppressLineNumbers/>
        <w:suppressAutoHyphens/>
        <w:kinsoku w:val="0"/>
        <w:overflowPunct w:val="0"/>
        <w:autoSpaceDE w:val="0"/>
        <w:autoSpaceDN w:val="0"/>
        <w:rPr>
          <w:i/>
          <w:snapToGrid w:val="0"/>
          <w:color w:val="000000" w:themeColor="text1"/>
          <w:kern w:val="22"/>
          <w:szCs w:val="22"/>
        </w:rPr>
      </w:pPr>
      <w:r w:rsidRPr="0088780C">
        <w:rPr>
          <w:i/>
          <w:snapToGrid w:val="0"/>
          <w:color w:val="000000" w:themeColor="text1"/>
          <w:kern w:val="22"/>
          <w:szCs w:val="22"/>
        </w:rPr>
        <w:t>Birds</w:t>
      </w:r>
    </w:p>
    <w:p w14:paraId="7DC47FD6" w14:textId="1133E45D" w:rsidR="00A876F3" w:rsidRPr="0088780C" w:rsidRDefault="00A876F3" w:rsidP="001013AF">
      <w:pPr>
        <w:suppressLineNumbers/>
        <w:shd w:val="clear" w:color="auto" w:fill="FFFFFF"/>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Karkinitsky Bay and Dzharylgachsky Island are situated in one of the most important European migration corridors for birds. The coastal zone of Razdelnyansky and Krasnoperekopsky districts in Crimea hold many wetlands that support high numbers of waterbirds that rest, moult, over-winter and breed (Wetlands International, 2006). A total of 67 species of wetland birds have been recorded on the territory adjoining Karkinitsky Bay, of which 52 species breed. The largest colonies of pelicans, herons and seagulls are situated on the Lebyazhie Islands. Smaller colonies of herons occur at Ishunsky Lake and near Kropotkinsky fish farm. The abundance of birds nesting on Lebyazhie Islands has declined in recent decades due to significant changes in adjoining terrestrial habitats and eutrophication of shallow waters (Tarana et al., 2000). Nevertheless, some 12,000-14,000 pairs of birds nest at Lebyazhie Islands, and a large number of birds winter here. In general, the islands support a total of some 20,000 birds at various times of the year (Wetlands International, 2006).</w:t>
      </w:r>
    </w:p>
    <w:p w14:paraId="766921AF"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3A3E3AF9"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i/>
          <w:snapToGrid w:val="0"/>
          <w:color w:val="000000" w:themeColor="text1"/>
          <w:kern w:val="22"/>
          <w:szCs w:val="22"/>
        </w:rPr>
        <w:t>Marine mammals</w:t>
      </w:r>
    </w:p>
    <w:p w14:paraId="00693ACD" w14:textId="0ECC7EAF"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Dzharylgach Bay (adjacent to the north of the Small Phyllophora Field and intersecting it) has been known as an important habitat for all three species of cetaceans (IUCN Red List status in parenthesis): bottlenose dolphins (</w:t>
      </w:r>
      <w:r w:rsidRPr="0088780C">
        <w:rPr>
          <w:i/>
          <w:snapToGrid w:val="0"/>
          <w:kern w:val="22"/>
          <w:szCs w:val="22"/>
        </w:rPr>
        <w:t>Tursiops truncatus ponticus;</w:t>
      </w:r>
      <w:r w:rsidRPr="0088780C">
        <w:rPr>
          <w:snapToGrid w:val="0"/>
          <w:kern w:val="22"/>
          <w:szCs w:val="22"/>
        </w:rPr>
        <w:t>endangered: Birkun 2012), short-beaked common dolphins (</w:t>
      </w:r>
      <w:r w:rsidRPr="0088780C">
        <w:rPr>
          <w:i/>
          <w:snapToGrid w:val="0"/>
          <w:kern w:val="22"/>
          <w:szCs w:val="22"/>
        </w:rPr>
        <w:t>Delphinus delphis ponticus;</w:t>
      </w:r>
      <w:r w:rsidRPr="0088780C">
        <w:rPr>
          <w:snapToGrid w:val="0"/>
          <w:kern w:val="22"/>
          <w:szCs w:val="22"/>
        </w:rPr>
        <w:t>vulnerble: Birkun 2008), harbour porpoises (</w:t>
      </w:r>
      <w:r w:rsidRPr="0088780C">
        <w:rPr>
          <w:i/>
          <w:snapToGrid w:val="0"/>
          <w:kern w:val="22"/>
          <w:szCs w:val="22"/>
        </w:rPr>
        <w:t xml:space="preserve">Phocoena phocoena relicta; </w:t>
      </w:r>
      <w:r w:rsidRPr="0088780C">
        <w:rPr>
          <w:snapToGrid w:val="0"/>
          <w:kern w:val="22"/>
          <w:szCs w:val="22"/>
        </w:rPr>
        <w:t>endangered: Birkun and Frantzis 2008). Harbour porpoises and common dolphins have been recorded in Dzharylgach Bay, where their permanent summer presence was confirmed (Birkun et al., 2014). Common dolphins and bottlenose dolphins use this area for feeding as well as breeding, which was indicated by the sighting of calves of these two species (UkrSces 2017). The occurrence of these species is influenced by the rich productivity of the phyllophora field.</w:t>
      </w:r>
    </w:p>
    <w:p w14:paraId="600183DE"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352CBABC" w14:textId="77777777" w:rsidR="00A876F3" w:rsidRPr="0088780C" w:rsidRDefault="00A876F3" w:rsidP="001013AF">
      <w:pPr>
        <w:keepNext/>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outlook of the area</w:t>
      </w:r>
    </w:p>
    <w:p w14:paraId="1004936B" w14:textId="5624AA35"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During the last two decades, the amount and number of brown algae species in the SPF has decreased drastically (Fig. 6). This change provides evidence for a rise in eutrophication and industrial household pollution of Karkinitsky Bay, confirmed by data on decreasing water transparency, and an increase in nutrient concentrations (Belyayev, 1993). By 1986, </w:t>
      </w:r>
      <w:r w:rsidRPr="0088780C">
        <w:rPr>
          <w:i/>
          <w:snapToGrid w:val="0"/>
          <w:color w:val="000000" w:themeColor="text1"/>
          <w:kern w:val="22"/>
          <w:szCs w:val="22"/>
        </w:rPr>
        <w:t>Stilophora rhizodes, Dictyota linearis, Dilophus fasciola, Striaria attenuata</w:t>
      </w:r>
      <w:r w:rsidRPr="0088780C">
        <w:rPr>
          <w:snapToGrid w:val="0"/>
          <w:color w:val="000000" w:themeColor="text1"/>
          <w:kern w:val="22"/>
          <w:szCs w:val="22"/>
        </w:rPr>
        <w:t xml:space="preserve"> and </w:t>
      </w:r>
      <w:r w:rsidRPr="0088780C">
        <w:rPr>
          <w:i/>
          <w:snapToGrid w:val="0"/>
          <w:color w:val="000000" w:themeColor="text1"/>
          <w:kern w:val="22"/>
          <w:szCs w:val="22"/>
        </w:rPr>
        <w:t>Stictyosiphon adriaticus</w:t>
      </w:r>
      <w:r w:rsidRPr="0088780C">
        <w:rPr>
          <w:snapToGrid w:val="0"/>
          <w:color w:val="000000" w:themeColor="text1"/>
          <w:kern w:val="22"/>
          <w:szCs w:val="22"/>
        </w:rPr>
        <w:t xml:space="preserve"> had disappeared. This reduction had a negative effect not only on the state of native benthic macrophyte communities, but also on fisheries, observed recently in the north-western Black Sea and coastal Crimea (Boltachev and Milchakova, 2004).</w:t>
      </w:r>
    </w:p>
    <w:p w14:paraId="1A983089" w14:textId="57A29AA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5B8AC83E" w14:textId="1413EBFC"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color w:val="000000" w:themeColor="text1"/>
          <w:kern w:val="22"/>
          <w:szCs w:val="22"/>
        </w:rPr>
        <w:t xml:space="preserve">More than 40 years ago, the total standing biomass of benthic macrophytes in three small fields, 450 km² in area, was estimated to be 797,900 t or 96% of all bottom vegetation in Karkinitsky Bay (Kalugina-Gutnik 1975, 1979). More than 50% of the Phyllophora stock was concentrated near Kamenniy Cape, while the area of the small field was 3.5 times less than that along Bakalsky Spit. </w:t>
      </w:r>
      <w:r w:rsidRPr="0088780C">
        <w:rPr>
          <w:snapToGrid w:val="0"/>
          <w:kern w:val="22"/>
          <w:szCs w:val="22"/>
        </w:rPr>
        <w:t>For the period from 1969 to 1981, the phyllophora stock here increased from 451.4 to 705.8 thousand tonnes (YugNIRO 1994, Kalugina-Gutnik et al., 1967, Pogrebnyak, Erevenko, Ostrovchuk, 1977), and in 1988 it dropped to 158.9 thousand tonnes. A stabilization of negative changes in the structure of the phyllophora field was noted from 1988 to 1991. In 1994 Phyllophora stock reached 329 thousand tonnes and became similar to that of 1964 - 326.5 thousand tonnes (Belyayev, 1993, YugNIRO report 1994)</w:t>
      </w:r>
    </w:p>
    <w:p w14:paraId="7630CF82"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9959806" w14:textId="5B50EAED"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Of the three patches of Phyllophora that occurred in Karkinitsky Bay, most ecological information was collected for Patch A (current SPF), located beyond the Bakalsky Spit, from 1964 to 1994. An analysis of multiyear dynamics of Phyllophora production indices on that site has shown the following: from 1969 to 1981 Phylophora stock rose from 451.4 to 705.8 t.; maximum value was recorded in 1977, reaching 792,700 t in an almost unchanged area of the field (Belyayev, 1993; YugNIRO report 1995). From 1988-1991 negative changes were stabilized in the Phyllophora field structure beyond the Bakalsky Spit and in the state of Phyllophora. Its stock and average biomass rose 2.5</w:t>
      </w:r>
      <w:r w:rsidR="00E422A1" w:rsidRPr="0088780C">
        <w:rPr>
          <w:snapToGrid w:val="0"/>
          <w:color w:val="000000" w:themeColor="text1"/>
          <w:kern w:val="22"/>
          <w:szCs w:val="22"/>
        </w:rPr>
        <w:t>-</w:t>
      </w:r>
      <w:r w:rsidRPr="0088780C">
        <w:rPr>
          <w:snapToGrid w:val="0"/>
          <w:color w:val="000000" w:themeColor="text1"/>
          <w:kern w:val="22"/>
          <w:szCs w:val="22"/>
        </w:rPr>
        <w:t>fold to 158,900 t and from 303.3 to 715.5 g·m</w:t>
      </w:r>
      <w:r w:rsidRPr="0088780C">
        <w:rPr>
          <w:snapToGrid w:val="0"/>
          <w:color w:val="000000" w:themeColor="text1"/>
          <w:kern w:val="22"/>
          <w:szCs w:val="22"/>
          <w:vertAlign w:val="superscript"/>
        </w:rPr>
        <w:t>-2</w:t>
      </w:r>
      <w:r w:rsidRPr="0088780C">
        <w:rPr>
          <w:snapToGrid w:val="0"/>
          <w:color w:val="000000" w:themeColor="text1"/>
          <w:kern w:val="22"/>
          <w:szCs w:val="22"/>
        </w:rPr>
        <w:t xml:space="preserve"> in 1985-1988 without change in field area. An increase in spring increment of thalli was also recorded.</w:t>
      </w:r>
    </w:p>
    <w:p w14:paraId="0AF60A4E"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1BF609EF"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Long-term monitoring of Phyllophora distribution in Karkinitsky Bay shows its almost total disappearance from two former patches: near Kamenniy Cape and Yarylgachsky Bay. Degradation first occurred in those areas with significant aggregations (near Kamenniy Cape). Beyond Bakalsky Spit (Patch A, i.e., the present day SPF), the area decreased by 20%, while the </w:t>
      </w:r>
      <w:r w:rsidRPr="0088780C">
        <w:rPr>
          <w:i/>
          <w:snapToGrid w:val="0"/>
          <w:color w:val="000000" w:themeColor="text1"/>
          <w:kern w:val="22"/>
          <w:szCs w:val="22"/>
        </w:rPr>
        <w:t>Phyllophora</w:t>
      </w:r>
      <w:r w:rsidRPr="0088780C">
        <w:rPr>
          <w:snapToGrid w:val="0"/>
          <w:color w:val="000000" w:themeColor="text1"/>
          <w:kern w:val="22"/>
          <w:szCs w:val="22"/>
        </w:rPr>
        <w:t xml:space="preserve"> stock decreased by 75%.</w:t>
      </w:r>
    </w:p>
    <w:p w14:paraId="48E7E71F"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039A6D2D" w14:textId="31866D15"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Although somewhat similar to the fauna of Zernov’s Phyllophora Field (ZPF, area </w:t>
      </w:r>
      <w:r w:rsidR="00F743B2" w:rsidRPr="0088780C">
        <w:rPr>
          <w:snapToGrid w:val="0"/>
          <w:color w:val="000000" w:themeColor="text1"/>
          <w:kern w:val="22"/>
          <w:szCs w:val="22"/>
        </w:rPr>
        <w:t>No.</w:t>
      </w:r>
      <w:r w:rsidRPr="0088780C">
        <w:rPr>
          <w:snapToGrid w:val="0"/>
          <w:color w:val="000000" w:themeColor="text1"/>
          <w:kern w:val="22"/>
          <w:szCs w:val="22"/>
        </w:rPr>
        <w:t xml:space="preserve"> 5, above), the SPF fauna differed from that of central areas of the former by the presence of taxa not or rarely encountered in the latter. In the SPF, sponge diversity was lower. The polychaete, </w:t>
      </w:r>
      <w:r w:rsidRPr="0088780C">
        <w:rPr>
          <w:i/>
          <w:snapToGrid w:val="0"/>
          <w:color w:val="000000" w:themeColor="text1"/>
          <w:kern w:val="22"/>
          <w:szCs w:val="22"/>
        </w:rPr>
        <w:t>Platynereis dumerilli</w:t>
      </w:r>
      <w:r w:rsidRPr="0088780C">
        <w:rPr>
          <w:snapToGrid w:val="0"/>
          <w:color w:val="000000" w:themeColor="text1"/>
          <w:kern w:val="22"/>
          <w:szCs w:val="22"/>
        </w:rPr>
        <w:t xml:space="preserve">, which was almost lacking in the central part of the field, was encountered in coastal stands of </w:t>
      </w:r>
      <w:r w:rsidRPr="0088780C">
        <w:rPr>
          <w:i/>
          <w:snapToGrid w:val="0"/>
          <w:color w:val="000000" w:themeColor="text1"/>
          <w:kern w:val="22"/>
          <w:szCs w:val="22"/>
        </w:rPr>
        <w:t>Phyllophora</w:t>
      </w:r>
      <w:r w:rsidRPr="0088780C">
        <w:rPr>
          <w:snapToGrid w:val="0"/>
          <w:color w:val="000000" w:themeColor="text1"/>
          <w:kern w:val="22"/>
          <w:szCs w:val="22"/>
        </w:rPr>
        <w:t xml:space="preserve">. The amount of </w:t>
      </w:r>
      <w:r w:rsidRPr="0088780C">
        <w:rPr>
          <w:i/>
          <w:snapToGrid w:val="0"/>
          <w:color w:val="000000" w:themeColor="text1"/>
          <w:kern w:val="22"/>
          <w:szCs w:val="22"/>
        </w:rPr>
        <w:t>Spirorbis pusilla</w:t>
      </w:r>
      <w:r w:rsidRPr="0088780C">
        <w:rPr>
          <w:snapToGrid w:val="0"/>
          <w:color w:val="000000" w:themeColor="text1"/>
          <w:kern w:val="22"/>
          <w:szCs w:val="22"/>
        </w:rPr>
        <w:t xml:space="preserve">, a calcareous tubeworm that lives on </w:t>
      </w:r>
      <w:r w:rsidRPr="0088780C">
        <w:rPr>
          <w:i/>
          <w:snapToGrid w:val="0"/>
          <w:color w:val="000000" w:themeColor="text1"/>
          <w:kern w:val="22"/>
          <w:szCs w:val="22"/>
        </w:rPr>
        <w:t>Phyllophora thalli</w:t>
      </w:r>
      <w:r w:rsidRPr="0088780C">
        <w:rPr>
          <w:snapToGrid w:val="0"/>
          <w:color w:val="000000" w:themeColor="text1"/>
          <w:kern w:val="22"/>
          <w:szCs w:val="22"/>
        </w:rPr>
        <w:t xml:space="preserve">, increased. The dominant Isopod </w:t>
      </w:r>
      <w:r w:rsidRPr="0088780C">
        <w:rPr>
          <w:i/>
          <w:snapToGrid w:val="0"/>
          <w:color w:val="000000" w:themeColor="text1"/>
          <w:kern w:val="22"/>
          <w:szCs w:val="22"/>
        </w:rPr>
        <w:t>Synisoma capito</w:t>
      </w:r>
      <w:r w:rsidRPr="0088780C">
        <w:rPr>
          <w:snapToGrid w:val="0"/>
          <w:color w:val="000000" w:themeColor="text1"/>
          <w:kern w:val="22"/>
          <w:szCs w:val="22"/>
        </w:rPr>
        <w:t xml:space="preserve"> was replaced by </w:t>
      </w:r>
      <w:r w:rsidRPr="0088780C">
        <w:rPr>
          <w:i/>
          <w:snapToGrid w:val="0"/>
          <w:color w:val="000000" w:themeColor="text1"/>
          <w:kern w:val="22"/>
          <w:szCs w:val="22"/>
        </w:rPr>
        <w:t>Idothea baltica</w:t>
      </w:r>
      <w:r w:rsidRPr="0088780C">
        <w:rPr>
          <w:snapToGrid w:val="0"/>
          <w:color w:val="000000" w:themeColor="text1"/>
          <w:kern w:val="22"/>
          <w:szCs w:val="22"/>
        </w:rPr>
        <w:t xml:space="preserve">. Sphaeroma, </w:t>
      </w:r>
      <w:r w:rsidRPr="0088780C">
        <w:rPr>
          <w:i/>
          <w:snapToGrid w:val="0"/>
          <w:color w:val="000000" w:themeColor="text1"/>
          <w:kern w:val="22"/>
          <w:szCs w:val="22"/>
        </w:rPr>
        <w:t>Synisoma capito</w:t>
      </w:r>
      <w:r w:rsidRPr="0088780C">
        <w:rPr>
          <w:snapToGrid w:val="0"/>
          <w:color w:val="000000" w:themeColor="text1"/>
          <w:kern w:val="22"/>
          <w:szCs w:val="22"/>
        </w:rPr>
        <w:t xml:space="preserve">, </w:t>
      </w:r>
      <w:r w:rsidRPr="0088780C">
        <w:rPr>
          <w:i/>
          <w:snapToGrid w:val="0"/>
          <w:color w:val="000000" w:themeColor="text1"/>
          <w:kern w:val="22"/>
          <w:szCs w:val="22"/>
        </w:rPr>
        <w:t>Pilumnus hirtellus</w:t>
      </w:r>
      <w:r w:rsidRPr="0088780C">
        <w:rPr>
          <w:snapToGrid w:val="0"/>
          <w:color w:val="000000" w:themeColor="text1"/>
          <w:kern w:val="22"/>
          <w:szCs w:val="22"/>
        </w:rPr>
        <w:t xml:space="preserve">, </w:t>
      </w:r>
      <w:r w:rsidRPr="0088780C">
        <w:rPr>
          <w:i/>
          <w:snapToGrid w:val="0"/>
          <w:color w:val="000000" w:themeColor="text1"/>
          <w:kern w:val="22"/>
          <w:szCs w:val="22"/>
        </w:rPr>
        <w:t>Xantho hygrophilous</w:t>
      </w:r>
      <w:r w:rsidRPr="0088780C">
        <w:rPr>
          <w:snapToGrid w:val="0"/>
          <w:color w:val="000000" w:themeColor="text1"/>
          <w:kern w:val="22"/>
          <w:szCs w:val="22"/>
        </w:rPr>
        <w:t xml:space="preserve"> and sometimes </w:t>
      </w:r>
      <w:r w:rsidRPr="0088780C">
        <w:rPr>
          <w:i/>
          <w:snapToGrid w:val="0"/>
          <w:color w:val="000000" w:themeColor="text1"/>
          <w:kern w:val="22"/>
          <w:szCs w:val="22"/>
        </w:rPr>
        <w:t>Rhithropanopeus harrisi</w:t>
      </w:r>
      <w:r w:rsidRPr="0088780C">
        <w:rPr>
          <w:snapToGrid w:val="0"/>
          <w:color w:val="000000" w:themeColor="text1"/>
          <w:kern w:val="22"/>
          <w:szCs w:val="22"/>
        </w:rPr>
        <w:t xml:space="preserve"> occurred. In comparison with the central ZPF fish fauna, the SPF hosts more large coastal species, such as </w:t>
      </w:r>
      <w:r w:rsidRPr="0088780C">
        <w:rPr>
          <w:i/>
          <w:snapToGrid w:val="0"/>
          <w:color w:val="000000" w:themeColor="text1"/>
          <w:kern w:val="22"/>
          <w:szCs w:val="22"/>
        </w:rPr>
        <w:t>Nerophis ophidian</w:t>
      </w:r>
      <w:r w:rsidRPr="0088780C">
        <w:rPr>
          <w:snapToGrid w:val="0"/>
          <w:color w:val="000000" w:themeColor="text1"/>
          <w:kern w:val="22"/>
          <w:szCs w:val="22"/>
        </w:rPr>
        <w:t xml:space="preserve"> teres, striped pipefish </w:t>
      </w:r>
      <w:r w:rsidRPr="0088780C">
        <w:rPr>
          <w:i/>
          <w:snapToGrid w:val="0"/>
          <w:color w:val="000000" w:themeColor="text1"/>
          <w:kern w:val="22"/>
          <w:szCs w:val="22"/>
        </w:rPr>
        <w:t>Syngnatus variegatus</w:t>
      </w:r>
      <w:r w:rsidRPr="0088780C">
        <w:rPr>
          <w:snapToGrid w:val="0"/>
          <w:color w:val="000000" w:themeColor="text1"/>
          <w:kern w:val="22"/>
          <w:szCs w:val="22"/>
        </w:rPr>
        <w:t xml:space="preserve">, black-striped pipefish </w:t>
      </w:r>
      <w:r w:rsidRPr="0088780C">
        <w:rPr>
          <w:i/>
          <w:snapToGrid w:val="0"/>
          <w:color w:val="000000" w:themeColor="text1"/>
          <w:kern w:val="22"/>
          <w:szCs w:val="22"/>
        </w:rPr>
        <w:t>Syngnatus nigrolineatus</w:t>
      </w:r>
      <w:r w:rsidRPr="0088780C">
        <w:rPr>
          <w:snapToGrid w:val="0"/>
          <w:color w:val="000000" w:themeColor="text1"/>
          <w:kern w:val="22"/>
          <w:szCs w:val="22"/>
        </w:rPr>
        <w:t xml:space="preserve">), some species of blennies (e.g. </w:t>
      </w:r>
      <w:r w:rsidRPr="0088780C">
        <w:rPr>
          <w:i/>
          <w:snapToGrid w:val="0"/>
          <w:color w:val="000000" w:themeColor="text1"/>
          <w:kern w:val="22"/>
          <w:szCs w:val="22"/>
        </w:rPr>
        <w:t>Blennius zvonimiri</w:t>
      </w:r>
      <w:r w:rsidRPr="0088780C">
        <w:rPr>
          <w:snapToGrid w:val="0"/>
          <w:color w:val="000000" w:themeColor="text1"/>
          <w:kern w:val="22"/>
          <w:szCs w:val="22"/>
        </w:rPr>
        <w:t>), and as shown above several gobies.</w:t>
      </w:r>
    </w:p>
    <w:p w14:paraId="565B13D0"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3DBC766C" w14:textId="0D13824B"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rFonts w:eastAsia="MS Mincho"/>
          <w:b/>
          <w:snapToGrid w:val="0"/>
          <w:kern w:val="22"/>
          <w:szCs w:val="22"/>
        </w:rPr>
        <w:t>Assessment of the area against CBD EBSA Criteria</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6"/>
        <w:gridCol w:w="3999"/>
        <w:gridCol w:w="1356"/>
        <w:gridCol w:w="195"/>
        <w:gridCol w:w="706"/>
        <w:gridCol w:w="313"/>
        <w:gridCol w:w="682"/>
        <w:gridCol w:w="86"/>
        <w:gridCol w:w="642"/>
      </w:tblGrid>
      <w:tr w:rsidR="00A876F3" w:rsidRPr="0088780C" w14:paraId="0C280098" w14:textId="77777777" w:rsidTr="006972AD">
        <w:tc>
          <w:tcPr>
            <w:tcW w:w="740" w:type="pct"/>
            <w:vMerge w:val="restart"/>
            <w:shd w:val="clear" w:color="auto" w:fill="auto"/>
          </w:tcPr>
          <w:p w14:paraId="0217E22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kern w:val="22"/>
                <w:szCs w:val="22"/>
              </w:rPr>
            </w:pPr>
            <w:r w:rsidRPr="0088780C">
              <w:rPr>
                <w:rFonts w:eastAsia="MS Mincho"/>
                <w:b/>
                <w:bCs/>
                <w:snapToGrid w:val="0"/>
                <w:color w:val="000000"/>
                <w:kern w:val="22"/>
                <w:szCs w:val="22"/>
              </w:rPr>
              <w:t>CBD EBSA Criteria</w:t>
            </w:r>
          </w:p>
        </w:tc>
        <w:tc>
          <w:tcPr>
            <w:tcW w:w="2135" w:type="pct"/>
            <w:vMerge w:val="restart"/>
            <w:shd w:val="clear" w:color="auto" w:fill="auto"/>
          </w:tcPr>
          <w:p w14:paraId="694ADE1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kern w:val="22"/>
                <w:szCs w:val="22"/>
              </w:rPr>
            </w:pPr>
            <w:r w:rsidRPr="0088780C">
              <w:rPr>
                <w:rFonts w:eastAsia="MS Mincho"/>
                <w:b/>
                <w:bCs/>
                <w:snapToGrid w:val="0"/>
                <w:kern w:val="22"/>
                <w:szCs w:val="22"/>
              </w:rPr>
              <w:t>Description</w:t>
            </w:r>
          </w:p>
        </w:tc>
        <w:tc>
          <w:tcPr>
            <w:tcW w:w="2125" w:type="pct"/>
            <w:gridSpan w:val="7"/>
            <w:shd w:val="clear" w:color="auto" w:fill="auto"/>
          </w:tcPr>
          <w:p w14:paraId="7837B50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kern w:val="22"/>
                <w:szCs w:val="22"/>
              </w:rPr>
            </w:pPr>
            <w:r w:rsidRPr="0088780C">
              <w:rPr>
                <w:rFonts w:eastAsia="MS Mincho"/>
                <w:b/>
                <w:bCs/>
                <w:snapToGrid w:val="0"/>
                <w:color w:val="000000"/>
                <w:kern w:val="22"/>
                <w:szCs w:val="22"/>
              </w:rPr>
              <w:t>Ranking of criterion relevance</w:t>
            </w:r>
          </w:p>
        </w:tc>
      </w:tr>
      <w:tr w:rsidR="00A876F3" w:rsidRPr="0088780C" w14:paraId="14B447C6" w14:textId="77777777" w:rsidTr="006972AD">
        <w:tc>
          <w:tcPr>
            <w:tcW w:w="740" w:type="pct"/>
            <w:vMerge/>
            <w:shd w:val="clear" w:color="auto" w:fill="auto"/>
          </w:tcPr>
          <w:p w14:paraId="75AB8C3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135" w:type="pct"/>
            <w:vMerge/>
            <w:shd w:val="clear" w:color="auto" w:fill="auto"/>
          </w:tcPr>
          <w:p w14:paraId="512F721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828" w:type="pct"/>
            <w:gridSpan w:val="2"/>
            <w:shd w:val="clear" w:color="auto" w:fill="auto"/>
          </w:tcPr>
          <w:p w14:paraId="2438170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376" w:type="pct"/>
            <w:shd w:val="clear" w:color="auto" w:fill="auto"/>
          </w:tcPr>
          <w:p w14:paraId="16D9008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kern w:val="22"/>
                <w:szCs w:val="22"/>
              </w:rPr>
            </w:pPr>
            <w:r w:rsidRPr="0088780C">
              <w:rPr>
                <w:rFonts w:eastAsia="MS Mincho"/>
                <w:b/>
                <w:bCs/>
                <w:snapToGrid w:val="0"/>
                <w:color w:val="000000"/>
                <w:kern w:val="22"/>
                <w:szCs w:val="22"/>
              </w:rPr>
              <w:t>Low</w:t>
            </w:r>
          </w:p>
        </w:tc>
        <w:tc>
          <w:tcPr>
            <w:tcW w:w="531" w:type="pct"/>
            <w:gridSpan w:val="2"/>
            <w:shd w:val="clear" w:color="auto" w:fill="auto"/>
          </w:tcPr>
          <w:p w14:paraId="1DF5F45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kern w:val="22"/>
                <w:szCs w:val="22"/>
              </w:rPr>
            </w:pPr>
            <w:r w:rsidRPr="0088780C">
              <w:rPr>
                <w:rFonts w:eastAsia="MS Mincho"/>
                <w:b/>
                <w:bCs/>
                <w:snapToGrid w:val="0"/>
                <w:color w:val="000000"/>
                <w:kern w:val="22"/>
                <w:szCs w:val="22"/>
              </w:rPr>
              <w:t>Medium</w:t>
            </w:r>
          </w:p>
        </w:tc>
        <w:tc>
          <w:tcPr>
            <w:tcW w:w="389" w:type="pct"/>
            <w:gridSpan w:val="2"/>
            <w:shd w:val="clear" w:color="auto" w:fill="auto"/>
          </w:tcPr>
          <w:p w14:paraId="7FAC6BE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069729CC" w14:textId="77777777" w:rsidTr="006972AD">
        <w:tc>
          <w:tcPr>
            <w:tcW w:w="740" w:type="pct"/>
            <w:shd w:val="clear" w:color="auto" w:fill="auto"/>
          </w:tcPr>
          <w:p w14:paraId="19380AEF" w14:textId="445FD309" w:rsidR="00A876F3" w:rsidRPr="0088780C" w:rsidRDefault="00A876F3" w:rsidP="00772456">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Uniquenessor rarity</w:t>
            </w:r>
          </w:p>
        </w:tc>
        <w:tc>
          <w:tcPr>
            <w:tcW w:w="2135" w:type="pct"/>
            <w:shd w:val="clear" w:color="auto" w:fill="auto"/>
          </w:tcPr>
          <w:p w14:paraId="16083EBB" w14:textId="29E56B75"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828" w:type="pct"/>
            <w:gridSpan w:val="2"/>
            <w:shd w:val="clear" w:color="auto" w:fill="auto"/>
          </w:tcPr>
          <w:p w14:paraId="555B3F7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376" w:type="pct"/>
            <w:shd w:val="clear" w:color="auto" w:fill="auto"/>
          </w:tcPr>
          <w:p w14:paraId="289F50B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531" w:type="pct"/>
            <w:gridSpan w:val="2"/>
            <w:shd w:val="clear" w:color="auto" w:fill="auto"/>
          </w:tcPr>
          <w:p w14:paraId="02E7453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389" w:type="pct"/>
            <w:gridSpan w:val="2"/>
            <w:shd w:val="clear" w:color="auto" w:fill="auto"/>
          </w:tcPr>
          <w:p w14:paraId="7D56D0D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kern w:val="22"/>
                <w:szCs w:val="22"/>
              </w:rPr>
            </w:pPr>
            <w:r w:rsidRPr="0088780C">
              <w:rPr>
                <w:rFonts w:eastAsia="MS Mincho"/>
                <w:b/>
                <w:bCs/>
                <w:snapToGrid w:val="0"/>
                <w:color w:val="000000"/>
                <w:kern w:val="22"/>
                <w:szCs w:val="22"/>
              </w:rPr>
              <w:t>X</w:t>
            </w:r>
          </w:p>
        </w:tc>
      </w:tr>
      <w:tr w:rsidR="00A876F3" w:rsidRPr="0088780C" w14:paraId="0044DB6C" w14:textId="77777777" w:rsidTr="006972AD">
        <w:tc>
          <w:tcPr>
            <w:tcW w:w="5000" w:type="pct"/>
            <w:gridSpan w:val="9"/>
            <w:shd w:val="clear" w:color="auto" w:fill="auto"/>
          </w:tcPr>
          <w:p w14:paraId="702B1F32"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i/>
                <w:snapToGrid w:val="0"/>
                <w:color w:val="000000"/>
                <w:kern w:val="22"/>
                <w:szCs w:val="22"/>
              </w:rPr>
              <w:t>Explanation for ranking</w:t>
            </w:r>
          </w:p>
          <w:p w14:paraId="4158A1D2"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Karkynytsky Bay was a region of mass habitat for the European flat oyster </w:t>
            </w:r>
            <w:r w:rsidRPr="0088780C">
              <w:rPr>
                <w:rFonts w:eastAsia="MS Mincho"/>
                <w:i/>
                <w:snapToGrid w:val="0"/>
                <w:color w:val="000000"/>
                <w:kern w:val="22"/>
                <w:szCs w:val="22"/>
              </w:rPr>
              <w:t>Ostrea edulis</w:t>
            </w:r>
            <w:r w:rsidRPr="0088780C">
              <w:rPr>
                <w:rFonts w:eastAsia="MS Mincho"/>
                <w:snapToGrid w:val="0"/>
                <w:color w:val="000000"/>
                <w:kern w:val="22"/>
                <w:szCs w:val="22"/>
              </w:rPr>
              <w:t xml:space="preserve">, which disappeared because of eutrophication in the north-western part of the Black Sea. Today, this species is listed in the Red Data Book of Ukraine and the Black Sea as a vanishing species (Aleksandrov, Zaitsev, Minicheva, 2006). At the same time, the most widespread macrophyte in the bay was the red alga </w:t>
            </w:r>
            <w:r w:rsidRPr="0088780C">
              <w:rPr>
                <w:rFonts w:eastAsia="MS Mincho"/>
                <w:i/>
                <w:snapToGrid w:val="0"/>
                <w:color w:val="000000"/>
                <w:kern w:val="22"/>
                <w:szCs w:val="22"/>
              </w:rPr>
              <w:t>Phyllofora crispa</w:t>
            </w:r>
            <w:r w:rsidRPr="0088780C">
              <w:rPr>
                <w:rFonts w:eastAsia="MS Mincho"/>
                <w:snapToGrid w:val="0"/>
                <w:color w:val="000000"/>
                <w:kern w:val="22"/>
                <w:szCs w:val="22"/>
              </w:rPr>
              <w:t xml:space="preserve"> (= </w:t>
            </w:r>
            <w:r w:rsidRPr="0088780C">
              <w:rPr>
                <w:rFonts w:eastAsia="MS Mincho"/>
                <w:i/>
                <w:snapToGrid w:val="0"/>
                <w:color w:val="000000"/>
                <w:kern w:val="22"/>
                <w:szCs w:val="22"/>
              </w:rPr>
              <w:t>nervosa</w:t>
            </w:r>
            <w:r w:rsidRPr="0088780C">
              <w:rPr>
                <w:rFonts w:eastAsia="MS Mincho"/>
                <w:snapToGrid w:val="0"/>
                <w:color w:val="000000"/>
                <w:kern w:val="22"/>
                <w:szCs w:val="22"/>
              </w:rPr>
              <w:t xml:space="preserve">), which is an edificator species of biocenosis with the same name (Eremenko, Minicheva, 1992). At present, it is the largest population of </w:t>
            </w:r>
            <w:r w:rsidRPr="0088780C">
              <w:rPr>
                <w:rFonts w:eastAsia="MS Mincho"/>
                <w:i/>
                <w:snapToGrid w:val="0"/>
                <w:color w:val="000000"/>
                <w:kern w:val="22"/>
                <w:szCs w:val="22"/>
              </w:rPr>
              <w:t>Ph. crispa</w:t>
            </w:r>
            <w:r w:rsidRPr="0088780C">
              <w:rPr>
                <w:rFonts w:eastAsia="MS Mincho"/>
                <w:snapToGrid w:val="0"/>
                <w:color w:val="000000"/>
                <w:kern w:val="22"/>
                <w:szCs w:val="22"/>
              </w:rPr>
              <w:t xml:space="preserve"> in the Black Sea.</w:t>
            </w:r>
          </w:p>
        </w:tc>
      </w:tr>
      <w:tr w:rsidR="00A876F3" w:rsidRPr="0088780C" w14:paraId="0A4D7FB9" w14:textId="77777777" w:rsidTr="006972AD">
        <w:tc>
          <w:tcPr>
            <w:tcW w:w="740" w:type="pct"/>
            <w:shd w:val="clear" w:color="auto" w:fill="auto"/>
          </w:tcPr>
          <w:p w14:paraId="6CA26173"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135" w:type="pct"/>
            <w:shd w:val="clear" w:color="auto" w:fill="auto"/>
          </w:tcPr>
          <w:p w14:paraId="2C8160D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724" w:type="pct"/>
            <w:shd w:val="clear" w:color="auto" w:fill="auto"/>
          </w:tcPr>
          <w:p w14:paraId="7A6D7EF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81" w:type="pct"/>
            <w:gridSpan w:val="2"/>
            <w:shd w:val="clear" w:color="auto" w:fill="auto"/>
          </w:tcPr>
          <w:p w14:paraId="55AC6F3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531" w:type="pct"/>
            <w:gridSpan w:val="2"/>
            <w:shd w:val="clear" w:color="auto" w:fill="auto"/>
          </w:tcPr>
          <w:p w14:paraId="5332A41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389" w:type="pct"/>
            <w:gridSpan w:val="2"/>
            <w:shd w:val="clear" w:color="auto" w:fill="auto"/>
          </w:tcPr>
          <w:p w14:paraId="58CEA2E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kern w:val="22"/>
                <w:szCs w:val="22"/>
              </w:rPr>
            </w:pPr>
            <w:r w:rsidRPr="0088780C">
              <w:rPr>
                <w:rFonts w:eastAsia="MS Mincho"/>
                <w:b/>
                <w:bCs/>
                <w:snapToGrid w:val="0"/>
                <w:color w:val="000000"/>
                <w:kern w:val="22"/>
                <w:szCs w:val="22"/>
              </w:rPr>
              <w:t>X</w:t>
            </w:r>
          </w:p>
        </w:tc>
      </w:tr>
      <w:tr w:rsidR="00A876F3" w:rsidRPr="0088780C" w14:paraId="0FC6F58B" w14:textId="77777777" w:rsidTr="006972AD">
        <w:tc>
          <w:tcPr>
            <w:tcW w:w="5000" w:type="pct"/>
            <w:gridSpan w:val="9"/>
            <w:shd w:val="clear" w:color="auto" w:fill="auto"/>
          </w:tcPr>
          <w:p w14:paraId="5A2987F7"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rFonts w:eastAsia="MS Mincho"/>
                <w:i/>
                <w:snapToGrid w:val="0"/>
                <w:color w:val="000000"/>
                <w:kern w:val="22"/>
                <w:szCs w:val="22"/>
              </w:rPr>
              <w:t>Explanation for ranking</w:t>
            </w:r>
          </w:p>
          <w:p w14:paraId="0651EB92"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 a</w:t>
            </w:r>
            <w:r w:rsidRPr="0088780C">
              <w:rPr>
                <w:rFonts w:eastAsia="MS Mincho"/>
                <w:snapToGrid w:val="0"/>
                <w:color w:val="000000"/>
                <w:kern w:val="22"/>
                <w:szCs w:val="22"/>
              </w:rPr>
              <w:t xml:space="preserve">quatic area of </w:t>
            </w:r>
            <w:r w:rsidRPr="0088780C">
              <w:rPr>
                <w:rFonts w:eastAsia="Times New Roman"/>
                <w:snapToGrid w:val="0"/>
                <w:color w:val="000000" w:themeColor="text1"/>
                <w:kern w:val="22"/>
                <w:szCs w:val="22"/>
                <w:lang w:eastAsia="ru-RU"/>
              </w:rPr>
              <w:t>Karnitsky Bay</w:t>
            </w:r>
            <w:r w:rsidRPr="0088780C">
              <w:rPr>
                <w:rFonts w:eastAsia="MS Mincho"/>
                <w:snapToGrid w:val="0"/>
                <w:color w:val="000000"/>
                <w:kern w:val="22"/>
                <w:szCs w:val="22"/>
              </w:rPr>
              <w:t xml:space="preserve"> is a feeding ground for sturgeons, </w:t>
            </w:r>
            <w:r w:rsidRPr="0088780C">
              <w:rPr>
                <w:snapToGrid w:val="0"/>
                <w:color w:val="000000" w:themeColor="text1"/>
                <w:kern w:val="22"/>
                <w:szCs w:val="22"/>
              </w:rPr>
              <w:t>Black Sea salmon (</w:t>
            </w:r>
            <w:r w:rsidRPr="0088780C">
              <w:rPr>
                <w:i/>
                <w:snapToGrid w:val="0"/>
                <w:color w:val="000000" w:themeColor="text1"/>
                <w:kern w:val="22"/>
                <w:szCs w:val="22"/>
              </w:rPr>
              <w:t xml:space="preserve">Salmo trutta labrax) </w:t>
            </w:r>
            <w:r w:rsidRPr="0088780C">
              <w:rPr>
                <w:snapToGrid w:val="0"/>
                <w:color w:val="000000" w:themeColor="text1"/>
                <w:kern w:val="22"/>
                <w:szCs w:val="22"/>
              </w:rPr>
              <w:t>and three species of dolphins</w:t>
            </w:r>
            <w:r w:rsidRPr="0088780C">
              <w:rPr>
                <w:i/>
                <w:snapToGrid w:val="0"/>
                <w:color w:val="000000" w:themeColor="text1"/>
                <w:kern w:val="22"/>
                <w:szCs w:val="22"/>
              </w:rPr>
              <w:t xml:space="preserve"> </w:t>
            </w:r>
            <w:r w:rsidRPr="0088780C">
              <w:rPr>
                <w:snapToGrid w:val="0"/>
                <w:color w:val="000000" w:themeColor="text1"/>
                <w:kern w:val="22"/>
                <w:szCs w:val="22"/>
              </w:rPr>
              <w:t xml:space="preserve">that are included in the Black Sea Red Data Book, which lists </w:t>
            </w:r>
            <w:r w:rsidRPr="0088780C">
              <w:rPr>
                <w:snapToGrid w:val="0"/>
                <w:color w:val="000000"/>
                <w:kern w:val="22"/>
                <w:szCs w:val="22"/>
              </w:rPr>
              <w:t>threatened and rare species in the Black Sea ecosystem</w:t>
            </w:r>
            <w:r w:rsidRPr="0088780C">
              <w:rPr>
                <w:rFonts w:eastAsia="MS Mincho"/>
                <w:snapToGrid w:val="0"/>
                <w:color w:val="000000"/>
                <w:kern w:val="22"/>
                <w:szCs w:val="22"/>
              </w:rPr>
              <w:t xml:space="preserve">.These species are migratory in these waters and occur here annually. </w:t>
            </w:r>
            <w:r w:rsidRPr="0088780C">
              <w:rPr>
                <w:rFonts w:eastAsia="Times New Roman"/>
                <w:snapToGrid w:val="0"/>
                <w:color w:val="000000" w:themeColor="text1"/>
                <w:kern w:val="22"/>
                <w:szCs w:val="22"/>
                <w:lang w:eastAsia="ru-RU"/>
              </w:rPr>
              <w:t>Karnitsky Bay</w:t>
            </w:r>
            <w:r w:rsidRPr="0088780C">
              <w:rPr>
                <w:rFonts w:eastAsia="MS Mincho"/>
                <w:snapToGrid w:val="0"/>
                <w:color w:val="000000"/>
                <w:kern w:val="22"/>
                <w:szCs w:val="22"/>
              </w:rPr>
              <w:t xml:space="preserve"> is a key nesting site for migrating species from Europe and Africa: terns, waders, ducks (Chernichko et al., 2000).</w:t>
            </w:r>
          </w:p>
        </w:tc>
      </w:tr>
      <w:tr w:rsidR="00A876F3" w:rsidRPr="0088780C" w14:paraId="5E5B705C" w14:textId="77777777" w:rsidTr="006972AD">
        <w:tc>
          <w:tcPr>
            <w:tcW w:w="740" w:type="pct"/>
            <w:shd w:val="clear" w:color="auto" w:fill="auto"/>
          </w:tcPr>
          <w:p w14:paraId="5EC67D22"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135" w:type="pct"/>
            <w:shd w:val="clear" w:color="auto" w:fill="auto"/>
          </w:tcPr>
          <w:p w14:paraId="7FBB5E8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724" w:type="pct"/>
            <w:shd w:val="clear" w:color="auto" w:fill="auto"/>
          </w:tcPr>
          <w:p w14:paraId="522792A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81" w:type="pct"/>
            <w:gridSpan w:val="2"/>
            <w:shd w:val="clear" w:color="auto" w:fill="auto"/>
          </w:tcPr>
          <w:p w14:paraId="5331F08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531" w:type="pct"/>
            <w:gridSpan w:val="2"/>
            <w:shd w:val="clear" w:color="auto" w:fill="auto"/>
          </w:tcPr>
          <w:p w14:paraId="3DE4448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389" w:type="pct"/>
            <w:gridSpan w:val="2"/>
            <w:shd w:val="clear" w:color="auto" w:fill="auto"/>
          </w:tcPr>
          <w:p w14:paraId="7926BE3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kern w:val="22"/>
                <w:szCs w:val="22"/>
              </w:rPr>
            </w:pPr>
            <w:r w:rsidRPr="0088780C">
              <w:rPr>
                <w:rFonts w:eastAsia="MS Mincho"/>
                <w:b/>
                <w:bCs/>
                <w:snapToGrid w:val="0"/>
                <w:color w:val="000000"/>
                <w:kern w:val="22"/>
                <w:szCs w:val="22"/>
              </w:rPr>
              <w:t>X</w:t>
            </w:r>
          </w:p>
        </w:tc>
      </w:tr>
      <w:tr w:rsidR="00A876F3" w:rsidRPr="0088780C" w14:paraId="3E429B73" w14:textId="77777777" w:rsidTr="006972AD">
        <w:tc>
          <w:tcPr>
            <w:tcW w:w="5000" w:type="pct"/>
            <w:gridSpan w:val="9"/>
            <w:shd w:val="clear" w:color="auto" w:fill="auto"/>
          </w:tcPr>
          <w:p w14:paraId="74F25E59"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111A6FE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Times New Roman"/>
                <w:snapToGrid w:val="0"/>
                <w:color w:val="000000" w:themeColor="text1"/>
                <w:kern w:val="22"/>
                <w:szCs w:val="22"/>
                <w:lang w:eastAsia="ru-RU"/>
              </w:rPr>
              <w:t>Karkinitsky Bay</w:t>
            </w:r>
            <w:r w:rsidRPr="0088780C">
              <w:rPr>
                <w:rFonts w:eastAsia="MS Mincho"/>
                <w:snapToGrid w:val="0"/>
                <w:color w:val="000000"/>
                <w:kern w:val="22"/>
                <w:szCs w:val="22"/>
              </w:rPr>
              <w:t xml:space="preserve"> is the area with two biggest biocenoses of the Black Sea Red Data Book species of threatened and rare species </w:t>
            </w:r>
            <w:r w:rsidRPr="0088780C">
              <w:rPr>
                <w:rFonts w:eastAsia="MS Mincho"/>
                <w:bCs/>
                <w:snapToGrid w:val="0"/>
                <w:color w:val="000000"/>
                <w:kern w:val="22"/>
                <w:szCs w:val="22"/>
              </w:rPr>
              <w:t>(see Table 2)</w:t>
            </w:r>
            <w:r w:rsidRPr="0088780C">
              <w:rPr>
                <w:rFonts w:eastAsia="MS Mincho"/>
                <w:snapToGrid w:val="0"/>
                <w:color w:val="000000"/>
                <w:kern w:val="22"/>
                <w:szCs w:val="22"/>
              </w:rPr>
              <w:t>: red algae (</w:t>
            </w:r>
            <w:r w:rsidRPr="0088780C">
              <w:rPr>
                <w:rFonts w:eastAsia="MS Mincho"/>
                <w:i/>
                <w:snapToGrid w:val="0"/>
                <w:color w:val="000000"/>
                <w:kern w:val="22"/>
                <w:szCs w:val="22"/>
              </w:rPr>
              <w:t>Phillophora crispa)</w:t>
            </w:r>
            <w:r w:rsidRPr="0088780C">
              <w:rPr>
                <w:rFonts w:eastAsia="MS Mincho"/>
                <w:snapToGrid w:val="0"/>
                <w:color w:val="000000"/>
                <w:kern w:val="22"/>
                <w:szCs w:val="22"/>
              </w:rPr>
              <w:t xml:space="preserve"> and </w:t>
            </w:r>
            <w:r w:rsidRPr="0088780C">
              <w:rPr>
                <w:snapToGrid w:val="0"/>
                <w:color w:val="002F2F"/>
                <w:kern w:val="22"/>
                <w:szCs w:val="22"/>
              </w:rPr>
              <w:t>Mediterranean mud shrimp</w:t>
            </w:r>
            <w:r w:rsidRPr="0088780C">
              <w:rPr>
                <w:rFonts w:eastAsia="MS Mincho"/>
                <w:snapToGrid w:val="0"/>
                <w:color w:val="000000"/>
                <w:kern w:val="22"/>
                <w:szCs w:val="22"/>
              </w:rPr>
              <w:t xml:space="preserve"> (</w:t>
            </w:r>
            <w:r w:rsidRPr="0088780C">
              <w:rPr>
                <w:rFonts w:eastAsia="MS Mincho"/>
                <w:i/>
                <w:snapToGrid w:val="0"/>
                <w:color w:val="000000"/>
                <w:kern w:val="22"/>
                <w:szCs w:val="22"/>
              </w:rPr>
              <w:t>Upogebia pusilla)</w:t>
            </w:r>
            <w:r w:rsidRPr="0088780C">
              <w:rPr>
                <w:rFonts w:eastAsia="MS Mincho"/>
                <w:snapToGrid w:val="0"/>
                <w:color w:val="000000"/>
                <w:kern w:val="22"/>
                <w:szCs w:val="22"/>
              </w:rPr>
              <w:t xml:space="preserve"> (Aleksandrov et al., 2009b). On the coast of the bay there are 12 species of birds that have European protection status (Chernichko et al., 2000).</w:t>
            </w:r>
          </w:p>
        </w:tc>
      </w:tr>
      <w:tr w:rsidR="00A876F3" w:rsidRPr="0088780C" w14:paraId="6C335498" w14:textId="77777777" w:rsidTr="006972AD">
        <w:tc>
          <w:tcPr>
            <w:tcW w:w="740" w:type="pct"/>
            <w:shd w:val="clear" w:color="auto" w:fill="auto"/>
          </w:tcPr>
          <w:p w14:paraId="1C5251A9"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135" w:type="pct"/>
            <w:shd w:val="clear" w:color="auto" w:fill="auto"/>
          </w:tcPr>
          <w:p w14:paraId="1D1393C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724" w:type="pct"/>
            <w:shd w:val="clear" w:color="auto" w:fill="auto"/>
          </w:tcPr>
          <w:p w14:paraId="13198C9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81" w:type="pct"/>
            <w:gridSpan w:val="2"/>
            <w:shd w:val="clear" w:color="auto" w:fill="auto"/>
          </w:tcPr>
          <w:p w14:paraId="56335F6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kern w:val="22"/>
                <w:szCs w:val="22"/>
              </w:rPr>
            </w:pPr>
          </w:p>
        </w:tc>
        <w:tc>
          <w:tcPr>
            <w:tcW w:w="531" w:type="pct"/>
            <w:gridSpan w:val="2"/>
            <w:shd w:val="clear" w:color="auto" w:fill="auto"/>
          </w:tcPr>
          <w:p w14:paraId="0BDF2D5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
                <w:bCs/>
                <w:snapToGrid w:val="0"/>
                <w:color w:val="000000"/>
                <w:kern w:val="22"/>
                <w:szCs w:val="22"/>
              </w:rPr>
              <w:t>X</w:t>
            </w:r>
          </w:p>
        </w:tc>
        <w:tc>
          <w:tcPr>
            <w:tcW w:w="389" w:type="pct"/>
            <w:gridSpan w:val="2"/>
            <w:shd w:val="clear" w:color="auto" w:fill="auto"/>
          </w:tcPr>
          <w:p w14:paraId="0BDB03F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752B116A" w14:textId="77777777" w:rsidTr="006972AD">
        <w:tc>
          <w:tcPr>
            <w:tcW w:w="5000" w:type="pct"/>
            <w:gridSpan w:val="9"/>
            <w:shd w:val="clear" w:color="auto" w:fill="auto"/>
          </w:tcPr>
          <w:p w14:paraId="08414AD3" w14:textId="77777777" w:rsidR="00A876F3" w:rsidRPr="0088780C" w:rsidRDefault="00A876F3" w:rsidP="001013AF">
            <w:pPr>
              <w:suppressLineNumbers/>
              <w:suppressAutoHyphens/>
              <w:kinsoku w:val="0"/>
              <w:overflowPunct w:val="0"/>
              <w:autoSpaceDE w:val="0"/>
              <w:autoSpaceDN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4BE04104" w14:textId="615839EC" w:rsidR="00A876F3" w:rsidRPr="0088780C" w:rsidRDefault="00A876F3" w:rsidP="001013AF">
            <w:pPr>
              <w:suppressLineNumbers/>
              <w:suppressAutoHyphens/>
              <w:kinsoku w:val="0"/>
              <w:overflowPunct w:val="0"/>
              <w:autoSpaceDE w:val="0"/>
              <w:autoSpaceDN w:val="0"/>
              <w:rPr>
                <w:rFonts w:eastAsia="MS Mincho"/>
                <w:i/>
                <w:snapToGrid w:val="0"/>
                <w:color w:val="000000"/>
                <w:kern w:val="22"/>
                <w:szCs w:val="22"/>
              </w:rPr>
            </w:pPr>
            <w:r w:rsidRPr="0088780C">
              <w:rPr>
                <w:rFonts w:eastAsia="MS Mincho"/>
                <w:snapToGrid w:val="0"/>
                <w:color w:val="000000"/>
                <w:kern w:val="22"/>
                <w:szCs w:val="22"/>
              </w:rPr>
              <w:t xml:space="preserve">Karkinitsky Bay is a region of mass development of Black Sea Red Book species: </w:t>
            </w:r>
            <w:r w:rsidRPr="0088780C">
              <w:rPr>
                <w:rFonts w:eastAsia="MS Mincho"/>
                <w:i/>
                <w:snapToGrid w:val="0"/>
                <w:color w:val="000000"/>
                <w:kern w:val="22"/>
                <w:szCs w:val="22"/>
              </w:rPr>
              <w:t>Phyllophora crispa, Upogebia pusilla</w:t>
            </w:r>
            <w:r w:rsidRPr="0088780C">
              <w:rPr>
                <w:rFonts w:eastAsia="MS Mincho"/>
                <w:snapToGrid w:val="0"/>
                <w:color w:val="000000"/>
                <w:kern w:val="22"/>
                <w:szCs w:val="22"/>
              </w:rPr>
              <w:t xml:space="preserve"> </w:t>
            </w:r>
            <w:r w:rsidRPr="0088780C">
              <w:rPr>
                <w:rFonts w:eastAsia="MS Mincho"/>
                <w:bCs/>
                <w:snapToGrid w:val="0"/>
                <w:color w:val="000000"/>
                <w:kern w:val="22"/>
                <w:szCs w:val="22"/>
              </w:rPr>
              <w:t>(see Table 2)</w:t>
            </w:r>
            <w:r w:rsidRPr="0088780C">
              <w:rPr>
                <w:rFonts w:eastAsia="MS Mincho"/>
                <w:snapToGrid w:val="0"/>
                <w:color w:val="000000"/>
                <w:kern w:val="22"/>
                <w:szCs w:val="22"/>
              </w:rPr>
              <w:t xml:space="preserve">. </w:t>
            </w:r>
            <w:r w:rsidRPr="0088780C">
              <w:rPr>
                <w:rFonts w:eastAsia="Times New Roman"/>
                <w:snapToGrid w:val="0"/>
                <w:kern w:val="22"/>
                <w:szCs w:val="22"/>
                <w:lang w:eastAsia="fr-CA"/>
              </w:rPr>
              <w:t>Phyllophora are vulnerable to eutrophication (Minicheva et al. 2009) and are characterized by a slow recovery rate.</w:t>
            </w:r>
          </w:p>
        </w:tc>
      </w:tr>
      <w:tr w:rsidR="00A876F3" w:rsidRPr="0088780C" w14:paraId="17510D50" w14:textId="77777777" w:rsidTr="006972AD">
        <w:tc>
          <w:tcPr>
            <w:tcW w:w="740" w:type="pct"/>
            <w:shd w:val="clear" w:color="auto" w:fill="auto"/>
          </w:tcPr>
          <w:p w14:paraId="1047FCFB"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135" w:type="pct"/>
            <w:shd w:val="clear" w:color="auto" w:fill="auto"/>
          </w:tcPr>
          <w:p w14:paraId="34C0EB3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724" w:type="pct"/>
            <w:shd w:val="clear" w:color="auto" w:fill="auto"/>
          </w:tcPr>
          <w:p w14:paraId="680BB7F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81" w:type="pct"/>
            <w:gridSpan w:val="2"/>
            <w:shd w:val="clear" w:color="auto" w:fill="auto"/>
          </w:tcPr>
          <w:p w14:paraId="249DD15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kern w:val="22"/>
                <w:szCs w:val="22"/>
              </w:rPr>
            </w:pPr>
            <w:r w:rsidRPr="0088780C">
              <w:rPr>
                <w:rFonts w:eastAsia="MS Mincho"/>
                <w:b/>
                <w:bCs/>
                <w:snapToGrid w:val="0"/>
                <w:color w:val="000000"/>
                <w:kern w:val="22"/>
                <w:szCs w:val="22"/>
              </w:rPr>
              <w:t>X</w:t>
            </w:r>
          </w:p>
        </w:tc>
        <w:tc>
          <w:tcPr>
            <w:tcW w:w="531" w:type="pct"/>
            <w:gridSpan w:val="2"/>
            <w:shd w:val="clear" w:color="auto" w:fill="auto"/>
          </w:tcPr>
          <w:p w14:paraId="55755A3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389" w:type="pct"/>
            <w:gridSpan w:val="2"/>
            <w:shd w:val="clear" w:color="auto" w:fill="auto"/>
          </w:tcPr>
          <w:p w14:paraId="1213A94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79AB477C" w14:textId="77777777" w:rsidTr="00772456">
        <w:trPr>
          <w:cantSplit/>
        </w:trPr>
        <w:tc>
          <w:tcPr>
            <w:tcW w:w="5000" w:type="pct"/>
            <w:gridSpan w:val="9"/>
            <w:shd w:val="clear" w:color="auto" w:fill="auto"/>
          </w:tcPr>
          <w:p w14:paraId="1B7882B7"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793B7959"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snapToGrid w:val="0"/>
                <w:color w:val="000000"/>
                <w:kern w:val="22"/>
                <w:szCs w:val="22"/>
              </w:rPr>
              <w:t>The low level of nutrients entering Karkinitsky Bay contributes to a low level of phytoplankton development and high water transparency. This fact explains the high level of development of bottom vegetation and explains the good state of the Small Phyllophora Field (Aleksandrov et al., 2009).</w:t>
            </w:r>
          </w:p>
        </w:tc>
      </w:tr>
      <w:tr w:rsidR="00A876F3" w:rsidRPr="0088780C" w14:paraId="4342799E" w14:textId="77777777" w:rsidTr="006972AD">
        <w:tc>
          <w:tcPr>
            <w:tcW w:w="740" w:type="pct"/>
            <w:shd w:val="clear" w:color="auto" w:fill="auto"/>
          </w:tcPr>
          <w:p w14:paraId="3AE25F8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135" w:type="pct"/>
            <w:shd w:val="clear" w:color="auto" w:fill="auto"/>
          </w:tcPr>
          <w:p w14:paraId="19768A4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724" w:type="pct"/>
            <w:shd w:val="clear" w:color="auto" w:fill="auto"/>
          </w:tcPr>
          <w:p w14:paraId="73A41C1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81" w:type="pct"/>
            <w:gridSpan w:val="2"/>
            <w:shd w:val="clear" w:color="auto" w:fill="auto"/>
          </w:tcPr>
          <w:p w14:paraId="79D664B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531" w:type="pct"/>
            <w:gridSpan w:val="2"/>
            <w:shd w:val="clear" w:color="auto" w:fill="auto"/>
          </w:tcPr>
          <w:p w14:paraId="30E2898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389" w:type="pct"/>
            <w:gridSpan w:val="2"/>
            <w:shd w:val="clear" w:color="auto" w:fill="auto"/>
          </w:tcPr>
          <w:p w14:paraId="7DC32A8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
                <w:bCs/>
                <w:snapToGrid w:val="0"/>
                <w:color w:val="000000"/>
                <w:kern w:val="22"/>
                <w:szCs w:val="22"/>
              </w:rPr>
              <w:t>X</w:t>
            </w:r>
          </w:p>
        </w:tc>
      </w:tr>
      <w:tr w:rsidR="00A876F3" w:rsidRPr="0088780C" w14:paraId="47E82B07" w14:textId="77777777" w:rsidTr="006972AD">
        <w:tc>
          <w:tcPr>
            <w:tcW w:w="5000" w:type="pct"/>
            <w:gridSpan w:val="9"/>
            <w:shd w:val="clear" w:color="auto" w:fill="auto"/>
          </w:tcPr>
          <w:p w14:paraId="68408BD2"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0F40E6EF" w14:textId="2B2FD4CA"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In</w:t>
            </w:r>
            <w:r w:rsidRPr="0088780C">
              <w:rPr>
                <w:rFonts w:eastAsia="MS Mincho"/>
                <w:i/>
                <w:snapToGrid w:val="0"/>
                <w:color w:val="000000"/>
                <w:kern w:val="22"/>
                <w:szCs w:val="22"/>
              </w:rPr>
              <w:t xml:space="preserve"> </w:t>
            </w:r>
            <w:r w:rsidRPr="0088780C">
              <w:rPr>
                <w:rFonts w:eastAsia="MS Mincho"/>
                <w:snapToGrid w:val="0"/>
                <w:color w:val="000000"/>
                <w:kern w:val="22"/>
                <w:szCs w:val="22"/>
              </w:rPr>
              <w:t>Karkinitsky Bay there are nine biocenoses that explain the high number of species (Aleksandrov et al., 2009). The area harbours 15% of the total number of species (macrophytes, invertebrates and fish) that have been recorded in the Black Sea (Table 2).</w:t>
            </w:r>
          </w:p>
        </w:tc>
      </w:tr>
      <w:tr w:rsidR="00A876F3" w:rsidRPr="0088780C" w14:paraId="103363A5" w14:textId="77777777" w:rsidTr="006972AD">
        <w:tc>
          <w:tcPr>
            <w:tcW w:w="740" w:type="pct"/>
            <w:shd w:val="clear" w:color="auto" w:fill="auto"/>
          </w:tcPr>
          <w:p w14:paraId="30C77AF8"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135" w:type="pct"/>
            <w:shd w:val="clear" w:color="auto" w:fill="auto"/>
          </w:tcPr>
          <w:p w14:paraId="6FC5443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because of the lack of or low level of human-induced disturbance or degradation.</w:t>
            </w:r>
          </w:p>
        </w:tc>
        <w:tc>
          <w:tcPr>
            <w:tcW w:w="724" w:type="pct"/>
            <w:shd w:val="clear" w:color="auto" w:fill="auto"/>
          </w:tcPr>
          <w:p w14:paraId="7DD8220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648" w:type="pct"/>
            <w:gridSpan w:val="3"/>
            <w:shd w:val="clear" w:color="auto" w:fill="auto"/>
          </w:tcPr>
          <w:p w14:paraId="679DDA7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10" w:type="pct"/>
            <w:gridSpan w:val="2"/>
            <w:shd w:val="clear" w:color="auto" w:fill="auto"/>
          </w:tcPr>
          <w:p w14:paraId="2DD3713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b/>
                <w:snapToGrid w:val="0"/>
                <w:color w:val="000000"/>
                <w:kern w:val="22"/>
                <w:szCs w:val="22"/>
              </w:rPr>
              <w:t>X</w:t>
            </w:r>
          </w:p>
        </w:tc>
        <w:tc>
          <w:tcPr>
            <w:tcW w:w="342" w:type="pct"/>
            <w:shd w:val="clear" w:color="auto" w:fill="auto"/>
          </w:tcPr>
          <w:p w14:paraId="23ABC86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53AA62A9" w14:textId="77777777" w:rsidTr="006972AD">
        <w:tc>
          <w:tcPr>
            <w:tcW w:w="5000" w:type="pct"/>
            <w:gridSpan w:val="9"/>
            <w:shd w:val="clear" w:color="auto" w:fill="auto"/>
          </w:tcPr>
          <w:p w14:paraId="1E827714"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i/>
                <w:snapToGrid w:val="0"/>
                <w:kern w:val="22"/>
                <w:szCs w:val="22"/>
              </w:rPr>
              <w:t>Explanation for ranking</w:t>
            </w:r>
          </w:p>
          <w:p w14:paraId="0E1EEE58" w14:textId="6D22D463"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There are two main kinds of anthropogenic impact: </w:t>
            </w:r>
            <w:r w:rsidR="00804280" w:rsidRPr="0088780C">
              <w:rPr>
                <w:snapToGrid w:val="0"/>
                <w:kern w:val="22"/>
                <w:szCs w:val="22"/>
              </w:rPr>
              <w:t>(</w:t>
            </w:r>
            <w:r w:rsidRPr="0088780C">
              <w:rPr>
                <w:snapToGrid w:val="0"/>
                <w:kern w:val="22"/>
                <w:szCs w:val="22"/>
              </w:rPr>
              <w:t xml:space="preserve">1) polluted waste water from rice cultivation, </w:t>
            </w:r>
            <w:r w:rsidR="00804280" w:rsidRPr="0088780C">
              <w:rPr>
                <w:snapToGrid w:val="0"/>
                <w:kern w:val="22"/>
                <w:szCs w:val="22"/>
              </w:rPr>
              <w:t>(</w:t>
            </w:r>
            <w:r w:rsidRPr="0088780C">
              <w:rPr>
                <w:snapToGrid w:val="0"/>
                <w:kern w:val="22"/>
                <w:szCs w:val="22"/>
              </w:rPr>
              <w:t>2) shipping activity of the seaport Scadovsk. These factors affect impact the naturalness of the SPF.</w:t>
            </w:r>
          </w:p>
        </w:tc>
      </w:tr>
    </w:tbl>
    <w:p w14:paraId="4A97CC2E" w14:textId="77777777" w:rsidR="00A876F3" w:rsidRPr="0088780C" w:rsidRDefault="00A876F3" w:rsidP="001013AF">
      <w:pPr>
        <w:suppressLineNumbers/>
        <w:suppressAutoHyphens/>
        <w:kinsoku w:val="0"/>
        <w:overflowPunct w:val="0"/>
        <w:autoSpaceDE w:val="0"/>
        <w:autoSpaceDN w:val="0"/>
        <w:spacing w:after="120"/>
        <w:rPr>
          <w:rFonts w:eastAsia="MS Mincho"/>
          <w:bCs/>
          <w:snapToGrid w:val="0"/>
          <w:color w:val="000000" w:themeColor="text1"/>
          <w:kern w:val="22"/>
          <w:szCs w:val="22"/>
        </w:rPr>
      </w:pPr>
    </w:p>
    <w:p w14:paraId="3C80D1EF" w14:textId="10B30B72" w:rsidR="00A876F3" w:rsidRPr="0088780C" w:rsidRDefault="00A876F3" w:rsidP="001013AF">
      <w:pPr>
        <w:suppressLineNumbers/>
        <w:suppressAutoHyphens/>
        <w:kinsoku w:val="0"/>
        <w:overflowPunct w:val="0"/>
        <w:autoSpaceDE w:val="0"/>
        <w:autoSpaceDN w:val="0"/>
        <w:spacing w:after="60"/>
        <w:rPr>
          <w:rFonts w:eastAsia="MS Mincho"/>
          <w:b/>
          <w:snapToGrid w:val="0"/>
          <w:color w:val="000000" w:themeColor="text1"/>
          <w:kern w:val="22"/>
          <w:szCs w:val="22"/>
        </w:rPr>
      </w:pPr>
      <w:r w:rsidRPr="0088780C">
        <w:rPr>
          <w:rFonts w:eastAsia="MS Mincho"/>
          <w:b/>
          <w:snapToGrid w:val="0"/>
          <w:color w:val="000000" w:themeColor="text1"/>
          <w:kern w:val="22"/>
          <w:szCs w:val="22"/>
        </w:rPr>
        <w:t>References</w:t>
      </w:r>
    </w:p>
    <w:p w14:paraId="350293C5" w14:textId="3FCADFCB"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u w:val="single"/>
          <w:lang w:val="en-GB"/>
        </w:rPr>
      </w:pPr>
      <w:r w:rsidRPr="0088780C">
        <w:rPr>
          <w:rFonts w:eastAsia="MS Mincho"/>
          <w:snapToGrid w:val="0"/>
          <w:color w:val="000000" w:themeColor="text1"/>
          <w:kern w:val="22"/>
          <w:sz w:val="22"/>
          <w:szCs w:val="22"/>
          <w:lang w:val="en-GB" w:eastAsia="en-US"/>
        </w:rPr>
        <w:t xml:space="preserve">Aleksandrov B.G., Boltacheva N.A., Bushuyiv S.G., Kolesnikova E.A. , Litvinenko N.M., Milchakova N.A., Minicheva G.G., Synegub I.O., Terentyev A.S. (2009a) The Small Phyllophora Field in KarkinitskyBay, Black Sea, Ukraine Background Information for the Establishment of a Marine Protected Area. Part 1 – desk study. </w:t>
      </w:r>
      <w:r w:rsidRPr="0088780C">
        <w:rPr>
          <w:snapToGrid w:val="0"/>
          <w:kern w:val="22"/>
          <w:sz w:val="22"/>
          <w:szCs w:val="22"/>
          <w:lang w:val="en-GB"/>
        </w:rPr>
        <w:t>English version, January 2009. (</w:t>
      </w:r>
      <w:r w:rsidRPr="0088780C">
        <w:rPr>
          <w:rFonts w:eastAsia="MS Mincho"/>
          <w:snapToGrid w:val="0"/>
          <w:kern w:val="22"/>
          <w:sz w:val="22"/>
          <w:szCs w:val="22"/>
          <w:lang w:val="en-GB" w:eastAsia="en-US"/>
        </w:rPr>
        <w:t>Ed. by Paul Goriup). Environmental collaboration for the Black Sea: Georgia, Moldova, Russia</w:t>
      </w:r>
      <w:r w:rsidR="00AF4230" w:rsidRPr="0088780C">
        <w:rPr>
          <w:rFonts w:eastAsia="MS Mincho"/>
          <w:snapToGrid w:val="0"/>
          <w:kern w:val="22"/>
          <w:sz w:val="22"/>
          <w:szCs w:val="22"/>
          <w:lang w:val="en-GB" w:eastAsia="en-US"/>
        </w:rPr>
        <w:t>n Federation</w:t>
      </w:r>
      <w:r w:rsidRPr="0088780C">
        <w:rPr>
          <w:rFonts w:eastAsia="MS Mincho"/>
          <w:snapToGrid w:val="0"/>
          <w:kern w:val="22"/>
          <w:sz w:val="22"/>
          <w:szCs w:val="22"/>
          <w:lang w:val="en-GB" w:eastAsia="en-US"/>
        </w:rPr>
        <w:t xml:space="preserve"> and Ukraine, EuropeAid/120117/C/SV/Multi; Contract № 111779. J</w:t>
      </w:r>
      <w:r w:rsidR="00AF4230" w:rsidRPr="0088780C">
        <w:rPr>
          <w:rFonts w:eastAsia="MS Mincho"/>
          <w:snapToGrid w:val="0"/>
          <w:kern w:val="22"/>
          <w:sz w:val="22"/>
          <w:szCs w:val="22"/>
          <w:lang w:val="en-GB" w:eastAsia="en-US"/>
        </w:rPr>
        <w:t>a</w:t>
      </w:r>
      <w:r w:rsidRPr="0088780C">
        <w:rPr>
          <w:rFonts w:eastAsia="MS Mincho"/>
          <w:snapToGrid w:val="0"/>
          <w:kern w:val="22"/>
          <w:sz w:val="22"/>
          <w:szCs w:val="22"/>
          <w:lang w:val="en-GB" w:eastAsia="en-US"/>
        </w:rPr>
        <w:t>nuary 2009. 31 pp.</w:t>
      </w:r>
    </w:p>
    <w:p w14:paraId="3EEBAD28" w14:textId="64F83E3E"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 xml:space="preserve">Belyayev, B. N. (1993) Illumination of the water column in the </w:t>
      </w:r>
      <w:r w:rsidR="00C656A2" w:rsidRPr="0088780C">
        <w:rPr>
          <w:snapToGrid w:val="0"/>
          <w:kern w:val="22"/>
          <w:sz w:val="22"/>
          <w:szCs w:val="22"/>
          <w:lang w:val="en-GB"/>
        </w:rPr>
        <w:t>north-west</w:t>
      </w:r>
      <w:r w:rsidRPr="0088780C">
        <w:rPr>
          <w:snapToGrid w:val="0"/>
          <w:kern w:val="22"/>
          <w:sz w:val="22"/>
          <w:szCs w:val="22"/>
          <w:lang w:val="en-GB"/>
        </w:rPr>
        <w:t>ern Black Sea shelf in areas of Karkinitsky Bay and Zernov’s Phyllophora Field. Ekologiya moray: 43, 75-90 (in Russian)</w:t>
      </w:r>
    </w:p>
    <w:p w14:paraId="725EA108" w14:textId="49A796B4"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Boltachev, A. R. and Milchakova, N. A. (2004) On reasons for possible consequences of outbreaks of rich green algae Cladophora sericea on the south</w:t>
      </w:r>
      <w:r w:rsidR="00D65B3C" w:rsidRPr="0088780C">
        <w:rPr>
          <w:snapToGrid w:val="0"/>
          <w:kern w:val="22"/>
          <w:sz w:val="22"/>
          <w:szCs w:val="22"/>
          <w:lang w:val="en-GB"/>
        </w:rPr>
        <w:t>-</w:t>
      </w:r>
      <w:r w:rsidRPr="0088780C">
        <w:rPr>
          <w:snapToGrid w:val="0"/>
          <w:kern w:val="22"/>
          <w:sz w:val="22"/>
          <w:szCs w:val="22"/>
          <w:lang w:val="en-GB"/>
        </w:rPr>
        <w:t>western shelf of Crimea in the spring 2004. Rybnoye Khozaistvo Ukrainy, 5: 4 –7 (in Russian).</w:t>
      </w:r>
    </w:p>
    <w:p w14:paraId="3354B761" w14:textId="77777777" w:rsidR="00A876F3" w:rsidRPr="0088780C" w:rsidRDefault="00A876F3" w:rsidP="001013AF">
      <w:pPr>
        <w:pStyle w:val="Bodytext21"/>
        <w:suppressLineNumbers/>
        <w:shd w:val="clear" w:color="auto" w:fill="auto"/>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color w:val="000000" w:themeColor="text1"/>
          <w:kern w:val="22"/>
          <w:sz w:val="22"/>
          <w:szCs w:val="22"/>
          <w:lang w:val="en-GB"/>
        </w:rPr>
        <w:t xml:space="preserve">Chernichko I.I, Siohin V. D, Koshelev A.I, Dyadicheva E. A, Kirikova. 2000. Number and location of nesting waterbirds and wetlands of the Azov-Black Sea coast of Ukraine. Melitopol-Kiev: Branta: 339-372 </w:t>
      </w:r>
      <w:r w:rsidRPr="0088780C">
        <w:rPr>
          <w:snapToGrid w:val="0"/>
          <w:kern w:val="22"/>
          <w:sz w:val="22"/>
          <w:szCs w:val="22"/>
          <w:lang w:val="en-GB"/>
        </w:rPr>
        <w:t>(in Russian).</w:t>
      </w:r>
    </w:p>
    <w:p w14:paraId="540BC74C" w14:textId="2278C603" w:rsidR="00A876F3" w:rsidRPr="0088780C" w:rsidRDefault="00A876F3" w:rsidP="001013AF">
      <w:pPr>
        <w:suppressLineNumbers/>
        <w:suppressAutoHyphens/>
        <w:kinsoku w:val="0"/>
        <w:overflowPunct w:val="0"/>
        <w:autoSpaceDE w:val="0"/>
        <w:autoSpaceDN w:val="0"/>
        <w:spacing w:after="60"/>
        <w:ind w:left="720" w:hanging="720"/>
        <w:rPr>
          <w:rFonts w:eastAsia="Calibri"/>
          <w:snapToGrid w:val="0"/>
          <w:kern w:val="22"/>
          <w:szCs w:val="22"/>
        </w:rPr>
      </w:pPr>
      <w:r w:rsidRPr="0088780C">
        <w:rPr>
          <w:rFonts w:eastAsia="Calibri"/>
          <w:snapToGrid w:val="0"/>
          <w:kern w:val="22"/>
          <w:szCs w:val="22"/>
        </w:rPr>
        <w:t xml:space="preserve">Vinogradov, K.A. Ed. 1967. Biology of the </w:t>
      </w:r>
      <w:r w:rsidR="00C656A2" w:rsidRPr="0088780C">
        <w:rPr>
          <w:rFonts w:eastAsia="Calibri"/>
          <w:snapToGrid w:val="0"/>
          <w:kern w:val="22"/>
          <w:szCs w:val="22"/>
        </w:rPr>
        <w:t>north-west</w:t>
      </w:r>
      <w:r w:rsidRPr="0088780C">
        <w:rPr>
          <w:rFonts w:eastAsia="Calibri"/>
          <w:snapToGrid w:val="0"/>
          <w:kern w:val="22"/>
          <w:szCs w:val="22"/>
        </w:rPr>
        <w:t>ern part of the Black Sea /.- Kiev: Naukova dumka Publ.- 268pp. (in Russian).</w:t>
      </w:r>
    </w:p>
    <w:p w14:paraId="62E99E40" w14:textId="0E5133BD" w:rsidR="00A876F3" w:rsidRPr="0088780C" w:rsidRDefault="00A876F3" w:rsidP="001013AF">
      <w:pPr>
        <w:pStyle w:val="Bodytext21"/>
        <w:suppressLineNumbers/>
        <w:shd w:val="clear" w:color="auto" w:fill="auto"/>
        <w:suppressAutoHyphens/>
        <w:kinsoku w:val="0"/>
        <w:overflowPunct w:val="0"/>
        <w:autoSpaceDE w:val="0"/>
        <w:autoSpaceDN w:val="0"/>
        <w:spacing w:after="60" w:line="240" w:lineRule="auto"/>
        <w:ind w:left="720"/>
        <w:rPr>
          <w:rStyle w:val="Hyperlink"/>
          <w:snapToGrid w:val="0"/>
          <w:color w:val="auto"/>
          <w:kern w:val="22"/>
          <w:sz w:val="22"/>
          <w:szCs w:val="22"/>
          <w:shd w:val="clear" w:color="auto" w:fill="FFFFFF"/>
          <w:lang w:val="en-GB" w:eastAsia="en-CA"/>
        </w:rPr>
      </w:pPr>
      <w:r w:rsidRPr="0088780C">
        <w:rPr>
          <w:snapToGrid w:val="0"/>
          <w:kern w:val="22"/>
          <w:sz w:val="22"/>
          <w:szCs w:val="22"/>
          <w:shd w:val="clear" w:color="auto" w:fill="FFFFFF"/>
          <w:lang w:val="en-GB"/>
        </w:rPr>
        <w:t>Birkun Jr., A.A. 2008.</w:t>
      </w:r>
      <w:r w:rsidR="00EA1902" w:rsidRPr="0088780C">
        <w:rPr>
          <w:rStyle w:val="apple-converted-space"/>
          <w:snapToGrid w:val="0"/>
          <w:kern w:val="22"/>
          <w:sz w:val="22"/>
          <w:szCs w:val="22"/>
          <w:shd w:val="clear" w:color="auto" w:fill="FFFFFF"/>
          <w:lang w:val="en-GB"/>
        </w:rPr>
        <w:t xml:space="preserve"> </w:t>
      </w:r>
      <w:r w:rsidRPr="0088780C">
        <w:rPr>
          <w:i/>
          <w:iCs/>
          <w:snapToGrid w:val="0"/>
          <w:kern w:val="22"/>
          <w:sz w:val="22"/>
          <w:szCs w:val="22"/>
          <w:shd w:val="clear" w:color="auto" w:fill="FFFFFF"/>
          <w:lang w:val="en-GB"/>
        </w:rPr>
        <w:t>Delphinus delphis ssp. ponticus</w:t>
      </w:r>
      <w:r w:rsidRPr="0088780C">
        <w:rPr>
          <w:snapToGrid w:val="0"/>
          <w:kern w:val="22"/>
          <w:sz w:val="22"/>
          <w:szCs w:val="22"/>
          <w:shd w:val="clear" w:color="auto" w:fill="FFFFFF"/>
          <w:lang w:val="en-GB"/>
        </w:rPr>
        <w:t>. The IUCN Red List of Threatened Species. e.T133729A3875256.</w:t>
      </w:r>
      <w:r w:rsidRPr="0088780C">
        <w:rPr>
          <w:rStyle w:val="apple-converted-space"/>
          <w:snapToGrid w:val="0"/>
          <w:kern w:val="22"/>
          <w:sz w:val="22"/>
          <w:szCs w:val="22"/>
          <w:shd w:val="clear" w:color="auto" w:fill="FFFFFF"/>
          <w:lang w:val="en-GB"/>
        </w:rPr>
        <w:t> </w:t>
      </w:r>
      <w:r w:rsidRPr="0088780C">
        <w:rPr>
          <w:snapToGrid w:val="0"/>
          <w:kern w:val="22"/>
          <w:sz w:val="22"/>
          <w:szCs w:val="22"/>
          <w:shd w:val="clear" w:color="auto" w:fill="FFFFFF"/>
          <w:lang w:val="en-GB"/>
        </w:rPr>
        <w:t>http://dx.doi.org/10.2305/IUCN.UK.2008.RLTS.T133729A3875256.en</w:t>
      </w:r>
    </w:p>
    <w:p w14:paraId="3768EFD1" w14:textId="77777777" w:rsidR="00A876F3" w:rsidRPr="0088780C" w:rsidRDefault="00A876F3" w:rsidP="001013AF">
      <w:pPr>
        <w:pStyle w:val="Bodytext21"/>
        <w:suppressLineNumbers/>
        <w:shd w:val="clear" w:color="auto" w:fill="auto"/>
        <w:suppressAutoHyphens/>
        <w:kinsoku w:val="0"/>
        <w:overflowPunct w:val="0"/>
        <w:autoSpaceDE w:val="0"/>
        <w:autoSpaceDN w:val="0"/>
        <w:spacing w:after="60" w:line="240" w:lineRule="auto"/>
        <w:ind w:left="720"/>
        <w:rPr>
          <w:snapToGrid w:val="0"/>
          <w:kern w:val="22"/>
          <w:sz w:val="22"/>
          <w:szCs w:val="22"/>
          <w:shd w:val="clear" w:color="auto" w:fill="FFFFFF"/>
          <w:lang w:val="en-GB"/>
        </w:rPr>
      </w:pPr>
      <w:r w:rsidRPr="0088780C">
        <w:rPr>
          <w:snapToGrid w:val="0"/>
          <w:kern w:val="22"/>
          <w:sz w:val="22"/>
          <w:szCs w:val="22"/>
          <w:shd w:val="clear" w:color="auto" w:fill="FFFFFF"/>
          <w:lang w:val="en-GB"/>
        </w:rPr>
        <w:t>Birkun, A. 2012. </w:t>
      </w:r>
      <w:r w:rsidRPr="0088780C">
        <w:rPr>
          <w:i/>
          <w:iCs/>
          <w:snapToGrid w:val="0"/>
          <w:kern w:val="22"/>
          <w:sz w:val="22"/>
          <w:szCs w:val="22"/>
          <w:shd w:val="clear" w:color="auto" w:fill="FFFFFF"/>
          <w:lang w:val="en-GB"/>
        </w:rPr>
        <w:t>Tursiops truncatus ssp. ponticus</w:t>
      </w:r>
      <w:r w:rsidRPr="0088780C">
        <w:rPr>
          <w:snapToGrid w:val="0"/>
          <w:kern w:val="22"/>
          <w:sz w:val="22"/>
          <w:szCs w:val="22"/>
          <w:shd w:val="clear" w:color="auto" w:fill="FFFFFF"/>
          <w:lang w:val="en-GB"/>
        </w:rPr>
        <w:t xml:space="preserve">. The IUCN Red List of Threatened Species. </w:t>
      </w:r>
      <w:hyperlink r:id="rId142" w:history="1">
        <w:r w:rsidRPr="0088780C">
          <w:rPr>
            <w:snapToGrid w:val="0"/>
            <w:kern w:val="22"/>
            <w:sz w:val="22"/>
            <w:szCs w:val="22"/>
            <w:shd w:val="clear" w:color="auto" w:fill="FFFFFF"/>
            <w:lang w:val="en-GB"/>
          </w:rPr>
          <w:t>http://dx.doi.org/10.2305/IUCN.UK.2012.RLTS.T133714A17771698.en</w:t>
        </w:r>
      </w:hyperlink>
      <w:r w:rsidRPr="0088780C">
        <w:rPr>
          <w:snapToGrid w:val="0"/>
          <w:kern w:val="22"/>
          <w:sz w:val="22"/>
          <w:szCs w:val="22"/>
          <w:shd w:val="clear" w:color="auto" w:fill="FFFFFF"/>
          <w:lang w:val="en-GB"/>
        </w:rPr>
        <w:t>.</w:t>
      </w:r>
    </w:p>
    <w:p w14:paraId="4FC4F459" w14:textId="77777777" w:rsidR="00A876F3" w:rsidRPr="0088780C" w:rsidRDefault="00A876F3" w:rsidP="001013AF">
      <w:pPr>
        <w:pStyle w:val="Bodytext21"/>
        <w:suppressLineNumbers/>
        <w:shd w:val="clear" w:color="auto" w:fill="auto"/>
        <w:suppressAutoHyphens/>
        <w:kinsoku w:val="0"/>
        <w:overflowPunct w:val="0"/>
        <w:autoSpaceDE w:val="0"/>
        <w:autoSpaceDN w:val="0"/>
        <w:spacing w:after="60" w:line="240" w:lineRule="auto"/>
        <w:ind w:left="720"/>
        <w:rPr>
          <w:snapToGrid w:val="0"/>
          <w:kern w:val="22"/>
          <w:sz w:val="22"/>
          <w:szCs w:val="22"/>
          <w:shd w:val="clear" w:color="auto" w:fill="FFFFFF"/>
          <w:lang w:val="en-GB"/>
        </w:rPr>
      </w:pPr>
      <w:r w:rsidRPr="0088780C">
        <w:rPr>
          <w:snapToGrid w:val="0"/>
          <w:kern w:val="22"/>
          <w:sz w:val="22"/>
          <w:szCs w:val="22"/>
          <w:shd w:val="clear" w:color="auto" w:fill="FFFFFF"/>
          <w:lang w:val="en-GB"/>
        </w:rPr>
        <w:t>Birkun Jr., A.A., Frantzis, A., 2008. </w:t>
      </w:r>
      <w:r w:rsidRPr="0088780C">
        <w:rPr>
          <w:i/>
          <w:iCs/>
          <w:snapToGrid w:val="0"/>
          <w:kern w:val="22"/>
          <w:sz w:val="22"/>
          <w:szCs w:val="22"/>
          <w:shd w:val="clear" w:color="auto" w:fill="FFFFFF"/>
          <w:lang w:val="en-GB"/>
        </w:rPr>
        <w:t>Phocoena phocoena ssp. relicta</w:t>
      </w:r>
      <w:r w:rsidRPr="0088780C">
        <w:rPr>
          <w:snapToGrid w:val="0"/>
          <w:kern w:val="22"/>
          <w:sz w:val="22"/>
          <w:szCs w:val="22"/>
          <w:shd w:val="clear" w:color="auto" w:fill="FFFFFF"/>
          <w:lang w:val="en-GB"/>
        </w:rPr>
        <w:t>. The IUCN Red List of Threatened Species. </w:t>
      </w:r>
      <w:hyperlink r:id="rId143" w:history="1">
        <w:r w:rsidRPr="0088780C">
          <w:rPr>
            <w:snapToGrid w:val="0"/>
            <w:kern w:val="22"/>
            <w:sz w:val="22"/>
            <w:szCs w:val="22"/>
            <w:shd w:val="clear" w:color="auto" w:fill="FFFFFF"/>
            <w:lang w:val="en-GB"/>
          </w:rPr>
          <w:t>http://dx.doi.org/10.2305/IUCN.UK.2008.RLTS.T17030A6737111.en</w:t>
        </w:r>
      </w:hyperlink>
      <w:r w:rsidRPr="0088780C">
        <w:rPr>
          <w:snapToGrid w:val="0"/>
          <w:kern w:val="22"/>
          <w:sz w:val="22"/>
          <w:szCs w:val="22"/>
          <w:shd w:val="clear" w:color="auto" w:fill="FFFFFF"/>
          <w:lang w:val="en-GB"/>
        </w:rPr>
        <w:t>.</w:t>
      </w:r>
    </w:p>
    <w:p w14:paraId="51DEE8DA" w14:textId="77777777" w:rsidR="00A876F3" w:rsidRPr="0088780C" w:rsidRDefault="00A876F3" w:rsidP="001013AF">
      <w:pPr>
        <w:pStyle w:val="Bodytext21"/>
        <w:suppressLineNumbers/>
        <w:shd w:val="clear" w:color="auto" w:fill="auto"/>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Birkun, A Jr, Northridge S P, Willsteed E A, James F A, Kilgour C, Lander M, Fitzgerald G D. 2014. Studies for Carrying Out the Common Fisheries Policy: Adverse Fisheries Impacts on Cetacean Populations in the Black Sea. Final report to the European Commission, Brussels, 347p.</w:t>
      </w:r>
    </w:p>
    <w:p w14:paraId="6F97C9F6"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Geographical Encyclopaedia of Ukraine, vol. 2. (1990). K. Ukr. Pag. Entsyklopedia im M.P. Bazhana.479pp. (in Ukrainian).</w:t>
      </w:r>
    </w:p>
    <w:p w14:paraId="2D2BC93F"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Kalugina-Gutnik, A. A. (1975) Macrophytobenthos of the Black Sea. Kyiv: Naukova Dumka. 248 pp. (in Russian).</w:t>
      </w:r>
    </w:p>
    <w:p w14:paraId="03D43881"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Kalugina-Gutnik, A. A., Kulikova, N. M. and Lachko, O. A. (1967) Qualitative composition and quantitative  distribution of phytobenthos in Karkinitsky Bay. Bottom biocenoses and biology of Black Sea benthic organisms: 112–130. Kyiv: Naukova Dumka. (in Russian).</w:t>
      </w:r>
    </w:p>
    <w:p w14:paraId="7F884C54"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 xml:space="preserve">Kalugina-Gutnik, A.A, Evstigneeva I.K. 1993 Change in species composition and quantity-The distribution of phytobenthos in the Karkinitsky Bay during the period 1964-1986. Ekol. Seas </w:t>
      </w:r>
      <w:r w:rsidRPr="0088780C">
        <w:rPr>
          <w:b/>
          <w:snapToGrid w:val="0"/>
          <w:kern w:val="22"/>
          <w:sz w:val="22"/>
          <w:szCs w:val="22"/>
          <w:lang w:val="en-GB"/>
        </w:rPr>
        <w:t>43</w:t>
      </w:r>
      <w:r w:rsidRPr="0088780C">
        <w:rPr>
          <w:snapToGrid w:val="0"/>
          <w:kern w:val="22"/>
          <w:sz w:val="22"/>
          <w:szCs w:val="22"/>
          <w:lang w:val="en-GB"/>
        </w:rPr>
        <w:t>: 98-105. (In Russian).</w:t>
      </w:r>
    </w:p>
    <w:p w14:paraId="2AE53DCF" w14:textId="77777777" w:rsidR="00A876F3" w:rsidRPr="0088780C" w:rsidRDefault="00A876F3"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National Academy of Sciences of Ukraine, Odessa Branch of the Institute Biology of Southern Seas (2001) Report on conducting marine monitoring in Kalanchak underwater deposits and evaluation of the impact of commercial extraction of sand on the marine environment and bioresources of adjacent areas of Karkinitsky Bay. Odessa: OBIBSS. (in Russian)</w:t>
      </w:r>
    </w:p>
    <w:p w14:paraId="3780FB73" w14:textId="3469FCE5"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Nazarenko, L.F. &amp; Amonsky, L.A. 1986. The impact ofcynoptic processes and weather on bird migration in the Black Sea coastal area. Kiev-Odessa, Vischa Shkola, 183</w:t>
      </w:r>
      <w:r w:rsidR="00EA1902" w:rsidRPr="0088780C">
        <w:rPr>
          <w:snapToGrid w:val="0"/>
          <w:kern w:val="22"/>
          <w:sz w:val="22"/>
          <w:szCs w:val="22"/>
          <w:lang w:val="en-GB"/>
        </w:rPr>
        <w:t> </w:t>
      </w:r>
      <w:r w:rsidRPr="0088780C">
        <w:rPr>
          <w:snapToGrid w:val="0"/>
          <w:kern w:val="22"/>
          <w:sz w:val="22"/>
          <w:szCs w:val="22"/>
          <w:lang w:val="en-GB"/>
        </w:rPr>
        <w:t>p</w:t>
      </w:r>
      <w:r w:rsidR="00EA1902" w:rsidRPr="0088780C">
        <w:rPr>
          <w:snapToGrid w:val="0"/>
          <w:kern w:val="22"/>
          <w:sz w:val="22"/>
          <w:szCs w:val="22"/>
          <w:lang w:val="en-GB"/>
        </w:rPr>
        <w:t>p</w:t>
      </w:r>
      <w:r w:rsidRPr="0088780C">
        <w:rPr>
          <w:snapToGrid w:val="0"/>
          <w:kern w:val="22"/>
          <w:sz w:val="22"/>
          <w:szCs w:val="22"/>
          <w:lang w:val="en-GB"/>
        </w:rPr>
        <w:t>.</w:t>
      </w:r>
    </w:p>
    <w:p w14:paraId="6A3B4F07" w14:textId="11593EC9"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 xml:space="preserve">Pogrebnyak II, Eremenko TI, Ostrovchuk PP. 1976 The development of cystozira in the </w:t>
      </w:r>
      <w:r w:rsidR="00C656A2" w:rsidRPr="0088780C">
        <w:rPr>
          <w:snapToGrid w:val="0"/>
          <w:kern w:val="22"/>
          <w:sz w:val="22"/>
          <w:szCs w:val="22"/>
          <w:lang w:val="en-GB"/>
        </w:rPr>
        <w:t>north-west</w:t>
      </w:r>
      <w:r w:rsidRPr="0088780C">
        <w:rPr>
          <w:snapToGrid w:val="0"/>
          <w:kern w:val="22"/>
          <w:sz w:val="22"/>
          <w:szCs w:val="22"/>
          <w:lang w:val="en-GB"/>
        </w:rPr>
        <w:t xml:space="preserve">ern part of the Black Sea. III Congress of the All-Union. Hydrobiol. Society: Theses. Doc. Riga: </w:t>
      </w:r>
      <w:r w:rsidRPr="0088780C">
        <w:rPr>
          <w:b/>
          <w:snapToGrid w:val="0"/>
          <w:kern w:val="22"/>
          <w:sz w:val="22"/>
          <w:szCs w:val="22"/>
          <w:lang w:val="en-GB"/>
        </w:rPr>
        <w:t>1.</w:t>
      </w:r>
      <w:r w:rsidRPr="0088780C">
        <w:rPr>
          <w:snapToGrid w:val="0"/>
          <w:kern w:val="22"/>
          <w:sz w:val="22"/>
          <w:szCs w:val="22"/>
          <w:lang w:val="en-GB"/>
        </w:rPr>
        <w:t xml:space="preserve"> 165</w:t>
      </w:r>
      <w:r w:rsidR="00EA1902" w:rsidRPr="0088780C">
        <w:rPr>
          <w:snapToGrid w:val="0"/>
          <w:kern w:val="22"/>
          <w:sz w:val="22"/>
          <w:szCs w:val="22"/>
          <w:lang w:val="en-GB"/>
        </w:rPr>
        <w:t> </w:t>
      </w:r>
      <w:r w:rsidRPr="0088780C">
        <w:rPr>
          <w:snapToGrid w:val="0"/>
          <w:kern w:val="22"/>
          <w:sz w:val="22"/>
          <w:szCs w:val="22"/>
          <w:lang w:val="en-GB"/>
        </w:rPr>
        <w:t>pp. (In Russian).</w:t>
      </w:r>
    </w:p>
    <w:p w14:paraId="0053C119"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color w:val="000000" w:themeColor="text1"/>
          <w:kern w:val="22"/>
          <w:sz w:val="22"/>
          <w:szCs w:val="22"/>
          <w:shd w:val="clear" w:color="auto" w:fill="FFFFFF"/>
          <w:lang w:val="en-GB"/>
        </w:rPr>
      </w:pPr>
      <w:r w:rsidRPr="0088780C">
        <w:rPr>
          <w:snapToGrid w:val="0"/>
          <w:kern w:val="22"/>
          <w:sz w:val="22"/>
          <w:szCs w:val="22"/>
          <w:lang w:val="en-GB"/>
        </w:rPr>
        <w:t xml:space="preserve">Povchun A.S. Changes in the bottom communities of Karkinitsky Bay. 1992 Long-term changes in the zoobenthos of the Black Sea [Ed. Zaika V.E.]. – Kiev. </w:t>
      </w:r>
      <w:r w:rsidRPr="0088780C">
        <w:rPr>
          <w:snapToGrid w:val="0"/>
          <w:color w:val="000000" w:themeColor="text1"/>
          <w:kern w:val="22"/>
          <w:sz w:val="22"/>
          <w:szCs w:val="22"/>
          <w:shd w:val="clear" w:color="auto" w:fill="FFFFFF"/>
          <w:lang w:val="en-GB"/>
        </w:rPr>
        <w:t xml:space="preserve">Naukova Dumka: </w:t>
      </w:r>
      <w:r w:rsidRPr="0088780C">
        <w:rPr>
          <w:snapToGrid w:val="0"/>
          <w:kern w:val="22"/>
          <w:sz w:val="22"/>
          <w:szCs w:val="22"/>
          <w:lang w:val="en-GB"/>
        </w:rPr>
        <w:t>105 –137</w:t>
      </w:r>
      <w:r w:rsidRPr="0088780C">
        <w:rPr>
          <w:snapToGrid w:val="0"/>
          <w:color w:val="000000" w:themeColor="text1"/>
          <w:kern w:val="22"/>
          <w:sz w:val="22"/>
          <w:szCs w:val="22"/>
          <w:shd w:val="clear" w:color="auto" w:fill="FFFFFF"/>
          <w:lang w:val="en-GB"/>
        </w:rPr>
        <w:t xml:space="preserve">. </w:t>
      </w:r>
      <w:r w:rsidRPr="0088780C">
        <w:rPr>
          <w:snapToGrid w:val="0"/>
          <w:kern w:val="22"/>
          <w:sz w:val="22"/>
          <w:szCs w:val="22"/>
          <w:lang w:val="en-GB"/>
        </w:rPr>
        <w:t>(In Russian).</w:t>
      </w:r>
    </w:p>
    <w:p w14:paraId="282391BC"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Tarina, N. A., Kostin, N. A. and Bagrikova, N. A. (2000) Karkinitsky Bay. pp. 168–189 in: Siokhin-Brandt, V. D. (ed.) Abundance and dispersal of nesting waterfowl of wetlands of the Azov – Black Sea coast of Ukraine. Melitopol: Azov-Black Sea Ornithological Station. Kyiv. (in Russian).</w:t>
      </w:r>
    </w:p>
    <w:p w14:paraId="779A8EDE" w14:textId="1B413453" w:rsidR="00A876F3" w:rsidRPr="0088780C" w:rsidRDefault="00A876F3" w:rsidP="001013AF">
      <w:pPr>
        <w:pStyle w:val="Bodytext21"/>
        <w:suppressLineNumbers/>
        <w:shd w:val="clear" w:color="auto" w:fill="auto"/>
        <w:suppressAutoHyphens/>
        <w:kinsoku w:val="0"/>
        <w:overflowPunct w:val="0"/>
        <w:autoSpaceDE w:val="0"/>
        <w:autoSpaceDN w:val="0"/>
        <w:spacing w:after="60" w:line="240" w:lineRule="auto"/>
        <w:ind w:left="720"/>
        <w:rPr>
          <w:snapToGrid w:val="0"/>
          <w:color w:val="000000" w:themeColor="text1"/>
          <w:kern w:val="22"/>
          <w:sz w:val="22"/>
          <w:szCs w:val="22"/>
          <w:lang w:val="en-GB"/>
        </w:rPr>
      </w:pPr>
      <w:r w:rsidRPr="0088780C">
        <w:rPr>
          <w:snapToGrid w:val="0"/>
          <w:kern w:val="22"/>
          <w:sz w:val="22"/>
          <w:szCs w:val="22"/>
          <w:lang w:val="en-GB"/>
        </w:rPr>
        <w:t xml:space="preserve">UkrSces 2017. Progress report submitted to ACCOBAMS for the project </w:t>
      </w:r>
      <w:r w:rsidR="00D8482D" w:rsidRPr="0088780C">
        <w:rPr>
          <w:snapToGrid w:val="0"/>
          <w:kern w:val="22"/>
          <w:sz w:val="22"/>
          <w:szCs w:val="22"/>
          <w:lang w:val="en-GB"/>
        </w:rPr>
        <w:t>“</w:t>
      </w:r>
      <w:r w:rsidRPr="0088780C">
        <w:rPr>
          <w:bCs/>
          <w:snapToGrid w:val="0"/>
          <w:kern w:val="22"/>
          <w:sz w:val="22"/>
          <w:szCs w:val="22"/>
          <w:lang w:val="en-GB"/>
        </w:rPr>
        <w:t>Identification and initial assessment of cetacean groupings in coastal waters of the north-western Black Sea, Ukrainian sector</w:t>
      </w:r>
      <w:r w:rsidR="00D8482D" w:rsidRPr="0088780C">
        <w:rPr>
          <w:bCs/>
          <w:snapToGrid w:val="0"/>
          <w:kern w:val="22"/>
          <w:sz w:val="22"/>
          <w:szCs w:val="22"/>
          <w:lang w:val="en-GB"/>
        </w:rPr>
        <w:t>”</w:t>
      </w:r>
      <w:r w:rsidRPr="0088780C">
        <w:rPr>
          <w:bCs/>
          <w:snapToGrid w:val="0"/>
          <w:kern w:val="22"/>
          <w:sz w:val="22"/>
          <w:szCs w:val="22"/>
          <w:lang w:val="en-GB"/>
        </w:rPr>
        <w:t>.</w:t>
      </w:r>
    </w:p>
    <w:p w14:paraId="7F67E45D" w14:textId="2F811AA9"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 xml:space="preserve">Vinogradov, K. A. (1960) Ichtyofauna of the </w:t>
      </w:r>
      <w:r w:rsidR="00C656A2" w:rsidRPr="0088780C">
        <w:rPr>
          <w:snapToGrid w:val="0"/>
          <w:kern w:val="22"/>
          <w:sz w:val="22"/>
          <w:szCs w:val="22"/>
          <w:lang w:val="en-GB"/>
        </w:rPr>
        <w:t>north-west</w:t>
      </w:r>
      <w:r w:rsidRPr="0088780C">
        <w:rPr>
          <w:snapToGrid w:val="0"/>
          <w:kern w:val="22"/>
          <w:sz w:val="22"/>
          <w:szCs w:val="22"/>
          <w:lang w:val="en-GB"/>
        </w:rPr>
        <w:t>ern Black Sea. Kyiv: Akademia Nauk Ukrainskoe SSR. 116 pp. (in Russian)</w:t>
      </w:r>
    </w:p>
    <w:p w14:paraId="4A8C9BF8" w14:textId="24C17784"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Vinogradov, K. A. (ed.) (1967) Biology of the Northwestern Black Sea. Kiev: Naukova Dumka. 268 pp. (in</w:t>
      </w:r>
      <w:r w:rsidR="00BD39D6" w:rsidRPr="0088780C">
        <w:rPr>
          <w:snapToGrid w:val="0"/>
          <w:kern w:val="22"/>
          <w:sz w:val="22"/>
          <w:szCs w:val="22"/>
          <w:lang w:val="en-GB"/>
        </w:rPr>
        <w:t xml:space="preserve"> </w:t>
      </w:r>
      <w:r w:rsidRPr="0088780C">
        <w:rPr>
          <w:snapToGrid w:val="0"/>
          <w:kern w:val="22"/>
          <w:sz w:val="22"/>
          <w:szCs w:val="22"/>
          <w:lang w:val="en-GB"/>
        </w:rPr>
        <w:t>Russian) Wetlands International (2003) Directory of Azov-Black Sea coastal wetlands.Wetlands International, Kyiv. 235 pp.</w:t>
      </w:r>
    </w:p>
    <w:p w14:paraId="0F484F44"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Wetlands International (2003) Directory of Azov-Black Sea coastal wetlands. Wetlands International, Kyiv. 235 pp.</w:t>
      </w:r>
    </w:p>
    <w:p w14:paraId="10C33856" w14:textId="06DB3E34"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YugNIRO (1994) Report on the study of the state of Phyllophora stocks in eastern Karkinitsky Bay and near</w:t>
      </w:r>
      <w:r w:rsidR="00BD39D6" w:rsidRPr="0088780C">
        <w:rPr>
          <w:snapToGrid w:val="0"/>
          <w:kern w:val="22"/>
          <w:sz w:val="22"/>
          <w:szCs w:val="22"/>
          <w:lang w:val="en-GB"/>
        </w:rPr>
        <w:t xml:space="preserve"> </w:t>
      </w:r>
      <w:r w:rsidRPr="0088780C">
        <w:rPr>
          <w:snapToGrid w:val="0"/>
          <w:kern w:val="22"/>
          <w:sz w:val="22"/>
          <w:szCs w:val="22"/>
          <w:lang w:val="en-GB"/>
        </w:rPr>
        <w:t>Evpatoria and recommendations for their harvest in 1995–1996. The study of the influence of</w:t>
      </w:r>
      <w:r w:rsidR="00BD39D6" w:rsidRPr="0088780C">
        <w:rPr>
          <w:snapToGrid w:val="0"/>
          <w:kern w:val="22"/>
          <w:sz w:val="22"/>
          <w:szCs w:val="22"/>
          <w:lang w:val="en-GB"/>
        </w:rPr>
        <w:t xml:space="preserve"> </w:t>
      </w:r>
      <w:r w:rsidRPr="0088780C">
        <w:rPr>
          <w:snapToGrid w:val="0"/>
          <w:kern w:val="22"/>
          <w:sz w:val="22"/>
          <w:szCs w:val="22"/>
          <w:lang w:val="en-GB"/>
        </w:rPr>
        <w:t>Phyllophora extraction on Black Sea bottom biocoenoses. Kerch: Yugniro report. (in Russian).</w:t>
      </w:r>
    </w:p>
    <w:p w14:paraId="2C54F3BD"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color w:val="000000" w:themeColor="text1"/>
          <w:kern w:val="22"/>
          <w:sz w:val="22"/>
          <w:szCs w:val="22"/>
          <w:shd w:val="clear" w:color="auto" w:fill="FFFFFF"/>
          <w:lang w:val="en-GB"/>
        </w:rPr>
        <w:t xml:space="preserve">Zaitsev, Y.P. and B. G Alexandrov (eds.) 2006. North-western part of the Black Sea: (biology and ecology). Naukova Dumka: 351 - 356. </w:t>
      </w:r>
      <w:r w:rsidRPr="0088780C">
        <w:rPr>
          <w:snapToGrid w:val="0"/>
          <w:kern w:val="22"/>
          <w:sz w:val="22"/>
          <w:szCs w:val="22"/>
          <w:lang w:val="en-GB"/>
        </w:rPr>
        <w:t>(In Russian).</w:t>
      </w:r>
    </w:p>
    <w:p w14:paraId="521771DA" w14:textId="77777777" w:rsidR="00A876F3" w:rsidRPr="0088780C" w:rsidRDefault="00A876F3" w:rsidP="001013AF">
      <w:pPr>
        <w:pStyle w:val="Bodytext21"/>
        <w:suppressLineNumbers/>
        <w:shd w:val="clear" w:color="auto" w:fill="auto"/>
        <w:suppressAutoHyphens/>
        <w:kinsoku w:val="0"/>
        <w:overflowPunct w:val="0"/>
        <w:autoSpaceDE w:val="0"/>
        <w:autoSpaceDN w:val="0"/>
        <w:spacing w:after="60" w:line="240" w:lineRule="auto"/>
        <w:ind w:left="720"/>
        <w:rPr>
          <w:rFonts w:eastAsia="MS Mincho"/>
          <w:b/>
          <w:snapToGrid w:val="0"/>
          <w:color w:val="000000" w:themeColor="text1"/>
          <w:kern w:val="22"/>
          <w:sz w:val="22"/>
          <w:szCs w:val="22"/>
          <w:lang w:val="en-GB"/>
        </w:rPr>
      </w:pPr>
      <w:r w:rsidRPr="0088780C">
        <w:rPr>
          <w:snapToGrid w:val="0"/>
          <w:kern w:val="22"/>
          <w:sz w:val="22"/>
          <w:szCs w:val="22"/>
          <w:lang w:val="en-GB"/>
        </w:rPr>
        <w:t xml:space="preserve">Zaitsev, Yu. and Mamaev, V.O., 1997. Biological diversity in the Black Sea: A study of change and decline, Black Sea Environmental Series, United Nations Publishing, New York. Vol. </w:t>
      </w:r>
      <w:r w:rsidRPr="0088780C">
        <w:rPr>
          <w:b/>
          <w:snapToGrid w:val="0"/>
          <w:kern w:val="22"/>
          <w:sz w:val="22"/>
          <w:szCs w:val="22"/>
          <w:lang w:val="en-GB"/>
        </w:rPr>
        <w:t>3</w:t>
      </w:r>
      <w:r w:rsidRPr="0088780C">
        <w:rPr>
          <w:snapToGrid w:val="0"/>
          <w:kern w:val="22"/>
          <w:sz w:val="22"/>
          <w:szCs w:val="22"/>
          <w:lang w:val="en-GB"/>
        </w:rPr>
        <w:t>: 208.</w:t>
      </w:r>
    </w:p>
    <w:p w14:paraId="68778A04" w14:textId="23EE0F28"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 xml:space="preserve">Zolotarev, P. N., Litvinenko, N. M. and Terentyev, A. S. (1992) Assessment of the state of bottom communities. Mussel and Phyllophora stocks in the </w:t>
      </w:r>
      <w:r w:rsidR="00C656A2" w:rsidRPr="0088780C">
        <w:rPr>
          <w:snapToGrid w:val="0"/>
          <w:kern w:val="22"/>
          <w:sz w:val="22"/>
          <w:szCs w:val="22"/>
          <w:lang w:val="en-GB"/>
        </w:rPr>
        <w:t>north-west</w:t>
      </w:r>
      <w:r w:rsidRPr="0088780C">
        <w:rPr>
          <w:snapToGrid w:val="0"/>
          <w:kern w:val="22"/>
          <w:sz w:val="22"/>
          <w:szCs w:val="22"/>
          <w:lang w:val="en-GB"/>
        </w:rPr>
        <w:t>ern Black Sea. Ruk. Az Cherniro. 73pp. (in Russian)</w:t>
      </w:r>
    </w:p>
    <w:p w14:paraId="4CF6A2C7"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720"/>
        <w:rPr>
          <w:snapToGrid w:val="0"/>
          <w:kern w:val="22"/>
          <w:sz w:val="22"/>
          <w:szCs w:val="22"/>
          <w:lang w:val="en-GB"/>
        </w:rPr>
      </w:pPr>
      <w:r w:rsidRPr="0088780C">
        <w:rPr>
          <w:snapToGrid w:val="0"/>
          <w:kern w:val="22"/>
          <w:sz w:val="22"/>
          <w:szCs w:val="22"/>
          <w:lang w:val="en-GB"/>
        </w:rPr>
        <w:t>Zolotarev, P. N., Litvinenko, N. M. and Terentyev, A. S. (1995) Commercial potential and seasonal dynamics of the composition of the benthic Phyllophora biocoenosis in the eastern Karkinitsky Bay. Proceedings of Yugniro, 41: 62 – 68. (in Russian).</w:t>
      </w:r>
    </w:p>
    <w:p w14:paraId="2CCF98A4"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line="240" w:lineRule="auto"/>
        <w:ind w:left="567" w:right="-1" w:hanging="567"/>
        <w:rPr>
          <w:snapToGrid w:val="0"/>
          <w:kern w:val="22"/>
          <w:sz w:val="22"/>
          <w:szCs w:val="22"/>
          <w:lang w:val="en-GB"/>
        </w:rPr>
      </w:pPr>
    </w:p>
    <w:p w14:paraId="331F9815"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line="240" w:lineRule="auto"/>
        <w:ind w:right="-1" w:firstLine="0"/>
        <w:rPr>
          <w:snapToGrid w:val="0"/>
          <w:kern w:val="22"/>
          <w:sz w:val="22"/>
          <w:szCs w:val="22"/>
          <w:lang w:val="en-GB"/>
        </w:rPr>
      </w:pPr>
      <w:r w:rsidRPr="0088780C">
        <w:rPr>
          <w:snapToGrid w:val="0"/>
          <w:kern w:val="22"/>
          <w:sz w:val="22"/>
          <w:szCs w:val="22"/>
          <w:lang w:val="en-GB"/>
        </w:rPr>
        <w:br w:type="page"/>
      </w:r>
    </w:p>
    <w:p w14:paraId="5E1A2290"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line="240" w:lineRule="auto"/>
        <w:ind w:right="-1" w:firstLine="0"/>
        <w:rPr>
          <w:snapToGrid w:val="0"/>
          <w:kern w:val="22"/>
          <w:sz w:val="22"/>
          <w:szCs w:val="22"/>
          <w:lang w:val="en-GB"/>
        </w:rPr>
      </w:pPr>
    </w:p>
    <w:p w14:paraId="2BACCC59"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1F284A9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15E51144" wp14:editId="0FD40917">
            <wp:extent cx="5486400" cy="4572000"/>
            <wp:effectExtent l="0" t="0" r="0" b="0"/>
            <wp:docPr id="64557" name="Picture 64557" descr="C:\Users\grekin\AppData\Local\Microsoft\Windows\Temporary Internet Files\Content.Wor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grekin\AppData\Local\Microsoft\Windows\Temporary Internet Files\Content.Word\6.pn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67C2A85F" w14:textId="7EC84932"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p>
    <w:p w14:paraId="31C227B8"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07A8435"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772E87DE"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F1F4CB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546D7159" wp14:editId="05A253CE">
            <wp:extent cx="5541645" cy="3724910"/>
            <wp:effectExtent l="0" t="0" r="1905" b="889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541645" cy="3724910"/>
                    </a:xfrm>
                    <a:prstGeom prst="rect">
                      <a:avLst/>
                    </a:prstGeom>
                    <a:noFill/>
                  </pic:spPr>
                </pic:pic>
              </a:graphicData>
            </a:graphic>
          </wp:inline>
        </w:drawing>
      </w:r>
    </w:p>
    <w:p w14:paraId="7ECE80E9" w14:textId="64ACF0EF"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Figure 2</w:t>
      </w:r>
      <w:r w:rsidRPr="0088780C">
        <w:rPr>
          <w:rFonts w:eastAsia="MS Mincho"/>
          <w:b/>
          <w:bCs/>
          <w:snapToGrid w:val="0"/>
          <w:kern w:val="22"/>
          <w:szCs w:val="22"/>
        </w:rPr>
        <w:t>. Geographical location of protected areas and important biodiversity sites</w:t>
      </w:r>
      <w:r w:rsidRPr="0088780C">
        <w:rPr>
          <w:rFonts w:eastAsia="MS Mincho"/>
          <w:snapToGrid w:val="0"/>
          <w:kern w:val="22"/>
          <w:szCs w:val="22"/>
        </w:rPr>
        <w:t xml:space="preserve"> </w:t>
      </w:r>
      <w:r w:rsidRPr="0088780C">
        <w:rPr>
          <w:snapToGrid w:val="0"/>
          <w:kern w:val="22"/>
          <w:szCs w:val="22"/>
        </w:rPr>
        <w:t>(UkrSces, 2017)</w:t>
      </w:r>
    </w:p>
    <w:p w14:paraId="53345D9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AF70F8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31C2F5A"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noProof/>
          <w:snapToGrid w:val="0"/>
          <w:kern w:val="22"/>
          <w:szCs w:val="22"/>
          <w:lang w:eastAsia="zh-CN"/>
        </w:rPr>
        <w:drawing>
          <wp:inline distT="0" distB="0" distL="0" distR="0" wp14:anchorId="3F75AB9A" wp14:editId="2044FB67">
            <wp:extent cx="5493715" cy="3115529"/>
            <wp:effectExtent l="0" t="0" r="0" b="889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6" cstate="print"/>
                    <a:srcRect l="17942" t="21277" r="18780" b="14892"/>
                    <a:stretch/>
                  </pic:blipFill>
                  <pic:spPr bwMode="auto">
                    <a:xfrm>
                      <a:off x="0" y="0"/>
                      <a:ext cx="5498439" cy="3118208"/>
                    </a:xfrm>
                    <a:prstGeom prst="rect">
                      <a:avLst/>
                    </a:prstGeom>
                    <a:ln>
                      <a:noFill/>
                    </a:ln>
                    <a:extLst>
                      <a:ext uri="{53640926-AAD7-44D8-BBD7-CCE9431645EC}">
                        <a14:shadowObscured xmlns:a14="http://schemas.microsoft.com/office/drawing/2010/main"/>
                      </a:ext>
                    </a:extLst>
                  </pic:spPr>
                </pic:pic>
              </a:graphicData>
            </a:graphic>
          </wp:inline>
        </w:drawing>
      </w:r>
    </w:p>
    <w:p w14:paraId="3B5139BB"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b/>
          <w:snapToGrid w:val="0"/>
          <w:color w:val="000000" w:themeColor="text1"/>
          <w:kern w:val="22"/>
          <w:szCs w:val="22"/>
        </w:rPr>
        <w:t>Figure 3.</w:t>
      </w:r>
      <w:r w:rsidRPr="0088780C">
        <w:rPr>
          <w:b/>
          <w:bCs/>
          <w:snapToGrid w:val="0"/>
          <w:color w:val="000000" w:themeColor="text1"/>
          <w:kern w:val="22"/>
          <w:szCs w:val="22"/>
        </w:rPr>
        <w:t xml:space="preserve"> General scheme of surface currents in the Black Sea</w:t>
      </w:r>
      <w:r w:rsidRPr="0088780C">
        <w:rPr>
          <w:snapToGrid w:val="0"/>
          <w:color w:val="000000" w:themeColor="text1"/>
          <w:kern w:val="22"/>
          <w:szCs w:val="22"/>
        </w:rPr>
        <w:t xml:space="preserve"> (Neumann, 1942 cited by Zenkevich, 1963)</w:t>
      </w:r>
    </w:p>
    <w:p w14:paraId="362090F4" w14:textId="77777777"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p>
    <w:p w14:paraId="1A65A833" w14:textId="77777777"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r w:rsidRPr="0088780C">
        <w:rPr>
          <w:noProof/>
          <w:snapToGrid w:val="0"/>
          <w:kern w:val="22"/>
          <w:szCs w:val="22"/>
          <w:lang w:eastAsia="zh-CN"/>
        </w:rPr>
        <w:drawing>
          <wp:inline distT="0" distB="0" distL="0" distR="0" wp14:anchorId="116D6AB3" wp14:editId="2DA3050F">
            <wp:extent cx="3916837" cy="5681936"/>
            <wp:effectExtent l="0" t="6033" r="1588" b="1587"/>
            <wp:docPr id="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7" cstate="print"/>
                    <a:srcRect l="34379" t="5765" r="32791" b="9524"/>
                    <a:stretch/>
                  </pic:blipFill>
                  <pic:spPr bwMode="auto">
                    <a:xfrm rot="5400000">
                      <a:off x="0" y="0"/>
                      <a:ext cx="3915122" cy="5686449"/>
                    </a:xfrm>
                    <a:prstGeom prst="rect">
                      <a:avLst/>
                    </a:prstGeom>
                    <a:ln>
                      <a:noFill/>
                    </a:ln>
                    <a:extLst>
                      <a:ext uri="{53640926-AAD7-44D8-BBD7-CCE9431645EC}">
                        <a14:shadowObscured xmlns:a14="http://schemas.microsoft.com/office/drawing/2010/main"/>
                      </a:ext>
                    </a:extLst>
                  </pic:spPr>
                </pic:pic>
              </a:graphicData>
            </a:graphic>
          </wp:inline>
        </w:drawing>
      </w:r>
    </w:p>
    <w:p w14:paraId="48F271E9" w14:textId="59A3DEB5" w:rsidR="00A876F3" w:rsidRPr="0088780C" w:rsidRDefault="00A876F3" w:rsidP="001013AF">
      <w:pPr>
        <w:pStyle w:val="CommentText"/>
        <w:suppressLineNumbers/>
        <w:suppressAutoHyphens/>
        <w:kinsoku w:val="0"/>
        <w:overflowPunct w:val="0"/>
        <w:autoSpaceDE w:val="0"/>
        <w:autoSpaceDN w:val="0"/>
        <w:rPr>
          <w:snapToGrid w:val="0"/>
          <w:kern w:val="22"/>
          <w:szCs w:val="22"/>
        </w:rPr>
      </w:pPr>
      <w:r w:rsidRPr="0088780C">
        <w:rPr>
          <w:b/>
          <w:snapToGrid w:val="0"/>
          <w:color w:val="000000" w:themeColor="text1"/>
          <w:kern w:val="22"/>
          <w:szCs w:val="22"/>
        </w:rPr>
        <w:t>Figure 4.</w:t>
      </w:r>
      <w:r w:rsidRPr="0088780C">
        <w:rPr>
          <w:b/>
          <w:bCs/>
          <w:snapToGrid w:val="0"/>
          <w:color w:val="000000" w:themeColor="text1"/>
          <w:kern w:val="22"/>
          <w:szCs w:val="22"/>
        </w:rPr>
        <w:t xml:space="preserve"> </w:t>
      </w:r>
      <w:r w:rsidRPr="0088780C">
        <w:rPr>
          <w:b/>
          <w:bCs/>
          <w:snapToGrid w:val="0"/>
          <w:kern w:val="22"/>
          <w:szCs w:val="22"/>
        </w:rPr>
        <w:t xml:space="preserve">Projective coverage (%) of the bottom by the biocenosis of </w:t>
      </w:r>
      <w:r w:rsidRPr="0088780C">
        <w:rPr>
          <w:b/>
          <w:bCs/>
          <w:i/>
          <w:snapToGrid w:val="0"/>
          <w:kern w:val="22"/>
          <w:szCs w:val="22"/>
        </w:rPr>
        <w:t>Phyllophora crispa</w:t>
      </w:r>
      <w:r w:rsidRPr="0088780C">
        <w:rPr>
          <w:b/>
          <w:bCs/>
          <w:snapToGrid w:val="0"/>
          <w:kern w:val="22"/>
          <w:szCs w:val="22"/>
        </w:rPr>
        <w:t xml:space="preserve"> in Karkinitsky Bay</w:t>
      </w:r>
      <w:r w:rsidRPr="0088780C">
        <w:rPr>
          <w:snapToGrid w:val="0"/>
          <w:kern w:val="22"/>
          <w:szCs w:val="22"/>
        </w:rPr>
        <w:t xml:space="preserve"> </w:t>
      </w:r>
      <w:r w:rsidRPr="0088780C">
        <w:rPr>
          <w:rFonts w:eastAsia="MS Mincho"/>
          <w:snapToGrid w:val="0"/>
          <w:color w:val="000000" w:themeColor="text1"/>
          <w:kern w:val="22"/>
          <w:szCs w:val="22"/>
        </w:rPr>
        <w:t xml:space="preserve">(Aleksandrov et al, 2009 b; </w:t>
      </w:r>
      <w:r w:rsidRPr="0088780C">
        <w:rPr>
          <w:snapToGrid w:val="0"/>
          <w:kern w:val="22"/>
          <w:szCs w:val="22"/>
        </w:rPr>
        <w:t>UkrSces 2017</w:t>
      </w:r>
      <w:r w:rsidRPr="0088780C">
        <w:rPr>
          <w:rFonts w:eastAsia="MS Mincho"/>
          <w:snapToGrid w:val="0"/>
          <w:color w:val="000000" w:themeColor="text1"/>
          <w:kern w:val="22"/>
          <w:szCs w:val="22"/>
        </w:rPr>
        <w:t>)</w:t>
      </w:r>
    </w:p>
    <w:p w14:paraId="1808D921"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267E8688" w14:textId="77777777"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6205D47B" wp14:editId="14B57031">
            <wp:extent cx="3547872" cy="2999030"/>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8" cstate="print"/>
                    <a:srcRect l="27273" t="22128" r="29426" b="12764"/>
                    <a:stretch/>
                  </pic:blipFill>
                  <pic:spPr bwMode="auto">
                    <a:xfrm>
                      <a:off x="0" y="0"/>
                      <a:ext cx="3550923" cy="3001609"/>
                    </a:xfrm>
                    <a:prstGeom prst="rect">
                      <a:avLst/>
                    </a:prstGeom>
                    <a:ln>
                      <a:noFill/>
                    </a:ln>
                    <a:extLst>
                      <a:ext uri="{53640926-AAD7-44D8-BBD7-CCE9431645EC}">
                        <a14:shadowObscured xmlns:a14="http://schemas.microsoft.com/office/drawing/2010/main"/>
                      </a:ext>
                    </a:extLst>
                  </pic:spPr>
                </pic:pic>
              </a:graphicData>
            </a:graphic>
          </wp:inline>
        </w:drawing>
      </w:r>
    </w:p>
    <w:p w14:paraId="7D660891" w14:textId="067848C0" w:rsidR="00A876F3" w:rsidRPr="0088780C" w:rsidRDefault="00A876F3" w:rsidP="009E3B7A">
      <w:pPr>
        <w:suppressLineNumbers/>
        <w:suppressAutoHyphens/>
        <w:kinsoku w:val="0"/>
        <w:overflowPunct w:val="0"/>
        <w:autoSpaceDE w:val="0"/>
        <w:autoSpaceDN w:val="0"/>
        <w:rPr>
          <w:rFonts w:eastAsia="MS Mincho"/>
          <w:snapToGrid w:val="0"/>
          <w:color w:val="000000" w:themeColor="text1"/>
          <w:kern w:val="22"/>
          <w:szCs w:val="22"/>
        </w:rPr>
      </w:pPr>
      <w:r w:rsidRPr="0088780C">
        <w:rPr>
          <w:b/>
          <w:snapToGrid w:val="0"/>
          <w:color w:val="000000" w:themeColor="text1"/>
          <w:kern w:val="22"/>
          <w:szCs w:val="22"/>
        </w:rPr>
        <w:t>Figure 5.</w:t>
      </w:r>
      <w:r w:rsidRPr="0088780C">
        <w:rPr>
          <w:b/>
          <w:bCs/>
          <w:snapToGrid w:val="0"/>
          <w:color w:val="000000" w:themeColor="text1"/>
          <w:kern w:val="22"/>
          <w:szCs w:val="22"/>
        </w:rPr>
        <w:t xml:space="preserve"> Schematic distribution of dominant benthic macrophytes in Karkinitsky Bay (mid-1950s): 1 – Сystoseira barbata attached form; 2 – </w:t>
      </w:r>
      <w:r w:rsidRPr="0088780C">
        <w:rPr>
          <w:b/>
          <w:bCs/>
          <w:i/>
          <w:snapToGrid w:val="0"/>
          <w:color w:val="000000" w:themeColor="text1"/>
          <w:kern w:val="22"/>
          <w:szCs w:val="22"/>
        </w:rPr>
        <w:t>С. barbata non-attached form</w:t>
      </w:r>
      <w:r w:rsidRPr="0088780C">
        <w:rPr>
          <w:b/>
          <w:bCs/>
          <w:snapToGrid w:val="0"/>
          <w:color w:val="000000" w:themeColor="text1"/>
          <w:kern w:val="22"/>
          <w:szCs w:val="22"/>
        </w:rPr>
        <w:t xml:space="preserve">; 3 – </w:t>
      </w:r>
      <w:r w:rsidRPr="0088780C">
        <w:rPr>
          <w:b/>
          <w:bCs/>
          <w:i/>
          <w:snapToGrid w:val="0"/>
          <w:color w:val="000000" w:themeColor="text1"/>
          <w:kern w:val="22"/>
          <w:szCs w:val="22"/>
        </w:rPr>
        <w:t xml:space="preserve">Phyllophora crispa large laminated </w:t>
      </w:r>
      <w:r w:rsidRPr="0088780C">
        <w:rPr>
          <w:b/>
          <w:bCs/>
          <w:snapToGrid w:val="0"/>
          <w:color w:val="000000" w:themeColor="text1"/>
          <w:kern w:val="22"/>
          <w:szCs w:val="22"/>
        </w:rPr>
        <w:t xml:space="preserve">form, 4 – </w:t>
      </w:r>
      <w:r w:rsidRPr="0088780C">
        <w:rPr>
          <w:b/>
          <w:bCs/>
          <w:i/>
          <w:snapToGrid w:val="0"/>
          <w:color w:val="000000" w:themeColor="text1"/>
          <w:kern w:val="22"/>
          <w:szCs w:val="22"/>
        </w:rPr>
        <w:t>P. crispa ball shaped</w:t>
      </w:r>
      <w:r w:rsidRPr="0088780C">
        <w:rPr>
          <w:b/>
          <w:bCs/>
          <w:snapToGrid w:val="0"/>
          <w:color w:val="000000" w:themeColor="text1"/>
          <w:kern w:val="22"/>
          <w:szCs w:val="22"/>
        </w:rPr>
        <w:t xml:space="preserve">; 5 – </w:t>
      </w:r>
      <w:r w:rsidRPr="0088780C">
        <w:rPr>
          <w:b/>
          <w:bCs/>
          <w:i/>
          <w:snapToGrid w:val="0"/>
          <w:color w:val="000000" w:themeColor="text1"/>
          <w:kern w:val="22"/>
          <w:szCs w:val="22"/>
        </w:rPr>
        <w:t>P. crispa bushy</w:t>
      </w:r>
      <w:r w:rsidRPr="0088780C">
        <w:rPr>
          <w:b/>
          <w:bCs/>
          <w:snapToGrid w:val="0"/>
          <w:color w:val="000000" w:themeColor="text1"/>
          <w:kern w:val="22"/>
          <w:szCs w:val="22"/>
        </w:rPr>
        <w:t xml:space="preserve"> form; 6 – </w:t>
      </w:r>
      <w:r w:rsidRPr="0088780C">
        <w:rPr>
          <w:b/>
          <w:bCs/>
          <w:i/>
          <w:snapToGrid w:val="0"/>
          <w:color w:val="000000" w:themeColor="text1"/>
          <w:kern w:val="22"/>
          <w:szCs w:val="22"/>
        </w:rPr>
        <w:t>Polysiphonia elongata</w:t>
      </w:r>
      <w:r w:rsidRPr="0088780C">
        <w:rPr>
          <w:b/>
          <w:bCs/>
          <w:snapToGrid w:val="0"/>
          <w:color w:val="000000" w:themeColor="text1"/>
          <w:kern w:val="22"/>
          <w:szCs w:val="22"/>
        </w:rPr>
        <w:t xml:space="preserve">; 7 – </w:t>
      </w:r>
      <w:r w:rsidRPr="0088780C">
        <w:rPr>
          <w:b/>
          <w:bCs/>
          <w:i/>
          <w:snapToGrid w:val="0"/>
          <w:color w:val="000000" w:themeColor="text1"/>
          <w:kern w:val="22"/>
          <w:szCs w:val="22"/>
        </w:rPr>
        <w:t>Chondria tenuissima</w:t>
      </w:r>
      <w:r w:rsidRPr="0088780C">
        <w:rPr>
          <w:b/>
          <w:bCs/>
          <w:snapToGrid w:val="0"/>
          <w:color w:val="000000" w:themeColor="text1"/>
          <w:kern w:val="22"/>
          <w:szCs w:val="22"/>
        </w:rPr>
        <w:t xml:space="preserve">; 8 – </w:t>
      </w:r>
      <w:r w:rsidRPr="0088780C">
        <w:rPr>
          <w:b/>
          <w:bCs/>
          <w:i/>
          <w:snapToGrid w:val="0"/>
          <w:color w:val="000000" w:themeColor="text1"/>
          <w:kern w:val="22"/>
          <w:szCs w:val="22"/>
        </w:rPr>
        <w:t>Dasya pedicellata</w:t>
      </w:r>
      <w:r w:rsidRPr="0088780C">
        <w:rPr>
          <w:b/>
          <w:bCs/>
          <w:snapToGrid w:val="0"/>
          <w:color w:val="000000" w:themeColor="text1"/>
          <w:kern w:val="22"/>
          <w:szCs w:val="22"/>
        </w:rPr>
        <w:t xml:space="preserve">; 9 – </w:t>
      </w:r>
      <w:r w:rsidRPr="0088780C">
        <w:rPr>
          <w:b/>
          <w:bCs/>
          <w:i/>
          <w:snapToGrid w:val="0"/>
          <w:color w:val="000000" w:themeColor="text1"/>
          <w:kern w:val="22"/>
          <w:szCs w:val="22"/>
        </w:rPr>
        <w:t>Chara spp</w:t>
      </w:r>
      <w:r w:rsidRPr="0088780C">
        <w:rPr>
          <w:b/>
          <w:bCs/>
          <w:snapToGrid w:val="0"/>
          <w:color w:val="000000" w:themeColor="text1"/>
          <w:kern w:val="22"/>
          <w:szCs w:val="22"/>
        </w:rPr>
        <w:t xml:space="preserve">.; 10 – </w:t>
      </w:r>
      <w:r w:rsidRPr="0088780C">
        <w:rPr>
          <w:b/>
          <w:bCs/>
          <w:i/>
          <w:snapToGrid w:val="0"/>
          <w:color w:val="000000" w:themeColor="text1"/>
          <w:kern w:val="22"/>
          <w:szCs w:val="22"/>
        </w:rPr>
        <w:t>Zostera spp.</w:t>
      </w:r>
      <w:r w:rsidRPr="0088780C">
        <w:rPr>
          <w:b/>
          <w:bCs/>
          <w:snapToGrid w:val="0"/>
          <w:color w:val="000000" w:themeColor="text1"/>
          <w:kern w:val="22"/>
          <w:szCs w:val="22"/>
        </w:rPr>
        <w:t xml:space="preserve">; 11 – </w:t>
      </w:r>
      <w:r w:rsidRPr="0088780C">
        <w:rPr>
          <w:b/>
          <w:bCs/>
          <w:i/>
          <w:snapToGrid w:val="0"/>
          <w:color w:val="000000" w:themeColor="text1"/>
          <w:kern w:val="22"/>
          <w:szCs w:val="22"/>
        </w:rPr>
        <w:t>P. crispa attached</w:t>
      </w:r>
      <w:r w:rsidRPr="0088780C">
        <w:rPr>
          <w:b/>
          <w:bCs/>
          <w:snapToGrid w:val="0"/>
          <w:color w:val="000000" w:themeColor="text1"/>
          <w:kern w:val="22"/>
          <w:szCs w:val="22"/>
        </w:rPr>
        <w:t xml:space="preserve"> form</w:t>
      </w:r>
      <w:r w:rsidRPr="0088780C">
        <w:rPr>
          <w:snapToGrid w:val="0"/>
          <w:color w:val="000000" w:themeColor="text1"/>
          <w:kern w:val="22"/>
          <w:szCs w:val="22"/>
        </w:rPr>
        <w:t xml:space="preserve"> (Source: Kalugina-Gutnik et al. 1967)</w:t>
      </w:r>
    </w:p>
    <w:p w14:paraId="4E639D55" w14:textId="4F8BA5DF" w:rsidR="009E3B7A" w:rsidRPr="0088780C" w:rsidRDefault="009E3B7A">
      <w:pPr>
        <w:jc w:val="left"/>
        <w:rPr>
          <w:rFonts w:eastAsia="MS Mincho"/>
          <w:snapToGrid w:val="0"/>
          <w:color w:val="000000" w:themeColor="text1"/>
          <w:kern w:val="22"/>
          <w:szCs w:val="22"/>
        </w:rPr>
      </w:pPr>
      <w:r w:rsidRPr="0088780C">
        <w:rPr>
          <w:rFonts w:eastAsia="MS Mincho"/>
          <w:snapToGrid w:val="0"/>
          <w:color w:val="000000" w:themeColor="text1"/>
          <w:kern w:val="22"/>
          <w:szCs w:val="22"/>
        </w:rPr>
        <w:br w:type="page"/>
      </w:r>
    </w:p>
    <w:p w14:paraId="3B6737B9"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5E97AD0E" w14:textId="77777777" w:rsidR="00A876F3" w:rsidRPr="0088780C" w:rsidRDefault="00A876F3" w:rsidP="001013AF">
      <w:pPr>
        <w:suppressLineNumbers/>
        <w:suppressAutoHyphens/>
        <w:kinsoku w:val="0"/>
        <w:overflowPunct w:val="0"/>
        <w:autoSpaceDE w:val="0"/>
        <w:autoSpaceDN w:val="0"/>
        <w:jc w:val="center"/>
        <w:rPr>
          <w:rFonts w:eastAsia="MS Mincho"/>
          <w:snapToGrid w:val="0"/>
          <w:color w:val="000000" w:themeColor="text1"/>
          <w:kern w:val="22"/>
          <w:szCs w:val="22"/>
        </w:rPr>
      </w:pPr>
      <w:r w:rsidRPr="0088780C">
        <w:rPr>
          <w:noProof/>
          <w:snapToGrid w:val="0"/>
          <w:kern w:val="22"/>
          <w:szCs w:val="22"/>
          <w:lang w:eastAsia="zh-CN"/>
        </w:rPr>
        <w:drawing>
          <wp:inline distT="0" distB="0" distL="0" distR="0" wp14:anchorId="0F9DC4CC" wp14:editId="3293740B">
            <wp:extent cx="3811219" cy="4245592"/>
            <wp:effectExtent l="0" t="0" r="0" b="3175"/>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9" cstate="print"/>
                    <a:srcRect l="31220" t="19363" r="36245" b="16169"/>
                    <a:stretch/>
                  </pic:blipFill>
                  <pic:spPr bwMode="auto">
                    <a:xfrm>
                      <a:off x="0" y="0"/>
                      <a:ext cx="3814383" cy="4249116"/>
                    </a:xfrm>
                    <a:prstGeom prst="rect">
                      <a:avLst/>
                    </a:prstGeom>
                    <a:ln>
                      <a:noFill/>
                    </a:ln>
                    <a:extLst>
                      <a:ext uri="{53640926-AAD7-44D8-BBD7-CCE9431645EC}">
                        <a14:shadowObscured xmlns:a14="http://schemas.microsoft.com/office/drawing/2010/main"/>
                      </a:ext>
                    </a:extLst>
                  </pic:spPr>
                </pic:pic>
              </a:graphicData>
            </a:graphic>
          </wp:inline>
        </w:drawing>
      </w:r>
    </w:p>
    <w:p w14:paraId="7BD6D07E" w14:textId="699B1472" w:rsidR="00A876F3" w:rsidRPr="0088780C" w:rsidRDefault="00A876F3" w:rsidP="001013AF">
      <w:pPr>
        <w:suppressLineNumbers/>
        <w:suppressAutoHyphens/>
        <w:kinsoku w:val="0"/>
        <w:overflowPunct w:val="0"/>
        <w:autoSpaceDE w:val="0"/>
        <w:autoSpaceDN w:val="0"/>
        <w:jc w:val="left"/>
        <w:rPr>
          <w:rFonts w:eastAsia="MS Mincho"/>
          <w:snapToGrid w:val="0"/>
          <w:color w:val="000000" w:themeColor="text1"/>
          <w:kern w:val="22"/>
          <w:szCs w:val="22"/>
        </w:rPr>
      </w:pPr>
      <w:r w:rsidRPr="0088780C">
        <w:rPr>
          <w:rFonts w:eastAsia="MS Mincho"/>
          <w:b/>
          <w:snapToGrid w:val="0"/>
          <w:color w:val="000000" w:themeColor="text1"/>
          <w:kern w:val="22"/>
          <w:szCs w:val="22"/>
        </w:rPr>
        <w:t>Figure 6.</w:t>
      </w:r>
      <w:r w:rsidRPr="0088780C">
        <w:rPr>
          <w:rFonts w:eastAsia="MS Mincho"/>
          <w:b/>
          <w:bCs/>
          <w:snapToGrid w:val="0"/>
          <w:color w:val="000000" w:themeColor="text1"/>
          <w:kern w:val="22"/>
          <w:szCs w:val="22"/>
        </w:rPr>
        <w:t xml:space="preserve"> Multiyear dynamics of Phyllophora crispa stock and area in Karkinitsky Bay</w:t>
      </w:r>
      <w:r w:rsidRPr="0088780C">
        <w:rPr>
          <w:rFonts w:eastAsia="MS Mincho"/>
          <w:snapToGrid w:val="0"/>
          <w:color w:val="000000" w:themeColor="text1"/>
          <w:kern w:val="22"/>
          <w:szCs w:val="22"/>
        </w:rPr>
        <w:t xml:space="preserve"> (Aleksandrov et al, 2009 b)</w:t>
      </w:r>
      <w:r w:rsidR="00094D67" w:rsidRPr="0088780C">
        <w:rPr>
          <w:rFonts w:eastAsia="MS Mincho"/>
          <w:snapToGrid w:val="0"/>
          <w:color w:val="000000" w:themeColor="text1"/>
          <w:kern w:val="22"/>
          <w:szCs w:val="22"/>
        </w:rPr>
        <w:t>.</w:t>
      </w:r>
    </w:p>
    <w:p w14:paraId="7B096CE1"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0A395B8C" w14:textId="3C448749" w:rsidR="00A876F3" w:rsidRPr="0088780C" w:rsidRDefault="00A876F3" w:rsidP="001013AF">
      <w:pPr>
        <w:suppressLineNumbers/>
        <w:suppressAutoHyphens/>
        <w:kinsoku w:val="0"/>
        <w:overflowPunct w:val="0"/>
        <w:autoSpaceDE w:val="0"/>
        <w:autoSpaceDN w:val="0"/>
        <w:jc w:val="left"/>
        <w:rPr>
          <w:rFonts w:eastAsia="MS Mincho"/>
          <w:snapToGrid w:val="0"/>
          <w:color w:val="000000" w:themeColor="text1"/>
          <w:kern w:val="22"/>
          <w:szCs w:val="22"/>
        </w:rPr>
      </w:pPr>
      <w:r w:rsidRPr="0088780C">
        <w:rPr>
          <w:rFonts w:eastAsia="MS Mincho"/>
          <w:b/>
          <w:snapToGrid w:val="0"/>
          <w:color w:val="000000" w:themeColor="text1"/>
          <w:kern w:val="22"/>
          <w:szCs w:val="22"/>
        </w:rPr>
        <w:t>Table 1.</w:t>
      </w:r>
      <w:r w:rsidRPr="0088780C">
        <w:rPr>
          <w:rFonts w:eastAsia="MS Mincho"/>
          <w:b/>
          <w:bCs/>
          <w:snapToGrid w:val="0"/>
          <w:color w:val="000000" w:themeColor="text1"/>
          <w:kern w:val="22"/>
          <w:szCs w:val="22"/>
        </w:rPr>
        <w:t xml:space="preserve"> Main systematic groups of macrozoobenthos recorded in the SPF in August 2000</w:t>
      </w:r>
      <w:r w:rsidRPr="0088780C">
        <w:rPr>
          <w:rFonts w:eastAsia="MS Mincho"/>
          <w:snapToGrid w:val="0"/>
          <w:color w:val="000000" w:themeColor="text1"/>
          <w:kern w:val="22"/>
          <w:szCs w:val="22"/>
        </w:rPr>
        <w:t xml:space="preserve"> </w:t>
      </w:r>
      <w:r w:rsidRPr="0088780C">
        <w:rPr>
          <w:rFonts w:eastAsia="MS Mincho"/>
          <w:snapToGrid w:val="0"/>
          <w:color w:val="000000"/>
          <w:kern w:val="22"/>
          <w:szCs w:val="22"/>
        </w:rPr>
        <w:t>(Aleksandrov et al., 2009b)</w:t>
      </w:r>
    </w:p>
    <w:p w14:paraId="5579C175" w14:textId="77777777" w:rsidR="00A876F3" w:rsidRPr="0088780C" w:rsidRDefault="00A876F3" w:rsidP="001013AF">
      <w:pPr>
        <w:suppressLineNumbers/>
        <w:suppressAutoHyphens/>
        <w:kinsoku w:val="0"/>
        <w:overflowPunct w:val="0"/>
        <w:autoSpaceDE w:val="0"/>
        <w:autoSpaceDN w:val="0"/>
        <w:jc w:val="center"/>
        <w:rPr>
          <w:rFonts w:eastAsia="MS Mincho"/>
          <w:snapToGrid w:val="0"/>
          <w:color w:val="000000" w:themeColor="text1"/>
          <w:kern w:val="22"/>
          <w:szCs w:val="22"/>
        </w:rPr>
      </w:pPr>
      <w:r w:rsidRPr="0088780C">
        <w:rPr>
          <w:noProof/>
          <w:snapToGrid w:val="0"/>
          <w:kern w:val="22"/>
          <w:szCs w:val="22"/>
          <w:lang w:eastAsia="zh-CN"/>
        </w:rPr>
        <w:drawing>
          <wp:inline distT="0" distB="0" distL="0" distR="0" wp14:anchorId="5DD78ABC" wp14:editId="30F225BD">
            <wp:extent cx="5689601" cy="1463040"/>
            <wp:effectExtent l="0" t="0" r="6350" b="3810"/>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0"/>
                    <a:srcRect l="19498" t="43191" r="21890" b="29999"/>
                    <a:stretch/>
                  </pic:blipFill>
                  <pic:spPr bwMode="auto">
                    <a:xfrm>
                      <a:off x="0" y="0"/>
                      <a:ext cx="5694493" cy="1464298"/>
                    </a:xfrm>
                    <a:prstGeom prst="rect">
                      <a:avLst/>
                    </a:prstGeom>
                    <a:ln>
                      <a:noFill/>
                    </a:ln>
                    <a:extLst>
                      <a:ext uri="{53640926-AAD7-44D8-BBD7-CCE9431645EC}">
                        <a14:shadowObscured xmlns:a14="http://schemas.microsoft.com/office/drawing/2010/main"/>
                      </a:ext>
                    </a:extLst>
                  </pic:spPr>
                </pic:pic>
              </a:graphicData>
            </a:graphic>
          </wp:inline>
        </w:drawing>
      </w:r>
    </w:p>
    <w:p w14:paraId="3AFF76CD" w14:textId="77777777" w:rsidR="00A876F3" w:rsidRPr="0088780C" w:rsidRDefault="00A876F3" w:rsidP="001013AF">
      <w:pPr>
        <w:suppressLineNumbers/>
        <w:suppressAutoHyphens/>
        <w:kinsoku w:val="0"/>
        <w:overflowPunct w:val="0"/>
        <w:autoSpaceDE w:val="0"/>
        <w:autoSpaceDN w:val="0"/>
        <w:jc w:val="left"/>
        <w:rPr>
          <w:rFonts w:eastAsia="MS Mincho"/>
          <w:snapToGrid w:val="0"/>
          <w:color w:val="000000" w:themeColor="text1"/>
          <w:kern w:val="22"/>
          <w:sz w:val="16"/>
          <w:szCs w:val="16"/>
        </w:rPr>
      </w:pPr>
    </w:p>
    <w:p w14:paraId="757D7361" w14:textId="77777777" w:rsidR="00A876F3" w:rsidRPr="0088780C" w:rsidRDefault="00A876F3" w:rsidP="001013AF">
      <w:pPr>
        <w:pStyle w:val="CommentText"/>
        <w:suppressLineNumbers/>
        <w:suppressAutoHyphens/>
        <w:kinsoku w:val="0"/>
        <w:overflowPunct w:val="0"/>
        <w:autoSpaceDE w:val="0"/>
        <w:autoSpaceDN w:val="0"/>
        <w:spacing w:after="0" w:line="240" w:lineRule="auto"/>
        <w:jc w:val="left"/>
        <w:rPr>
          <w:snapToGrid w:val="0"/>
          <w:kern w:val="22"/>
          <w:szCs w:val="22"/>
        </w:rPr>
      </w:pPr>
      <w:r w:rsidRPr="0088780C">
        <w:rPr>
          <w:b/>
          <w:snapToGrid w:val="0"/>
          <w:color w:val="000000" w:themeColor="text1"/>
          <w:kern w:val="22"/>
          <w:szCs w:val="22"/>
        </w:rPr>
        <w:t>Table 2.</w:t>
      </w:r>
      <w:r w:rsidRPr="0088780C">
        <w:rPr>
          <w:b/>
          <w:bCs/>
          <w:snapToGrid w:val="0"/>
          <w:color w:val="000000" w:themeColor="text1"/>
          <w:kern w:val="22"/>
          <w:szCs w:val="22"/>
        </w:rPr>
        <w:t xml:space="preserve"> </w:t>
      </w:r>
      <w:r w:rsidRPr="0088780C">
        <w:rPr>
          <w:rFonts w:eastAsia="Calibri"/>
          <w:b/>
          <w:bCs/>
          <w:snapToGrid w:val="0"/>
          <w:kern w:val="22"/>
          <w:szCs w:val="22"/>
          <w:lang w:eastAsia="ru-RU"/>
        </w:rPr>
        <w:t>Comparative characteristic of marine species in the Black Sea (BS) and Karkinitsky Bay (KB)</w:t>
      </w:r>
      <w:r w:rsidRPr="0088780C">
        <w:rPr>
          <w:rFonts w:eastAsia="Calibri"/>
          <w:snapToGrid w:val="0"/>
          <w:kern w:val="22"/>
          <w:szCs w:val="22"/>
          <w:lang w:eastAsia="ru-RU"/>
        </w:rPr>
        <w:t xml:space="preserve"> </w:t>
      </w:r>
      <w:r w:rsidRPr="0088780C">
        <w:rPr>
          <w:snapToGrid w:val="0"/>
          <w:kern w:val="22"/>
          <w:szCs w:val="22"/>
        </w:rPr>
        <w:t xml:space="preserve">(Zaitsev, Mamaev, 1997; </w:t>
      </w:r>
      <w:r w:rsidRPr="0088780C">
        <w:rPr>
          <w:snapToGrid w:val="0"/>
          <w:color w:val="000000" w:themeColor="text1"/>
          <w:kern w:val="22"/>
          <w:szCs w:val="22"/>
        </w:rPr>
        <w:t xml:space="preserve">Kalugina-Gutnik, Evstigneeva, 1993; Vinogradov, 1960; Aleksandrov et al., 2009 </w:t>
      </w:r>
      <w:r w:rsidRPr="0088780C">
        <w:rPr>
          <w:snapToGrid w:val="0"/>
          <w:kern w:val="22"/>
          <w:szCs w:val="22"/>
        </w:rPr>
        <w:t>a).</w:t>
      </w:r>
    </w:p>
    <w:p w14:paraId="68C0596E" w14:textId="2C06C33A" w:rsidR="00A876F3" w:rsidRPr="0088780C" w:rsidRDefault="00A876F3" w:rsidP="001013AF">
      <w:pPr>
        <w:suppressLineNumbers/>
        <w:suppressAutoHyphens/>
        <w:kinsoku w:val="0"/>
        <w:overflowPunct w:val="0"/>
        <w:autoSpaceDE w:val="0"/>
        <w:autoSpaceDN w:val="0"/>
        <w:rPr>
          <w:bCs/>
          <w:iCs/>
          <w:snapToGrid w:val="0"/>
          <w:kern w:val="22"/>
          <w:sz w:val="16"/>
          <w:szCs w:val="16"/>
        </w:rPr>
      </w:pPr>
    </w:p>
    <w:tbl>
      <w:tblPr>
        <w:tblW w:w="7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74"/>
        <w:gridCol w:w="874"/>
        <w:gridCol w:w="874"/>
        <w:gridCol w:w="874"/>
        <w:gridCol w:w="874"/>
        <w:gridCol w:w="874"/>
      </w:tblGrid>
      <w:tr w:rsidR="00A876F3" w:rsidRPr="0088780C" w14:paraId="0304B683" w14:textId="77777777" w:rsidTr="006972AD">
        <w:trPr>
          <w:jc w:val="center"/>
        </w:trPr>
        <w:tc>
          <w:tcPr>
            <w:tcW w:w="1985" w:type="dxa"/>
            <w:vMerge w:val="restart"/>
          </w:tcPr>
          <w:p w14:paraId="3633C148" w14:textId="77777777" w:rsidR="00A876F3" w:rsidRPr="0088780C" w:rsidRDefault="00A876F3" w:rsidP="001013AF">
            <w:pPr>
              <w:keepLines/>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Organisms</w:t>
            </w:r>
          </w:p>
        </w:tc>
        <w:tc>
          <w:tcPr>
            <w:tcW w:w="2622" w:type="dxa"/>
            <w:gridSpan w:val="3"/>
          </w:tcPr>
          <w:p w14:paraId="7A8AA558" w14:textId="77777777" w:rsidR="00A876F3" w:rsidRPr="0088780C" w:rsidRDefault="00A876F3" w:rsidP="001013AF">
            <w:pPr>
              <w:keepLines/>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Total number</w:t>
            </w:r>
          </w:p>
        </w:tc>
        <w:tc>
          <w:tcPr>
            <w:tcW w:w="2622" w:type="dxa"/>
            <w:gridSpan w:val="3"/>
          </w:tcPr>
          <w:p w14:paraId="33F61808" w14:textId="77777777" w:rsidR="00A876F3" w:rsidRPr="0088780C" w:rsidRDefault="00A876F3" w:rsidP="001013AF">
            <w:pPr>
              <w:keepLines/>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Red Data Book</w:t>
            </w:r>
          </w:p>
        </w:tc>
      </w:tr>
      <w:tr w:rsidR="00A876F3" w:rsidRPr="0088780C" w14:paraId="0D68C121" w14:textId="77777777" w:rsidTr="006972AD">
        <w:trPr>
          <w:jc w:val="center"/>
        </w:trPr>
        <w:tc>
          <w:tcPr>
            <w:tcW w:w="1985" w:type="dxa"/>
            <w:vMerge/>
          </w:tcPr>
          <w:p w14:paraId="66DA7DA1" w14:textId="77777777" w:rsidR="00A876F3" w:rsidRPr="0088780C" w:rsidRDefault="00A876F3" w:rsidP="001013AF">
            <w:pPr>
              <w:keepLines/>
              <w:suppressLineNumbers/>
              <w:suppressAutoHyphens/>
              <w:kinsoku w:val="0"/>
              <w:overflowPunct w:val="0"/>
              <w:autoSpaceDE w:val="0"/>
              <w:autoSpaceDN w:val="0"/>
              <w:jc w:val="center"/>
              <w:rPr>
                <w:snapToGrid w:val="0"/>
                <w:kern w:val="22"/>
                <w:szCs w:val="22"/>
              </w:rPr>
            </w:pPr>
          </w:p>
        </w:tc>
        <w:tc>
          <w:tcPr>
            <w:tcW w:w="874" w:type="dxa"/>
          </w:tcPr>
          <w:p w14:paraId="6712729D" w14:textId="77777777" w:rsidR="00A876F3" w:rsidRPr="0088780C" w:rsidRDefault="00A876F3" w:rsidP="001013AF">
            <w:pPr>
              <w:keepLines/>
              <w:suppressLineNumbers/>
              <w:suppressAutoHyphens/>
              <w:kinsoku w:val="0"/>
              <w:overflowPunct w:val="0"/>
              <w:autoSpaceDE w:val="0"/>
              <w:autoSpaceDN w:val="0"/>
              <w:jc w:val="center"/>
              <w:rPr>
                <w:snapToGrid w:val="0"/>
                <w:kern w:val="22"/>
                <w:szCs w:val="22"/>
              </w:rPr>
            </w:pPr>
            <w:r w:rsidRPr="0088780C">
              <w:rPr>
                <w:snapToGrid w:val="0"/>
                <w:kern w:val="22"/>
                <w:szCs w:val="22"/>
              </w:rPr>
              <w:t>BS</w:t>
            </w:r>
          </w:p>
        </w:tc>
        <w:tc>
          <w:tcPr>
            <w:tcW w:w="874" w:type="dxa"/>
          </w:tcPr>
          <w:p w14:paraId="49C3DBCF" w14:textId="77777777" w:rsidR="00A876F3" w:rsidRPr="0088780C" w:rsidRDefault="00A876F3" w:rsidP="001013AF">
            <w:pPr>
              <w:keepLines/>
              <w:suppressLineNumbers/>
              <w:suppressAutoHyphens/>
              <w:kinsoku w:val="0"/>
              <w:overflowPunct w:val="0"/>
              <w:autoSpaceDE w:val="0"/>
              <w:autoSpaceDN w:val="0"/>
              <w:jc w:val="center"/>
              <w:rPr>
                <w:snapToGrid w:val="0"/>
                <w:kern w:val="22"/>
                <w:szCs w:val="22"/>
              </w:rPr>
            </w:pPr>
            <w:r w:rsidRPr="0088780C">
              <w:rPr>
                <w:snapToGrid w:val="0"/>
                <w:kern w:val="22"/>
                <w:szCs w:val="22"/>
              </w:rPr>
              <w:t>KB</w:t>
            </w:r>
          </w:p>
        </w:tc>
        <w:tc>
          <w:tcPr>
            <w:tcW w:w="874" w:type="dxa"/>
          </w:tcPr>
          <w:p w14:paraId="79D467D1" w14:textId="77777777" w:rsidR="00A876F3" w:rsidRPr="0088780C" w:rsidRDefault="00A876F3" w:rsidP="001013AF">
            <w:pPr>
              <w:keepLines/>
              <w:suppressLineNumbers/>
              <w:suppressAutoHyphens/>
              <w:kinsoku w:val="0"/>
              <w:overflowPunct w:val="0"/>
              <w:autoSpaceDE w:val="0"/>
              <w:autoSpaceDN w:val="0"/>
              <w:jc w:val="center"/>
              <w:rPr>
                <w:snapToGrid w:val="0"/>
                <w:kern w:val="22"/>
                <w:szCs w:val="22"/>
              </w:rPr>
            </w:pPr>
            <w:r w:rsidRPr="0088780C">
              <w:rPr>
                <w:snapToGrid w:val="0"/>
                <w:kern w:val="22"/>
                <w:szCs w:val="22"/>
              </w:rPr>
              <w:t>%</w:t>
            </w:r>
          </w:p>
        </w:tc>
        <w:tc>
          <w:tcPr>
            <w:tcW w:w="874" w:type="dxa"/>
          </w:tcPr>
          <w:p w14:paraId="649FB209" w14:textId="77777777" w:rsidR="00A876F3" w:rsidRPr="0088780C" w:rsidRDefault="00A876F3" w:rsidP="001013AF">
            <w:pPr>
              <w:keepLines/>
              <w:suppressLineNumbers/>
              <w:suppressAutoHyphens/>
              <w:kinsoku w:val="0"/>
              <w:overflowPunct w:val="0"/>
              <w:autoSpaceDE w:val="0"/>
              <w:autoSpaceDN w:val="0"/>
              <w:jc w:val="center"/>
              <w:rPr>
                <w:snapToGrid w:val="0"/>
                <w:kern w:val="22"/>
                <w:szCs w:val="22"/>
              </w:rPr>
            </w:pPr>
            <w:r w:rsidRPr="0088780C">
              <w:rPr>
                <w:snapToGrid w:val="0"/>
                <w:kern w:val="22"/>
                <w:szCs w:val="22"/>
              </w:rPr>
              <w:t>BS</w:t>
            </w:r>
          </w:p>
        </w:tc>
        <w:tc>
          <w:tcPr>
            <w:tcW w:w="874" w:type="dxa"/>
          </w:tcPr>
          <w:p w14:paraId="5D7DFFE0" w14:textId="77777777" w:rsidR="00A876F3" w:rsidRPr="0088780C" w:rsidRDefault="00A876F3" w:rsidP="001013AF">
            <w:pPr>
              <w:keepLines/>
              <w:suppressLineNumbers/>
              <w:suppressAutoHyphens/>
              <w:kinsoku w:val="0"/>
              <w:overflowPunct w:val="0"/>
              <w:autoSpaceDE w:val="0"/>
              <w:autoSpaceDN w:val="0"/>
              <w:jc w:val="center"/>
              <w:rPr>
                <w:snapToGrid w:val="0"/>
                <w:kern w:val="22"/>
                <w:szCs w:val="22"/>
              </w:rPr>
            </w:pPr>
            <w:r w:rsidRPr="0088780C">
              <w:rPr>
                <w:snapToGrid w:val="0"/>
                <w:kern w:val="22"/>
                <w:szCs w:val="22"/>
              </w:rPr>
              <w:t>KB</w:t>
            </w:r>
          </w:p>
        </w:tc>
        <w:tc>
          <w:tcPr>
            <w:tcW w:w="874" w:type="dxa"/>
          </w:tcPr>
          <w:p w14:paraId="45CE10D6" w14:textId="77777777" w:rsidR="00A876F3" w:rsidRPr="0088780C" w:rsidRDefault="00A876F3" w:rsidP="001013AF">
            <w:pPr>
              <w:keepLines/>
              <w:suppressLineNumbers/>
              <w:suppressAutoHyphens/>
              <w:kinsoku w:val="0"/>
              <w:overflowPunct w:val="0"/>
              <w:autoSpaceDE w:val="0"/>
              <w:autoSpaceDN w:val="0"/>
              <w:jc w:val="center"/>
              <w:rPr>
                <w:snapToGrid w:val="0"/>
                <w:kern w:val="22"/>
                <w:szCs w:val="22"/>
              </w:rPr>
            </w:pPr>
            <w:r w:rsidRPr="0088780C">
              <w:rPr>
                <w:snapToGrid w:val="0"/>
                <w:kern w:val="22"/>
                <w:szCs w:val="22"/>
              </w:rPr>
              <w:t>%</w:t>
            </w:r>
          </w:p>
        </w:tc>
      </w:tr>
      <w:tr w:rsidR="00A876F3" w:rsidRPr="0088780C" w14:paraId="1869A0DB" w14:textId="77777777" w:rsidTr="006972AD">
        <w:trPr>
          <w:jc w:val="center"/>
        </w:trPr>
        <w:tc>
          <w:tcPr>
            <w:tcW w:w="1985" w:type="dxa"/>
          </w:tcPr>
          <w:p w14:paraId="06C5CB3C" w14:textId="77777777" w:rsidR="00A876F3" w:rsidRPr="0088780C" w:rsidRDefault="00A876F3" w:rsidP="001013AF">
            <w:pPr>
              <w:keepLines/>
              <w:suppressLineNumbers/>
              <w:suppressAutoHyphens/>
              <w:kinsoku w:val="0"/>
              <w:overflowPunct w:val="0"/>
              <w:autoSpaceDE w:val="0"/>
              <w:autoSpaceDN w:val="0"/>
              <w:rPr>
                <w:snapToGrid w:val="0"/>
                <w:kern w:val="22"/>
                <w:szCs w:val="22"/>
              </w:rPr>
            </w:pPr>
            <w:r w:rsidRPr="0088780C">
              <w:rPr>
                <w:snapToGrid w:val="0"/>
                <w:kern w:val="22"/>
                <w:szCs w:val="22"/>
              </w:rPr>
              <w:t>Macrophytes</w:t>
            </w:r>
          </w:p>
        </w:tc>
        <w:tc>
          <w:tcPr>
            <w:tcW w:w="874" w:type="dxa"/>
          </w:tcPr>
          <w:p w14:paraId="6D1271C5"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332</w:t>
            </w:r>
          </w:p>
        </w:tc>
        <w:tc>
          <w:tcPr>
            <w:tcW w:w="874" w:type="dxa"/>
          </w:tcPr>
          <w:p w14:paraId="77A37C83"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20</w:t>
            </w:r>
          </w:p>
        </w:tc>
        <w:tc>
          <w:tcPr>
            <w:tcW w:w="874" w:type="dxa"/>
          </w:tcPr>
          <w:p w14:paraId="55ECA7CC"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6</w:t>
            </w:r>
          </w:p>
        </w:tc>
        <w:tc>
          <w:tcPr>
            <w:tcW w:w="874" w:type="dxa"/>
          </w:tcPr>
          <w:p w14:paraId="72EE20D6"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6</w:t>
            </w:r>
          </w:p>
        </w:tc>
        <w:tc>
          <w:tcPr>
            <w:tcW w:w="874" w:type="dxa"/>
          </w:tcPr>
          <w:p w14:paraId="346EA8E1"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6</w:t>
            </w:r>
          </w:p>
        </w:tc>
        <w:tc>
          <w:tcPr>
            <w:tcW w:w="874" w:type="dxa"/>
          </w:tcPr>
          <w:p w14:paraId="14519263"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100</w:t>
            </w:r>
          </w:p>
        </w:tc>
      </w:tr>
      <w:tr w:rsidR="00A876F3" w:rsidRPr="0088780C" w14:paraId="5DAE24B5" w14:textId="77777777" w:rsidTr="006972AD">
        <w:trPr>
          <w:jc w:val="center"/>
        </w:trPr>
        <w:tc>
          <w:tcPr>
            <w:tcW w:w="1985" w:type="dxa"/>
          </w:tcPr>
          <w:p w14:paraId="274CB093" w14:textId="77777777" w:rsidR="00A876F3" w:rsidRPr="0088780C" w:rsidRDefault="00A876F3" w:rsidP="001013AF">
            <w:pPr>
              <w:keepLines/>
              <w:suppressLineNumbers/>
              <w:suppressAutoHyphens/>
              <w:kinsoku w:val="0"/>
              <w:overflowPunct w:val="0"/>
              <w:autoSpaceDE w:val="0"/>
              <w:autoSpaceDN w:val="0"/>
              <w:rPr>
                <w:snapToGrid w:val="0"/>
                <w:kern w:val="22"/>
                <w:szCs w:val="22"/>
              </w:rPr>
            </w:pPr>
            <w:r w:rsidRPr="0088780C">
              <w:rPr>
                <w:snapToGrid w:val="0"/>
                <w:kern w:val="22"/>
                <w:szCs w:val="22"/>
              </w:rPr>
              <w:t>Invertebrates</w:t>
            </w:r>
          </w:p>
        </w:tc>
        <w:tc>
          <w:tcPr>
            <w:tcW w:w="874" w:type="dxa"/>
          </w:tcPr>
          <w:p w14:paraId="441EC806"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2000</w:t>
            </w:r>
          </w:p>
        </w:tc>
        <w:tc>
          <w:tcPr>
            <w:tcW w:w="874" w:type="dxa"/>
          </w:tcPr>
          <w:p w14:paraId="6BEC791A"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72</w:t>
            </w:r>
          </w:p>
        </w:tc>
        <w:tc>
          <w:tcPr>
            <w:tcW w:w="874" w:type="dxa"/>
          </w:tcPr>
          <w:p w14:paraId="69EEBC00"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4</w:t>
            </w:r>
          </w:p>
        </w:tc>
        <w:tc>
          <w:tcPr>
            <w:tcW w:w="874" w:type="dxa"/>
          </w:tcPr>
          <w:p w14:paraId="06AF3906"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45</w:t>
            </w:r>
          </w:p>
        </w:tc>
        <w:tc>
          <w:tcPr>
            <w:tcW w:w="874" w:type="dxa"/>
          </w:tcPr>
          <w:p w14:paraId="0B2B59AC"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5</w:t>
            </w:r>
          </w:p>
        </w:tc>
        <w:tc>
          <w:tcPr>
            <w:tcW w:w="874" w:type="dxa"/>
          </w:tcPr>
          <w:p w14:paraId="191BE1B2"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11</w:t>
            </w:r>
          </w:p>
        </w:tc>
      </w:tr>
      <w:tr w:rsidR="00A876F3" w:rsidRPr="0088780C" w14:paraId="6C18A775" w14:textId="77777777" w:rsidTr="006972AD">
        <w:trPr>
          <w:jc w:val="center"/>
        </w:trPr>
        <w:tc>
          <w:tcPr>
            <w:tcW w:w="1985" w:type="dxa"/>
          </w:tcPr>
          <w:p w14:paraId="7CC312AF" w14:textId="77777777" w:rsidR="00A876F3" w:rsidRPr="0088780C" w:rsidRDefault="00A876F3" w:rsidP="001013AF">
            <w:pPr>
              <w:keepLines/>
              <w:suppressLineNumbers/>
              <w:suppressAutoHyphens/>
              <w:kinsoku w:val="0"/>
              <w:overflowPunct w:val="0"/>
              <w:autoSpaceDE w:val="0"/>
              <w:autoSpaceDN w:val="0"/>
              <w:rPr>
                <w:snapToGrid w:val="0"/>
                <w:kern w:val="22"/>
                <w:szCs w:val="22"/>
              </w:rPr>
            </w:pPr>
            <w:r w:rsidRPr="0088780C">
              <w:rPr>
                <w:snapToGrid w:val="0"/>
                <w:kern w:val="22"/>
                <w:szCs w:val="22"/>
              </w:rPr>
              <w:t>Fish</w:t>
            </w:r>
          </w:p>
        </w:tc>
        <w:tc>
          <w:tcPr>
            <w:tcW w:w="874" w:type="dxa"/>
          </w:tcPr>
          <w:p w14:paraId="62B0C918"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180</w:t>
            </w:r>
          </w:p>
        </w:tc>
        <w:tc>
          <w:tcPr>
            <w:tcW w:w="874" w:type="dxa"/>
          </w:tcPr>
          <w:p w14:paraId="331F91EF"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64</w:t>
            </w:r>
          </w:p>
        </w:tc>
        <w:tc>
          <w:tcPr>
            <w:tcW w:w="874" w:type="dxa"/>
          </w:tcPr>
          <w:p w14:paraId="5D2E4D19"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36</w:t>
            </w:r>
          </w:p>
        </w:tc>
        <w:tc>
          <w:tcPr>
            <w:tcW w:w="874" w:type="dxa"/>
          </w:tcPr>
          <w:p w14:paraId="545098AA"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43</w:t>
            </w:r>
          </w:p>
        </w:tc>
        <w:tc>
          <w:tcPr>
            <w:tcW w:w="874" w:type="dxa"/>
          </w:tcPr>
          <w:p w14:paraId="32FD90C5"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8</w:t>
            </w:r>
          </w:p>
        </w:tc>
        <w:tc>
          <w:tcPr>
            <w:tcW w:w="874" w:type="dxa"/>
          </w:tcPr>
          <w:p w14:paraId="44A79555"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19</w:t>
            </w:r>
          </w:p>
        </w:tc>
      </w:tr>
      <w:tr w:rsidR="00A876F3" w:rsidRPr="0088780C" w14:paraId="7E588199" w14:textId="77777777" w:rsidTr="006972AD">
        <w:trPr>
          <w:jc w:val="center"/>
        </w:trPr>
        <w:tc>
          <w:tcPr>
            <w:tcW w:w="1985" w:type="dxa"/>
          </w:tcPr>
          <w:p w14:paraId="08DD1B95" w14:textId="1A7C5B65" w:rsidR="00A876F3" w:rsidRPr="0088780C" w:rsidRDefault="00A876F3" w:rsidP="001013AF">
            <w:pPr>
              <w:keepLines/>
              <w:suppressLineNumbers/>
              <w:suppressAutoHyphens/>
              <w:kinsoku w:val="0"/>
              <w:overflowPunct w:val="0"/>
              <w:autoSpaceDE w:val="0"/>
              <w:autoSpaceDN w:val="0"/>
              <w:jc w:val="center"/>
              <w:rPr>
                <w:b/>
                <w:snapToGrid w:val="0"/>
                <w:kern w:val="22"/>
                <w:szCs w:val="22"/>
              </w:rPr>
            </w:pPr>
            <w:r w:rsidRPr="0088780C">
              <w:rPr>
                <w:b/>
                <w:snapToGrid w:val="0"/>
                <w:kern w:val="22"/>
                <w:szCs w:val="22"/>
              </w:rPr>
              <w:t>TOTAL</w:t>
            </w:r>
          </w:p>
        </w:tc>
        <w:tc>
          <w:tcPr>
            <w:tcW w:w="874" w:type="dxa"/>
          </w:tcPr>
          <w:p w14:paraId="2577E225"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2612</w:t>
            </w:r>
          </w:p>
        </w:tc>
        <w:tc>
          <w:tcPr>
            <w:tcW w:w="874" w:type="dxa"/>
          </w:tcPr>
          <w:p w14:paraId="032B7611"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156</w:t>
            </w:r>
          </w:p>
        </w:tc>
        <w:tc>
          <w:tcPr>
            <w:tcW w:w="874" w:type="dxa"/>
          </w:tcPr>
          <w:p w14:paraId="355D2EBC" w14:textId="77777777" w:rsidR="00A876F3" w:rsidRPr="0088780C" w:rsidRDefault="00A876F3" w:rsidP="001013AF">
            <w:pPr>
              <w:keepLines/>
              <w:suppressLineNumbers/>
              <w:suppressAutoHyphens/>
              <w:kinsoku w:val="0"/>
              <w:overflowPunct w:val="0"/>
              <w:autoSpaceDE w:val="0"/>
              <w:autoSpaceDN w:val="0"/>
              <w:ind w:right="-26"/>
              <w:jc w:val="right"/>
              <w:rPr>
                <w:b/>
                <w:snapToGrid w:val="0"/>
                <w:kern w:val="22"/>
                <w:szCs w:val="22"/>
              </w:rPr>
            </w:pPr>
            <w:r w:rsidRPr="0088780C">
              <w:rPr>
                <w:b/>
                <w:snapToGrid w:val="0"/>
                <w:kern w:val="22"/>
                <w:szCs w:val="22"/>
              </w:rPr>
              <w:t>15*</w:t>
            </w:r>
          </w:p>
        </w:tc>
        <w:tc>
          <w:tcPr>
            <w:tcW w:w="874" w:type="dxa"/>
          </w:tcPr>
          <w:p w14:paraId="52D6C3DB"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94</w:t>
            </w:r>
          </w:p>
        </w:tc>
        <w:tc>
          <w:tcPr>
            <w:tcW w:w="874" w:type="dxa"/>
          </w:tcPr>
          <w:p w14:paraId="14248612" w14:textId="77777777" w:rsidR="00A876F3" w:rsidRPr="0088780C" w:rsidRDefault="00A876F3" w:rsidP="001013AF">
            <w:pPr>
              <w:keepLines/>
              <w:suppressLineNumbers/>
              <w:suppressAutoHyphens/>
              <w:kinsoku w:val="0"/>
              <w:overflowPunct w:val="0"/>
              <w:autoSpaceDE w:val="0"/>
              <w:autoSpaceDN w:val="0"/>
              <w:ind w:right="-26"/>
              <w:jc w:val="right"/>
              <w:rPr>
                <w:snapToGrid w:val="0"/>
                <w:kern w:val="22"/>
                <w:szCs w:val="22"/>
              </w:rPr>
            </w:pPr>
            <w:r w:rsidRPr="0088780C">
              <w:rPr>
                <w:snapToGrid w:val="0"/>
                <w:kern w:val="22"/>
                <w:szCs w:val="22"/>
              </w:rPr>
              <w:t>19</w:t>
            </w:r>
          </w:p>
        </w:tc>
        <w:tc>
          <w:tcPr>
            <w:tcW w:w="874" w:type="dxa"/>
          </w:tcPr>
          <w:p w14:paraId="58382E63" w14:textId="77777777" w:rsidR="00A876F3" w:rsidRPr="0088780C" w:rsidRDefault="00A876F3" w:rsidP="001013AF">
            <w:pPr>
              <w:keepLines/>
              <w:suppressLineNumbers/>
              <w:suppressAutoHyphens/>
              <w:kinsoku w:val="0"/>
              <w:overflowPunct w:val="0"/>
              <w:autoSpaceDE w:val="0"/>
              <w:autoSpaceDN w:val="0"/>
              <w:ind w:right="-26"/>
              <w:jc w:val="right"/>
              <w:rPr>
                <w:b/>
                <w:snapToGrid w:val="0"/>
                <w:kern w:val="22"/>
                <w:szCs w:val="22"/>
              </w:rPr>
            </w:pPr>
            <w:r w:rsidRPr="0088780C">
              <w:rPr>
                <w:b/>
                <w:snapToGrid w:val="0"/>
                <w:kern w:val="22"/>
                <w:szCs w:val="22"/>
              </w:rPr>
              <w:t>43*</w:t>
            </w:r>
          </w:p>
        </w:tc>
      </w:tr>
    </w:tbl>
    <w:p w14:paraId="64371AE6" w14:textId="310FE8C9" w:rsidR="009E3B7A" w:rsidRPr="0088780C" w:rsidRDefault="00A876F3" w:rsidP="009E3B7A">
      <w:pPr>
        <w:keepLines/>
        <w:suppressLineNumbers/>
        <w:shd w:val="clear" w:color="auto" w:fill="FFFFFF"/>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*Average percentage for all investigated organisms</w:t>
      </w:r>
      <w:r w:rsidR="009E3B7A" w:rsidRPr="0088780C">
        <w:rPr>
          <w:rFonts w:eastAsia="Times New Roman"/>
          <w:snapToGrid w:val="0"/>
          <w:color w:val="000000" w:themeColor="text1"/>
          <w:kern w:val="22"/>
          <w:szCs w:val="22"/>
          <w:lang w:eastAsia="ru-RU"/>
        </w:rPr>
        <w:br w:type="page"/>
      </w:r>
    </w:p>
    <w:p w14:paraId="35D543B9" w14:textId="15AF7555"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7: Balaklava</w:t>
      </w:r>
    </w:p>
    <w:p w14:paraId="5193D5A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F78C336"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Abstract</w:t>
      </w:r>
    </w:p>
    <w:p w14:paraId="46E5AA09" w14:textId="0734EB84"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This area has been a hotspot of cetacean distribution in the Black Sea and has been designated a Cetacean Critical Habitat under ACCOBAMS. It is a critically important habitat for two </w:t>
      </w:r>
      <w:r w:rsidRPr="0088780C">
        <w:rPr>
          <w:rFonts w:eastAsia="MS Mincho"/>
          <w:snapToGrid w:val="0"/>
          <w:color w:val="000000"/>
          <w:kern w:val="22"/>
          <w:szCs w:val="22"/>
        </w:rPr>
        <w:t>cetacean species, the Black Sea harbour porpoise (</w:t>
      </w:r>
      <w:r w:rsidRPr="0088780C">
        <w:rPr>
          <w:rFonts w:eastAsia="MS Mincho"/>
          <w:i/>
          <w:snapToGrid w:val="0"/>
          <w:color w:val="000000"/>
          <w:kern w:val="22"/>
          <w:szCs w:val="22"/>
        </w:rPr>
        <w:t>Phocoena phocoena relicta)</w:t>
      </w:r>
      <w:r w:rsidRPr="0088780C">
        <w:rPr>
          <w:rFonts w:eastAsia="MS Mincho"/>
          <w:snapToGrid w:val="0"/>
          <w:color w:val="000000"/>
          <w:kern w:val="22"/>
          <w:szCs w:val="22"/>
        </w:rPr>
        <w:t xml:space="preserve"> and the Black Sea bottlenose dolphin (</w:t>
      </w:r>
      <w:r w:rsidRPr="0088780C">
        <w:rPr>
          <w:rFonts w:eastAsia="MS Mincho"/>
          <w:i/>
          <w:snapToGrid w:val="0"/>
          <w:color w:val="000000"/>
          <w:kern w:val="22"/>
          <w:szCs w:val="22"/>
        </w:rPr>
        <w:t xml:space="preserve">Tursiops truncatus ponticus), </w:t>
      </w:r>
      <w:r w:rsidRPr="0088780C">
        <w:rPr>
          <w:rFonts w:eastAsia="MS Mincho"/>
          <w:snapToGrid w:val="0"/>
          <w:color w:val="000000"/>
          <w:kern w:val="22"/>
          <w:szCs w:val="22"/>
        </w:rPr>
        <w:t>both of which are listed as endangered on the IUCN Red List. These two cetacean species use this area particularly for reproduction and feeding.</w:t>
      </w:r>
    </w:p>
    <w:p w14:paraId="73B8F6A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9DC622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Introduction</w:t>
      </w:r>
    </w:p>
    <w:p w14:paraId="36AD5BA3"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sea area is located in coastal waters between the capes of Fiolent and Sarych, outside of Balaklava Bay, at depths between 0 and 70 m. An oceanographic model for Balaklava Bay was provided by Fomin and Repetin (2005), and the model for the whole coastal area was developed by Kubryakov et al. (2012). It has been identified as one of the important cetacean habitats in the Black Sea by Birkun (2006).</w:t>
      </w:r>
    </w:p>
    <w:p w14:paraId="33A1594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FEAC33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7C4F3D29"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6EA5299" w14:textId="5506F8DA" w:rsidR="00A876F3" w:rsidRPr="0088780C" w:rsidRDefault="00A876F3" w:rsidP="001013AF">
      <w:pPr>
        <w:suppressLineNumbers/>
        <w:shd w:val="clear" w:color="auto" w:fill="FFFFFF"/>
        <w:suppressAutoHyphens/>
        <w:kinsoku w:val="0"/>
        <w:overflowPunct w:val="0"/>
        <w:autoSpaceDE w:val="0"/>
        <w:autoSpaceDN w:val="0"/>
        <w:rPr>
          <w:rFonts w:eastAsia="Times New Roman"/>
          <w:snapToGrid w:val="0"/>
          <w:color w:val="212121"/>
          <w:kern w:val="22"/>
          <w:szCs w:val="22"/>
          <w:lang w:eastAsia="ja-JP"/>
        </w:rPr>
      </w:pPr>
      <w:r w:rsidRPr="0088780C">
        <w:rPr>
          <w:rFonts w:eastAsia="MS Mincho"/>
          <w:snapToGrid w:val="0"/>
          <w:kern w:val="22"/>
          <w:szCs w:val="22"/>
        </w:rPr>
        <w:t xml:space="preserve">The area is located in coastal waters between the capes of Fiolent and Sarych, outside of Balaklava Bay, at depths between 0 and 70 m, at the following coordinates: </w:t>
      </w:r>
      <w:r w:rsidRPr="0088780C">
        <w:rPr>
          <w:rFonts w:eastAsia="Times New Roman"/>
          <w:snapToGrid w:val="0"/>
          <w:color w:val="212121"/>
          <w:kern w:val="22"/>
          <w:szCs w:val="22"/>
          <w:lang w:eastAsia="ja-JP"/>
        </w:rPr>
        <w:t>33º 36’ 12.37</w:t>
      </w:r>
      <w:r w:rsidR="00D8482D" w:rsidRPr="0088780C">
        <w:rPr>
          <w:rFonts w:eastAsia="Times New Roman"/>
          <w:snapToGrid w:val="0"/>
          <w:color w:val="212121"/>
          <w:kern w:val="22"/>
          <w:szCs w:val="22"/>
          <w:lang w:eastAsia="ja-JP"/>
        </w:rPr>
        <w:t>”</w:t>
      </w:r>
      <w:r w:rsidRPr="0088780C">
        <w:rPr>
          <w:rFonts w:eastAsia="Times New Roman"/>
          <w:snapToGrid w:val="0"/>
          <w:color w:val="212121"/>
          <w:kern w:val="22"/>
          <w:szCs w:val="22"/>
          <w:lang w:eastAsia="ja-JP"/>
        </w:rPr>
        <w:t>E, 44º 26’ 32.76</w:t>
      </w:r>
      <w:r w:rsidR="00D8482D" w:rsidRPr="0088780C">
        <w:rPr>
          <w:rFonts w:eastAsia="Times New Roman"/>
          <w:snapToGrid w:val="0"/>
          <w:color w:val="212121"/>
          <w:kern w:val="22"/>
          <w:szCs w:val="22"/>
          <w:lang w:eastAsia="ja-JP"/>
        </w:rPr>
        <w:t>”</w:t>
      </w:r>
      <w:r w:rsidRPr="0088780C">
        <w:rPr>
          <w:rFonts w:eastAsia="Times New Roman"/>
          <w:snapToGrid w:val="0"/>
          <w:color w:val="212121"/>
          <w:kern w:val="22"/>
          <w:szCs w:val="22"/>
          <w:lang w:eastAsia="ja-JP"/>
        </w:rPr>
        <w:t>N.</w:t>
      </w:r>
    </w:p>
    <w:p w14:paraId="666F5F1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99F04D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Feature description of the area</w:t>
      </w:r>
    </w:p>
    <w:p w14:paraId="4488802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Balaklava area is a critically important habitat for </w:t>
      </w:r>
      <w:r w:rsidRPr="0088780C">
        <w:rPr>
          <w:rFonts w:eastAsia="MS Mincho"/>
          <w:snapToGrid w:val="0"/>
          <w:color w:val="000000"/>
          <w:kern w:val="22"/>
          <w:szCs w:val="22"/>
        </w:rPr>
        <w:t>cetaceans represented by endemic and endangered subspecies or populations: the Black Sea harbour porpoise (</w:t>
      </w:r>
      <w:r w:rsidRPr="0088780C">
        <w:rPr>
          <w:rFonts w:eastAsia="MS Mincho"/>
          <w:i/>
          <w:snapToGrid w:val="0"/>
          <w:color w:val="000000"/>
          <w:kern w:val="22"/>
          <w:szCs w:val="22"/>
        </w:rPr>
        <w:t>Phocoena phocoena relicta)</w:t>
      </w:r>
      <w:r w:rsidRPr="0088780C">
        <w:rPr>
          <w:rFonts w:eastAsia="MS Mincho"/>
          <w:snapToGrid w:val="0"/>
          <w:color w:val="000000"/>
          <w:kern w:val="22"/>
          <w:szCs w:val="22"/>
        </w:rPr>
        <w:t xml:space="preserve"> and the Black Sea bottlenose dolphin (</w:t>
      </w:r>
      <w:r w:rsidRPr="0088780C">
        <w:rPr>
          <w:rFonts w:eastAsia="MS Mincho"/>
          <w:i/>
          <w:snapToGrid w:val="0"/>
          <w:color w:val="000000"/>
          <w:kern w:val="22"/>
          <w:szCs w:val="22"/>
        </w:rPr>
        <w:t>Tursiops truncatus ponticus)</w:t>
      </w:r>
      <w:r w:rsidRPr="0088780C">
        <w:rPr>
          <w:rFonts w:eastAsia="MS Mincho"/>
          <w:snapToGrid w:val="0"/>
          <w:color w:val="000000"/>
          <w:kern w:val="22"/>
          <w:szCs w:val="22"/>
        </w:rPr>
        <w:t>. This is an area where permanent, year-round presence of a resident locally distributed coastal stock of the Black Sea bottlenose dolphin has been recorded for at least 18 years. In addition, dolphins from other coastal stocks were recorded in the area, and hypothetically this could be the area of stock mixture, which is important for their interbreeding and maintaining genetic diversity. The harbour porpoise is also permanently present in the area: this species is vulnerable due to extensive bycatch in fishing gears during its reproduction season, and therefore it needs special protection in its core habitats.</w:t>
      </w:r>
    </w:p>
    <w:p w14:paraId="43A8EA73"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23723E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586944DC" w14:textId="07859A91"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both"/>
        <w:rPr>
          <w:rFonts w:eastAsia="MS Mincho"/>
          <w:snapToGrid w:val="0"/>
          <w:kern w:val="22"/>
          <w:sz w:val="22"/>
          <w:szCs w:val="22"/>
          <w:lang w:val="en-GB"/>
        </w:rPr>
      </w:pPr>
      <w:r w:rsidRPr="0088780C">
        <w:rPr>
          <w:snapToGrid w:val="0"/>
          <w:kern w:val="22"/>
          <w:sz w:val="22"/>
          <w:szCs w:val="22"/>
          <w:lang w:val="en-GB" w:eastAsia="ru-RU"/>
        </w:rPr>
        <w:t xml:space="preserve">At present, the Balaklava area is in need of improved institutional environmental monitoring. There is neither direct evidence of changing economic activities in the area nor a reasonable forecast. Meanwhile, naval activities in the area can pose a threat to the cetacean populations, being potential sources of chemical, radioactive and acoustic contamination of the sea environment and </w:t>
      </w:r>
      <w:r w:rsidRPr="0088780C">
        <w:rPr>
          <w:rFonts w:eastAsia="MS Mincho"/>
          <w:snapToGrid w:val="0"/>
          <w:kern w:val="22"/>
          <w:sz w:val="22"/>
          <w:szCs w:val="22"/>
          <w:lang w:val="en-GB"/>
        </w:rPr>
        <w:t>cetacean-ship collisions.</w:t>
      </w:r>
    </w:p>
    <w:p w14:paraId="598393FF"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27D182F1" w14:textId="2B875836"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snapToGrid w:val="0"/>
          <w:kern w:val="22"/>
          <w:szCs w:val="22"/>
        </w:rPr>
        <w:t>Assessment of the area against CBD EBSA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655ED985" w14:textId="77777777" w:rsidTr="006972AD">
        <w:tc>
          <w:tcPr>
            <w:tcW w:w="779" w:type="pct"/>
            <w:vMerge w:val="restart"/>
            <w:shd w:val="clear" w:color="auto" w:fill="auto"/>
          </w:tcPr>
          <w:p w14:paraId="2B992135" w14:textId="77777777" w:rsidR="00A876F3" w:rsidRPr="0088780C" w:rsidRDefault="00A876F3" w:rsidP="006B2E0A">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2C9BB6F0"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6CC5D00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7BC9A6C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020F25A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1A23AAD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7F33F67A" w14:textId="77777777" w:rsidTr="006972AD">
        <w:tc>
          <w:tcPr>
            <w:tcW w:w="779" w:type="pct"/>
            <w:vMerge/>
            <w:shd w:val="clear" w:color="auto" w:fill="auto"/>
          </w:tcPr>
          <w:p w14:paraId="02CBB01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5B30187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5F281F9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2151E7B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5E32050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3FF6EEC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0AA82084" w14:textId="77777777" w:rsidTr="006972AD">
        <w:tc>
          <w:tcPr>
            <w:tcW w:w="779" w:type="pct"/>
            <w:shd w:val="clear" w:color="auto" w:fill="auto"/>
          </w:tcPr>
          <w:p w14:paraId="07839585"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5E0BB1B5" w14:textId="4C0CFE16"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01AD54E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719F0E3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DF0335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02EE4A6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1AE36E7A" w14:textId="77777777" w:rsidTr="006972AD">
        <w:tc>
          <w:tcPr>
            <w:tcW w:w="5000" w:type="pct"/>
            <w:gridSpan w:val="11"/>
            <w:shd w:val="clear" w:color="auto" w:fill="auto"/>
          </w:tcPr>
          <w:p w14:paraId="6EF4210C"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26A4C9E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The area is characterized by extremely high density and frequent occurrence of cetaceans represented by endemic and endangered subspecies or populations: the Black Sea harbour porpoise (</w:t>
            </w:r>
            <w:r w:rsidRPr="0088780C">
              <w:rPr>
                <w:rFonts w:eastAsia="MS Mincho"/>
                <w:i/>
                <w:snapToGrid w:val="0"/>
                <w:color w:val="000000"/>
                <w:kern w:val="22"/>
                <w:szCs w:val="22"/>
              </w:rPr>
              <w:t>Phocoena phocoena relicta)</w:t>
            </w:r>
            <w:r w:rsidRPr="0088780C">
              <w:rPr>
                <w:rFonts w:eastAsia="MS Mincho"/>
                <w:snapToGrid w:val="0"/>
                <w:color w:val="000000"/>
                <w:kern w:val="22"/>
                <w:szCs w:val="22"/>
              </w:rPr>
              <w:t xml:space="preserve"> (Birkun and Frantzis, 2008) and the Black Sea bottlenose dolphin (</w:t>
            </w:r>
            <w:r w:rsidRPr="0088780C">
              <w:rPr>
                <w:rFonts w:eastAsia="MS Mincho"/>
                <w:i/>
                <w:snapToGrid w:val="0"/>
                <w:color w:val="000000"/>
                <w:kern w:val="22"/>
                <w:szCs w:val="22"/>
              </w:rPr>
              <w:t>Tursiops truncatus ponticus)</w:t>
            </w:r>
            <w:r w:rsidRPr="0088780C">
              <w:rPr>
                <w:rFonts w:eastAsia="MS Mincho"/>
                <w:snapToGrid w:val="0"/>
                <w:color w:val="000000"/>
                <w:kern w:val="22"/>
                <w:szCs w:val="22"/>
              </w:rPr>
              <w:t xml:space="preserve"> (Birkun, 2002, 2012), which are endangered. This has already been recognized by experts, and the Secretariat of the Bern Convention has listed the area in the Emerald Network of Areas of Special Conservation Interest (category B for </w:t>
            </w:r>
            <w:r w:rsidRPr="0088780C">
              <w:rPr>
                <w:rFonts w:eastAsia="MS Mincho"/>
                <w:i/>
                <w:snapToGrid w:val="0"/>
                <w:color w:val="000000"/>
                <w:kern w:val="22"/>
                <w:szCs w:val="22"/>
              </w:rPr>
              <w:t>T. truncatus</w:t>
            </w:r>
            <w:r w:rsidRPr="0088780C">
              <w:rPr>
                <w:rFonts w:eastAsia="MS Mincho"/>
                <w:snapToGrid w:val="0"/>
                <w:color w:val="000000"/>
                <w:kern w:val="22"/>
                <w:szCs w:val="22"/>
              </w:rPr>
              <w:t xml:space="preserve"> and category C for </w:t>
            </w:r>
            <w:r w:rsidRPr="0088780C">
              <w:rPr>
                <w:rFonts w:eastAsia="MS Mincho"/>
                <w:i/>
                <w:snapToGrid w:val="0"/>
                <w:color w:val="000000"/>
                <w:kern w:val="22"/>
                <w:szCs w:val="22"/>
              </w:rPr>
              <w:t>Ph. phocoena</w:t>
            </w:r>
            <w:r w:rsidRPr="0088780C">
              <w:rPr>
                <w:rFonts w:eastAsia="MS Mincho"/>
                <w:snapToGrid w:val="0"/>
                <w:color w:val="000000"/>
                <w:kern w:val="22"/>
                <w:szCs w:val="22"/>
              </w:rPr>
              <w:t>; moderately insufficient estimate).</w:t>
            </w:r>
          </w:p>
        </w:tc>
      </w:tr>
      <w:tr w:rsidR="00A876F3" w:rsidRPr="0088780C" w14:paraId="498D6153" w14:textId="77777777" w:rsidTr="006972AD">
        <w:tc>
          <w:tcPr>
            <w:tcW w:w="779" w:type="pct"/>
            <w:shd w:val="clear" w:color="auto" w:fill="auto"/>
          </w:tcPr>
          <w:p w14:paraId="22120EF2"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29D41E7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49A1E98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388337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B2B0CC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3D96497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21808A6D" w14:textId="77777777" w:rsidTr="006972AD">
        <w:tc>
          <w:tcPr>
            <w:tcW w:w="5000" w:type="pct"/>
            <w:gridSpan w:val="11"/>
            <w:shd w:val="clear" w:color="auto" w:fill="auto"/>
          </w:tcPr>
          <w:p w14:paraId="4FDB9A19"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36B38EF8" w14:textId="77777777" w:rsidR="00A876F3" w:rsidRPr="0088780C" w:rsidRDefault="00A876F3" w:rsidP="001013AF">
            <w:pPr>
              <w:pStyle w:val="xmsonormal"/>
              <w:suppressLineNumbers/>
              <w:shd w:val="clear" w:color="auto" w:fill="FFFFFF"/>
              <w:suppressAutoHyphens/>
              <w:kinsoku w:val="0"/>
              <w:overflowPunct w:val="0"/>
              <w:autoSpaceDE w:val="0"/>
              <w:autoSpaceDN w:val="0"/>
              <w:spacing w:before="0" w:beforeAutospacing="0" w:after="0" w:afterAutospacing="0"/>
              <w:jc w:val="both"/>
              <w:rPr>
                <w:snapToGrid w:val="0"/>
                <w:color w:val="212121"/>
                <w:kern w:val="22"/>
                <w:sz w:val="22"/>
                <w:szCs w:val="22"/>
                <w:lang w:val="en-GB"/>
              </w:rPr>
            </w:pPr>
            <w:r w:rsidRPr="0088780C">
              <w:rPr>
                <w:rFonts w:eastAsia="MS Mincho"/>
                <w:snapToGrid w:val="0"/>
                <w:color w:val="000000"/>
                <w:kern w:val="22"/>
                <w:sz w:val="22"/>
                <w:szCs w:val="22"/>
                <w:lang w:val="en-GB" w:eastAsia="en-US"/>
              </w:rPr>
              <w:t>The area is the permanent habitat for a locally distributed resident stock of the Black Sea bottlenose dolphin (</w:t>
            </w:r>
            <w:r w:rsidRPr="0088780C">
              <w:rPr>
                <w:rFonts w:eastAsia="MS Mincho"/>
                <w:i/>
                <w:snapToGrid w:val="0"/>
                <w:color w:val="000000"/>
                <w:kern w:val="22"/>
                <w:sz w:val="22"/>
                <w:szCs w:val="22"/>
                <w:lang w:val="en-GB" w:eastAsia="en-US"/>
              </w:rPr>
              <w:t>Tursiops truncatus ponticus)</w:t>
            </w:r>
            <w:r w:rsidRPr="0088780C">
              <w:rPr>
                <w:rFonts w:eastAsia="MS Mincho"/>
                <w:snapToGrid w:val="0"/>
                <w:color w:val="000000"/>
                <w:kern w:val="22"/>
                <w:sz w:val="22"/>
                <w:szCs w:val="22"/>
                <w:lang w:val="en-GB" w:eastAsia="en-US"/>
              </w:rPr>
              <w:t>, including during its reproduction season (Gladilina et al., 2016). In addition, the area is visited by dolphins from other local coastal stocks (Gladilina et al., 2016) and is hypothetically an important area for other migrating stocks of the Black Sea bottlenose dolphin (</w:t>
            </w:r>
            <w:r w:rsidRPr="0088780C">
              <w:rPr>
                <w:rFonts w:eastAsia="MS Mincho"/>
                <w:i/>
                <w:snapToGrid w:val="0"/>
                <w:color w:val="000000"/>
                <w:kern w:val="22"/>
                <w:sz w:val="22"/>
                <w:szCs w:val="22"/>
                <w:lang w:val="en-GB" w:eastAsia="en-US"/>
              </w:rPr>
              <w:t>Tursiops truncatus ponticus)</w:t>
            </w:r>
            <w:r w:rsidRPr="0088780C">
              <w:rPr>
                <w:rFonts w:eastAsia="MS Mincho"/>
                <w:snapToGrid w:val="0"/>
                <w:color w:val="000000"/>
                <w:kern w:val="22"/>
                <w:sz w:val="22"/>
                <w:szCs w:val="22"/>
                <w:lang w:val="en-GB" w:eastAsia="en-US"/>
              </w:rPr>
              <w:t xml:space="preserve"> during the reproductive season (Birkun, 2012). </w:t>
            </w:r>
            <w:r w:rsidRPr="0088780C">
              <w:rPr>
                <w:snapToGrid w:val="0"/>
                <w:color w:val="000000"/>
                <w:kern w:val="22"/>
                <w:sz w:val="22"/>
                <w:szCs w:val="22"/>
                <w:lang w:val="en-GB"/>
              </w:rPr>
              <w:t>The area is also important for</w:t>
            </w:r>
            <w:r w:rsidRPr="0088780C">
              <w:rPr>
                <w:rStyle w:val="apple-converted-space"/>
                <w:snapToGrid w:val="0"/>
                <w:color w:val="000000"/>
                <w:kern w:val="22"/>
                <w:sz w:val="22"/>
                <w:szCs w:val="22"/>
                <w:lang w:val="en-GB"/>
              </w:rPr>
              <w:t> </w:t>
            </w:r>
            <w:r w:rsidRPr="0088780C">
              <w:rPr>
                <w:snapToGrid w:val="0"/>
                <w:color w:val="212121"/>
                <w:kern w:val="22"/>
                <w:sz w:val="22"/>
                <w:szCs w:val="22"/>
                <w:lang w:val="en-GB"/>
              </w:rPr>
              <w:t>the Mediterranean endemic subspecies of European shag (</w:t>
            </w:r>
            <w:r w:rsidRPr="0088780C">
              <w:rPr>
                <w:i/>
                <w:iCs/>
                <w:snapToGrid w:val="0"/>
                <w:color w:val="212121"/>
                <w:kern w:val="22"/>
                <w:sz w:val="22"/>
                <w:szCs w:val="22"/>
                <w:lang w:val="en-GB"/>
              </w:rPr>
              <w:t>Phalacrocorax aristotelis desmarestii</w:t>
            </w:r>
            <w:r w:rsidRPr="0088780C">
              <w:rPr>
                <w:snapToGrid w:val="0"/>
                <w:color w:val="212121"/>
                <w:kern w:val="22"/>
                <w:sz w:val="22"/>
                <w:szCs w:val="22"/>
                <w:lang w:val="en-GB"/>
              </w:rPr>
              <w:t>) during the breeding season, given the proximity to important colonies of this seabird subspecies in the Black Sea (Doğa Derneği 2014).</w:t>
            </w:r>
          </w:p>
        </w:tc>
      </w:tr>
      <w:tr w:rsidR="00A876F3" w:rsidRPr="0088780C" w14:paraId="591D0C21" w14:textId="77777777" w:rsidTr="006972AD">
        <w:tc>
          <w:tcPr>
            <w:tcW w:w="779" w:type="pct"/>
            <w:shd w:val="clear" w:color="auto" w:fill="auto"/>
          </w:tcPr>
          <w:p w14:paraId="5B4B3244"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6ED43D2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5F3B1B4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992FE8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73AC18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441E4A8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33F812C0" w14:textId="77777777" w:rsidTr="006972AD">
        <w:tc>
          <w:tcPr>
            <w:tcW w:w="5000" w:type="pct"/>
            <w:gridSpan w:val="11"/>
            <w:shd w:val="clear" w:color="auto" w:fill="auto"/>
          </w:tcPr>
          <w:p w14:paraId="4A6742F3"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768052D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The area is the permanent habitat for a locally distributed resident stock of the Black Sea bottlenose dolphin (</w:t>
            </w:r>
            <w:r w:rsidRPr="0088780C">
              <w:rPr>
                <w:rFonts w:eastAsia="MS Mincho"/>
                <w:i/>
                <w:snapToGrid w:val="0"/>
                <w:color w:val="000000"/>
                <w:kern w:val="22"/>
                <w:szCs w:val="22"/>
              </w:rPr>
              <w:t>Tursiops truncatus ponticus)</w:t>
            </w:r>
            <w:r w:rsidRPr="0088780C">
              <w:rPr>
                <w:rFonts w:eastAsia="MS Mincho"/>
                <w:snapToGrid w:val="0"/>
                <w:color w:val="000000"/>
                <w:kern w:val="22"/>
                <w:szCs w:val="22"/>
              </w:rPr>
              <w:t>. Also, this is a place of permanent presence of the Black Sea harbour porpoise (</w:t>
            </w:r>
            <w:r w:rsidRPr="0088780C">
              <w:rPr>
                <w:rFonts w:eastAsia="MS Mincho"/>
                <w:i/>
                <w:snapToGrid w:val="0"/>
                <w:color w:val="000000"/>
                <w:kern w:val="22"/>
                <w:szCs w:val="22"/>
              </w:rPr>
              <w:t>Phocoena phocoena relicta)</w:t>
            </w:r>
            <w:r w:rsidRPr="0088780C">
              <w:rPr>
                <w:rFonts w:eastAsia="MS Mincho"/>
                <w:snapToGrid w:val="0"/>
                <w:color w:val="000000"/>
                <w:kern w:val="22"/>
                <w:szCs w:val="22"/>
              </w:rPr>
              <w:t>. Both of them are listed as endangered on the IUCN Red List (Birkun and Frantzis, 2008 for harbour porpoises; Birkun 2012 for bottlenose dolphins).</w:t>
            </w:r>
          </w:p>
        </w:tc>
      </w:tr>
      <w:tr w:rsidR="00A876F3" w:rsidRPr="0088780C" w14:paraId="3B256B51" w14:textId="77777777" w:rsidTr="006972AD">
        <w:tc>
          <w:tcPr>
            <w:tcW w:w="779" w:type="pct"/>
            <w:shd w:val="clear" w:color="auto" w:fill="auto"/>
          </w:tcPr>
          <w:p w14:paraId="4EF40C37"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03858A3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35148A4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00A341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27C3B5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02FCE68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6F4780B5" w14:textId="77777777" w:rsidTr="006972AD">
        <w:tc>
          <w:tcPr>
            <w:tcW w:w="5000" w:type="pct"/>
            <w:gridSpan w:val="11"/>
            <w:shd w:val="clear" w:color="auto" w:fill="auto"/>
          </w:tcPr>
          <w:p w14:paraId="2592CFD5"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0C3BDAD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Bottlenose dolphins and harbour porpoises start reproduction late and produce a limited number of offspring. According to </w:t>
            </w:r>
            <w:r w:rsidRPr="0088780C">
              <w:rPr>
                <w:snapToGrid w:val="0"/>
                <w:color w:val="000000"/>
                <w:kern w:val="22"/>
                <w:szCs w:val="22"/>
                <w:shd w:val="clear" w:color="auto" w:fill="FFFFFF"/>
              </w:rPr>
              <w:t>Birkun (2012), Black Sea bottlenose dolphins have a life history similar to</w:t>
            </w:r>
            <w:r w:rsidRPr="0088780C">
              <w:rPr>
                <w:rStyle w:val="apple-converted-space"/>
                <w:snapToGrid w:val="0"/>
                <w:color w:val="000000"/>
                <w:kern w:val="22"/>
                <w:szCs w:val="22"/>
                <w:shd w:val="clear" w:color="auto" w:fill="FFFFFF"/>
              </w:rPr>
              <w:t> </w:t>
            </w:r>
            <w:r w:rsidRPr="0088780C">
              <w:rPr>
                <w:rStyle w:val="Emphasis"/>
                <w:b w:val="0"/>
                <w:bCs w:val="0"/>
                <w:i/>
                <w:snapToGrid w:val="0"/>
                <w:color w:val="000000"/>
                <w:kern w:val="22"/>
                <w:szCs w:val="22"/>
                <w:shd w:val="clear" w:color="auto" w:fill="FFFFFF"/>
              </w:rPr>
              <w:t>bottlenose dolphins</w:t>
            </w:r>
            <w:r w:rsidRPr="0088780C">
              <w:rPr>
                <w:rStyle w:val="apple-converted-space"/>
                <w:i/>
                <w:iCs/>
                <w:snapToGrid w:val="0"/>
                <w:color w:val="000000"/>
                <w:kern w:val="22"/>
                <w:szCs w:val="22"/>
                <w:shd w:val="clear" w:color="auto" w:fill="FFFFFF"/>
              </w:rPr>
              <w:t> </w:t>
            </w:r>
            <w:r w:rsidRPr="0088780C">
              <w:rPr>
                <w:snapToGrid w:val="0"/>
                <w:color w:val="000000"/>
                <w:kern w:val="22"/>
                <w:szCs w:val="22"/>
                <w:shd w:val="clear" w:color="auto" w:fill="FFFFFF"/>
              </w:rPr>
              <w:t>elsewhere—the generation time being approximately 20 years, with an interval between births from two to six years; one female is unlikely to produce more than eight calves in her lifetime; gestation lasts 12 months, and lactation can last more than 1.5 years. Gol’din (2004) reported that sexual maturity is reached at 3-4 years for the harbour porpoise, and the maximum life span is at least 20 years. This indicates slow recovery in the event of degradation or depletion by human activities or natural events, such as epidemics and bycatch.</w:t>
            </w:r>
          </w:p>
        </w:tc>
      </w:tr>
      <w:tr w:rsidR="00A876F3" w:rsidRPr="0088780C" w14:paraId="3515EBB1" w14:textId="77777777" w:rsidTr="006972AD">
        <w:tc>
          <w:tcPr>
            <w:tcW w:w="779" w:type="pct"/>
            <w:shd w:val="clear" w:color="auto" w:fill="auto"/>
          </w:tcPr>
          <w:p w14:paraId="2521A3B4"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1692054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7AE193A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AE9D76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7F9D97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0717BF6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0C7AFFC8" w14:textId="77777777" w:rsidTr="006972AD">
        <w:tc>
          <w:tcPr>
            <w:tcW w:w="5000" w:type="pct"/>
            <w:gridSpan w:val="11"/>
            <w:shd w:val="clear" w:color="auto" w:fill="auto"/>
          </w:tcPr>
          <w:p w14:paraId="24FFBE05"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02297BB2" w14:textId="2350696E"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kern w:val="22"/>
                <w:szCs w:val="22"/>
              </w:rPr>
              <w:t xml:space="preserve">This area is known as the breeding area of bottlenose dolphins and harbour porpoises. The area has also been recorded as having particularly high productivity in warm periods under the influence of coastal upwelling (Popovichev et al. 2014; Kovrigina et al. 2010). Concentration of meroplankton is extremely high, and unusual diversity and abundance of algal species has been mentioned (Yurakhno, Tamoikin, 1999). This area has a high concentration of migratory fish, like mackerels, horse mackerels and anchovy (Drodzov 2011; </w:t>
            </w:r>
            <w:r w:rsidRPr="0088780C">
              <w:rPr>
                <w:snapToGrid w:val="0"/>
                <w:kern w:val="22"/>
                <w:szCs w:val="22"/>
                <w:shd w:val="clear" w:color="auto" w:fill="FFFFFF"/>
              </w:rPr>
              <w:t>Kuzminova</w:t>
            </w:r>
            <w:r w:rsidRPr="0088780C">
              <w:rPr>
                <w:rFonts w:eastAsia="MS Mincho"/>
                <w:snapToGrid w:val="0"/>
                <w:kern w:val="22"/>
                <w:szCs w:val="22"/>
              </w:rPr>
              <w:t xml:space="preserve"> 2013).</w:t>
            </w:r>
          </w:p>
        </w:tc>
      </w:tr>
      <w:tr w:rsidR="00A876F3" w:rsidRPr="0088780C" w14:paraId="1B403147" w14:textId="77777777" w:rsidTr="006972AD">
        <w:tc>
          <w:tcPr>
            <w:tcW w:w="779" w:type="pct"/>
            <w:shd w:val="clear" w:color="auto" w:fill="auto"/>
          </w:tcPr>
          <w:p w14:paraId="65B36443"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2E1A4F8C"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426A8A0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C3DCBB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9BC120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7F0C706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2480507D" w14:textId="77777777" w:rsidTr="006972AD">
        <w:tc>
          <w:tcPr>
            <w:tcW w:w="5000" w:type="pct"/>
            <w:gridSpan w:val="11"/>
            <w:shd w:val="clear" w:color="auto" w:fill="auto"/>
          </w:tcPr>
          <w:p w14:paraId="08AF23F9"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4203BD41" w14:textId="5EE96153"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 xml:space="preserve">The area is known for its high diversity of habitats (Popov et al., 2014). </w:t>
            </w:r>
            <w:r w:rsidRPr="0088780C">
              <w:rPr>
                <w:rFonts w:eastAsia="MS Mincho"/>
                <w:snapToGrid w:val="0"/>
                <w:kern w:val="22"/>
                <w:szCs w:val="22"/>
              </w:rPr>
              <w:t xml:space="preserve">Infralittoral and circalittoral rocks and other hard substrata, sublittoral sediments, and communities of </w:t>
            </w:r>
            <w:r w:rsidRPr="0088780C">
              <w:rPr>
                <w:rFonts w:eastAsia="MS Mincho"/>
                <w:i/>
                <w:snapToGrid w:val="0"/>
                <w:kern w:val="22"/>
                <w:szCs w:val="22"/>
              </w:rPr>
              <w:t>Cystosira</w:t>
            </w:r>
            <w:r w:rsidRPr="0088780C">
              <w:rPr>
                <w:rFonts w:eastAsia="MS Mincho"/>
                <w:snapToGrid w:val="0"/>
                <w:kern w:val="22"/>
                <w:szCs w:val="22"/>
              </w:rPr>
              <w:t xml:space="preserve"> and </w:t>
            </w:r>
            <w:r w:rsidRPr="0088780C">
              <w:rPr>
                <w:rFonts w:eastAsia="MS Mincho"/>
                <w:i/>
                <w:snapToGrid w:val="0"/>
                <w:kern w:val="22"/>
                <w:szCs w:val="22"/>
              </w:rPr>
              <w:t>Phyllophora</w:t>
            </w:r>
            <w:r w:rsidRPr="0088780C">
              <w:rPr>
                <w:rFonts w:eastAsia="MS Mincho"/>
                <w:snapToGrid w:val="0"/>
                <w:kern w:val="22"/>
                <w:szCs w:val="22"/>
              </w:rPr>
              <w:t xml:space="preserve"> have been recorded in the area, as well as overall diversity of habitats and communities (Milchakova, 2014; see also Maps). At least three types of habitats are listed in the Emerald Network of Areas of Special Conservation Interest, under the Bern Convention. Fish diversity is also high according to Hetman (2014). </w:t>
            </w:r>
            <w:r w:rsidRPr="0088780C">
              <w:rPr>
                <w:snapToGrid w:val="0"/>
                <w:kern w:val="22"/>
                <w:szCs w:val="22"/>
              </w:rPr>
              <w:t>Taxonomic diversity by groups was mostly estimated in two minor coastal portions of the area, Balaklava Bay and Laspi Bay. There are at least 278 species of diatoms inhabiting the area, of which at least 40 recorded only in this part of the Black Sea (Nevrova, 2014). Phytoplankton is represented by 140 species (Popov et al., 2014). Periphyton algae are very diverse (72 species in Laspi Bay only), of them at least 43 species of red algae which a distinct feature for algae community. Also, 61 species was recorded in phytobenthos of Laspi bay (Evstigneeva and Tankovskaya, 2010). A preliminary estimate of zoobenthos in Laspi Bay, which is a part of the area, showed there were at least 143 species (and, the most likely, even more), the number comparable with the overall species diversity of the shelf of Crimea (Revkov and Nikolaenko 2002). Also, five rare species of hydrozoans have been reported from the area (Murina and Grintsov, 2009). Meroplankton of Balaklava Bay includes at least 63 species (Lisitskaya, 2010).</w:t>
            </w:r>
          </w:p>
        </w:tc>
      </w:tr>
      <w:tr w:rsidR="00A876F3" w:rsidRPr="0088780C" w14:paraId="7973D076" w14:textId="77777777" w:rsidTr="006972AD">
        <w:tc>
          <w:tcPr>
            <w:tcW w:w="783" w:type="pct"/>
            <w:shd w:val="clear" w:color="auto" w:fill="auto"/>
          </w:tcPr>
          <w:p w14:paraId="699C9822"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 xml:space="preserve"> Naturalness</w:t>
            </w:r>
          </w:p>
        </w:tc>
        <w:tc>
          <w:tcPr>
            <w:tcW w:w="2295" w:type="pct"/>
            <w:gridSpan w:val="2"/>
            <w:shd w:val="clear" w:color="auto" w:fill="auto"/>
          </w:tcPr>
          <w:p w14:paraId="3785508E" w14:textId="77777777" w:rsidR="00A876F3" w:rsidRPr="0088780C" w:rsidRDefault="00A876F3" w:rsidP="001013AF">
            <w:pPr>
              <w:suppressLineNumbers/>
              <w:suppressAutoHyphens/>
              <w:kinsoku w:val="0"/>
              <w:overflowPunct w:val="0"/>
              <w:autoSpaceDE w:val="0"/>
              <w:autoSpaceDN w:val="0"/>
              <w:adjustRightInd w:val="0"/>
              <w:jc w:val="left"/>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1070294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39EBA25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1FC0BE6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c>
          <w:tcPr>
            <w:tcW w:w="385" w:type="pct"/>
            <w:shd w:val="clear" w:color="auto" w:fill="auto"/>
          </w:tcPr>
          <w:p w14:paraId="405434A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A876F3" w:rsidRPr="0088780C" w14:paraId="083B1DAE" w14:textId="77777777" w:rsidTr="006972AD">
        <w:tc>
          <w:tcPr>
            <w:tcW w:w="5000" w:type="pct"/>
            <w:gridSpan w:val="11"/>
            <w:shd w:val="clear" w:color="auto" w:fill="auto"/>
          </w:tcPr>
          <w:p w14:paraId="6B11461C"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10BB9B22" w14:textId="653DAE01"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area is relatively </w:t>
            </w:r>
            <w:r w:rsidR="00D8482D" w:rsidRPr="0088780C">
              <w:rPr>
                <w:rFonts w:eastAsia="MS Mincho"/>
                <w:snapToGrid w:val="0"/>
                <w:color w:val="000000"/>
                <w:kern w:val="22"/>
                <w:szCs w:val="22"/>
              </w:rPr>
              <w:t>“</w:t>
            </w:r>
            <w:r w:rsidRPr="0088780C">
              <w:rPr>
                <w:rFonts w:eastAsia="MS Mincho"/>
                <w:snapToGrid w:val="0"/>
                <w:color w:val="000000"/>
                <w:kern w:val="22"/>
                <w:szCs w:val="22"/>
              </w:rPr>
              <w:t>natural</w:t>
            </w:r>
            <w:r w:rsidR="00D8482D" w:rsidRPr="0088780C">
              <w:rPr>
                <w:rFonts w:eastAsia="MS Mincho"/>
                <w:snapToGrid w:val="0"/>
                <w:color w:val="000000"/>
                <w:kern w:val="22"/>
                <w:szCs w:val="22"/>
              </w:rPr>
              <w:t>”</w:t>
            </w:r>
            <w:r w:rsidRPr="0088780C">
              <w:rPr>
                <w:rFonts w:eastAsia="MS Mincho"/>
                <w:snapToGrid w:val="0"/>
                <w:color w:val="000000"/>
                <w:kern w:val="22"/>
                <w:szCs w:val="22"/>
              </w:rPr>
              <w:t xml:space="preserve"> although there is a naval facility and an active tourism industry. But the future of the area is uncertain in terms of naturalness.</w:t>
            </w:r>
          </w:p>
        </w:tc>
      </w:tr>
    </w:tbl>
    <w:p w14:paraId="5EEE43C6"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75AAD92B"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b/>
          <w:snapToGrid w:val="0"/>
          <w:kern w:val="22"/>
          <w:szCs w:val="22"/>
        </w:rPr>
      </w:pPr>
      <w:r w:rsidRPr="0088780C">
        <w:rPr>
          <w:rFonts w:eastAsia="MS Mincho"/>
          <w:b/>
          <w:snapToGrid w:val="0"/>
          <w:kern w:val="22"/>
          <w:szCs w:val="22"/>
        </w:rPr>
        <w:t>References</w:t>
      </w:r>
    </w:p>
    <w:p w14:paraId="365A4972" w14:textId="0E36549A"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222222"/>
          <w:kern w:val="22"/>
          <w:szCs w:val="22"/>
          <w:shd w:val="clear" w:color="auto" w:fill="FFFFFF"/>
        </w:rPr>
      </w:pPr>
      <w:r w:rsidRPr="0088780C">
        <w:rPr>
          <w:snapToGrid w:val="0"/>
          <w:color w:val="222222"/>
          <w:kern w:val="22"/>
          <w:szCs w:val="22"/>
          <w:shd w:val="clear" w:color="auto" w:fill="FFFFFF"/>
        </w:rPr>
        <w:t>Birkun Jr, A., 2002, The current status of bottlenose dolphins (</w:t>
      </w:r>
      <w:r w:rsidRPr="0088780C">
        <w:rPr>
          <w:i/>
          <w:snapToGrid w:val="0"/>
          <w:color w:val="222222"/>
          <w:kern w:val="22"/>
          <w:szCs w:val="22"/>
          <w:shd w:val="clear" w:color="auto" w:fill="FFFFFF"/>
        </w:rPr>
        <w:t>Tursiops truncatus</w:t>
      </w:r>
      <w:r w:rsidRPr="0088780C">
        <w:rPr>
          <w:snapToGrid w:val="0"/>
          <w:color w:val="222222"/>
          <w:kern w:val="22"/>
          <w:szCs w:val="22"/>
          <w:shd w:val="clear" w:color="auto" w:fill="FFFFFF"/>
        </w:rPr>
        <w:t>) in the Black Sea. In</w:t>
      </w:r>
      <w:r w:rsidRPr="0088780C">
        <w:rPr>
          <w:rStyle w:val="apple-converted-space"/>
          <w:snapToGrid w:val="0"/>
          <w:color w:val="222222"/>
          <w:kern w:val="22"/>
          <w:szCs w:val="22"/>
          <w:shd w:val="clear" w:color="auto" w:fill="FFFFFF"/>
        </w:rPr>
        <w:t> </w:t>
      </w:r>
      <w:r w:rsidRPr="0088780C">
        <w:rPr>
          <w:iCs/>
          <w:snapToGrid w:val="0"/>
          <w:color w:val="222222"/>
          <w:kern w:val="22"/>
          <w:szCs w:val="22"/>
          <w:shd w:val="clear" w:color="auto" w:fill="FFFFFF"/>
        </w:rPr>
        <w:t xml:space="preserve">Report </w:t>
      </w:r>
      <w:r w:rsidR="00F65693" w:rsidRPr="0088780C">
        <w:rPr>
          <w:iCs/>
          <w:snapToGrid w:val="0"/>
          <w:color w:val="222222"/>
          <w:kern w:val="22"/>
          <w:szCs w:val="22"/>
          <w:shd w:val="clear" w:color="auto" w:fill="FFFFFF"/>
        </w:rPr>
        <w:t xml:space="preserve">of </w:t>
      </w:r>
      <w:r w:rsidRPr="0088780C">
        <w:rPr>
          <w:iCs/>
          <w:snapToGrid w:val="0"/>
          <w:color w:val="222222"/>
          <w:kern w:val="22"/>
          <w:szCs w:val="22"/>
          <w:shd w:val="clear" w:color="auto" w:fill="FFFFFF"/>
        </w:rPr>
        <w:t xml:space="preserve">the first meeting of the Parties to </w:t>
      </w:r>
      <w:r w:rsidR="00F65693" w:rsidRPr="0088780C">
        <w:rPr>
          <w:iCs/>
          <w:snapToGrid w:val="0"/>
          <w:color w:val="222222"/>
          <w:kern w:val="22"/>
          <w:szCs w:val="22"/>
          <w:shd w:val="clear" w:color="auto" w:fill="FFFFFF"/>
        </w:rPr>
        <w:t xml:space="preserve">the </w:t>
      </w:r>
      <w:r w:rsidRPr="0088780C">
        <w:rPr>
          <w:iCs/>
          <w:snapToGrid w:val="0"/>
          <w:color w:val="222222"/>
          <w:kern w:val="22"/>
          <w:szCs w:val="22"/>
          <w:shd w:val="clear" w:color="auto" w:fill="FFFFFF"/>
        </w:rPr>
        <w:t>Agreement on the Conservation of Cetaceans of the Black Sea, Mediterranean Sea and contiguous Atlantic area</w:t>
      </w:r>
      <w:r w:rsidR="00F65693" w:rsidRPr="0088780C">
        <w:rPr>
          <w:iCs/>
          <w:snapToGrid w:val="0"/>
          <w:color w:val="222222"/>
          <w:kern w:val="22"/>
          <w:szCs w:val="22"/>
          <w:shd w:val="clear" w:color="auto" w:fill="FFFFFF"/>
        </w:rPr>
        <w:t xml:space="preserve"> (ACCOBAMS)</w:t>
      </w:r>
      <w:r w:rsidRPr="0088780C">
        <w:rPr>
          <w:snapToGrid w:val="0"/>
          <w:color w:val="222222"/>
          <w:kern w:val="22"/>
          <w:szCs w:val="22"/>
          <w:shd w:val="clear" w:color="auto" w:fill="FFFFFF"/>
        </w:rPr>
        <w:t>. Document AC18-Inf. 2. 25</w:t>
      </w:r>
      <w:r w:rsidR="00F65693" w:rsidRPr="0088780C">
        <w:rPr>
          <w:snapToGrid w:val="0"/>
          <w:color w:val="222222"/>
          <w:kern w:val="22"/>
          <w:szCs w:val="22"/>
          <w:shd w:val="clear" w:color="auto" w:fill="FFFFFF"/>
        </w:rPr>
        <w:t> </w:t>
      </w:r>
      <w:r w:rsidRPr="0088780C">
        <w:rPr>
          <w:snapToGrid w:val="0"/>
          <w:color w:val="222222"/>
          <w:kern w:val="22"/>
          <w:szCs w:val="22"/>
          <w:shd w:val="clear" w:color="auto" w:fill="FFFFFF"/>
        </w:rPr>
        <w:t>p</w:t>
      </w:r>
      <w:r w:rsidR="00F65693" w:rsidRPr="0088780C">
        <w:rPr>
          <w:snapToGrid w:val="0"/>
          <w:color w:val="222222"/>
          <w:kern w:val="22"/>
          <w:szCs w:val="22"/>
          <w:shd w:val="clear" w:color="auto" w:fill="FFFFFF"/>
        </w:rPr>
        <w:t>p</w:t>
      </w:r>
      <w:r w:rsidRPr="0088780C">
        <w:rPr>
          <w:snapToGrid w:val="0"/>
          <w:color w:val="222222"/>
          <w:kern w:val="22"/>
          <w:szCs w:val="22"/>
          <w:shd w:val="clear" w:color="auto" w:fill="FFFFFF"/>
        </w:rPr>
        <w:t>.</w:t>
      </w:r>
    </w:p>
    <w:p w14:paraId="40C079F3" w14:textId="2F7A783B"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222222"/>
          <w:kern w:val="22"/>
          <w:szCs w:val="22"/>
          <w:shd w:val="clear" w:color="auto" w:fill="FFFFFF"/>
        </w:rPr>
      </w:pPr>
      <w:r w:rsidRPr="0088780C">
        <w:rPr>
          <w:snapToGrid w:val="0"/>
          <w:color w:val="222222"/>
          <w:kern w:val="22"/>
          <w:szCs w:val="22"/>
          <w:shd w:val="clear" w:color="auto" w:fill="FFFFFF"/>
        </w:rPr>
        <w:t>Birkun Jr.A.A. (comp.), 2006. Conservation Plan for Black Sea Cetaceans. ACCOBAMS and Black Sea Commission. 50</w:t>
      </w:r>
      <w:r w:rsidR="00F65693" w:rsidRPr="0088780C">
        <w:rPr>
          <w:snapToGrid w:val="0"/>
          <w:color w:val="222222"/>
          <w:kern w:val="22"/>
          <w:szCs w:val="22"/>
          <w:shd w:val="clear" w:color="auto" w:fill="FFFFFF"/>
        </w:rPr>
        <w:t> </w:t>
      </w:r>
      <w:r w:rsidRPr="0088780C">
        <w:rPr>
          <w:snapToGrid w:val="0"/>
          <w:color w:val="222222"/>
          <w:kern w:val="22"/>
          <w:szCs w:val="22"/>
          <w:shd w:val="clear" w:color="auto" w:fill="FFFFFF"/>
        </w:rPr>
        <w:t>pp.</w:t>
      </w:r>
    </w:p>
    <w:p w14:paraId="33132975" w14:textId="555861C0" w:rsidR="00A876F3" w:rsidRPr="0088780C" w:rsidRDefault="00A876F3" w:rsidP="001013AF">
      <w:pPr>
        <w:suppressLineNumbers/>
        <w:suppressAutoHyphens/>
        <w:kinsoku w:val="0"/>
        <w:overflowPunct w:val="0"/>
        <w:autoSpaceDE w:val="0"/>
        <w:autoSpaceDN w:val="0"/>
        <w:adjustRightInd w:val="0"/>
        <w:snapToGrid w:val="0"/>
        <w:spacing w:after="60"/>
        <w:ind w:left="720" w:hanging="720"/>
        <w:jc w:val="left"/>
        <w:rPr>
          <w:snapToGrid w:val="0"/>
          <w:color w:val="000000"/>
          <w:kern w:val="22"/>
          <w:szCs w:val="22"/>
          <w:shd w:val="clear" w:color="auto" w:fill="FFFFFF"/>
        </w:rPr>
      </w:pPr>
      <w:r w:rsidRPr="0088780C">
        <w:rPr>
          <w:snapToGrid w:val="0"/>
          <w:color w:val="000000"/>
          <w:kern w:val="22"/>
          <w:szCs w:val="22"/>
          <w:shd w:val="clear" w:color="auto" w:fill="FFFFFF"/>
        </w:rPr>
        <w:t>Birkun Jr., A.A. &amp; Frantzis, A., 2008. </w:t>
      </w:r>
      <w:r w:rsidRPr="0088780C">
        <w:rPr>
          <w:i/>
          <w:iCs/>
          <w:snapToGrid w:val="0"/>
          <w:color w:val="000000"/>
          <w:kern w:val="22"/>
          <w:szCs w:val="22"/>
          <w:shd w:val="clear" w:color="auto" w:fill="FFFFFF"/>
        </w:rPr>
        <w:t>Phocoena phocoena ssp. relicta</w:t>
      </w:r>
      <w:r w:rsidRPr="0088780C">
        <w:rPr>
          <w:snapToGrid w:val="0"/>
          <w:color w:val="000000"/>
          <w:kern w:val="22"/>
          <w:szCs w:val="22"/>
          <w:shd w:val="clear" w:color="auto" w:fill="FFFFFF"/>
        </w:rPr>
        <w:t>. The IUCN Red List of Threatened Species 2008: e.T17030A6737111.</w:t>
      </w:r>
      <w:r w:rsidR="00F65693" w:rsidRPr="0088780C">
        <w:rPr>
          <w:snapToGrid w:val="0"/>
          <w:color w:val="000000"/>
          <w:kern w:val="22"/>
          <w:szCs w:val="22"/>
          <w:shd w:val="clear" w:color="auto" w:fill="FFFFFF"/>
        </w:rPr>
        <w:t xml:space="preserve"> </w:t>
      </w:r>
      <w:hyperlink r:id="rId151" w:history="1">
        <w:r w:rsidRPr="0088780C">
          <w:rPr>
            <w:snapToGrid w:val="0"/>
            <w:color w:val="0000FF"/>
            <w:kern w:val="22"/>
            <w:szCs w:val="22"/>
            <w:shd w:val="clear" w:color="auto" w:fill="FFFFFF"/>
          </w:rPr>
          <w:t>http://dx.doi.org/10.2305/IUCN.UK.2008.RLTS.T17030A6737111.en</w:t>
        </w:r>
      </w:hyperlink>
      <w:r w:rsidRPr="0088780C">
        <w:rPr>
          <w:snapToGrid w:val="0"/>
          <w:color w:val="000000"/>
          <w:kern w:val="22"/>
          <w:szCs w:val="22"/>
          <w:shd w:val="clear" w:color="auto" w:fill="FFFFFF"/>
        </w:rPr>
        <w:t>.</w:t>
      </w:r>
    </w:p>
    <w:p w14:paraId="012A409B" w14:textId="3AAAD95E"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000000"/>
          <w:kern w:val="22"/>
          <w:szCs w:val="22"/>
          <w:shd w:val="clear" w:color="auto" w:fill="FFFFFF"/>
        </w:rPr>
      </w:pPr>
      <w:r w:rsidRPr="0088780C">
        <w:rPr>
          <w:snapToGrid w:val="0"/>
          <w:color w:val="000000"/>
          <w:kern w:val="22"/>
          <w:szCs w:val="22"/>
          <w:shd w:val="clear" w:color="auto" w:fill="FFFFFF"/>
        </w:rPr>
        <w:t>Birkun, A. 2012. </w:t>
      </w:r>
      <w:r w:rsidRPr="0088780C">
        <w:rPr>
          <w:i/>
          <w:iCs/>
          <w:snapToGrid w:val="0"/>
          <w:color w:val="000000"/>
          <w:kern w:val="22"/>
          <w:szCs w:val="22"/>
          <w:shd w:val="clear" w:color="auto" w:fill="FFFFFF"/>
        </w:rPr>
        <w:t xml:space="preserve">Tursiops truncatus </w:t>
      </w:r>
      <w:r w:rsidRPr="0088780C">
        <w:rPr>
          <w:iCs/>
          <w:snapToGrid w:val="0"/>
          <w:color w:val="000000"/>
          <w:kern w:val="22"/>
          <w:szCs w:val="22"/>
          <w:shd w:val="clear" w:color="auto" w:fill="FFFFFF"/>
        </w:rPr>
        <w:t>ssp.</w:t>
      </w:r>
      <w:r w:rsidRPr="0088780C">
        <w:rPr>
          <w:i/>
          <w:iCs/>
          <w:snapToGrid w:val="0"/>
          <w:color w:val="000000"/>
          <w:kern w:val="22"/>
          <w:szCs w:val="22"/>
          <w:shd w:val="clear" w:color="auto" w:fill="FFFFFF"/>
        </w:rPr>
        <w:t xml:space="preserve"> ponticus</w:t>
      </w:r>
      <w:r w:rsidRPr="0088780C">
        <w:rPr>
          <w:snapToGrid w:val="0"/>
          <w:color w:val="000000"/>
          <w:kern w:val="22"/>
          <w:szCs w:val="22"/>
          <w:shd w:val="clear" w:color="auto" w:fill="FFFFFF"/>
        </w:rPr>
        <w:t>. The IUCN Red List of Threatened Species 2012: e.T133714A17771698.</w:t>
      </w:r>
      <w:r w:rsidR="00F65693" w:rsidRPr="0088780C">
        <w:rPr>
          <w:snapToGrid w:val="0"/>
          <w:color w:val="000000"/>
          <w:kern w:val="22"/>
          <w:szCs w:val="22"/>
          <w:shd w:val="clear" w:color="auto" w:fill="FFFFFF"/>
        </w:rPr>
        <w:t xml:space="preserve"> </w:t>
      </w:r>
      <w:hyperlink r:id="rId152" w:history="1">
        <w:r w:rsidRPr="0088780C">
          <w:rPr>
            <w:snapToGrid w:val="0"/>
            <w:color w:val="0000FF"/>
            <w:kern w:val="22"/>
            <w:szCs w:val="22"/>
            <w:shd w:val="clear" w:color="auto" w:fill="FFFFFF"/>
          </w:rPr>
          <w:t>http://dx.doi.org/10.2305/IUCN.UK.2012.RLTS.T133714A17771698.en</w:t>
        </w:r>
      </w:hyperlink>
      <w:r w:rsidRPr="0088780C">
        <w:rPr>
          <w:snapToGrid w:val="0"/>
          <w:color w:val="000000"/>
          <w:kern w:val="22"/>
          <w:szCs w:val="22"/>
          <w:shd w:val="clear" w:color="auto" w:fill="FFFFFF"/>
        </w:rPr>
        <w:t>.</w:t>
      </w:r>
    </w:p>
    <w:p w14:paraId="24994ED0" w14:textId="0CAC7123" w:rsidR="00A876F3" w:rsidRPr="0088780C" w:rsidRDefault="00A876F3" w:rsidP="001013AF">
      <w:pPr>
        <w:pStyle w:val="xmsonormal"/>
        <w:suppressLineNumbers/>
        <w:shd w:val="clear" w:color="auto" w:fill="FFFFFF"/>
        <w:suppressAutoHyphens/>
        <w:kinsoku w:val="0"/>
        <w:overflowPunct w:val="0"/>
        <w:autoSpaceDE w:val="0"/>
        <w:autoSpaceDN w:val="0"/>
        <w:adjustRightInd w:val="0"/>
        <w:snapToGrid w:val="0"/>
        <w:spacing w:before="0" w:beforeAutospacing="0" w:after="60" w:afterAutospacing="0"/>
        <w:ind w:left="720" w:hanging="720"/>
        <w:rPr>
          <w:snapToGrid w:val="0"/>
          <w:color w:val="222222"/>
          <w:kern w:val="22"/>
          <w:szCs w:val="22"/>
          <w:shd w:val="clear" w:color="auto" w:fill="FFFFFF"/>
        </w:rPr>
      </w:pPr>
      <w:r w:rsidRPr="0088780C">
        <w:rPr>
          <w:snapToGrid w:val="0"/>
          <w:kern w:val="22"/>
          <w:szCs w:val="22"/>
          <w:lang w:val="en-GB"/>
        </w:rPr>
        <w:t>BLASDOL. 1999. Estimation of human impact on small cetaceans of the Black Sea and elaboration of</w:t>
      </w:r>
      <w:r w:rsidR="00F65693" w:rsidRPr="0088780C">
        <w:rPr>
          <w:snapToGrid w:val="0"/>
          <w:kern w:val="22"/>
          <w:sz w:val="22"/>
          <w:szCs w:val="22"/>
          <w:lang w:val="en-GB" w:eastAsia="en-US"/>
        </w:rPr>
        <w:t xml:space="preserve"> </w:t>
      </w:r>
      <w:r w:rsidRPr="0088780C">
        <w:rPr>
          <w:snapToGrid w:val="0"/>
          <w:kern w:val="22"/>
          <w:sz w:val="22"/>
          <w:szCs w:val="22"/>
          <w:lang w:val="en-GB"/>
        </w:rPr>
        <w:t>appropriate conservation measures: final report for EC Inco-Copernicus (contract No. ERBIC15CT960104). C. R. Joiris (Coord.), Free University of Brussels, Belgium; BREMA Laboratory, Ukraine; Justus Liebig University of Giessen, Germany; Institute of Fisheries, Bulgaria; and Institute of Marine Ecology and Fisheries, Georgia. Brussels. 113 pp.</w:t>
      </w:r>
    </w:p>
    <w:p w14:paraId="28713989"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212121"/>
          <w:kern w:val="22"/>
          <w:szCs w:val="22"/>
        </w:rPr>
      </w:pPr>
      <w:r w:rsidRPr="0088780C">
        <w:rPr>
          <w:snapToGrid w:val="0"/>
          <w:color w:val="212121"/>
          <w:kern w:val="22"/>
          <w:szCs w:val="22"/>
        </w:rPr>
        <w:t>Doğa Derneği, 2014. Black Sea Seabirds Project Layman’s report, Istanbul.</w:t>
      </w:r>
    </w:p>
    <w:p w14:paraId="1AB90A8C"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222222"/>
          <w:kern w:val="22"/>
          <w:szCs w:val="22"/>
          <w:shd w:val="clear" w:color="auto" w:fill="FFFFFF"/>
        </w:rPr>
      </w:pPr>
      <w:r w:rsidRPr="0088780C">
        <w:rPr>
          <w:snapToGrid w:val="0"/>
          <w:color w:val="222222"/>
          <w:kern w:val="22"/>
          <w:szCs w:val="22"/>
          <w:shd w:val="clear" w:color="auto" w:fill="FFFFFF"/>
        </w:rPr>
        <w:t>Drozdov, V.V., 2011. Long-term variability of fishery resources of the Black Sea, tendencies, the reasons and prospects. Uchenye zapiski RGGMU V 21: 137-154.</w:t>
      </w:r>
    </w:p>
    <w:p w14:paraId="47D6652A"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Evstigneeva, I. K., and Tankovskaya, I. N. 2010 Macroalgae of the periphyton and benthos of the Laspi Bay seashore (Crimea, Black Sea). </w:t>
      </w:r>
      <w:r w:rsidRPr="0088780C">
        <w:rPr>
          <w:i/>
          <w:snapToGrid w:val="0"/>
          <w:kern w:val="22"/>
          <w:szCs w:val="22"/>
        </w:rPr>
        <w:t>Ecology of Sea</w:t>
      </w:r>
      <w:r w:rsidRPr="0088780C">
        <w:rPr>
          <w:snapToGrid w:val="0"/>
          <w:kern w:val="22"/>
          <w:szCs w:val="22"/>
        </w:rPr>
        <w:t xml:space="preserve"> </w:t>
      </w:r>
      <w:r w:rsidRPr="0088780C">
        <w:rPr>
          <w:iCs/>
          <w:snapToGrid w:val="0"/>
          <w:kern w:val="22"/>
          <w:szCs w:val="22"/>
          <w:shd w:val="clear" w:color="auto" w:fill="FFFFFF"/>
        </w:rPr>
        <w:t xml:space="preserve">81: </w:t>
      </w:r>
      <w:r w:rsidRPr="0088780C">
        <w:rPr>
          <w:snapToGrid w:val="0"/>
          <w:kern w:val="22"/>
          <w:szCs w:val="22"/>
          <w:shd w:val="clear" w:color="auto" w:fill="FFFFFF"/>
        </w:rPr>
        <w:t>40-49.</w:t>
      </w:r>
    </w:p>
    <w:p w14:paraId="06F3E0F7" w14:textId="4E7D09D4"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snapToGrid w:val="0"/>
          <w:color w:val="222222"/>
          <w:kern w:val="22"/>
          <w:szCs w:val="22"/>
          <w:shd w:val="clear" w:color="auto" w:fill="FFFFFF"/>
        </w:rPr>
        <w:t>Fomin, V.V. and Repetin, L.N., 2005. Numerical Simulation of Wind Currents and Propagation of Impurities in the Balaklava Bay.</w:t>
      </w:r>
      <w:r w:rsidR="00F65693" w:rsidRPr="0088780C">
        <w:rPr>
          <w:rStyle w:val="apple-converted-space"/>
          <w:snapToGrid w:val="0"/>
          <w:color w:val="222222"/>
          <w:kern w:val="22"/>
          <w:szCs w:val="22"/>
          <w:shd w:val="clear" w:color="auto" w:fill="FFFFFF"/>
        </w:rPr>
        <w:t xml:space="preserve"> </w:t>
      </w:r>
      <w:r w:rsidRPr="0088780C">
        <w:rPr>
          <w:i/>
          <w:iCs/>
          <w:snapToGrid w:val="0"/>
          <w:color w:val="222222"/>
          <w:kern w:val="22"/>
          <w:szCs w:val="22"/>
          <w:shd w:val="clear" w:color="auto" w:fill="FFFFFF"/>
        </w:rPr>
        <w:t>Physical Oceanography</w:t>
      </w:r>
      <w:r w:rsidRPr="0088780C">
        <w:rPr>
          <w:snapToGrid w:val="0"/>
          <w:color w:val="222222"/>
          <w:kern w:val="22"/>
          <w:szCs w:val="22"/>
          <w:shd w:val="clear" w:color="auto" w:fill="FFFFFF"/>
        </w:rPr>
        <w:t>,</w:t>
      </w:r>
      <w:r w:rsidRPr="0088780C">
        <w:rPr>
          <w:rStyle w:val="apple-converted-space"/>
          <w:snapToGrid w:val="0"/>
          <w:color w:val="222222"/>
          <w:kern w:val="22"/>
          <w:szCs w:val="22"/>
          <w:shd w:val="clear" w:color="auto" w:fill="FFFFFF"/>
        </w:rPr>
        <w:t> </w:t>
      </w:r>
      <w:r w:rsidRPr="0088780C">
        <w:rPr>
          <w:i/>
          <w:iCs/>
          <w:snapToGrid w:val="0"/>
          <w:color w:val="222222"/>
          <w:kern w:val="22"/>
          <w:szCs w:val="22"/>
          <w:shd w:val="clear" w:color="auto" w:fill="FFFFFF"/>
        </w:rPr>
        <w:t>15</w:t>
      </w:r>
      <w:r w:rsidRPr="0088780C">
        <w:rPr>
          <w:snapToGrid w:val="0"/>
          <w:color w:val="222222"/>
          <w:kern w:val="22"/>
          <w:szCs w:val="22"/>
          <w:shd w:val="clear" w:color="auto" w:fill="FFFFFF"/>
        </w:rPr>
        <w:t>(4), pp.232-246.</w:t>
      </w:r>
    </w:p>
    <w:p w14:paraId="550A1C00" w14:textId="42E4D319"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222222"/>
          <w:kern w:val="22"/>
          <w:szCs w:val="22"/>
          <w:shd w:val="clear" w:color="auto" w:fill="FFFFFF"/>
        </w:rPr>
      </w:pPr>
      <w:r w:rsidRPr="0088780C">
        <w:rPr>
          <w:bCs/>
          <w:snapToGrid w:val="0"/>
          <w:color w:val="000000"/>
          <w:kern w:val="22"/>
          <w:szCs w:val="22"/>
        </w:rPr>
        <w:t xml:space="preserve">Gladilina, E., Shpak, O., Serbin, V., Kryukova, A., Glazov, D., Gol’din, P. 2016. </w:t>
      </w:r>
      <w:r w:rsidRPr="0088780C">
        <w:rPr>
          <w:snapToGrid w:val="0"/>
          <w:kern w:val="22"/>
          <w:szCs w:val="22"/>
        </w:rPr>
        <w:t>Individual movements between local coastal populations of bottlenose dolphins (</w:t>
      </w:r>
      <w:r w:rsidRPr="0088780C">
        <w:rPr>
          <w:i/>
          <w:snapToGrid w:val="0"/>
          <w:kern w:val="22"/>
          <w:szCs w:val="22"/>
        </w:rPr>
        <w:t>Tursiops truncatus</w:t>
      </w:r>
      <w:r w:rsidRPr="0088780C">
        <w:rPr>
          <w:snapToGrid w:val="0"/>
          <w:kern w:val="22"/>
          <w:szCs w:val="22"/>
        </w:rPr>
        <w:t xml:space="preserve">) in the northern and eastern Black Sea. </w:t>
      </w:r>
      <w:r w:rsidRPr="0088780C">
        <w:rPr>
          <w:i/>
          <w:iCs/>
          <w:snapToGrid w:val="0"/>
          <w:kern w:val="22"/>
          <w:szCs w:val="22"/>
        </w:rPr>
        <w:t xml:space="preserve">Journal of </w:t>
      </w:r>
      <w:r w:rsidR="002226E0" w:rsidRPr="0088780C">
        <w:rPr>
          <w:i/>
          <w:iCs/>
          <w:snapToGrid w:val="0"/>
          <w:kern w:val="22"/>
          <w:szCs w:val="22"/>
        </w:rPr>
        <w:t xml:space="preserve">the </w:t>
      </w:r>
      <w:r w:rsidRPr="0088780C">
        <w:rPr>
          <w:i/>
          <w:iCs/>
          <w:snapToGrid w:val="0"/>
          <w:kern w:val="22"/>
          <w:szCs w:val="22"/>
        </w:rPr>
        <w:t>Marine Biolog</w:t>
      </w:r>
      <w:r w:rsidR="002226E0" w:rsidRPr="0088780C">
        <w:rPr>
          <w:i/>
          <w:iCs/>
          <w:snapToGrid w:val="0"/>
          <w:kern w:val="22"/>
          <w:szCs w:val="22"/>
        </w:rPr>
        <w:t>ical</w:t>
      </w:r>
      <w:r w:rsidRPr="0088780C">
        <w:rPr>
          <w:i/>
          <w:iCs/>
          <w:snapToGrid w:val="0"/>
          <w:kern w:val="22"/>
          <w:szCs w:val="22"/>
        </w:rPr>
        <w:t xml:space="preserve"> Association</w:t>
      </w:r>
      <w:r w:rsidR="002226E0" w:rsidRPr="0088780C">
        <w:rPr>
          <w:i/>
          <w:iCs/>
          <w:snapToGrid w:val="0"/>
          <w:kern w:val="22"/>
          <w:szCs w:val="22"/>
        </w:rPr>
        <w:t xml:space="preserve"> of the</w:t>
      </w:r>
      <w:r w:rsidRPr="0088780C">
        <w:rPr>
          <w:i/>
          <w:iCs/>
          <w:snapToGrid w:val="0"/>
          <w:kern w:val="22"/>
          <w:szCs w:val="22"/>
        </w:rPr>
        <w:t xml:space="preserve"> </w:t>
      </w:r>
      <w:r w:rsidR="00F65693" w:rsidRPr="0088780C">
        <w:rPr>
          <w:i/>
          <w:iCs/>
          <w:snapToGrid w:val="0"/>
          <w:kern w:val="22"/>
          <w:szCs w:val="22"/>
        </w:rPr>
        <w:t>United Kingdom,</w:t>
      </w:r>
      <w:r w:rsidRPr="0088780C">
        <w:rPr>
          <w:iCs/>
          <w:snapToGrid w:val="0"/>
          <w:kern w:val="22"/>
          <w:szCs w:val="22"/>
        </w:rPr>
        <w:t xml:space="preserve"> </w:t>
      </w:r>
      <w:r w:rsidRPr="0088780C">
        <w:rPr>
          <w:snapToGrid w:val="0"/>
          <w:kern w:val="22"/>
          <w:szCs w:val="22"/>
          <w:lang w:eastAsia="ru-RU"/>
        </w:rPr>
        <w:t>doi:10.1017/S0025315416001296</w:t>
      </w:r>
    </w:p>
    <w:p w14:paraId="7FE115A5" w14:textId="5F834E28"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212121"/>
          <w:kern w:val="22"/>
          <w:szCs w:val="22"/>
          <w:shd w:val="clear" w:color="auto" w:fill="FFFFFF"/>
        </w:rPr>
      </w:pPr>
      <w:r w:rsidRPr="0088780C">
        <w:rPr>
          <w:snapToGrid w:val="0"/>
          <w:color w:val="212121"/>
          <w:kern w:val="22"/>
          <w:szCs w:val="22"/>
          <w:shd w:val="clear" w:color="auto" w:fill="FFFFFF"/>
        </w:rPr>
        <w:t>Gol’din, P. 2004. Grow and body size of the harbour porpoise, Phocoena phocoena (Cetacea, Phocoenidae), in the Sea of Azov and the Black Sea.Vestinik zoologii 38(4): 59-73.</w:t>
      </w:r>
    </w:p>
    <w:p w14:paraId="79085F7D" w14:textId="4B5A39D5"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212121"/>
          <w:kern w:val="22"/>
          <w:szCs w:val="22"/>
          <w:shd w:val="clear" w:color="auto" w:fill="FFFFFF"/>
        </w:rPr>
      </w:pPr>
      <w:r w:rsidRPr="0088780C">
        <w:rPr>
          <w:snapToGrid w:val="0"/>
          <w:color w:val="212121"/>
          <w:kern w:val="22"/>
          <w:szCs w:val="22"/>
          <w:shd w:val="clear" w:color="auto" w:fill="FFFFFF"/>
        </w:rPr>
        <w:t>Hetman, T. P. 2014.</w:t>
      </w:r>
      <w:r w:rsidR="002226E0" w:rsidRPr="0088780C">
        <w:rPr>
          <w:snapToGrid w:val="0"/>
          <w:color w:val="212121"/>
          <w:kern w:val="22"/>
          <w:szCs w:val="22"/>
          <w:shd w:val="clear" w:color="auto" w:fill="FFFFFF"/>
        </w:rPr>
        <w:t xml:space="preserve"> </w:t>
      </w:r>
      <w:r w:rsidRPr="0088780C">
        <w:rPr>
          <w:snapToGrid w:val="0"/>
          <w:color w:val="212121"/>
          <w:kern w:val="22"/>
          <w:szCs w:val="22"/>
          <w:shd w:val="clear" w:color="auto" w:fill="FFFFFF"/>
        </w:rPr>
        <w:t>Current state of fish community of hard soil of Laspi Bay (the Black Sea). Trudy GNBS. 110: 36-40.</w:t>
      </w:r>
    </w:p>
    <w:p w14:paraId="514424B0"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222222"/>
          <w:kern w:val="22"/>
          <w:szCs w:val="22"/>
          <w:shd w:val="clear" w:color="auto" w:fill="FFFFFF"/>
        </w:rPr>
      </w:pPr>
      <w:r w:rsidRPr="0088780C">
        <w:rPr>
          <w:rStyle w:val="xgmail-fontstyle139"/>
          <w:snapToGrid w:val="0"/>
          <w:color w:val="000000"/>
          <w:kern w:val="22"/>
          <w:szCs w:val="22"/>
          <w:shd w:val="clear" w:color="auto" w:fill="FFFFFF"/>
        </w:rPr>
        <w:t>Kovrigina, N.P., Popov, M. A., Lisit-skaya, E.V., Kuftarkova, E.A., Gubanov, V.I. 2010.</w:t>
      </w:r>
      <w:r w:rsidRPr="0088780C">
        <w:rPr>
          <w:rStyle w:val="apple-converted-space"/>
          <w:snapToGrid w:val="0"/>
          <w:color w:val="000000"/>
          <w:kern w:val="22"/>
          <w:szCs w:val="22"/>
          <w:shd w:val="clear" w:color="auto" w:fill="FFFFFF"/>
        </w:rPr>
        <w:t> </w:t>
      </w:r>
      <w:r w:rsidRPr="0088780C">
        <w:rPr>
          <w:rStyle w:val="xgmail-fontstyle139"/>
          <w:snapToGrid w:val="0"/>
          <w:color w:val="000000"/>
          <w:kern w:val="22"/>
          <w:szCs w:val="22"/>
          <w:shd w:val="clear" w:color="auto" w:fill="FFFFFF"/>
        </w:rPr>
        <w:t>Complex monitoring of Balaklava Bay (Black Sea) in 2000 - 2007. Marine Ecology Journal</w:t>
      </w:r>
      <w:r w:rsidRPr="0088780C">
        <w:rPr>
          <w:snapToGrid w:val="0"/>
          <w:kern w:val="22"/>
          <w:szCs w:val="22"/>
        </w:rPr>
        <w:t>, № 4, Т. IX: 62-75.</w:t>
      </w:r>
    </w:p>
    <w:p w14:paraId="3E404B87" w14:textId="5F699065"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222222"/>
          <w:kern w:val="22"/>
          <w:szCs w:val="22"/>
          <w:shd w:val="clear" w:color="auto" w:fill="FFFFFF"/>
        </w:rPr>
      </w:pPr>
      <w:r w:rsidRPr="0088780C">
        <w:rPr>
          <w:snapToGrid w:val="0"/>
          <w:color w:val="222222"/>
          <w:kern w:val="22"/>
          <w:szCs w:val="22"/>
          <w:shd w:val="clear" w:color="auto" w:fill="FFFFFF"/>
        </w:rPr>
        <w:t>Kubryakov, A.I., Korotaev, G.K., Dorofeev, V.L., Ratner, Y.B., Palazov, A., Valchev, N., Malciu, V., Mateescu, R. and Oguz, T., 2012. Black Sea coastal forecasting system.</w:t>
      </w:r>
      <w:r w:rsidR="002226E0" w:rsidRPr="0088780C">
        <w:rPr>
          <w:rStyle w:val="apple-converted-space"/>
          <w:snapToGrid w:val="0"/>
          <w:color w:val="222222"/>
          <w:kern w:val="22"/>
          <w:szCs w:val="22"/>
          <w:shd w:val="clear" w:color="auto" w:fill="FFFFFF"/>
        </w:rPr>
        <w:t xml:space="preserve"> </w:t>
      </w:r>
      <w:r w:rsidRPr="0088780C">
        <w:rPr>
          <w:i/>
          <w:iCs/>
          <w:snapToGrid w:val="0"/>
          <w:color w:val="222222"/>
          <w:kern w:val="22"/>
          <w:szCs w:val="22"/>
          <w:shd w:val="clear" w:color="auto" w:fill="FFFFFF"/>
        </w:rPr>
        <w:t>Ocean Science</w:t>
      </w:r>
      <w:r w:rsidRPr="0088780C">
        <w:rPr>
          <w:snapToGrid w:val="0"/>
          <w:color w:val="222222"/>
          <w:kern w:val="22"/>
          <w:szCs w:val="22"/>
          <w:shd w:val="clear" w:color="auto" w:fill="FFFFFF"/>
        </w:rPr>
        <w:t>,</w:t>
      </w:r>
      <w:r w:rsidRPr="0088780C">
        <w:rPr>
          <w:rStyle w:val="apple-converted-space"/>
          <w:snapToGrid w:val="0"/>
          <w:color w:val="222222"/>
          <w:kern w:val="22"/>
          <w:szCs w:val="22"/>
          <w:shd w:val="clear" w:color="auto" w:fill="FFFFFF"/>
        </w:rPr>
        <w:t> </w:t>
      </w:r>
      <w:r w:rsidRPr="0088780C">
        <w:rPr>
          <w:i/>
          <w:iCs/>
          <w:snapToGrid w:val="0"/>
          <w:color w:val="222222"/>
          <w:kern w:val="22"/>
          <w:szCs w:val="22"/>
          <w:shd w:val="clear" w:color="auto" w:fill="FFFFFF"/>
        </w:rPr>
        <w:t>8</w:t>
      </w:r>
      <w:r w:rsidRPr="0088780C">
        <w:rPr>
          <w:snapToGrid w:val="0"/>
          <w:color w:val="222222"/>
          <w:kern w:val="22"/>
          <w:szCs w:val="22"/>
          <w:shd w:val="clear" w:color="auto" w:fill="FFFFFF"/>
        </w:rPr>
        <w:t>(2), p.183.</w:t>
      </w:r>
    </w:p>
    <w:p w14:paraId="439E60D8"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000000" w:themeColor="text1"/>
          <w:kern w:val="22"/>
          <w:szCs w:val="22"/>
          <w:lang w:eastAsia="ru-RU"/>
        </w:rPr>
      </w:pPr>
      <w:r w:rsidRPr="0088780C">
        <w:rPr>
          <w:snapToGrid w:val="0"/>
          <w:color w:val="000000" w:themeColor="text1"/>
          <w:kern w:val="22"/>
          <w:szCs w:val="22"/>
          <w:shd w:val="clear" w:color="auto" w:fill="FFFFFF"/>
        </w:rPr>
        <w:t>Kuzminova, N.S., 2013. Population parameters of horse mackerel in various water areas of the Black Sea in the modern period. Ribogospodarka Science of Ukraine, No. 3: 35-45.</w:t>
      </w:r>
    </w:p>
    <w:p w14:paraId="2DF62067" w14:textId="6FD561BC"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Lisitskaya, Y.V., 2010. Meroplankton of Balaklava Bay.</w:t>
      </w:r>
      <w:r w:rsidR="00F65693" w:rsidRPr="0088780C">
        <w:rPr>
          <w:snapToGrid w:val="0"/>
          <w:kern w:val="22"/>
          <w:szCs w:val="22"/>
          <w:shd w:val="clear" w:color="auto" w:fill="FFFFFF"/>
        </w:rPr>
        <w:t xml:space="preserve"> </w:t>
      </w:r>
      <w:r w:rsidRPr="0088780C">
        <w:rPr>
          <w:i/>
          <w:iCs/>
          <w:snapToGrid w:val="0"/>
          <w:kern w:val="22"/>
          <w:szCs w:val="22"/>
          <w:shd w:val="clear" w:color="auto" w:fill="FFFFFF"/>
        </w:rPr>
        <w:t>Hydrobiological Journal</w:t>
      </w:r>
      <w:r w:rsidRPr="0088780C">
        <w:rPr>
          <w:snapToGrid w:val="0"/>
          <w:kern w:val="22"/>
          <w:szCs w:val="22"/>
          <w:shd w:val="clear" w:color="auto" w:fill="FFFFFF"/>
        </w:rPr>
        <w:t>, </w:t>
      </w:r>
      <w:r w:rsidRPr="0088780C">
        <w:rPr>
          <w:i/>
          <w:iCs/>
          <w:snapToGrid w:val="0"/>
          <w:kern w:val="22"/>
          <w:szCs w:val="22"/>
          <w:shd w:val="clear" w:color="auto" w:fill="FFFFFF"/>
        </w:rPr>
        <w:t>46</w:t>
      </w:r>
      <w:r w:rsidRPr="0088780C">
        <w:rPr>
          <w:snapToGrid w:val="0"/>
          <w:kern w:val="22"/>
          <w:szCs w:val="22"/>
          <w:shd w:val="clear" w:color="auto" w:fill="FFFFFF"/>
        </w:rPr>
        <w:t>(5): 29-37</w:t>
      </w:r>
    </w:p>
    <w:p w14:paraId="5645D267" w14:textId="68134A7A"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lang w:eastAsia="ru-RU"/>
        </w:rPr>
        <w:t xml:space="preserve">Milchakova, N. A. (ed.). 2014. Nature Reserve Resources of Sevastopol City. </w:t>
      </w:r>
      <w:r w:rsidRPr="0088780C">
        <w:rPr>
          <w:snapToGrid w:val="0"/>
          <w:kern w:val="22"/>
          <w:szCs w:val="22"/>
        </w:rPr>
        <w:t>4</w:t>
      </w:r>
      <w:r w:rsidR="002226E0" w:rsidRPr="0088780C">
        <w:rPr>
          <w:snapToGrid w:val="0"/>
          <w:kern w:val="22"/>
          <w:szCs w:val="22"/>
        </w:rPr>
        <w:t xml:space="preserve"> </w:t>
      </w:r>
      <w:r w:rsidRPr="0088780C">
        <w:rPr>
          <w:snapToGrid w:val="0"/>
          <w:kern w:val="22"/>
          <w:szCs w:val="22"/>
        </w:rPr>
        <w:t>Green</w:t>
      </w:r>
      <w:r w:rsidR="002226E0" w:rsidRPr="0088780C">
        <w:rPr>
          <w:snapToGrid w:val="0"/>
          <w:kern w:val="22"/>
          <w:szCs w:val="22"/>
        </w:rPr>
        <w:t xml:space="preserve"> </w:t>
      </w:r>
      <w:r w:rsidRPr="0088780C">
        <w:rPr>
          <w:snapToGrid w:val="0"/>
          <w:kern w:val="22"/>
          <w:szCs w:val="22"/>
        </w:rPr>
        <w:t>Inn, Sevastopol. 53</w:t>
      </w:r>
      <w:r w:rsidR="002226E0" w:rsidRPr="0088780C">
        <w:rPr>
          <w:snapToGrid w:val="0"/>
          <w:kern w:val="22"/>
          <w:szCs w:val="22"/>
        </w:rPr>
        <w:t> </w:t>
      </w:r>
      <w:r w:rsidRPr="0088780C">
        <w:rPr>
          <w:snapToGrid w:val="0"/>
          <w:kern w:val="22"/>
          <w:szCs w:val="22"/>
        </w:rPr>
        <w:t>p.</w:t>
      </w:r>
      <w:r w:rsidR="002226E0" w:rsidRPr="0088780C">
        <w:rPr>
          <w:snapToGrid w:val="0"/>
          <w:kern w:val="22"/>
          <w:szCs w:val="22"/>
        </w:rPr>
        <w:t xml:space="preserve"> </w:t>
      </w:r>
      <w:r w:rsidRPr="0088780C">
        <w:rPr>
          <w:snapToGrid w:val="0"/>
          <w:kern w:val="22"/>
          <w:szCs w:val="22"/>
        </w:rPr>
        <w:t xml:space="preserve">Popovichev V. N., Stetsyuk A. P., Plotitsina O. V., Popov M. A., Rodionova N. Yu., Tsarina T. V. 2014. Mercury, primary production and hydrochemical parameters in the system of ecological monitoring of the surface layer of the Balaklava bay. </w:t>
      </w:r>
      <w:r w:rsidRPr="0088780C">
        <w:rPr>
          <w:i/>
          <w:snapToGrid w:val="0"/>
          <w:kern w:val="22"/>
          <w:szCs w:val="22"/>
        </w:rPr>
        <w:t>Optimization and Protection of Ecosystems, Simferopol, TNU</w:t>
      </w:r>
      <w:r w:rsidRPr="0088780C">
        <w:rPr>
          <w:snapToGrid w:val="0"/>
          <w:kern w:val="22"/>
          <w:szCs w:val="22"/>
        </w:rPr>
        <w:t xml:space="preserve"> Iss. 11: 99–105.</w:t>
      </w:r>
    </w:p>
    <w:p w14:paraId="4FA5A218"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Murina V. V., Grintsov V. A. 2009. Species Composition and Ecology of the Hydropolypes (Hydrozoa, Cnidaria) of Laspi Bay (Southern Coast of Crimea). </w:t>
      </w:r>
      <w:r w:rsidRPr="0088780C">
        <w:rPr>
          <w:i/>
          <w:snapToGrid w:val="0"/>
          <w:kern w:val="22"/>
          <w:szCs w:val="22"/>
        </w:rPr>
        <w:t>Vestnik Zoologii</w:t>
      </w:r>
      <w:r w:rsidRPr="0088780C">
        <w:rPr>
          <w:snapToGrid w:val="0"/>
          <w:kern w:val="22"/>
          <w:szCs w:val="22"/>
        </w:rPr>
        <w:t>, 43(5): 465–469.</w:t>
      </w:r>
    </w:p>
    <w:p w14:paraId="2048430B"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Nevrova, E. V. 2014. Taxonomic diversity and environmental assessment of benthic diatoms at Balaklava bay (south-western Crimea, the Black Sea, Ukraine). </w:t>
      </w:r>
      <w:r w:rsidRPr="0088780C">
        <w:rPr>
          <w:i/>
          <w:snapToGrid w:val="0"/>
          <w:kern w:val="22"/>
          <w:szCs w:val="22"/>
        </w:rPr>
        <w:t>Algologia</w:t>
      </w:r>
      <w:r w:rsidRPr="0088780C">
        <w:rPr>
          <w:snapToGrid w:val="0"/>
          <w:kern w:val="22"/>
          <w:szCs w:val="22"/>
        </w:rPr>
        <w:t xml:space="preserve"> 24(1): 47-66.</w:t>
      </w:r>
    </w:p>
    <w:p w14:paraId="0F40CC0C"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 xml:space="preserve">Popov, M.A., Lisitskaya, E. V., Pospelova, N. V. 2014. The habitat and biological diversity of the Megalo Yalo Gulf. </w:t>
      </w:r>
      <w:r w:rsidRPr="0088780C">
        <w:rPr>
          <w:i/>
          <w:snapToGrid w:val="0"/>
          <w:kern w:val="22"/>
          <w:szCs w:val="22"/>
          <w:shd w:val="clear" w:color="auto" w:fill="FFFFFF"/>
        </w:rPr>
        <w:t>Ecological safety of Shelf Zones</w:t>
      </w:r>
      <w:r w:rsidRPr="0088780C">
        <w:rPr>
          <w:snapToGrid w:val="0"/>
          <w:kern w:val="22"/>
          <w:szCs w:val="22"/>
          <w:shd w:val="clear" w:color="auto" w:fill="FFFFFF"/>
        </w:rPr>
        <w:t xml:space="preserve"> 28(1): 214-219.</w:t>
      </w:r>
    </w:p>
    <w:p w14:paraId="43E0B409"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Revkov N. K. and Nikolaenko T. V. 2002 Biodiversity of Zoobenthos in the Coastal Zone of the South Coast of Crimea (Laspi Bay Area) </w:t>
      </w:r>
      <w:r w:rsidRPr="0088780C">
        <w:rPr>
          <w:i/>
          <w:snapToGrid w:val="0"/>
          <w:kern w:val="22"/>
          <w:szCs w:val="22"/>
        </w:rPr>
        <w:t>Russian Journal of Marine Biology</w:t>
      </w:r>
      <w:r w:rsidRPr="0088780C">
        <w:rPr>
          <w:snapToGrid w:val="0"/>
          <w:kern w:val="22"/>
          <w:szCs w:val="22"/>
        </w:rPr>
        <w:t>, 28(3): 151–162.</w:t>
      </w:r>
    </w:p>
    <w:p w14:paraId="1E67A8A5"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222222"/>
          <w:kern w:val="22"/>
          <w:szCs w:val="22"/>
          <w:shd w:val="clear" w:color="auto" w:fill="FFFFFF"/>
        </w:rPr>
      </w:pPr>
      <w:r w:rsidRPr="0088780C">
        <w:rPr>
          <w:snapToGrid w:val="0"/>
          <w:kern w:val="22"/>
          <w:szCs w:val="22"/>
          <w:lang w:eastAsia="ru-RU"/>
        </w:rPr>
        <w:t xml:space="preserve">Vishnyakova, K., Gol’din, P. 2015. </w:t>
      </w:r>
      <w:r w:rsidRPr="0088780C">
        <w:rPr>
          <w:snapToGrid w:val="0"/>
          <w:kern w:val="22"/>
          <w:szCs w:val="22"/>
          <w:shd w:val="clear" w:color="auto" w:fill="FFFFFF"/>
        </w:rPr>
        <w:t xml:space="preserve">Seasonality of strandings and bycatch of harbour porpoises in the Sea of Azov: the effects of fisheries, weather conditions and life history. </w:t>
      </w:r>
      <w:r w:rsidRPr="0088780C">
        <w:rPr>
          <w:i/>
          <w:snapToGrid w:val="0"/>
          <w:kern w:val="22"/>
          <w:szCs w:val="22"/>
          <w:shd w:val="clear" w:color="auto" w:fill="FFFFFF"/>
        </w:rPr>
        <w:t>ICES Journal of Marine Science</w:t>
      </w:r>
      <w:r w:rsidRPr="0088780C">
        <w:rPr>
          <w:snapToGrid w:val="0"/>
          <w:kern w:val="22"/>
          <w:szCs w:val="22"/>
          <w:shd w:val="clear" w:color="auto" w:fill="FFFFFF"/>
        </w:rPr>
        <w:t xml:space="preserve"> </w:t>
      </w:r>
      <w:r w:rsidRPr="0088780C">
        <w:rPr>
          <w:snapToGrid w:val="0"/>
          <w:kern w:val="22"/>
          <w:szCs w:val="22"/>
          <w:lang w:eastAsia="ru-RU"/>
        </w:rPr>
        <w:t>72(3): 981–991</w:t>
      </w:r>
    </w:p>
    <w:p w14:paraId="09BD8096" w14:textId="471D1ACA"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Yurakhno V. M., Tamoikin I. Yu. 1999. On the prospect of biodiversity conservation in coastal and marine communities near capes of Fiolent, Aya and Sarych. Pontida 1: 51-59.</w:t>
      </w:r>
    </w:p>
    <w:p w14:paraId="45FAA846" w14:textId="77777777" w:rsidR="00A876F3" w:rsidRPr="0088780C" w:rsidRDefault="00A876F3" w:rsidP="001013AF">
      <w:pPr>
        <w:suppressLineNumbers/>
        <w:suppressAutoHyphens/>
        <w:kinsoku w:val="0"/>
        <w:overflowPunct w:val="0"/>
        <w:autoSpaceDE w:val="0"/>
        <w:autoSpaceDN w:val="0"/>
        <w:ind w:left="540" w:hanging="540"/>
        <w:rPr>
          <w:rFonts w:eastAsia="MS Mincho"/>
          <w:snapToGrid w:val="0"/>
          <w:kern w:val="22"/>
          <w:szCs w:val="22"/>
        </w:rPr>
      </w:pPr>
    </w:p>
    <w:p w14:paraId="3C165E98" w14:textId="77777777" w:rsidR="00A876F3" w:rsidRPr="0088780C" w:rsidRDefault="00A876F3" w:rsidP="001013AF">
      <w:pPr>
        <w:suppressLineNumbers/>
        <w:suppressAutoHyphens/>
        <w:kinsoku w:val="0"/>
        <w:overflowPunct w:val="0"/>
        <w:autoSpaceDE w:val="0"/>
        <w:autoSpaceDN w:val="0"/>
        <w:ind w:left="540" w:hanging="540"/>
        <w:rPr>
          <w:rFonts w:eastAsia="MS Mincho"/>
          <w:snapToGrid w:val="0"/>
          <w:kern w:val="22"/>
          <w:szCs w:val="22"/>
        </w:rPr>
      </w:pPr>
      <w:r w:rsidRPr="0088780C">
        <w:rPr>
          <w:rFonts w:eastAsia="MS Mincho"/>
          <w:snapToGrid w:val="0"/>
          <w:kern w:val="22"/>
          <w:szCs w:val="22"/>
        </w:rPr>
        <w:br w:type="page"/>
      </w:r>
    </w:p>
    <w:p w14:paraId="4137CCE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14BC9209"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213B2E20"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noProof/>
          <w:snapToGrid w:val="0"/>
          <w:kern w:val="22"/>
          <w:szCs w:val="22"/>
          <w:lang w:eastAsia="zh-CN"/>
        </w:rPr>
        <w:drawing>
          <wp:inline distT="0" distB="0" distL="0" distR="0" wp14:anchorId="549E9C86" wp14:editId="63E7AADA">
            <wp:extent cx="5486400" cy="4572000"/>
            <wp:effectExtent l="0" t="0" r="0" b="0"/>
            <wp:docPr id="64558" name="Picture 64558" descr="C:\Users\grekin\AppData\Local\Microsoft\Windows\Temporary Internet Files\Content.Wor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grekin\AppData\Local\Microsoft\Windows\Temporary Internet Files\Content.Word\7.pn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766546B5"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
          <w:snapToGrid w:val="0"/>
          <w:color w:val="000000"/>
          <w:kern w:val="22"/>
          <w:szCs w:val="22"/>
        </w:rPr>
        <w:t>Figure 1.</w:t>
      </w:r>
      <w:r w:rsidRPr="0088780C">
        <w:rPr>
          <w:rFonts w:eastAsia="MS Mincho"/>
          <w:b/>
          <w:bCs/>
          <w:snapToGrid w:val="0"/>
          <w:color w:val="000000"/>
          <w:kern w:val="22"/>
          <w:szCs w:val="22"/>
        </w:rPr>
        <w:t xml:space="preserve"> </w:t>
      </w:r>
      <w:r w:rsidRPr="0088780C">
        <w:rPr>
          <w:rFonts w:eastAsia="MS Mincho"/>
          <w:b/>
          <w:bCs/>
          <w:snapToGrid w:val="0"/>
          <w:color w:val="000000" w:themeColor="text1"/>
          <w:kern w:val="22"/>
          <w:szCs w:val="22"/>
        </w:rPr>
        <w:t>Area meeting the EBSA criteria</w:t>
      </w:r>
    </w:p>
    <w:p w14:paraId="265679BA" w14:textId="4C53147D" w:rsidR="002700F3" w:rsidRPr="0088780C" w:rsidRDefault="002700F3">
      <w:pPr>
        <w:jc w:val="left"/>
        <w:rPr>
          <w:rFonts w:eastAsia="MS Mincho"/>
          <w:bCs/>
          <w:snapToGrid w:val="0"/>
          <w:color w:val="000000"/>
          <w:kern w:val="22"/>
          <w:szCs w:val="22"/>
        </w:rPr>
      </w:pPr>
      <w:r w:rsidRPr="0088780C">
        <w:rPr>
          <w:rFonts w:eastAsia="MS Mincho"/>
          <w:bCs/>
          <w:snapToGrid w:val="0"/>
          <w:color w:val="000000"/>
          <w:kern w:val="22"/>
          <w:szCs w:val="22"/>
        </w:rPr>
        <w:br w:type="page"/>
      </w:r>
    </w:p>
    <w:p w14:paraId="3B2214A1"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257E3C88"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noProof/>
          <w:snapToGrid w:val="0"/>
          <w:kern w:val="22"/>
          <w:szCs w:val="22"/>
          <w:lang w:eastAsia="zh-CN"/>
        </w:rPr>
        <w:drawing>
          <wp:inline distT="0" distB="0" distL="0" distR="0" wp14:anchorId="499255CC" wp14:editId="0DF23C78">
            <wp:extent cx="5760085" cy="4069900"/>
            <wp:effectExtent l="0" t="0" r="0" b="6985"/>
            <wp:docPr id="15360" name="Picture 15360" descr="C:\Users\grekin\AppData\Local\Microsoft\Windows\Temporary Internet Files\Content.Word\Balaklava_Tursiops_observ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C:\Users\grekin\AppData\Local\Microsoft\Windows\Temporary Internet Files\Content.Word\Balaklava_Tursiops_observation.jp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760085" cy="4069900"/>
                    </a:xfrm>
                    <a:prstGeom prst="rect">
                      <a:avLst/>
                    </a:prstGeom>
                    <a:noFill/>
                    <a:ln>
                      <a:noFill/>
                    </a:ln>
                  </pic:spPr>
                </pic:pic>
              </a:graphicData>
            </a:graphic>
          </wp:inline>
        </w:drawing>
      </w:r>
    </w:p>
    <w:p w14:paraId="76E4F14A"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
          <w:snapToGrid w:val="0"/>
          <w:color w:val="000000"/>
          <w:kern w:val="22"/>
          <w:szCs w:val="22"/>
        </w:rPr>
        <w:t>Figure 2. Distribution of Black Sea bottlenose dolphins (</w:t>
      </w:r>
      <w:r w:rsidRPr="0088780C">
        <w:rPr>
          <w:rFonts w:eastAsia="MS Mincho"/>
          <w:b/>
          <w:i/>
          <w:snapToGrid w:val="0"/>
          <w:color w:val="000000"/>
          <w:kern w:val="22"/>
          <w:szCs w:val="22"/>
        </w:rPr>
        <w:t>Tursiops truncatus ponticus</w:t>
      </w:r>
      <w:r w:rsidRPr="0088780C">
        <w:rPr>
          <w:rFonts w:eastAsia="MS Mincho"/>
          <w:b/>
          <w:snapToGrid w:val="0"/>
          <w:color w:val="000000"/>
          <w:kern w:val="22"/>
          <w:szCs w:val="22"/>
        </w:rPr>
        <w:t>) in coastal waters of Balaklava in 2011-14</w:t>
      </w:r>
      <w:r w:rsidRPr="0088780C">
        <w:rPr>
          <w:rFonts w:eastAsia="MS Mincho"/>
          <w:bCs/>
          <w:snapToGrid w:val="0"/>
          <w:color w:val="000000"/>
          <w:kern w:val="22"/>
          <w:szCs w:val="22"/>
        </w:rPr>
        <w:t>. Observations by Elena Gladilina (unpublished data)</w:t>
      </w:r>
    </w:p>
    <w:p w14:paraId="48099373"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326A8E73"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rFonts w:eastAsia="MS Mincho"/>
          <w:bCs/>
          <w:snapToGrid w:val="0"/>
          <w:color w:val="000000"/>
          <w:kern w:val="22"/>
          <w:szCs w:val="22"/>
        </w:rPr>
        <w:t xml:space="preserve"> </w:t>
      </w:r>
      <w:r w:rsidRPr="0088780C">
        <w:rPr>
          <w:rFonts w:eastAsia="MS Mincho"/>
          <w:b/>
          <w:snapToGrid w:val="0"/>
          <w:color w:val="000000" w:themeColor="text1"/>
          <w:kern w:val="22"/>
          <w:szCs w:val="22"/>
        </w:rPr>
        <w:br w:type="page"/>
      </w:r>
    </w:p>
    <w:p w14:paraId="3CE7AC4B" w14:textId="42998383" w:rsidR="00A876F3" w:rsidRPr="0088780C" w:rsidRDefault="00A876F3" w:rsidP="001013AF">
      <w:pPr>
        <w:suppressLineNumbers/>
        <w:suppressAutoHyphens/>
        <w:kinsoku w:val="0"/>
        <w:overflowPunct w:val="0"/>
        <w:autoSpaceDE w:val="0"/>
        <w:autoSpaceDN w:val="0"/>
        <w:jc w:val="center"/>
        <w:rPr>
          <w:rFonts w:eastAsia="MS Mincho"/>
          <w:b/>
          <w:snapToGrid w:val="0"/>
          <w:color w:val="000000" w:themeColor="text1"/>
          <w:kern w:val="22"/>
          <w:szCs w:val="22"/>
        </w:rPr>
      </w:pPr>
      <w:r w:rsidRPr="0088780C">
        <w:rPr>
          <w:rFonts w:eastAsia="MS Mincho"/>
          <w:b/>
          <w:snapToGrid w:val="0"/>
          <w:color w:val="000000" w:themeColor="text1"/>
          <w:kern w:val="22"/>
          <w:szCs w:val="22"/>
        </w:rPr>
        <w:t xml:space="preserve">Area </w:t>
      </w:r>
      <w:r w:rsidR="00F743B2" w:rsidRPr="0088780C">
        <w:rPr>
          <w:rFonts w:eastAsia="MS Mincho"/>
          <w:b/>
          <w:snapToGrid w:val="0"/>
          <w:color w:val="000000" w:themeColor="text1"/>
          <w:kern w:val="22"/>
          <w:szCs w:val="22"/>
        </w:rPr>
        <w:t>No.</w:t>
      </w:r>
      <w:r w:rsidRPr="0088780C">
        <w:rPr>
          <w:rFonts w:eastAsia="MS Mincho"/>
          <w:b/>
          <w:snapToGrid w:val="0"/>
          <w:color w:val="000000" w:themeColor="text1"/>
          <w:kern w:val="22"/>
          <w:szCs w:val="22"/>
        </w:rPr>
        <w:t xml:space="preserve"> 8: Yagorlytsky Bay</w:t>
      </w:r>
    </w:p>
    <w:p w14:paraId="1EC97CE9"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p>
    <w:p w14:paraId="32C9AAF2" w14:textId="1657010C" w:rsidR="00A876F3" w:rsidRPr="0088780C" w:rsidRDefault="00A876F3" w:rsidP="001013AF">
      <w:pPr>
        <w:pStyle w:val="BodyText"/>
        <w:suppressLineNumbers/>
        <w:suppressAutoHyphens/>
        <w:kinsoku w:val="0"/>
        <w:overflowPunct w:val="0"/>
        <w:autoSpaceDE w:val="0"/>
        <w:autoSpaceDN w:val="0"/>
        <w:spacing w:before="0"/>
        <w:ind w:firstLine="0"/>
        <w:contextualSpacing/>
        <w:rPr>
          <w:snapToGrid w:val="0"/>
          <w:kern w:val="22"/>
          <w:szCs w:val="22"/>
        </w:rPr>
      </w:pPr>
      <w:r w:rsidRPr="0088780C">
        <w:rPr>
          <w:rFonts w:eastAsia="MS Mincho"/>
          <w:b/>
          <w:snapToGrid w:val="0"/>
          <w:color w:val="000000" w:themeColor="text1"/>
          <w:kern w:val="22"/>
          <w:szCs w:val="22"/>
        </w:rPr>
        <w:t>Abstract</w:t>
      </w:r>
    </w:p>
    <w:p w14:paraId="7DAFD782" w14:textId="1F0F449C" w:rsidR="00A876F3" w:rsidRPr="0088780C" w:rsidRDefault="00A876F3" w:rsidP="001013AF">
      <w:pPr>
        <w:suppressLineNumbers/>
        <w:shd w:val="clear" w:color="auto" w:fill="FFFFFF"/>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 xml:space="preserve">Yagorlytsky Bay, </w:t>
      </w:r>
      <w:r w:rsidRPr="0088780C">
        <w:rPr>
          <w:snapToGrid w:val="0"/>
          <w:color w:val="000000" w:themeColor="text1"/>
          <w:kern w:val="22"/>
          <w:szCs w:val="22"/>
          <w:shd w:val="clear" w:color="auto" w:fill="FFFFFF"/>
        </w:rPr>
        <w:t>owing to</w:t>
      </w:r>
      <w:r w:rsidRPr="0088780C">
        <w:rPr>
          <w:rFonts w:eastAsia="Times New Roman"/>
          <w:snapToGrid w:val="0"/>
          <w:color w:val="000000" w:themeColor="text1"/>
          <w:kern w:val="22"/>
          <w:szCs w:val="22"/>
          <w:lang w:eastAsia="ru-RU"/>
        </w:rPr>
        <w:t xml:space="preserve"> the peculiarities of the hydrological, hydrochemical and hydrobiological regimes, is a unique area of the north-western part of the Black Sea. The coastal and aquatic complex of Yagorlytsky Bay is characterized by a rich variety of plant and animal life, high endemism, geomorphological and landscape uniqueness</w:t>
      </w:r>
      <w:r w:rsidRPr="0088780C">
        <w:rPr>
          <w:rFonts w:eastAsia="MS Mincho"/>
          <w:snapToGrid w:val="0"/>
          <w:color w:val="000000" w:themeColor="text1"/>
          <w:kern w:val="22"/>
          <w:szCs w:val="22"/>
        </w:rPr>
        <w:t xml:space="preserve"> and has one of the highest environmental statuses of international importance. The marine area of Yagorlytsky Bay is a part of the National Natural Park </w:t>
      </w:r>
      <w:r w:rsidR="00D8482D" w:rsidRPr="0088780C">
        <w:rPr>
          <w:rFonts w:eastAsia="MS Mincho"/>
          <w:snapToGrid w:val="0"/>
          <w:color w:val="000000" w:themeColor="text1"/>
          <w:kern w:val="22"/>
          <w:szCs w:val="22"/>
        </w:rPr>
        <w:t>“</w:t>
      </w:r>
      <w:r w:rsidRPr="0088780C">
        <w:rPr>
          <w:rFonts w:eastAsia="MS Mincho"/>
          <w:snapToGrid w:val="0"/>
          <w:color w:val="000000" w:themeColor="text1"/>
          <w:kern w:val="22"/>
          <w:szCs w:val="22"/>
        </w:rPr>
        <w:t>Biloberezhia Sviatoslava</w:t>
      </w:r>
      <w:r w:rsidR="00D8482D" w:rsidRPr="0088780C">
        <w:rPr>
          <w:rFonts w:eastAsia="MS Mincho"/>
          <w:snapToGrid w:val="0"/>
          <w:color w:val="000000" w:themeColor="text1"/>
          <w:kern w:val="22"/>
          <w:szCs w:val="22"/>
        </w:rPr>
        <w:t>”</w:t>
      </w:r>
      <w:r w:rsidRPr="0088780C">
        <w:rPr>
          <w:rFonts w:eastAsia="MS Mincho"/>
          <w:snapToGrid w:val="0"/>
          <w:color w:val="000000" w:themeColor="text1"/>
          <w:kern w:val="22"/>
          <w:szCs w:val="22"/>
        </w:rPr>
        <w:t xml:space="preserve"> and the Black Sea Biosphere Reserve. The natural and territorial complexes of these reserves are represented not only by the aquatic complex of the bay, but wetlands, steppe, salt marshes, sandy and forest landscapes characterized by high conservation value and mosaic location of biocenoses. The considered biotopes play an exceptional role in maintaining the species diversity of the region and the country; they are used for the reproduction and feeding of the main commercial fish species, </w:t>
      </w:r>
      <w:r w:rsidRPr="0088780C">
        <w:rPr>
          <w:rFonts w:eastAsia="Times New Roman"/>
          <w:snapToGrid w:val="0"/>
          <w:color w:val="000000" w:themeColor="text1"/>
          <w:kern w:val="22"/>
          <w:szCs w:val="22"/>
          <w:lang w:eastAsia="ru-RU"/>
        </w:rPr>
        <w:t>and shallow waters are refugia for many nesting and wintering waterbirds.</w:t>
      </w:r>
    </w:p>
    <w:p w14:paraId="5DEB8F02" w14:textId="77777777" w:rsidR="00A876F3" w:rsidRPr="0088780C" w:rsidRDefault="00A876F3" w:rsidP="001013AF">
      <w:pPr>
        <w:suppressLineNumbers/>
        <w:suppressAutoHyphens/>
        <w:kinsoku w:val="0"/>
        <w:overflowPunct w:val="0"/>
        <w:autoSpaceDE w:val="0"/>
        <w:autoSpaceDN w:val="0"/>
        <w:rPr>
          <w:rFonts w:eastAsia="MS Mincho"/>
          <w:i/>
          <w:snapToGrid w:val="0"/>
          <w:color w:val="000000" w:themeColor="text1"/>
          <w:kern w:val="22"/>
          <w:szCs w:val="22"/>
        </w:rPr>
      </w:pPr>
    </w:p>
    <w:p w14:paraId="30DA3870"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rFonts w:eastAsia="MS Mincho"/>
          <w:b/>
          <w:snapToGrid w:val="0"/>
          <w:color w:val="000000" w:themeColor="text1"/>
          <w:kern w:val="22"/>
          <w:szCs w:val="22"/>
        </w:rPr>
        <w:t>Introduction</w:t>
      </w:r>
    </w:p>
    <w:p w14:paraId="3EB3EC11" w14:textId="3BFE97A1" w:rsidR="00A876F3" w:rsidRPr="0088780C" w:rsidRDefault="00A876F3" w:rsidP="00B27524">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Yagorlytsky Bay was formed as a result of the Black Sea</w:t>
      </w:r>
      <w:r w:rsidR="00B27524" w:rsidRPr="0088780C">
        <w:rPr>
          <w:snapToGrid w:val="0"/>
          <w:color w:val="000000" w:themeColor="text1"/>
          <w:kern w:val="22"/>
          <w:szCs w:val="22"/>
        </w:rPr>
        <w:t>’</w:t>
      </w:r>
      <w:r w:rsidRPr="0088780C">
        <w:rPr>
          <w:snapToGrid w:val="0"/>
          <w:color w:val="000000" w:themeColor="text1"/>
          <w:kern w:val="22"/>
          <w:szCs w:val="22"/>
        </w:rPr>
        <w:t>s ingression into the delta zone of the Dnieper River, in particular to the Yagorlycko-Odzhigolsky and Zaporozhye branches (Krivulchenko, 2016).</w:t>
      </w:r>
    </w:p>
    <w:p w14:paraId="177417AD"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5BBD16F8" w14:textId="659C561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The bay is separated from the sea by a chain of acumulant formations sand-shell spits and islands: from the west by the Pokrovskaya oblique and islands Round and Long, in the south by Yagorlytsky peninsula and Tendrovskaya spit. In the </w:t>
      </w:r>
      <w:r w:rsidR="00953367" w:rsidRPr="0088780C">
        <w:rPr>
          <w:snapToGrid w:val="0"/>
          <w:color w:val="000000" w:themeColor="text1"/>
          <w:kern w:val="22"/>
          <w:szCs w:val="22"/>
        </w:rPr>
        <w:t>south-east</w:t>
      </w:r>
      <w:r w:rsidRPr="0088780C">
        <w:rPr>
          <w:snapToGrid w:val="0"/>
          <w:color w:val="000000" w:themeColor="text1"/>
          <w:kern w:val="22"/>
          <w:szCs w:val="22"/>
        </w:rPr>
        <w:t>ern part of the gulf</w:t>
      </w:r>
      <w:r w:rsidR="00953367" w:rsidRPr="0088780C">
        <w:rPr>
          <w:snapToGrid w:val="0"/>
          <w:color w:val="000000" w:themeColor="text1"/>
          <w:kern w:val="22"/>
          <w:szCs w:val="22"/>
        </w:rPr>
        <w:t>,</w:t>
      </w:r>
      <w:r w:rsidRPr="0088780C">
        <w:rPr>
          <w:snapToGrid w:val="0"/>
          <w:color w:val="000000" w:themeColor="text1"/>
          <w:kern w:val="22"/>
          <w:szCs w:val="22"/>
        </w:rPr>
        <w:t xml:space="preserve"> there is a group of the Kon Islands (Sabinevsky, 1977). Yagorlytsky Bay has a flat and shallow bottom, with the exception of its deepest section (6 m), which lies beyond the Dolgiy’s Island (Chepizhko et al., 2007). Most of the water area is 2-4 m deep. The eastern and northeastern parts of the inlet area are the shallowest (Fig. 2), where the one-metre isobath is sometimes as far as 2 km from the coastline. The greatest depths—from 4 to 6 m—are noted in the </w:t>
      </w:r>
      <w:r w:rsidR="00D65B3C" w:rsidRPr="0088780C">
        <w:rPr>
          <w:snapToGrid w:val="0"/>
          <w:color w:val="000000" w:themeColor="text1"/>
          <w:kern w:val="22"/>
          <w:szCs w:val="22"/>
        </w:rPr>
        <w:t>south-west</w:t>
      </w:r>
      <w:r w:rsidRPr="0088780C">
        <w:rPr>
          <w:snapToGrid w:val="0"/>
          <w:color w:val="000000" w:themeColor="text1"/>
          <w:kern w:val="22"/>
          <w:szCs w:val="22"/>
        </w:rPr>
        <w:t xml:space="preserve"> and in a small area of the </w:t>
      </w:r>
      <w:r w:rsidR="00C656A2" w:rsidRPr="0088780C">
        <w:rPr>
          <w:snapToGrid w:val="0"/>
          <w:color w:val="000000" w:themeColor="text1"/>
          <w:kern w:val="22"/>
          <w:szCs w:val="22"/>
        </w:rPr>
        <w:t>north-west</w:t>
      </w:r>
      <w:r w:rsidRPr="0088780C">
        <w:rPr>
          <w:snapToGrid w:val="0"/>
          <w:color w:val="000000" w:themeColor="text1"/>
          <w:kern w:val="22"/>
          <w:szCs w:val="22"/>
        </w:rPr>
        <w:t>ern part of the bay. Based on the bathymetric analysis of the bottom of the bay, it can be divided into four zones: shallow water, underwater slopes, bed and hollow (Chernyakov, 1995).</w:t>
      </w:r>
    </w:p>
    <w:p w14:paraId="0027211B"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782DC9B2" w14:textId="399F9A88"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Circulation of the water flow is observed on the part between the Kinburg and Tendrovskaya spits (Fig.</w:t>
      </w:r>
      <w:r w:rsidR="009235DF" w:rsidRPr="0088780C">
        <w:rPr>
          <w:snapToGrid w:val="0"/>
          <w:color w:val="000000" w:themeColor="text1"/>
          <w:kern w:val="22"/>
          <w:szCs w:val="22"/>
        </w:rPr>
        <w:t> </w:t>
      </w:r>
      <w:r w:rsidRPr="0088780C">
        <w:rPr>
          <w:snapToGrid w:val="0"/>
          <w:color w:val="000000" w:themeColor="text1"/>
          <w:kern w:val="22"/>
          <w:szCs w:val="22"/>
        </w:rPr>
        <w:t>2). This type of movement of water masses in a given area is due to the features of the coastline and the often recurring northeasterly winds (Chepizhko et al., 2007).</w:t>
      </w:r>
    </w:p>
    <w:p w14:paraId="0F9F970C"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78726014"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shd w:val="clear" w:color="auto" w:fill="FFFFFF"/>
        </w:rPr>
      </w:pPr>
      <w:r w:rsidRPr="0088780C">
        <w:rPr>
          <w:rFonts w:eastAsia="MS Mincho"/>
          <w:b/>
          <w:snapToGrid w:val="0"/>
          <w:color w:val="000000" w:themeColor="text1"/>
          <w:kern w:val="22"/>
          <w:szCs w:val="22"/>
        </w:rPr>
        <w:t>Location</w:t>
      </w:r>
    </w:p>
    <w:p w14:paraId="56DCCC5C" w14:textId="3AF815A5" w:rsidR="00A876F3" w:rsidRPr="0088780C" w:rsidRDefault="00A876F3" w:rsidP="001013AF">
      <w:pPr>
        <w:suppressLineNumbers/>
        <w:suppressAutoHyphens/>
        <w:kinsoku w:val="0"/>
        <w:overflowPunct w:val="0"/>
        <w:autoSpaceDE w:val="0"/>
        <w:autoSpaceDN w:val="0"/>
        <w:rPr>
          <w:snapToGrid w:val="0"/>
          <w:color w:val="000000" w:themeColor="text1"/>
          <w:kern w:val="22"/>
          <w:szCs w:val="22"/>
          <w:shd w:val="clear" w:color="auto" w:fill="FFFFFF"/>
        </w:rPr>
      </w:pPr>
      <w:r w:rsidRPr="0088780C">
        <w:rPr>
          <w:snapToGrid w:val="0"/>
          <w:color w:val="000000" w:themeColor="text1"/>
          <w:kern w:val="22"/>
          <w:szCs w:val="22"/>
          <w:shd w:val="clear" w:color="auto" w:fill="FFFFFF"/>
        </w:rPr>
        <w:t>Yagorlitsky Bay is located on the north-western Black Sea coast between the Nikolaev and Kherson regions of Ukraine. In the north it is separated from Dnieper-Bug estuary by Kinburg oblique (Fig. 4, 5). The bay is 26 km long, and its entrance is 15 km wide. Its</w:t>
      </w:r>
      <w:r w:rsidR="009235DF" w:rsidRPr="0088780C">
        <w:rPr>
          <w:snapToGrid w:val="0"/>
          <w:color w:val="000000" w:themeColor="text1"/>
          <w:kern w:val="22"/>
          <w:szCs w:val="22"/>
          <w:shd w:val="clear" w:color="auto" w:fill="FFFFFF"/>
        </w:rPr>
        <w:t xml:space="preserve"> </w:t>
      </w:r>
      <w:r w:rsidRPr="0088780C">
        <w:rPr>
          <w:snapToGrid w:val="0"/>
          <w:color w:val="000000" w:themeColor="text1"/>
          <w:kern w:val="22"/>
          <w:szCs w:val="22"/>
          <w:shd w:val="clear" w:color="auto" w:fill="FFFFFF"/>
        </w:rPr>
        <w:t>geographical coordinates are: 46° 29,122' - 46° 19,867' N and 31° 47,066' - 32° 3,695' E.</w:t>
      </w:r>
    </w:p>
    <w:p w14:paraId="6F98D13E"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p>
    <w:p w14:paraId="54A01FF9" w14:textId="77777777" w:rsidR="00A876F3" w:rsidRPr="0088780C" w:rsidRDefault="00A876F3" w:rsidP="001013AF">
      <w:pPr>
        <w:suppressLineNumbers/>
        <w:suppressAutoHyphens/>
        <w:kinsoku w:val="0"/>
        <w:overflowPunct w:val="0"/>
        <w:autoSpaceDE w:val="0"/>
        <w:autoSpaceDN w:val="0"/>
        <w:rPr>
          <w:rFonts w:eastAsia="SimSun"/>
          <w:snapToGrid w:val="0"/>
          <w:color w:val="000000" w:themeColor="text1"/>
          <w:kern w:val="22"/>
          <w:szCs w:val="22"/>
          <w:u w:val="single"/>
          <w:lang w:eastAsia="zh-CN"/>
        </w:rPr>
      </w:pPr>
      <w:r w:rsidRPr="0088780C">
        <w:rPr>
          <w:rFonts w:eastAsia="MS Mincho"/>
          <w:b/>
          <w:snapToGrid w:val="0"/>
          <w:color w:val="000000" w:themeColor="text1"/>
          <w:kern w:val="22"/>
          <w:szCs w:val="22"/>
        </w:rPr>
        <w:t>Feature description of the area</w:t>
      </w:r>
    </w:p>
    <w:p w14:paraId="1DF77564" w14:textId="77777777" w:rsidR="00A876F3" w:rsidRPr="0088780C" w:rsidRDefault="00A876F3" w:rsidP="001013AF">
      <w:pPr>
        <w:suppressLineNumbers/>
        <w:suppressAutoHyphens/>
        <w:kinsoku w:val="0"/>
        <w:overflowPunct w:val="0"/>
        <w:autoSpaceDE w:val="0"/>
        <w:autoSpaceDN w:val="0"/>
        <w:rPr>
          <w:rFonts w:eastAsia="SimSun"/>
          <w:snapToGrid w:val="0"/>
          <w:color w:val="000000" w:themeColor="text1"/>
          <w:kern w:val="22"/>
          <w:szCs w:val="22"/>
          <w:u w:val="single"/>
          <w:lang w:eastAsia="zh-CN"/>
        </w:rPr>
      </w:pPr>
      <w:r w:rsidRPr="0088780C">
        <w:rPr>
          <w:rFonts w:eastAsia="SimSun"/>
          <w:snapToGrid w:val="0"/>
          <w:color w:val="000000" w:themeColor="text1"/>
          <w:kern w:val="22"/>
          <w:szCs w:val="22"/>
          <w:u w:val="single"/>
          <w:lang w:eastAsia="zh-CN"/>
        </w:rPr>
        <w:t>Physiographic description</w:t>
      </w:r>
    </w:p>
    <w:p w14:paraId="395F4051"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r w:rsidRPr="0088780C">
        <w:rPr>
          <w:rFonts w:eastAsia="MS Mincho"/>
          <w:snapToGrid w:val="0"/>
          <w:color w:val="000000" w:themeColor="text1"/>
          <w:kern w:val="22"/>
          <w:szCs w:val="22"/>
        </w:rPr>
        <w:t>The terrestrial-aquatic complex of Yagorlytsky Bay belongs to the south-steppe subzone (Miten, 2006).</w:t>
      </w:r>
    </w:p>
    <w:p w14:paraId="163325BD"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433B93FC"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rFonts w:eastAsia="MS Mincho"/>
          <w:snapToGrid w:val="0"/>
          <w:color w:val="000000" w:themeColor="text1"/>
          <w:kern w:val="22"/>
          <w:szCs w:val="22"/>
        </w:rPr>
        <w:t>The climate of the area is moderately continental, with hot, dry summers and mild winters. It is characterized by a relatively low humidity, low cloudiness, low precipitation and a relatively large daily and annual amplitude of air temperature fluctuations. Strong winds blow in the winter and especially in the early spring. The average temperature is 2° C in January and +24° C in July; the average annual temperature is 10.8° C. The average amount of precipitation is 235 mm. In some years, their amount varies sharply from 209 to 430 mm (Sorokina, A. I., 1974)).</w:t>
      </w:r>
      <w:r w:rsidRPr="0088780C">
        <w:rPr>
          <w:snapToGrid w:val="0"/>
          <w:color w:val="000000" w:themeColor="text1"/>
          <w:kern w:val="22"/>
          <w:szCs w:val="22"/>
        </w:rPr>
        <w:t xml:space="preserve"> The average annual temperature varies from 10.5 to 12.5° C. The spring increase in water temperature to 10° C is usually observed in April. Maximum warm-up (up to 26-30° C) is observed in August. The autumn drop in water temperature to10° C is observed in November. The bay freezes only in cold winters (Vekhov, 2010).</w:t>
      </w:r>
    </w:p>
    <w:p w14:paraId="5FA8F998"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p w14:paraId="707C2E42" w14:textId="1065A5F6"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 xml:space="preserve">The average duration of the growing season (with an average daily temperature of 5° C and above) ranges  from 226 to 232 days. The growing period starts between 15 and 20 </w:t>
      </w:r>
      <w:r w:rsidR="005E4FA8" w:rsidRPr="0088780C">
        <w:rPr>
          <w:rFonts w:eastAsia="Times New Roman"/>
          <w:snapToGrid w:val="0"/>
          <w:color w:val="000000" w:themeColor="text1"/>
          <w:kern w:val="22"/>
          <w:szCs w:val="22"/>
          <w:lang w:eastAsia="ru-RU"/>
        </w:rPr>
        <w:t xml:space="preserve">April </w:t>
      </w:r>
      <w:r w:rsidRPr="0088780C">
        <w:rPr>
          <w:rFonts w:eastAsia="Times New Roman"/>
          <w:snapToGrid w:val="0"/>
          <w:color w:val="000000" w:themeColor="text1"/>
          <w:kern w:val="22"/>
          <w:szCs w:val="22"/>
          <w:lang w:eastAsia="ru-RU"/>
        </w:rPr>
        <w:t>and ends between 5 and 10</w:t>
      </w:r>
      <w:r w:rsidR="005E4FA8" w:rsidRPr="0088780C">
        <w:rPr>
          <w:rFonts w:eastAsia="Times New Roman"/>
          <w:snapToGrid w:val="0"/>
          <w:color w:val="000000" w:themeColor="text1"/>
          <w:kern w:val="22"/>
          <w:szCs w:val="22"/>
          <w:lang w:eastAsia="ru-RU"/>
        </w:rPr>
        <w:t> November</w:t>
      </w:r>
      <w:r w:rsidRPr="0088780C">
        <w:rPr>
          <w:rFonts w:eastAsia="Times New Roman"/>
          <w:snapToGrid w:val="0"/>
          <w:color w:val="000000" w:themeColor="text1"/>
          <w:kern w:val="22"/>
          <w:szCs w:val="22"/>
          <w:lang w:eastAsia="ru-RU"/>
        </w:rPr>
        <w:t>, sometimes much later (10-15</w:t>
      </w:r>
      <w:r w:rsidR="005E4FA8" w:rsidRPr="0088780C">
        <w:rPr>
          <w:rFonts w:eastAsia="Times New Roman"/>
          <w:snapToGrid w:val="0"/>
          <w:color w:val="000000" w:themeColor="text1"/>
          <w:kern w:val="22"/>
          <w:szCs w:val="22"/>
          <w:lang w:eastAsia="ru-RU"/>
        </w:rPr>
        <w:t xml:space="preserve"> December</w:t>
      </w:r>
      <w:r w:rsidRPr="0088780C">
        <w:rPr>
          <w:rFonts w:eastAsia="Times New Roman"/>
          <w:snapToGrid w:val="0"/>
          <w:color w:val="000000" w:themeColor="text1"/>
          <w:kern w:val="22"/>
          <w:szCs w:val="22"/>
          <w:lang w:eastAsia="ru-RU"/>
        </w:rPr>
        <w:t>) (Vekhov, 2010).</w:t>
      </w:r>
    </w:p>
    <w:p w14:paraId="67078559"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26938C6A"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Maximal salinity of the </w:t>
      </w:r>
      <w:r w:rsidRPr="0088780C">
        <w:rPr>
          <w:rFonts w:eastAsia="MS Mincho"/>
          <w:snapToGrid w:val="0"/>
          <w:color w:val="000000" w:themeColor="text1"/>
          <w:kern w:val="22"/>
          <w:szCs w:val="22"/>
        </w:rPr>
        <w:t>Yagorlytsky</w:t>
      </w:r>
      <w:r w:rsidRPr="0088780C">
        <w:rPr>
          <w:snapToGrid w:val="0"/>
          <w:color w:val="000000" w:themeColor="text1"/>
          <w:kern w:val="22"/>
          <w:szCs w:val="22"/>
        </w:rPr>
        <w:t xml:space="preserve"> Bay varies on average from 16 to 22‰ for surface waters and 18 to 22‰ for bottom horizons (Vekhov, 2010). In summer, average salinity is 14 to 18‰ (natural complexes of the Black Sea State Biosphere Reserve, 1992), but it can often reach 21 to 43‰. In the rest of the year, especially in the spring, the salinity values decrease significantly, sometimes up to 9 to 11 ‰, which is mainly due to the flow of water from the Black Sea, especially due to the surging processes. Average salinity of the water 14 to 15 ‰ (Alekseev, 1982).</w:t>
      </w:r>
    </w:p>
    <w:p w14:paraId="057E7343"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5F188005" w14:textId="6055C8CC"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The oxygen content in the bay water in summer reaches saturation of 100% or more. In hot, windless periods, water stratification has led to mass mortality (Grigoriev, 1977). Hydrophysical characteristics of water masses are largely due to the effect of sea water on the water area of Yagorlytsky Bay, in particular on the temperature regime (see Fig. 2) and water turbidity (Fig.</w:t>
      </w:r>
      <w:r w:rsidR="007B7F1E" w:rsidRPr="0088780C">
        <w:rPr>
          <w:snapToGrid w:val="0"/>
          <w:color w:val="000000" w:themeColor="text1"/>
          <w:kern w:val="22"/>
          <w:szCs w:val="22"/>
        </w:rPr>
        <w:t> </w:t>
      </w:r>
      <w:r w:rsidRPr="0088780C">
        <w:rPr>
          <w:snapToGrid w:val="0"/>
          <w:color w:val="000000" w:themeColor="text1"/>
          <w:kern w:val="22"/>
          <w:szCs w:val="22"/>
        </w:rPr>
        <w:t>5).</w:t>
      </w:r>
    </w:p>
    <w:p w14:paraId="49F41FE0"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3577A8F8" w14:textId="4BE49EBB"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The bottom sediments of the bay are represented by soft and finely dispersed soils, mainly alluvial sands, which in places are replaced by clayey sands and contain loamy interlayers of different thicknesses (Fig.</w:t>
      </w:r>
      <w:r w:rsidR="007B7F1E" w:rsidRPr="0088780C">
        <w:rPr>
          <w:snapToGrid w:val="0"/>
          <w:color w:val="000000" w:themeColor="text1"/>
          <w:kern w:val="22"/>
          <w:szCs w:val="22"/>
        </w:rPr>
        <w:t> </w:t>
      </w:r>
      <w:r w:rsidRPr="0088780C">
        <w:rPr>
          <w:snapToGrid w:val="0"/>
          <w:color w:val="000000" w:themeColor="text1"/>
          <w:kern w:val="22"/>
          <w:szCs w:val="22"/>
        </w:rPr>
        <w:t xml:space="preserve">7). This sequence is explained by the fact that the sand deposits are the ancient alluvial deposits of the Dnieper, formed on the places loess terraces have eroded. Silty sand and sandy sediments predominate in the north-west, north and north-east of the bay (Geology of the shelf of the Ukrainian </w:t>
      </w:r>
      <w:r w:rsidR="00CB69E6" w:rsidRPr="0088780C">
        <w:rPr>
          <w:snapToGrid w:val="0"/>
          <w:color w:val="000000" w:themeColor="text1"/>
          <w:kern w:val="22"/>
          <w:szCs w:val="22"/>
        </w:rPr>
        <w:t>Soviet Socialist Republic</w:t>
      </w:r>
      <w:r w:rsidRPr="0088780C">
        <w:rPr>
          <w:snapToGrid w:val="0"/>
          <w:color w:val="000000" w:themeColor="text1"/>
          <w:kern w:val="22"/>
          <w:szCs w:val="22"/>
        </w:rPr>
        <w:t xml:space="preserve">, 1985). </w:t>
      </w:r>
      <w:r w:rsidRPr="0088780C">
        <w:rPr>
          <w:rFonts w:eastAsia="Times New Roman"/>
          <w:snapToGrid w:val="0"/>
          <w:color w:val="000000" w:themeColor="text1"/>
          <w:kern w:val="22"/>
          <w:szCs w:val="22"/>
          <w:lang w:eastAsia="ru-RU"/>
        </w:rPr>
        <w:t>The sea coast is characterized by a littoral shaft of sand and shells (Vekhov, 2010). The shores of the bay are mostly leveled. Significant sections of the underwater slopes of the water area are shallow waters up to 1 m deep (Krivulchenko, 2016).</w:t>
      </w:r>
    </w:p>
    <w:p w14:paraId="4A9A0EB4" w14:textId="77777777" w:rsidR="00A876F3" w:rsidRPr="0088780C" w:rsidRDefault="00A876F3" w:rsidP="001013AF">
      <w:pPr>
        <w:suppressLineNumbers/>
        <w:tabs>
          <w:tab w:val="left" w:pos="9360"/>
        </w:tabs>
        <w:suppressAutoHyphens/>
        <w:kinsoku w:val="0"/>
        <w:overflowPunct w:val="0"/>
        <w:autoSpaceDE w:val="0"/>
        <w:autoSpaceDN w:val="0"/>
        <w:rPr>
          <w:rFonts w:eastAsia="SimSun"/>
          <w:snapToGrid w:val="0"/>
          <w:color w:val="000000" w:themeColor="text1"/>
          <w:kern w:val="22"/>
          <w:szCs w:val="22"/>
          <w:u w:val="single"/>
          <w:lang w:eastAsia="zh-CN"/>
        </w:rPr>
      </w:pPr>
    </w:p>
    <w:p w14:paraId="1332FCB7" w14:textId="1CAA3AB0" w:rsidR="00A876F3" w:rsidRPr="0088780C" w:rsidRDefault="00A876F3" w:rsidP="001013AF">
      <w:pPr>
        <w:suppressLineNumbers/>
        <w:shd w:val="clear" w:color="auto" w:fill="FFFFFF"/>
        <w:suppressAutoHyphens/>
        <w:kinsoku w:val="0"/>
        <w:overflowPunct w:val="0"/>
        <w:autoSpaceDE w:val="0"/>
        <w:autoSpaceDN w:val="0"/>
        <w:rPr>
          <w:snapToGrid w:val="0"/>
          <w:color w:val="000000" w:themeColor="text1"/>
          <w:kern w:val="22"/>
          <w:szCs w:val="22"/>
        </w:rPr>
      </w:pPr>
      <w:r w:rsidRPr="0088780C">
        <w:rPr>
          <w:rFonts w:eastAsia="SimSun"/>
          <w:snapToGrid w:val="0"/>
          <w:color w:val="000000" w:themeColor="text1"/>
          <w:kern w:val="22"/>
          <w:szCs w:val="22"/>
          <w:u w:val="single"/>
          <w:lang w:eastAsia="zh-CN"/>
        </w:rPr>
        <w:t>Hydrological and morphological description</w:t>
      </w:r>
    </w:p>
    <w:p w14:paraId="2615AC7C" w14:textId="77777777" w:rsidR="00A876F3" w:rsidRPr="0088780C" w:rsidRDefault="00A876F3" w:rsidP="001013AF">
      <w:pPr>
        <w:suppressLineNumbers/>
        <w:tabs>
          <w:tab w:val="left" w:pos="284"/>
        </w:tabs>
        <w:suppressAutoHyphens/>
        <w:kinsoku w:val="0"/>
        <w:overflowPunct w:val="0"/>
        <w:autoSpaceDE w:val="0"/>
        <w:autoSpaceDN w:val="0"/>
        <w:rPr>
          <w:rFonts w:eastAsia="Times New Roman"/>
          <w:snapToGrid w:val="0"/>
          <w:color w:val="000000" w:themeColor="text1"/>
          <w:kern w:val="22"/>
          <w:szCs w:val="22"/>
          <w:lang w:eastAsia="ru-RU"/>
        </w:rPr>
      </w:pPr>
      <w:r w:rsidRPr="0088780C">
        <w:rPr>
          <w:snapToGrid w:val="0"/>
          <w:color w:val="000000" w:themeColor="text1"/>
          <w:kern w:val="22"/>
          <w:szCs w:val="22"/>
        </w:rPr>
        <w:t>Features of the hydrological-morphological structure of Yagorlytsky Bay, the size of the water bed, the configuration of the coastline and the relief of the catchment area are characterized by the following factors (Minicheva, Sokolov, 2016):</w:t>
      </w:r>
    </w:p>
    <w:p w14:paraId="2886C6C6" w14:textId="77777777" w:rsidR="00A876F3" w:rsidRPr="0088780C" w:rsidRDefault="00A876F3" w:rsidP="001013AF">
      <w:pPr>
        <w:pStyle w:val="ListParagraph"/>
        <w:numPr>
          <w:ilvl w:val="0"/>
          <w:numId w:val="15"/>
        </w:numPr>
        <w:suppressLineNumbers/>
        <w:tabs>
          <w:tab w:val="left" w:pos="709"/>
        </w:tabs>
        <w:suppressAutoHyphens/>
        <w:kinsoku w:val="0"/>
        <w:overflowPunct w:val="0"/>
        <w:autoSpaceDE w:val="0"/>
        <w:autoSpaceDN w:val="0"/>
        <w:adjustRightInd w:val="0"/>
        <w:snapToGrid w:val="0"/>
        <w:spacing w:before="60"/>
        <w:ind w:leftChars="0" w:hanging="288"/>
        <w:rPr>
          <w:snapToGrid w:val="0"/>
          <w:color w:val="000000" w:themeColor="text1"/>
          <w:kern w:val="22"/>
          <w:szCs w:val="22"/>
        </w:rPr>
      </w:pPr>
      <w:r w:rsidRPr="0088780C">
        <w:rPr>
          <w:snapToGrid w:val="0"/>
          <w:color w:val="000000" w:themeColor="text1"/>
          <w:kern w:val="22"/>
          <w:szCs w:val="22"/>
        </w:rPr>
        <w:t>Free water exchange between the bay and the sea across the strait. So, when westerly, south-westerly and north-westerly driving winds are occurring, water exchange is carried out on average in 10 days.</w:t>
      </w:r>
    </w:p>
    <w:p w14:paraId="55845679" w14:textId="77777777" w:rsidR="00A876F3" w:rsidRPr="0088780C" w:rsidRDefault="00A876F3" w:rsidP="001013AF">
      <w:pPr>
        <w:pStyle w:val="ListParagraph"/>
        <w:numPr>
          <w:ilvl w:val="0"/>
          <w:numId w:val="15"/>
        </w:numPr>
        <w:suppressLineNumbers/>
        <w:tabs>
          <w:tab w:val="left" w:pos="709"/>
        </w:tabs>
        <w:suppressAutoHyphens/>
        <w:kinsoku w:val="0"/>
        <w:overflowPunct w:val="0"/>
        <w:autoSpaceDE w:val="0"/>
        <w:autoSpaceDN w:val="0"/>
        <w:adjustRightInd w:val="0"/>
        <w:snapToGrid w:val="0"/>
        <w:spacing w:before="60"/>
        <w:ind w:leftChars="0" w:hanging="288"/>
        <w:rPr>
          <w:snapToGrid w:val="0"/>
          <w:color w:val="000000" w:themeColor="text1"/>
          <w:kern w:val="22"/>
          <w:szCs w:val="22"/>
        </w:rPr>
      </w:pPr>
      <w:r w:rsidRPr="0088780C">
        <w:rPr>
          <w:snapToGrid w:val="0"/>
          <w:color w:val="000000" w:themeColor="text1"/>
          <w:kern w:val="22"/>
          <w:szCs w:val="22"/>
        </w:rPr>
        <w:t>Large size of the bay compared to local coastal reservoirs (bays, estuaries and lagoons): the volume of water and the surface area of the water (Table 1).</w:t>
      </w:r>
    </w:p>
    <w:p w14:paraId="50F630CE" w14:textId="390D4B84" w:rsidR="00A876F3" w:rsidRPr="0088780C" w:rsidRDefault="00A876F3" w:rsidP="001013AF">
      <w:pPr>
        <w:pStyle w:val="ListParagraph"/>
        <w:numPr>
          <w:ilvl w:val="0"/>
          <w:numId w:val="15"/>
        </w:numPr>
        <w:suppressLineNumbers/>
        <w:tabs>
          <w:tab w:val="left" w:pos="709"/>
        </w:tabs>
        <w:suppressAutoHyphens/>
        <w:kinsoku w:val="0"/>
        <w:overflowPunct w:val="0"/>
        <w:autoSpaceDE w:val="0"/>
        <w:autoSpaceDN w:val="0"/>
        <w:adjustRightInd w:val="0"/>
        <w:snapToGrid w:val="0"/>
        <w:spacing w:before="60"/>
        <w:ind w:leftChars="0" w:hanging="288"/>
        <w:rPr>
          <w:snapToGrid w:val="0"/>
          <w:color w:val="000000" w:themeColor="text1"/>
          <w:kern w:val="22"/>
          <w:szCs w:val="22"/>
        </w:rPr>
      </w:pPr>
      <w:r w:rsidRPr="0088780C">
        <w:rPr>
          <w:snapToGrid w:val="0"/>
          <w:color w:val="000000" w:themeColor="text1"/>
          <w:kern w:val="22"/>
          <w:szCs w:val="22"/>
        </w:rPr>
        <w:t>Insignificant influence of terrigenous processes on the water body. The hydrographic network in the catchment area of the bay is not developed (see Fig. 2), and therefore, the indicator of the specific catchment area of the bay is very low. In addition, the catchment area of the bay has a placer type of terrain—the average height of the surface is only 5</w:t>
      </w:r>
      <w:r w:rsidR="00CB69E6" w:rsidRPr="0088780C">
        <w:rPr>
          <w:snapToGrid w:val="0"/>
          <w:color w:val="000000" w:themeColor="text1"/>
          <w:kern w:val="22"/>
          <w:szCs w:val="22"/>
        </w:rPr>
        <w:t> </w:t>
      </w:r>
      <w:r w:rsidRPr="0088780C">
        <w:rPr>
          <w:snapToGrid w:val="0"/>
          <w:color w:val="000000" w:themeColor="text1"/>
          <w:kern w:val="22"/>
          <w:szCs w:val="22"/>
        </w:rPr>
        <w:t>m, and the average slope is 0.7.</w:t>
      </w:r>
    </w:p>
    <w:p w14:paraId="0FBB284E" w14:textId="77777777" w:rsidR="00A876F3" w:rsidRPr="0088780C" w:rsidRDefault="00A876F3" w:rsidP="001013AF">
      <w:pPr>
        <w:pStyle w:val="ListParagraph"/>
        <w:numPr>
          <w:ilvl w:val="0"/>
          <w:numId w:val="15"/>
        </w:numPr>
        <w:suppressLineNumbers/>
        <w:tabs>
          <w:tab w:val="left" w:pos="709"/>
        </w:tabs>
        <w:suppressAutoHyphens/>
        <w:kinsoku w:val="0"/>
        <w:overflowPunct w:val="0"/>
        <w:autoSpaceDE w:val="0"/>
        <w:autoSpaceDN w:val="0"/>
        <w:adjustRightInd w:val="0"/>
        <w:snapToGrid w:val="0"/>
        <w:spacing w:before="60"/>
        <w:ind w:leftChars="0" w:hanging="288"/>
        <w:rPr>
          <w:snapToGrid w:val="0"/>
          <w:color w:val="000000" w:themeColor="text1"/>
          <w:kern w:val="22"/>
          <w:szCs w:val="22"/>
        </w:rPr>
      </w:pPr>
      <w:r w:rsidRPr="0088780C">
        <w:rPr>
          <w:snapToGrid w:val="0"/>
          <w:color w:val="000000" w:themeColor="text1"/>
          <w:kern w:val="22"/>
          <w:szCs w:val="22"/>
        </w:rPr>
        <w:t>Intensive hydrodynamics. The absence of deep water zones, insignificant development of the shoreline (low values of the tortuosity coefficient) and low values of the depth coefficient due to the high value of the surface area of the water in relation to the average depth (Table 2) form favourable conditions for the vertical mixing of the water mass in the inlet.</w:t>
      </w:r>
    </w:p>
    <w:p w14:paraId="1A05E72B" w14:textId="77777777" w:rsidR="00A876F3" w:rsidRPr="0088780C" w:rsidRDefault="00A876F3" w:rsidP="001013AF">
      <w:pPr>
        <w:suppressLineNumbers/>
        <w:shd w:val="clear" w:color="auto" w:fill="FFFFFF"/>
        <w:suppressAutoHyphens/>
        <w:kinsoku w:val="0"/>
        <w:overflowPunct w:val="0"/>
        <w:autoSpaceDE w:val="0"/>
        <w:autoSpaceDN w:val="0"/>
        <w:rPr>
          <w:rFonts w:eastAsia="SimSun"/>
          <w:snapToGrid w:val="0"/>
          <w:color w:val="000000" w:themeColor="text1"/>
          <w:kern w:val="22"/>
          <w:szCs w:val="22"/>
          <w:u w:val="single"/>
          <w:lang w:eastAsia="zh-CN"/>
        </w:rPr>
      </w:pPr>
    </w:p>
    <w:p w14:paraId="6F822440" w14:textId="77777777" w:rsidR="00A876F3" w:rsidRPr="0088780C" w:rsidRDefault="00A876F3" w:rsidP="001013AF">
      <w:pPr>
        <w:suppressLineNumbers/>
        <w:shd w:val="clear" w:color="auto" w:fill="FFFFFF"/>
        <w:suppressAutoHyphens/>
        <w:kinsoku w:val="0"/>
        <w:overflowPunct w:val="0"/>
        <w:autoSpaceDE w:val="0"/>
        <w:autoSpaceDN w:val="0"/>
        <w:rPr>
          <w:i/>
          <w:snapToGrid w:val="0"/>
          <w:color w:val="000000" w:themeColor="text1"/>
          <w:kern w:val="22"/>
          <w:szCs w:val="22"/>
        </w:rPr>
      </w:pPr>
      <w:r w:rsidRPr="0088780C">
        <w:rPr>
          <w:rFonts w:eastAsia="SimSun"/>
          <w:snapToGrid w:val="0"/>
          <w:color w:val="000000" w:themeColor="text1"/>
          <w:kern w:val="22"/>
          <w:szCs w:val="22"/>
          <w:u w:val="single"/>
          <w:lang w:eastAsia="zh-CN"/>
        </w:rPr>
        <w:t>Biological community</w:t>
      </w:r>
    </w:p>
    <w:p w14:paraId="6EB59DF6"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i/>
          <w:snapToGrid w:val="0"/>
          <w:color w:val="000000" w:themeColor="text1"/>
          <w:kern w:val="22"/>
          <w:szCs w:val="22"/>
        </w:rPr>
        <w:t>Phytoplankton</w:t>
      </w:r>
    </w:p>
    <w:p w14:paraId="4879EA2A" w14:textId="4E16EA75" w:rsidR="00A876F3" w:rsidRPr="0088780C" w:rsidRDefault="00A876F3" w:rsidP="001013AF">
      <w:pPr>
        <w:pStyle w:val="CommentText"/>
        <w:suppressLineNumbers/>
        <w:suppressAutoHyphens/>
        <w:kinsoku w:val="0"/>
        <w:overflowPunct w:val="0"/>
        <w:autoSpaceDE w:val="0"/>
        <w:autoSpaceDN w:val="0"/>
        <w:rPr>
          <w:snapToGrid w:val="0"/>
          <w:kern w:val="22"/>
          <w:szCs w:val="22"/>
        </w:rPr>
      </w:pPr>
      <w:r w:rsidRPr="0088780C">
        <w:rPr>
          <w:snapToGrid w:val="0"/>
          <w:color w:val="000000" w:themeColor="text1"/>
          <w:kern w:val="22"/>
          <w:szCs w:val="22"/>
        </w:rPr>
        <w:t xml:space="preserve">Phytoplankton communities of Yagorlytsky Bay are formed mainly by representatives of dinophyte and diatom algae (Nesterova, 1986). Among the dinophytes, </w:t>
      </w:r>
      <w:r w:rsidRPr="0088780C">
        <w:rPr>
          <w:i/>
          <w:snapToGrid w:val="0"/>
          <w:color w:val="000000" w:themeColor="text1"/>
          <w:kern w:val="22"/>
          <w:szCs w:val="22"/>
        </w:rPr>
        <w:t>Gonyaulax minima, Prorocentrum micans</w:t>
      </w:r>
      <w:r w:rsidRPr="0088780C">
        <w:rPr>
          <w:snapToGrid w:val="0"/>
          <w:color w:val="000000" w:themeColor="text1"/>
          <w:kern w:val="22"/>
          <w:szCs w:val="22"/>
        </w:rPr>
        <w:t xml:space="preserve">, </w:t>
      </w:r>
      <w:r w:rsidRPr="0088780C">
        <w:rPr>
          <w:i/>
          <w:snapToGrid w:val="0"/>
          <w:color w:val="000000" w:themeColor="text1"/>
          <w:kern w:val="22"/>
          <w:szCs w:val="22"/>
        </w:rPr>
        <w:t>Dinophysis acuta</w:t>
      </w:r>
      <w:r w:rsidRPr="0088780C">
        <w:rPr>
          <w:snapToGrid w:val="0"/>
          <w:color w:val="000000" w:themeColor="text1"/>
          <w:kern w:val="22"/>
          <w:szCs w:val="22"/>
        </w:rPr>
        <w:t xml:space="preserve">, </w:t>
      </w:r>
      <w:r w:rsidRPr="0088780C">
        <w:rPr>
          <w:i/>
          <w:snapToGrid w:val="0"/>
          <w:color w:val="000000" w:themeColor="text1"/>
          <w:kern w:val="22"/>
          <w:szCs w:val="22"/>
        </w:rPr>
        <w:t>Gymnodinium sanguineum</w:t>
      </w:r>
      <w:r w:rsidRPr="0088780C">
        <w:rPr>
          <w:snapToGrid w:val="0"/>
          <w:color w:val="000000" w:themeColor="text1"/>
          <w:kern w:val="22"/>
          <w:szCs w:val="22"/>
        </w:rPr>
        <w:t xml:space="preserve">, </w:t>
      </w:r>
      <w:r w:rsidRPr="0088780C">
        <w:rPr>
          <w:i/>
          <w:snapToGrid w:val="0"/>
          <w:color w:val="000000" w:themeColor="text1"/>
          <w:kern w:val="22"/>
          <w:szCs w:val="22"/>
        </w:rPr>
        <w:t>Glenodinium paululum</w:t>
      </w:r>
      <w:r w:rsidRPr="0088780C">
        <w:rPr>
          <w:snapToGrid w:val="0"/>
          <w:color w:val="000000" w:themeColor="text1"/>
          <w:kern w:val="22"/>
          <w:szCs w:val="22"/>
        </w:rPr>
        <w:t xml:space="preserve">, </w:t>
      </w:r>
      <w:r w:rsidRPr="0088780C">
        <w:rPr>
          <w:i/>
          <w:snapToGrid w:val="0"/>
          <w:color w:val="000000" w:themeColor="text1"/>
          <w:kern w:val="22"/>
          <w:szCs w:val="22"/>
        </w:rPr>
        <w:t>Protoperidinium longispinum</w:t>
      </w:r>
      <w:r w:rsidRPr="0088780C">
        <w:rPr>
          <w:snapToGrid w:val="0"/>
          <w:color w:val="000000" w:themeColor="text1"/>
          <w:kern w:val="22"/>
          <w:szCs w:val="22"/>
        </w:rPr>
        <w:t xml:space="preserve"> (Kof.), </w:t>
      </w:r>
      <w:r w:rsidRPr="0088780C">
        <w:rPr>
          <w:i/>
          <w:snapToGrid w:val="0"/>
          <w:color w:val="000000" w:themeColor="text1"/>
          <w:kern w:val="22"/>
          <w:szCs w:val="22"/>
        </w:rPr>
        <w:t>Heterocapsa triquetra</w:t>
      </w:r>
      <w:r w:rsidRPr="0088780C">
        <w:rPr>
          <w:snapToGrid w:val="0"/>
          <w:color w:val="000000" w:themeColor="text1"/>
          <w:kern w:val="22"/>
          <w:szCs w:val="22"/>
        </w:rPr>
        <w:t xml:space="preserve">. Among diatoma (Bacillariophyceae), the most common species are: </w:t>
      </w:r>
      <w:r w:rsidRPr="0088780C">
        <w:rPr>
          <w:i/>
          <w:snapToGrid w:val="0"/>
          <w:color w:val="000000" w:themeColor="text1"/>
          <w:kern w:val="22"/>
          <w:szCs w:val="22"/>
        </w:rPr>
        <w:t>Cerataulina pelagica</w:t>
      </w:r>
      <w:r w:rsidRPr="0088780C">
        <w:rPr>
          <w:snapToGrid w:val="0"/>
          <w:color w:val="000000" w:themeColor="text1"/>
          <w:kern w:val="22"/>
          <w:szCs w:val="22"/>
        </w:rPr>
        <w:t xml:space="preserve">, </w:t>
      </w:r>
      <w:r w:rsidRPr="0088780C">
        <w:rPr>
          <w:i/>
          <w:snapToGrid w:val="0"/>
          <w:color w:val="000000" w:themeColor="text1"/>
          <w:kern w:val="22"/>
          <w:szCs w:val="22"/>
        </w:rPr>
        <w:t>Chaetoceros lorenzianus</w:t>
      </w:r>
      <w:r w:rsidRPr="0088780C">
        <w:rPr>
          <w:snapToGrid w:val="0"/>
          <w:color w:val="000000" w:themeColor="text1"/>
          <w:kern w:val="22"/>
          <w:szCs w:val="22"/>
        </w:rPr>
        <w:t xml:space="preserve">, </w:t>
      </w:r>
      <w:r w:rsidRPr="0088780C">
        <w:rPr>
          <w:i/>
          <w:snapToGrid w:val="0"/>
          <w:color w:val="000000" w:themeColor="text1"/>
          <w:kern w:val="22"/>
          <w:szCs w:val="22"/>
        </w:rPr>
        <w:t>Chaetoceros affinis</w:t>
      </w:r>
      <w:r w:rsidRPr="0088780C">
        <w:rPr>
          <w:snapToGrid w:val="0"/>
          <w:color w:val="000000" w:themeColor="text1"/>
          <w:kern w:val="22"/>
          <w:szCs w:val="22"/>
        </w:rPr>
        <w:t xml:space="preserve">, </w:t>
      </w:r>
      <w:r w:rsidRPr="0088780C">
        <w:rPr>
          <w:i/>
          <w:snapToGrid w:val="0"/>
          <w:color w:val="000000" w:themeColor="text1"/>
          <w:kern w:val="22"/>
          <w:szCs w:val="22"/>
        </w:rPr>
        <w:t>Chaetoceros similis</w:t>
      </w:r>
      <w:r w:rsidRPr="0088780C">
        <w:rPr>
          <w:snapToGrid w:val="0"/>
          <w:color w:val="000000" w:themeColor="text1"/>
          <w:kern w:val="22"/>
          <w:szCs w:val="22"/>
        </w:rPr>
        <w:t xml:space="preserve"> f. </w:t>
      </w:r>
      <w:r w:rsidRPr="0088780C">
        <w:rPr>
          <w:i/>
          <w:snapToGrid w:val="0"/>
          <w:color w:val="000000" w:themeColor="text1"/>
          <w:kern w:val="22"/>
          <w:szCs w:val="22"/>
        </w:rPr>
        <w:t>solitarius</w:t>
      </w:r>
      <w:r w:rsidRPr="0088780C">
        <w:rPr>
          <w:snapToGrid w:val="0"/>
          <w:color w:val="000000" w:themeColor="text1"/>
          <w:kern w:val="22"/>
          <w:szCs w:val="22"/>
        </w:rPr>
        <w:t xml:space="preserve">, </w:t>
      </w:r>
      <w:r w:rsidRPr="0088780C">
        <w:rPr>
          <w:i/>
          <w:snapToGrid w:val="0"/>
          <w:color w:val="000000" w:themeColor="text1"/>
          <w:kern w:val="22"/>
          <w:szCs w:val="22"/>
        </w:rPr>
        <w:t>Chaetoceros insignis</w:t>
      </w:r>
      <w:r w:rsidRPr="0088780C">
        <w:rPr>
          <w:snapToGrid w:val="0"/>
          <w:color w:val="000000" w:themeColor="text1"/>
          <w:kern w:val="22"/>
          <w:szCs w:val="22"/>
        </w:rPr>
        <w:t xml:space="preserve">, </w:t>
      </w:r>
      <w:r w:rsidRPr="0088780C">
        <w:rPr>
          <w:i/>
          <w:snapToGrid w:val="0"/>
          <w:color w:val="000000" w:themeColor="text1"/>
          <w:kern w:val="22"/>
          <w:szCs w:val="22"/>
        </w:rPr>
        <w:t>Entomoneis paludosa</w:t>
      </w:r>
      <w:r w:rsidRPr="0088780C">
        <w:rPr>
          <w:snapToGrid w:val="0"/>
          <w:color w:val="000000" w:themeColor="text1"/>
          <w:kern w:val="22"/>
          <w:szCs w:val="22"/>
        </w:rPr>
        <w:t xml:space="preserve">, </w:t>
      </w:r>
      <w:r w:rsidRPr="0088780C">
        <w:rPr>
          <w:i/>
          <w:snapToGrid w:val="0"/>
          <w:color w:val="000000" w:themeColor="text1"/>
          <w:kern w:val="22"/>
          <w:szCs w:val="22"/>
        </w:rPr>
        <w:t>Thalassiosira parva</w:t>
      </w:r>
      <w:r w:rsidRPr="0088780C">
        <w:rPr>
          <w:snapToGrid w:val="0"/>
          <w:color w:val="000000" w:themeColor="text1"/>
          <w:kern w:val="22"/>
          <w:szCs w:val="22"/>
        </w:rPr>
        <w:t xml:space="preserve">. In 2013, the Institute of Marine Biology of the National Academy of Sciences of Ukraine (IMB NASU) confirmed the dominant role of dinophyte algae in quantitative development of phytoplankton. The following species make up the majority of the phytoplankton: </w:t>
      </w:r>
      <w:r w:rsidRPr="0088780C">
        <w:rPr>
          <w:i/>
          <w:snapToGrid w:val="0"/>
          <w:color w:val="000000" w:themeColor="text1"/>
          <w:kern w:val="22"/>
          <w:szCs w:val="22"/>
        </w:rPr>
        <w:t>Prorocentrum micans</w:t>
      </w:r>
      <w:r w:rsidRPr="0088780C">
        <w:rPr>
          <w:snapToGrid w:val="0"/>
          <w:color w:val="000000" w:themeColor="text1"/>
          <w:kern w:val="22"/>
          <w:szCs w:val="22"/>
        </w:rPr>
        <w:t xml:space="preserve">, </w:t>
      </w:r>
      <w:r w:rsidRPr="0088780C">
        <w:rPr>
          <w:i/>
          <w:snapToGrid w:val="0"/>
          <w:color w:val="000000" w:themeColor="text1"/>
          <w:kern w:val="22"/>
          <w:szCs w:val="22"/>
        </w:rPr>
        <w:t>Diplopsalis lenticula</w:t>
      </w:r>
      <w:r w:rsidRPr="0088780C">
        <w:rPr>
          <w:snapToGrid w:val="0"/>
          <w:color w:val="000000" w:themeColor="text1"/>
          <w:kern w:val="22"/>
          <w:szCs w:val="22"/>
        </w:rPr>
        <w:t xml:space="preserve">, </w:t>
      </w:r>
      <w:r w:rsidRPr="0088780C">
        <w:rPr>
          <w:i/>
          <w:snapToGrid w:val="0"/>
          <w:color w:val="000000" w:themeColor="text1"/>
          <w:kern w:val="22"/>
          <w:szCs w:val="22"/>
        </w:rPr>
        <w:t>Prorocentrum cordatum</w:t>
      </w:r>
      <w:r w:rsidRPr="0088780C">
        <w:rPr>
          <w:snapToGrid w:val="0"/>
          <w:color w:val="000000" w:themeColor="text1"/>
          <w:kern w:val="22"/>
          <w:szCs w:val="22"/>
        </w:rPr>
        <w:t xml:space="preserve"> and </w:t>
      </w:r>
      <w:r w:rsidRPr="0088780C">
        <w:rPr>
          <w:i/>
          <w:snapToGrid w:val="0"/>
          <w:color w:val="000000" w:themeColor="text1"/>
          <w:kern w:val="22"/>
          <w:szCs w:val="22"/>
        </w:rPr>
        <w:t>Gymnodinium</w:t>
      </w:r>
      <w:r w:rsidRPr="0088780C">
        <w:rPr>
          <w:snapToGrid w:val="0"/>
          <w:color w:val="000000" w:themeColor="text1"/>
          <w:kern w:val="22"/>
          <w:szCs w:val="22"/>
        </w:rPr>
        <w:t xml:space="preserve"> sp. Representatives of diatoms (</w:t>
      </w:r>
      <w:r w:rsidRPr="0088780C">
        <w:rPr>
          <w:i/>
          <w:snapToGrid w:val="0"/>
          <w:color w:val="000000" w:themeColor="text1"/>
          <w:kern w:val="22"/>
          <w:szCs w:val="22"/>
        </w:rPr>
        <w:t>Chaetoceros abnormis</w:t>
      </w:r>
      <w:r w:rsidRPr="0088780C">
        <w:rPr>
          <w:snapToGrid w:val="0"/>
          <w:color w:val="000000" w:themeColor="text1"/>
          <w:kern w:val="22"/>
          <w:szCs w:val="22"/>
        </w:rPr>
        <w:t xml:space="preserve">, </w:t>
      </w:r>
      <w:r w:rsidRPr="0088780C">
        <w:rPr>
          <w:i/>
          <w:snapToGrid w:val="0"/>
          <w:color w:val="000000" w:themeColor="text1"/>
          <w:kern w:val="22"/>
          <w:szCs w:val="22"/>
        </w:rPr>
        <w:t>Aulacoseira granulata</w:t>
      </w:r>
      <w:r w:rsidRPr="0088780C">
        <w:rPr>
          <w:snapToGrid w:val="0"/>
          <w:color w:val="000000" w:themeColor="text1"/>
          <w:kern w:val="22"/>
          <w:szCs w:val="22"/>
        </w:rPr>
        <w:t xml:space="preserve">, </w:t>
      </w:r>
      <w:r w:rsidRPr="0088780C">
        <w:rPr>
          <w:i/>
          <w:snapToGrid w:val="0"/>
          <w:color w:val="000000" w:themeColor="text1"/>
          <w:kern w:val="22"/>
          <w:szCs w:val="22"/>
        </w:rPr>
        <w:t>Coscinodiscus</w:t>
      </w:r>
      <w:r w:rsidRPr="0088780C">
        <w:rPr>
          <w:snapToGrid w:val="0"/>
          <w:color w:val="000000" w:themeColor="text1"/>
          <w:kern w:val="22"/>
          <w:szCs w:val="22"/>
        </w:rPr>
        <w:t xml:space="preserve"> sp.) were subdominant species. During the expedition of IMB NASU in the summer of 2013, 15 phytoplankton species were recorded </w:t>
      </w:r>
      <w:r w:rsidRPr="0088780C">
        <w:rPr>
          <w:snapToGrid w:val="0"/>
          <w:kern w:val="22"/>
          <w:szCs w:val="22"/>
        </w:rPr>
        <w:t>(Minicheva et al., 2014).</w:t>
      </w:r>
    </w:p>
    <w:p w14:paraId="08193A95" w14:textId="77777777" w:rsidR="00A876F3" w:rsidRPr="0088780C" w:rsidRDefault="00A876F3" w:rsidP="001013AF">
      <w:pPr>
        <w:suppressLineNumbers/>
        <w:suppressAutoHyphens/>
        <w:kinsoku w:val="0"/>
        <w:overflowPunct w:val="0"/>
        <w:autoSpaceDE w:val="0"/>
        <w:autoSpaceDN w:val="0"/>
        <w:rPr>
          <w:rFonts w:eastAsia="SimSun"/>
          <w:iCs/>
          <w:snapToGrid w:val="0"/>
          <w:color w:val="000000" w:themeColor="text1"/>
          <w:kern w:val="22"/>
          <w:szCs w:val="22"/>
          <w:lang w:eastAsia="zh-CN"/>
        </w:rPr>
      </w:pPr>
    </w:p>
    <w:p w14:paraId="4AE91A21" w14:textId="602D6CBC"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i/>
          <w:snapToGrid w:val="0"/>
          <w:color w:val="000000" w:themeColor="text1"/>
          <w:kern w:val="22"/>
          <w:szCs w:val="22"/>
        </w:rPr>
        <w:t>Zooplankton</w:t>
      </w:r>
    </w:p>
    <w:p w14:paraId="6B9C4013" w14:textId="49B14728"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There are 31 species of zooplankton in Yagorlytsky Bay. One species (hydroid jellyfish, </w:t>
      </w:r>
      <w:r w:rsidRPr="0088780C">
        <w:rPr>
          <w:i/>
          <w:snapToGrid w:val="0"/>
          <w:color w:val="000000" w:themeColor="text1"/>
          <w:kern w:val="22"/>
          <w:szCs w:val="22"/>
        </w:rPr>
        <w:t>Moerisia maeotica</w:t>
      </w:r>
      <w:r w:rsidRPr="0088780C">
        <w:rPr>
          <w:snapToGrid w:val="0"/>
          <w:color w:val="000000" w:themeColor="text1"/>
          <w:kern w:val="22"/>
          <w:szCs w:val="22"/>
        </w:rPr>
        <w:t>) is listed in the Red Data Book of Ukraine and IUCN as endengered (Table</w:t>
      </w:r>
      <w:r w:rsidR="00FC6EB3" w:rsidRPr="0088780C">
        <w:rPr>
          <w:snapToGrid w:val="0"/>
          <w:color w:val="000000" w:themeColor="text1"/>
          <w:kern w:val="22"/>
          <w:szCs w:val="22"/>
        </w:rPr>
        <w:t> </w:t>
      </w:r>
      <w:r w:rsidRPr="0088780C">
        <w:rPr>
          <w:snapToGrid w:val="0"/>
          <w:color w:val="000000" w:themeColor="text1"/>
          <w:kern w:val="22"/>
          <w:szCs w:val="22"/>
        </w:rPr>
        <w:t>4).</w:t>
      </w:r>
    </w:p>
    <w:p w14:paraId="6452FBCE" w14:textId="77777777" w:rsidR="00A876F3" w:rsidRPr="0088780C" w:rsidRDefault="00A876F3" w:rsidP="001013AF">
      <w:pPr>
        <w:suppressLineNumbers/>
        <w:suppressAutoHyphens/>
        <w:kinsoku w:val="0"/>
        <w:overflowPunct w:val="0"/>
        <w:autoSpaceDE w:val="0"/>
        <w:autoSpaceDN w:val="0"/>
        <w:rPr>
          <w:iCs/>
          <w:snapToGrid w:val="0"/>
          <w:color w:val="000000" w:themeColor="text1"/>
          <w:kern w:val="22"/>
          <w:szCs w:val="22"/>
        </w:rPr>
      </w:pPr>
    </w:p>
    <w:p w14:paraId="5E93050C" w14:textId="77777777" w:rsidR="00A876F3" w:rsidRPr="0088780C" w:rsidRDefault="00A876F3" w:rsidP="001013AF">
      <w:pPr>
        <w:suppressLineNumbers/>
        <w:suppressAutoHyphens/>
        <w:kinsoku w:val="0"/>
        <w:overflowPunct w:val="0"/>
        <w:autoSpaceDE w:val="0"/>
        <w:autoSpaceDN w:val="0"/>
        <w:rPr>
          <w:i/>
          <w:snapToGrid w:val="0"/>
          <w:color w:val="000000" w:themeColor="text1"/>
          <w:kern w:val="22"/>
          <w:szCs w:val="22"/>
        </w:rPr>
      </w:pPr>
      <w:r w:rsidRPr="0088780C">
        <w:rPr>
          <w:i/>
          <w:snapToGrid w:val="0"/>
          <w:color w:val="000000" w:themeColor="text1"/>
          <w:kern w:val="22"/>
          <w:szCs w:val="22"/>
        </w:rPr>
        <w:t>Phytobenthos</w:t>
      </w:r>
    </w:p>
    <w:p w14:paraId="493576D3" w14:textId="7360080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During studies conducted by IMB NASU in 2013 (Fig. 8), 27 macrophyte species were recorded, including multicellular algae and high plants: Chlorophyta - 10, Xanophyta - 1, Rhodophyta - 12, Angiospermatophyta - 3, Charophyceae - 1. There are seven Red Data Book species (see Table 4). There are five main macropyte communities in Yagorlytsky Bay with the following key species:</w:t>
      </w:r>
      <w:r w:rsidRPr="0088780C">
        <w:rPr>
          <w:rFonts w:eastAsia="Calibri"/>
          <w:i/>
          <w:snapToGrid w:val="0"/>
          <w:color w:val="000000" w:themeColor="text1"/>
          <w:kern w:val="22"/>
          <w:szCs w:val="22"/>
        </w:rPr>
        <w:t xml:space="preserve"> Zostera noltii,</w:t>
      </w:r>
      <w:r w:rsidRPr="0088780C">
        <w:rPr>
          <w:snapToGrid w:val="0"/>
          <w:color w:val="000000" w:themeColor="text1"/>
          <w:kern w:val="22"/>
          <w:szCs w:val="22"/>
        </w:rPr>
        <w:t xml:space="preserve"> </w:t>
      </w:r>
      <w:r w:rsidRPr="0088780C">
        <w:rPr>
          <w:rFonts w:eastAsia="Calibri"/>
          <w:i/>
          <w:snapToGrid w:val="0"/>
          <w:color w:val="000000" w:themeColor="text1"/>
          <w:kern w:val="22"/>
          <w:szCs w:val="22"/>
        </w:rPr>
        <w:t>Z. marina, Chondria tenuissima</w:t>
      </w:r>
      <w:r w:rsidRPr="0088780C">
        <w:rPr>
          <w:rFonts w:eastAsia="Calibri"/>
          <w:b/>
          <w:snapToGrid w:val="0"/>
          <w:color w:val="000000" w:themeColor="text1"/>
          <w:kern w:val="22"/>
          <w:szCs w:val="22"/>
        </w:rPr>
        <w:t>,</w:t>
      </w:r>
      <w:r w:rsidRPr="0088780C">
        <w:rPr>
          <w:snapToGrid w:val="0"/>
          <w:color w:val="000000" w:themeColor="text1"/>
          <w:kern w:val="22"/>
          <w:szCs w:val="22"/>
        </w:rPr>
        <w:t xml:space="preserve"> </w:t>
      </w:r>
      <w:r w:rsidRPr="0088780C">
        <w:rPr>
          <w:rFonts w:eastAsia="Times New Roman"/>
          <w:i/>
          <w:snapToGrid w:val="0"/>
          <w:color w:val="000000" w:themeColor="text1"/>
          <w:kern w:val="22"/>
          <w:szCs w:val="22"/>
          <w:lang w:eastAsia="ru-RU"/>
        </w:rPr>
        <w:t>Stukenia pectinata</w:t>
      </w:r>
      <w:r w:rsidRPr="0088780C">
        <w:rPr>
          <w:rFonts w:eastAsia="Times New Roman"/>
          <w:snapToGrid w:val="0"/>
          <w:color w:val="000000" w:themeColor="text1"/>
          <w:kern w:val="22"/>
          <w:szCs w:val="22"/>
          <w:lang w:eastAsia="ru-RU"/>
        </w:rPr>
        <w:t>,</w:t>
      </w:r>
      <w:r w:rsidRPr="0088780C">
        <w:rPr>
          <w:snapToGrid w:val="0"/>
          <w:color w:val="000000" w:themeColor="text1"/>
          <w:kern w:val="22"/>
          <w:szCs w:val="22"/>
        </w:rPr>
        <w:t xml:space="preserve"> </w:t>
      </w:r>
      <w:r w:rsidRPr="0088780C">
        <w:rPr>
          <w:i/>
          <w:snapToGrid w:val="0"/>
          <w:color w:val="000000" w:themeColor="text1"/>
          <w:kern w:val="22"/>
          <w:szCs w:val="22"/>
        </w:rPr>
        <w:t xml:space="preserve">Lamprothamnium papulosum </w:t>
      </w:r>
      <w:r w:rsidRPr="0088780C">
        <w:rPr>
          <w:snapToGrid w:val="0"/>
          <w:color w:val="000000" w:themeColor="text1"/>
          <w:kern w:val="22"/>
          <w:szCs w:val="22"/>
        </w:rPr>
        <w:t>(Fig. 9). Seven species of phytobenthos found in the bay are listed in the Red Book of Ukraine, and two of them (</w:t>
      </w:r>
      <w:r w:rsidRPr="0088780C">
        <w:rPr>
          <w:i/>
          <w:snapToGrid w:val="0"/>
          <w:color w:val="000000" w:themeColor="text1"/>
          <w:kern w:val="22"/>
          <w:szCs w:val="22"/>
        </w:rPr>
        <w:t xml:space="preserve">Ectocarpus siliculosus </w:t>
      </w:r>
      <w:r w:rsidRPr="0088780C">
        <w:rPr>
          <w:snapToGrid w:val="0"/>
          <w:color w:val="000000" w:themeColor="text1"/>
          <w:kern w:val="22"/>
          <w:szCs w:val="22"/>
        </w:rPr>
        <w:t>and</w:t>
      </w:r>
      <w:r w:rsidRPr="0088780C">
        <w:rPr>
          <w:i/>
          <w:snapToGrid w:val="0"/>
          <w:color w:val="000000" w:themeColor="text1"/>
          <w:kern w:val="22"/>
          <w:szCs w:val="22"/>
        </w:rPr>
        <w:t xml:space="preserve"> Lamprothamnium papulosum</w:t>
      </w:r>
      <w:r w:rsidRPr="0088780C">
        <w:rPr>
          <w:snapToGrid w:val="0"/>
          <w:color w:val="000000" w:themeColor="text1"/>
          <w:kern w:val="22"/>
          <w:szCs w:val="22"/>
        </w:rPr>
        <w:t xml:space="preserve">) are vulnerable. So Yagorlytsky Bay is a refugium for recovery of </w:t>
      </w:r>
      <w:r w:rsidRPr="0088780C">
        <w:rPr>
          <w:i/>
          <w:snapToGrid w:val="0"/>
          <w:color w:val="000000" w:themeColor="text1"/>
          <w:kern w:val="22"/>
          <w:szCs w:val="22"/>
        </w:rPr>
        <w:t>L. papulosum.</w:t>
      </w:r>
      <w:r w:rsidRPr="0088780C">
        <w:rPr>
          <w:snapToGrid w:val="0"/>
          <w:color w:val="000000" w:themeColor="text1"/>
          <w:kern w:val="22"/>
          <w:szCs w:val="22"/>
        </w:rPr>
        <w:t xml:space="preserve"> In the early 1980s this species was registered in the southern part of the bay, but it is now common in shallow water along the entire perimeter of the bay. On the other hand, the previously widespread red alga </w:t>
      </w:r>
      <w:r w:rsidRPr="0088780C">
        <w:rPr>
          <w:i/>
          <w:snapToGrid w:val="0"/>
          <w:color w:val="000000" w:themeColor="text1"/>
          <w:kern w:val="22"/>
          <w:szCs w:val="22"/>
        </w:rPr>
        <w:t>Phyllophora crispa</w:t>
      </w:r>
      <w:r w:rsidRPr="0088780C">
        <w:rPr>
          <w:snapToGrid w:val="0"/>
          <w:color w:val="000000" w:themeColor="text1"/>
          <w:kern w:val="22"/>
          <w:szCs w:val="22"/>
        </w:rPr>
        <w:t xml:space="preserve"> (=</w:t>
      </w:r>
      <w:r w:rsidRPr="0088780C">
        <w:rPr>
          <w:i/>
          <w:snapToGrid w:val="0"/>
          <w:color w:val="000000" w:themeColor="text1"/>
          <w:kern w:val="22"/>
          <w:szCs w:val="22"/>
        </w:rPr>
        <w:t>nervosa</w:t>
      </w:r>
      <w:r w:rsidRPr="0088780C">
        <w:rPr>
          <w:snapToGrid w:val="0"/>
          <w:color w:val="000000" w:themeColor="text1"/>
          <w:kern w:val="22"/>
          <w:szCs w:val="22"/>
        </w:rPr>
        <w:t>) has practically disappeared as a result of eutrophication. Phyllophora stock in the 1960s, prior to large-scale eutrophication, reached 5909 tonnes (Pogrebnyak, Pashkovskaya, 1966).The average biomass of macrophytes in Yagorlytsky Bay is 650 g·m</w:t>
      </w:r>
      <w:r w:rsidRPr="0088780C">
        <w:rPr>
          <w:snapToGrid w:val="0"/>
          <w:color w:val="000000" w:themeColor="text1"/>
          <w:kern w:val="22"/>
          <w:szCs w:val="22"/>
          <w:vertAlign w:val="superscript"/>
        </w:rPr>
        <w:t>-2</w:t>
      </w:r>
      <w:r w:rsidRPr="0088780C">
        <w:rPr>
          <w:snapToGrid w:val="0"/>
          <w:color w:val="000000" w:themeColor="text1"/>
          <w:kern w:val="22"/>
          <w:szCs w:val="22"/>
        </w:rPr>
        <w:t>; a maximum value of 1800 g·m</w:t>
      </w:r>
      <w:r w:rsidRPr="0088780C">
        <w:rPr>
          <w:snapToGrid w:val="0"/>
          <w:color w:val="000000" w:themeColor="text1"/>
          <w:kern w:val="22"/>
          <w:szCs w:val="22"/>
          <w:vertAlign w:val="superscript"/>
        </w:rPr>
        <w:t>-2</w:t>
      </w:r>
      <w:r w:rsidRPr="0088780C">
        <w:rPr>
          <w:snapToGrid w:val="0"/>
          <w:color w:val="000000" w:themeColor="text1"/>
          <w:kern w:val="22"/>
          <w:szCs w:val="22"/>
        </w:rPr>
        <w:t xml:space="preserve"> was recorded in the Zostera phytocoenosis (Fig.</w:t>
      </w:r>
      <w:r w:rsidR="00FC6EB3" w:rsidRPr="0088780C">
        <w:rPr>
          <w:snapToGrid w:val="0"/>
          <w:color w:val="000000" w:themeColor="text1"/>
          <w:kern w:val="22"/>
          <w:szCs w:val="22"/>
        </w:rPr>
        <w:t> </w:t>
      </w:r>
      <w:r w:rsidRPr="0088780C">
        <w:rPr>
          <w:snapToGrid w:val="0"/>
          <w:color w:val="000000" w:themeColor="text1"/>
          <w:kern w:val="22"/>
          <w:szCs w:val="22"/>
        </w:rPr>
        <w:t>10).</w:t>
      </w:r>
    </w:p>
    <w:p w14:paraId="231C51D9"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107CB977" w14:textId="77777777" w:rsidR="00A876F3" w:rsidRPr="0088780C" w:rsidRDefault="00A876F3" w:rsidP="001013AF">
      <w:pPr>
        <w:suppressLineNumbers/>
        <w:suppressAutoHyphens/>
        <w:kinsoku w:val="0"/>
        <w:overflowPunct w:val="0"/>
        <w:autoSpaceDE w:val="0"/>
        <w:autoSpaceDN w:val="0"/>
        <w:rPr>
          <w:i/>
          <w:snapToGrid w:val="0"/>
          <w:color w:val="000000" w:themeColor="text1"/>
          <w:kern w:val="22"/>
          <w:szCs w:val="22"/>
        </w:rPr>
      </w:pPr>
      <w:r w:rsidRPr="0088780C">
        <w:rPr>
          <w:i/>
          <w:snapToGrid w:val="0"/>
          <w:color w:val="000000" w:themeColor="text1"/>
          <w:kern w:val="22"/>
          <w:szCs w:val="22"/>
        </w:rPr>
        <w:t>Macrozoobenthos</w:t>
      </w:r>
    </w:p>
    <w:p w14:paraId="1BE3D696" w14:textId="48C2A1E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There are 73 species of macrozoobenthos in Yagorlytsky Bay. Two species (Mediterranean mud shrimp </w:t>
      </w:r>
      <w:r w:rsidRPr="0088780C">
        <w:rPr>
          <w:i/>
          <w:snapToGrid w:val="0"/>
          <w:color w:val="000000" w:themeColor="text1"/>
          <w:kern w:val="22"/>
          <w:szCs w:val="22"/>
        </w:rPr>
        <w:t>Upogebia pusilla</w:t>
      </w:r>
      <w:r w:rsidRPr="0088780C">
        <w:rPr>
          <w:snapToGrid w:val="0"/>
          <w:color w:val="000000" w:themeColor="text1"/>
          <w:kern w:val="22"/>
          <w:szCs w:val="22"/>
        </w:rPr>
        <w:t xml:space="preserve"> and European flat oyster </w:t>
      </w:r>
      <w:r w:rsidRPr="0088780C">
        <w:rPr>
          <w:i/>
          <w:snapToGrid w:val="0"/>
          <w:color w:val="000000" w:themeColor="text1"/>
          <w:kern w:val="22"/>
          <w:szCs w:val="22"/>
        </w:rPr>
        <w:t>Ostrea edulis</w:t>
      </w:r>
      <w:r w:rsidRPr="0088780C">
        <w:rPr>
          <w:snapToGrid w:val="0"/>
          <w:color w:val="000000" w:themeColor="text1"/>
          <w:kern w:val="22"/>
          <w:szCs w:val="22"/>
        </w:rPr>
        <w:t xml:space="preserve">) are listed in the Red Data Book of Ukraine (see Table 4). In the 1970s the oyster was a dominant species in the bay, and a mariculture farm built on the shore for its mass cultivation. However, this species soon almost completely disappeared due to the silting of water as a result of eutrophication and the impact of invasive alien species, such as </w:t>
      </w:r>
      <w:r w:rsidRPr="0088780C">
        <w:rPr>
          <w:i/>
          <w:snapToGrid w:val="0"/>
          <w:color w:val="000000" w:themeColor="text1"/>
          <w:kern w:val="22"/>
          <w:szCs w:val="22"/>
        </w:rPr>
        <w:t>Rapana venosa</w:t>
      </w:r>
      <w:r w:rsidRPr="0088780C">
        <w:rPr>
          <w:snapToGrid w:val="0"/>
          <w:color w:val="000000" w:themeColor="text1"/>
          <w:kern w:val="22"/>
          <w:szCs w:val="22"/>
        </w:rPr>
        <w:t>. Seven main bottom hapitats have been registered in Yagorlytsky Bay: sand, black mud, meadow silt, shellfish, European flat oyster (</w:t>
      </w:r>
      <w:r w:rsidRPr="0088780C">
        <w:rPr>
          <w:i/>
          <w:snapToGrid w:val="0"/>
          <w:color w:val="000000" w:themeColor="text1"/>
          <w:kern w:val="22"/>
          <w:szCs w:val="22"/>
        </w:rPr>
        <w:t>Ostrea edulis)</w:t>
      </w:r>
      <w:r w:rsidRPr="0088780C">
        <w:rPr>
          <w:snapToGrid w:val="0"/>
          <w:color w:val="000000" w:themeColor="text1"/>
          <w:kern w:val="22"/>
          <w:szCs w:val="22"/>
        </w:rPr>
        <w:t xml:space="preserve">, thickets of the seagrass </w:t>
      </w:r>
      <w:r w:rsidRPr="0088780C">
        <w:rPr>
          <w:i/>
          <w:snapToGrid w:val="0"/>
          <w:color w:val="000000" w:themeColor="text1"/>
          <w:kern w:val="22"/>
          <w:szCs w:val="22"/>
        </w:rPr>
        <w:t>Zostera</w:t>
      </w:r>
      <w:r w:rsidRPr="0088780C">
        <w:rPr>
          <w:snapToGrid w:val="0"/>
          <w:color w:val="000000" w:themeColor="text1"/>
          <w:kern w:val="22"/>
          <w:szCs w:val="22"/>
        </w:rPr>
        <w:t xml:space="preserve"> (Greenbart, 1968). In 1988, the average number of macrozoobenthos in Yagorlytsky Bay was 40 800 ind·m</w:t>
      </w:r>
      <w:r w:rsidRPr="0088780C">
        <w:rPr>
          <w:snapToGrid w:val="0"/>
          <w:color w:val="000000" w:themeColor="text1"/>
          <w:kern w:val="22"/>
          <w:szCs w:val="22"/>
          <w:vertAlign w:val="superscript"/>
        </w:rPr>
        <w:t>-2</w:t>
      </w:r>
      <w:r w:rsidRPr="0088780C">
        <w:rPr>
          <w:snapToGrid w:val="0"/>
          <w:color w:val="000000" w:themeColor="text1"/>
          <w:kern w:val="22"/>
          <w:szCs w:val="22"/>
        </w:rPr>
        <w:t>, biomass - 384 g·m</w:t>
      </w:r>
      <w:r w:rsidRPr="0088780C">
        <w:rPr>
          <w:snapToGrid w:val="0"/>
          <w:color w:val="000000" w:themeColor="text1"/>
          <w:kern w:val="22"/>
          <w:szCs w:val="22"/>
          <w:vertAlign w:val="superscript"/>
        </w:rPr>
        <w:t>-2</w:t>
      </w:r>
      <w:r w:rsidRPr="0088780C">
        <w:rPr>
          <w:snapToGrid w:val="0"/>
          <w:color w:val="000000" w:themeColor="text1"/>
          <w:kern w:val="22"/>
          <w:szCs w:val="22"/>
        </w:rPr>
        <w:t>.</w:t>
      </w:r>
      <w:r w:rsidRPr="0088780C">
        <w:rPr>
          <w:rFonts w:eastAsia="Times New Roman"/>
          <w:snapToGrid w:val="0"/>
          <w:color w:val="000000" w:themeColor="text1"/>
          <w:kern w:val="22"/>
          <w:szCs w:val="22"/>
          <w:lang w:eastAsia="ru-RU"/>
        </w:rPr>
        <w:t xml:space="preserve"> Among the main taxonomic groups in the </w:t>
      </w:r>
      <w:r w:rsidRPr="0088780C">
        <w:rPr>
          <w:snapToGrid w:val="0"/>
          <w:color w:val="000000" w:themeColor="text1"/>
          <w:kern w:val="22"/>
          <w:szCs w:val="22"/>
        </w:rPr>
        <w:t>Yagorlytsky</w:t>
      </w:r>
      <w:r w:rsidRPr="0088780C">
        <w:rPr>
          <w:rFonts w:eastAsia="Times New Roman"/>
          <w:snapToGrid w:val="0"/>
          <w:color w:val="000000" w:themeColor="text1"/>
          <w:kern w:val="22"/>
          <w:szCs w:val="22"/>
          <w:lang w:eastAsia="ru-RU"/>
        </w:rPr>
        <w:t xml:space="preserve"> Bay are mollusks (40%) and crustaceans (39%). The most significant contribution to the average biomass of the macrozoobenthos of the Yagorlytsky Bay were </w:t>
      </w:r>
      <w:r w:rsidRPr="0088780C">
        <w:rPr>
          <w:rFonts w:eastAsia="Times New Roman"/>
          <w:i/>
          <w:snapToGrid w:val="0"/>
          <w:color w:val="000000" w:themeColor="text1"/>
          <w:kern w:val="22"/>
          <w:szCs w:val="22"/>
          <w:lang w:eastAsia="ru-RU"/>
        </w:rPr>
        <w:t>Irus irus</w:t>
      </w:r>
      <w:r w:rsidRPr="0088780C">
        <w:rPr>
          <w:rFonts w:eastAsia="Times New Roman"/>
          <w:snapToGrid w:val="0"/>
          <w:color w:val="000000" w:themeColor="text1"/>
          <w:kern w:val="22"/>
          <w:szCs w:val="22"/>
          <w:lang w:eastAsia="ru-RU"/>
        </w:rPr>
        <w:t xml:space="preserve"> (381 g∙m</w:t>
      </w:r>
      <w:r w:rsidRPr="0088780C">
        <w:rPr>
          <w:rFonts w:eastAsia="Times New Roman"/>
          <w:snapToGrid w:val="0"/>
          <w:color w:val="000000" w:themeColor="text1"/>
          <w:kern w:val="22"/>
          <w:szCs w:val="22"/>
          <w:vertAlign w:val="superscript"/>
          <w:lang w:eastAsia="ru-RU"/>
        </w:rPr>
        <w:t>-2</w:t>
      </w:r>
      <w:r w:rsidRPr="0088780C">
        <w:rPr>
          <w:rFonts w:eastAsia="Times New Roman"/>
          <w:snapToGrid w:val="0"/>
          <w:color w:val="000000" w:themeColor="text1"/>
          <w:kern w:val="22"/>
          <w:szCs w:val="22"/>
          <w:lang w:eastAsia="ru-RU"/>
        </w:rPr>
        <w:t xml:space="preserve">) and </w:t>
      </w:r>
      <w:r w:rsidRPr="0088780C">
        <w:rPr>
          <w:rFonts w:eastAsia="Times New Roman"/>
          <w:i/>
          <w:snapToGrid w:val="0"/>
          <w:color w:val="000000" w:themeColor="text1"/>
          <w:kern w:val="22"/>
          <w:szCs w:val="22"/>
          <w:lang w:eastAsia="ru-RU"/>
        </w:rPr>
        <w:t>Mytilaster lineatus</w:t>
      </w:r>
      <w:r w:rsidRPr="0088780C">
        <w:rPr>
          <w:rFonts w:eastAsia="Times New Roman"/>
          <w:snapToGrid w:val="0"/>
          <w:color w:val="000000" w:themeColor="text1"/>
          <w:kern w:val="22"/>
          <w:szCs w:val="22"/>
          <w:lang w:eastAsia="ru-RU"/>
        </w:rPr>
        <w:t xml:space="preserve"> (193 g∙m</w:t>
      </w:r>
      <w:r w:rsidRPr="0088780C">
        <w:rPr>
          <w:rFonts w:eastAsia="Times New Roman"/>
          <w:snapToGrid w:val="0"/>
          <w:color w:val="000000" w:themeColor="text1"/>
          <w:kern w:val="22"/>
          <w:szCs w:val="22"/>
          <w:vertAlign w:val="superscript"/>
          <w:lang w:eastAsia="ru-RU"/>
        </w:rPr>
        <w:t>-2</w:t>
      </w:r>
      <w:r w:rsidRPr="0088780C">
        <w:rPr>
          <w:rFonts w:eastAsia="Times New Roman"/>
          <w:snapToGrid w:val="0"/>
          <w:color w:val="000000" w:themeColor="text1"/>
          <w:kern w:val="22"/>
          <w:szCs w:val="22"/>
          <w:lang w:eastAsia="ru-RU"/>
        </w:rPr>
        <w:t>)</w:t>
      </w:r>
      <w:r w:rsidRPr="0088780C">
        <w:rPr>
          <w:snapToGrid w:val="0"/>
          <w:color w:val="000000" w:themeColor="text1"/>
          <w:kern w:val="22"/>
          <w:szCs w:val="22"/>
        </w:rPr>
        <w:t xml:space="preserve"> (Sinegub, 2006)</w:t>
      </w:r>
      <w:r w:rsidRPr="0088780C">
        <w:rPr>
          <w:rFonts w:eastAsia="Times New Roman"/>
          <w:snapToGrid w:val="0"/>
          <w:color w:val="000000" w:themeColor="text1"/>
          <w:kern w:val="22"/>
          <w:szCs w:val="22"/>
          <w:lang w:eastAsia="ru-RU"/>
        </w:rPr>
        <w:t xml:space="preserve">. </w:t>
      </w:r>
      <w:r w:rsidRPr="0088780C">
        <w:rPr>
          <w:snapToGrid w:val="0"/>
          <w:color w:val="000000" w:themeColor="text1"/>
          <w:kern w:val="22"/>
          <w:szCs w:val="22"/>
        </w:rPr>
        <w:t xml:space="preserve">According to IMB NASU data received in June 2013, 67 macrozoobenthos taxa were recorded (Table 3). The distribution of quantitative parameters of the bottom macrofauna at the stations was not homogeneous. The maximum abundance and biomass indicators for the zoobenthos of the investigated area were recorded in the </w:t>
      </w:r>
      <w:r w:rsidR="00D65B3C" w:rsidRPr="0088780C">
        <w:rPr>
          <w:snapToGrid w:val="0"/>
          <w:color w:val="000000" w:themeColor="text1"/>
          <w:kern w:val="22"/>
          <w:szCs w:val="22"/>
        </w:rPr>
        <w:t>south-west</w:t>
      </w:r>
      <w:r w:rsidRPr="0088780C">
        <w:rPr>
          <w:snapToGrid w:val="0"/>
          <w:color w:val="000000" w:themeColor="text1"/>
          <w:kern w:val="22"/>
          <w:szCs w:val="22"/>
        </w:rPr>
        <w:t>ern part of Yagorlytsky Bay.</w:t>
      </w:r>
    </w:p>
    <w:p w14:paraId="0EABEF7E" w14:textId="77777777" w:rsidR="00A876F3" w:rsidRPr="0088780C" w:rsidRDefault="00A876F3" w:rsidP="001013AF">
      <w:pPr>
        <w:suppressLineNumbers/>
        <w:suppressAutoHyphens/>
        <w:kinsoku w:val="0"/>
        <w:overflowPunct w:val="0"/>
        <w:autoSpaceDE w:val="0"/>
        <w:autoSpaceDN w:val="0"/>
        <w:rPr>
          <w:rFonts w:eastAsia="SimSun"/>
          <w:i/>
          <w:snapToGrid w:val="0"/>
          <w:color w:val="000000" w:themeColor="text1"/>
          <w:kern w:val="22"/>
          <w:szCs w:val="22"/>
          <w:lang w:eastAsia="zh-CN"/>
        </w:rPr>
      </w:pPr>
    </w:p>
    <w:p w14:paraId="750F74AF" w14:textId="77777777" w:rsidR="00A876F3" w:rsidRPr="0088780C" w:rsidRDefault="00A876F3" w:rsidP="001013AF">
      <w:pPr>
        <w:suppressLineNumbers/>
        <w:suppressAutoHyphens/>
        <w:kinsoku w:val="0"/>
        <w:overflowPunct w:val="0"/>
        <w:autoSpaceDE w:val="0"/>
        <w:autoSpaceDN w:val="0"/>
        <w:rPr>
          <w:rFonts w:eastAsia="SimSun"/>
          <w:i/>
          <w:snapToGrid w:val="0"/>
          <w:color w:val="000000" w:themeColor="text1"/>
          <w:kern w:val="22"/>
          <w:szCs w:val="22"/>
          <w:lang w:eastAsia="zh-CN"/>
        </w:rPr>
      </w:pPr>
      <w:r w:rsidRPr="0088780C">
        <w:rPr>
          <w:rFonts w:eastAsia="SimSun"/>
          <w:i/>
          <w:snapToGrid w:val="0"/>
          <w:color w:val="000000" w:themeColor="text1"/>
          <w:kern w:val="22"/>
          <w:szCs w:val="22"/>
          <w:lang w:eastAsia="zh-CN"/>
        </w:rPr>
        <w:t>Ichthyofauna</w:t>
      </w:r>
    </w:p>
    <w:p w14:paraId="6CFC5B74" w14:textId="6DC9F953" w:rsidR="00A876F3" w:rsidRPr="0088780C" w:rsidRDefault="00A876F3" w:rsidP="001013AF">
      <w:pPr>
        <w:suppressLineNumbers/>
        <w:suppressAutoHyphens/>
        <w:kinsoku w:val="0"/>
        <w:overflowPunct w:val="0"/>
        <w:autoSpaceDE w:val="0"/>
        <w:autoSpaceDN w:val="0"/>
        <w:rPr>
          <w:rFonts w:eastAsia="SimSun"/>
          <w:snapToGrid w:val="0"/>
          <w:color w:val="000000" w:themeColor="text1"/>
          <w:kern w:val="22"/>
          <w:szCs w:val="22"/>
          <w:lang w:eastAsia="zh-CN"/>
        </w:rPr>
      </w:pPr>
      <w:r w:rsidRPr="0088780C">
        <w:rPr>
          <w:rFonts w:eastAsia="SimSun"/>
          <w:snapToGrid w:val="0"/>
          <w:color w:val="000000" w:themeColor="text1"/>
          <w:kern w:val="22"/>
          <w:szCs w:val="22"/>
          <w:lang w:eastAsia="zh-CN"/>
        </w:rPr>
        <w:t xml:space="preserve">For at least the last 20 years, 88 species of fish from 43 families were recorded in the </w:t>
      </w:r>
      <w:r w:rsidRPr="0088780C">
        <w:rPr>
          <w:snapToGrid w:val="0"/>
          <w:color w:val="000000" w:themeColor="text1"/>
          <w:kern w:val="22"/>
          <w:szCs w:val="22"/>
        </w:rPr>
        <w:t>Yagorlytsky</w:t>
      </w:r>
      <w:r w:rsidRPr="0088780C">
        <w:rPr>
          <w:rFonts w:eastAsia="Times New Roman"/>
          <w:snapToGrid w:val="0"/>
          <w:color w:val="000000" w:themeColor="text1"/>
          <w:kern w:val="22"/>
          <w:szCs w:val="22"/>
          <w:lang w:eastAsia="ru-RU"/>
        </w:rPr>
        <w:t xml:space="preserve"> Bay (see Table 4). </w:t>
      </w:r>
      <w:r w:rsidRPr="0088780C">
        <w:rPr>
          <w:rFonts w:eastAsia="SimSun"/>
          <w:snapToGrid w:val="0"/>
          <w:color w:val="000000" w:themeColor="text1"/>
          <w:kern w:val="22"/>
          <w:szCs w:val="22"/>
          <w:lang w:eastAsia="zh-CN"/>
        </w:rPr>
        <w:t>About 67% of these fish are purely marine species, 8% are transitive and widely eurygaline and 17% are brackish and freshwater species (Takchenko, 2012). There are 15 dominant species recorded in Yagorlytsky Bay in recent times: silverside</w:t>
      </w:r>
      <w:r w:rsidRPr="0088780C">
        <w:rPr>
          <w:rFonts w:eastAsia="SimSun"/>
          <w:i/>
          <w:snapToGrid w:val="0"/>
          <w:color w:val="000000" w:themeColor="text1"/>
          <w:kern w:val="22"/>
          <w:szCs w:val="22"/>
          <w:lang w:eastAsia="zh-CN"/>
        </w:rPr>
        <w:t xml:space="preserve"> Atherina mochon pontica, </w:t>
      </w:r>
      <w:r w:rsidRPr="0088780C">
        <w:rPr>
          <w:rFonts w:eastAsia="SimSun"/>
          <w:snapToGrid w:val="0"/>
          <w:color w:val="000000" w:themeColor="text1"/>
          <w:kern w:val="22"/>
          <w:szCs w:val="22"/>
          <w:lang w:eastAsia="zh-CN"/>
        </w:rPr>
        <w:t>roun goby</w:t>
      </w:r>
      <w:r w:rsidRPr="0088780C">
        <w:rPr>
          <w:rFonts w:eastAsia="SimSun"/>
          <w:i/>
          <w:snapToGrid w:val="0"/>
          <w:color w:val="000000" w:themeColor="text1"/>
          <w:kern w:val="22"/>
          <w:szCs w:val="22"/>
          <w:lang w:eastAsia="zh-CN"/>
        </w:rPr>
        <w:t xml:space="preserve"> Neogobius melanostomus</w:t>
      </w:r>
      <w:r w:rsidRPr="0088780C">
        <w:rPr>
          <w:rFonts w:eastAsia="SimSun"/>
          <w:snapToGrid w:val="0"/>
          <w:color w:val="000000" w:themeColor="text1"/>
          <w:kern w:val="22"/>
          <w:szCs w:val="22"/>
          <w:lang w:eastAsia="zh-CN"/>
        </w:rPr>
        <w:t>,</w:t>
      </w:r>
      <w:r w:rsidRPr="0088780C">
        <w:rPr>
          <w:rFonts w:eastAsia="SimSun"/>
          <w:i/>
          <w:snapToGrid w:val="0"/>
          <w:color w:val="000000" w:themeColor="text1"/>
          <w:kern w:val="22"/>
          <w:szCs w:val="22"/>
          <w:lang w:eastAsia="zh-CN"/>
        </w:rPr>
        <w:t xml:space="preserve"> </w:t>
      </w:r>
      <w:r w:rsidRPr="0088780C">
        <w:rPr>
          <w:rFonts w:eastAsia="SimSun"/>
          <w:snapToGrid w:val="0"/>
          <w:color w:val="000000" w:themeColor="text1"/>
          <w:kern w:val="22"/>
          <w:szCs w:val="22"/>
          <w:lang w:eastAsia="zh-CN"/>
        </w:rPr>
        <w:t>sandstone</w:t>
      </w:r>
      <w:r w:rsidRPr="0088780C">
        <w:rPr>
          <w:rFonts w:eastAsia="SimSun"/>
          <w:i/>
          <w:snapToGrid w:val="0"/>
          <w:color w:val="000000" w:themeColor="text1"/>
          <w:kern w:val="22"/>
          <w:szCs w:val="22"/>
          <w:lang w:eastAsia="zh-CN"/>
        </w:rPr>
        <w:t xml:space="preserve"> Neogobius fluviatilis, </w:t>
      </w:r>
      <w:r w:rsidRPr="0088780C">
        <w:rPr>
          <w:rFonts w:eastAsia="SimSun"/>
          <w:snapToGrid w:val="0"/>
          <w:color w:val="000000" w:themeColor="text1"/>
          <w:kern w:val="22"/>
          <w:szCs w:val="22"/>
          <w:lang w:eastAsia="zh-CN"/>
        </w:rPr>
        <w:t>herb</w:t>
      </w:r>
      <w:r w:rsidRPr="0088780C">
        <w:rPr>
          <w:rFonts w:eastAsia="SimSun"/>
          <w:i/>
          <w:snapToGrid w:val="0"/>
          <w:color w:val="000000" w:themeColor="text1"/>
          <w:kern w:val="22"/>
          <w:szCs w:val="22"/>
          <w:lang w:eastAsia="zh-CN"/>
        </w:rPr>
        <w:t xml:space="preserve"> Gobius ophiocephalus</w:t>
      </w:r>
      <w:r w:rsidRPr="0088780C">
        <w:rPr>
          <w:rFonts w:eastAsia="SimSun"/>
          <w:snapToGrid w:val="0"/>
          <w:color w:val="000000" w:themeColor="text1"/>
          <w:kern w:val="22"/>
          <w:szCs w:val="22"/>
          <w:lang w:eastAsia="zh-CN"/>
        </w:rPr>
        <w:t>,</w:t>
      </w:r>
      <w:r w:rsidRPr="0088780C">
        <w:rPr>
          <w:rFonts w:eastAsia="SimSun"/>
          <w:i/>
          <w:snapToGrid w:val="0"/>
          <w:color w:val="000000" w:themeColor="text1"/>
          <w:kern w:val="22"/>
          <w:szCs w:val="22"/>
          <w:lang w:eastAsia="zh-CN"/>
        </w:rPr>
        <w:t xml:space="preserve"> </w:t>
      </w:r>
      <w:r w:rsidRPr="0088780C">
        <w:rPr>
          <w:rFonts w:eastAsia="SimSun"/>
          <w:snapToGrid w:val="0"/>
          <w:color w:val="000000" w:themeColor="text1"/>
          <w:kern w:val="22"/>
          <w:szCs w:val="22"/>
          <w:lang w:eastAsia="zh-CN"/>
        </w:rPr>
        <w:t>black</w:t>
      </w:r>
      <w:r w:rsidRPr="0088780C">
        <w:rPr>
          <w:rFonts w:eastAsia="SimSun"/>
          <w:i/>
          <w:snapToGrid w:val="0"/>
          <w:color w:val="000000" w:themeColor="text1"/>
          <w:kern w:val="22"/>
          <w:szCs w:val="22"/>
          <w:lang w:eastAsia="zh-CN"/>
        </w:rPr>
        <w:t xml:space="preserve"> </w:t>
      </w:r>
      <w:r w:rsidRPr="0088780C">
        <w:rPr>
          <w:rFonts w:eastAsia="SimSun"/>
          <w:snapToGrid w:val="0"/>
          <w:color w:val="000000" w:themeColor="text1"/>
          <w:kern w:val="22"/>
          <w:szCs w:val="22"/>
          <w:lang w:eastAsia="zh-CN"/>
        </w:rPr>
        <w:t>goby</w:t>
      </w:r>
      <w:r w:rsidRPr="0088780C">
        <w:rPr>
          <w:rFonts w:eastAsia="SimSun"/>
          <w:i/>
          <w:snapToGrid w:val="0"/>
          <w:color w:val="000000" w:themeColor="text1"/>
          <w:kern w:val="22"/>
          <w:szCs w:val="22"/>
          <w:lang w:eastAsia="zh-CN"/>
        </w:rPr>
        <w:t xml:space="preserve"> Gobius niger, </w:t>
      </w:r>
      <w:r w:rsidRPr="0088780C">
        <w:rPr>
          <w:rFonts w:eastAsia="SimSun"/>
          <w:snapToGrid w:val="0"/>
          <w:color w:val="000000" w:themeColor="text1"/>
          <w:kern w:val="22"/>
          <w:szCs w:val="22"/>
          <w:lang w:eastAsia="zh-CN"/>
        </w:rPr>
        <w:t>zucicus</w:t>
      </w:r>
      <w:r w:rsidRPr="0088780C">
        <w:rPr>
          <w:rFonts w:eastAsia="SimSun"/>
          <w:i/>
          <w:snapToGrid w:val="0"/>
          <w:color w:val="000000" w:themeColor="text1"/>
          <w:kern w:val="22"/>
          <w:szCs w:val="22"/>
          <w:lang w:eastAsia="zh-CN"/>
        </w:rPr>
        <w:t xml:space="preserve"> Proterorhinus marmoratus, </w:t>
      </w:r>
      <w:r w:rsidRPr="0088780C">
        <w:rPr>
          <w:rFonts w:eastAsia="SimSun"/>
          <w:snapToGrid w:val="0"/>
          <w:color w:val="000000" w:themeColor="text1"/>
          <w:kern w:val="22"/>
          <w:szCs w:val="22"/>
          <w:lang w:eastAsia="zh-CN"/>
        </w:rPr>
        <w:t>leopard bald</w:t>
      </w:r>
      <w:r w:rsidRPr="0088780C">
        <w:rPr>
          <w:rFonts w:eastAsia="SimSun"/>
          <w:i/>
          <w:snapToGrid w:val="0"/>
          <w:color w:val="000000" w:themeColor="text1"/>
          <w:kern w:val="22"/>
          <w:szCs w:val="22"/>
          <w:lang w:eastAsia="zh-CN"/>
        </w:rPr>
        <w:t xml:space="preserve"> Pomatoschistus marmoratus,</w:t>
      </w:r>
      <w:r w:rsidRPr="0088780C">
        <w:rPr>
          <w:rFonts w:eastAsia="SimSun"/>
          <w:snapToGrid w:val="0"/>
          <w:color w:val="000000" w:themeColor="text1"/>
          <w:kern w:val="22"/>
          <w:szCs w:val="22"/>
          <w:lang w:eastAsia="zh-CN"/>
        </w:rPr>
        <w:t xml:space="preserve"> needle-fish</w:t>
      </w:r>
      <w:r w:rsidRPr="0088780C">
        <w:rPr>
          <w:rFonts w:eastAsia="SimSun"/>
          <w:i/>
          <w:snapToGrid w:val="0"/>
          <w:color w:val="000000" w:themeColor="text1"/>
          <w:kern w:val="22"/>
          <w:szCs w:val="22"/>
          <w:lang w:eastAsia="zh-CN"/>
        </w:rPr>
        <w:t xml:space="preserve"> Syngnathus nigrolineatus, </w:t>
      </w:r>
      <w:r w:rsidRPr="0088780C">
        <w:rPr>
          <w:rFonts w:eastAsia="SimSun"/>
          <w:snapToGrid w:val="0"/>
          <w:color w:val="000000" w:themeColor="text1"/>
          <w:kern w:val="22"/>
          <w:szCs w:val="22"/>
          <w:lang w:eastAsia="zh-CN"/>
        </w:rPr>
        <w:t>gloss</w:t>
      </w:r>
      <w:r w:rsidRPr="0088780C">
        <w:rPr>
          <w:rFonts w:eastAsia="SimSun"/>
          <w:i/>
          <w:snapToGrid w:val="0"/>
          <w:color w:val="000000" w:themeColor="text1"/>
          <w:kern w:val="22"/>
          <w:szCs w:val="22"/>
          <w:lang w:eastAsia="zh-CN"/>
        </w:rPr>
        <w:t xml:space="preserve"> Platichthys flesus luscus, </w:t>
      </w:r>
      <w:r w:rsidRPr="0088780C">
        <w:rPr>
          <w:rFonts w:eastAsia="SimSun"/>
          <w:snapToGrid w:val="0"/>
          <w:color w:val="000000" w:themeColor="text1"/>
          <w:kern w:val="22"/>
          <w:szCs w:val="22"/>
          <w:lang w:eastAsia="zh-CN"/>
        </w:rPr>
        <w:t>4 species of mullets</w:t>
      </w:r>
      <w:r w:rsidRPr="0088780C">
        <w:rPr>
          <w:rFonts w:eastAsia="SimSun"/>
          <w:i/>
          <w:snapToGrid w:val="0"/>
          <w:color w:val="000000" w:themeColor="text1"/>
          <w:kern w:val="22"/>
          <w:szCs w:val="22"/>
          <w:lang w:eastAsia="zh-CN"/>
        </w:rPr>
        <w:t xml:space="preserve"> (Liza aurata, Liza saliens, Mugil cephalus </w:t>
      </w:r>
      <w:r w:rsidRPr="0088780C">
        <w:rPr>
          <w:rFonts w:eastAsia="SimSun"/>
          <w:snapToGrid w:val="0"/>
          <w:color w:val="000000" w:themeColor="text1"/>
          <w:kern w:val="22"/>
          <w:szCs w:val="22"/>
          <w:lang w:eastAsia="zh-CN"/>
        </w:rPr>
        <w:t xml:space="preserve">and </w:t>
      </w:r>
      <w:r w:rsidRPr="0088780C">
        <w:rPr>
          <w:rFonts w:eastAsia="SimSun"/>
          <w:i/>
          <w:snapToGrid w:val="0"/>
          <w:color w:val="000000" w:themeColor="text1"/>
          <w:kern w:val="22"/>
          <w:szCs w:val="22"/>
          <w:lang w:eastAsia="zh-CN"/>
        </w:rPr>
        <w:t>Mugil so-iuy</w:t>
      </w:r>
      <w:r w:rsidRPr="0088780C">
        <w:rPr>
          <w:rFonts w:eastAsia="SimSun"/>
          <w:snapToGrid w:val="0"/>
          <w:color w:val="000000" w:themeColor="text1"/>
          <w:kern w:val="22"/>
          <w:szCs w:val="22"/>
          <w:lang w:eastAsia="zh-CN"/>
        </w:rPr>
        <w:t>)</w:t>
      </w:r>
      <w:r w:rsidRPr="0088780C">
        <w:rPr>
          <w:rFonts w:eastAsia="SimSun"/>
          <w:i/>
          <w:snapToGrid w:val="0"/>
          <w:color w:val="000000" w:themeColor="text1"/>
          <w:kern w:val="22"/>
          <w:szCs w:val="22"/>
          <w:lang w:eastAsia="zh-CN"/>
        </w:rPr>
        <w:t xml:space="preserve">, </w:t>
      </w:r>
      <w:r w:rsidRPr="0088780C">
        <w:rPr>
          <w:rFonts w:eastAsia="SimSun"/>
          <w:snapToGrid w:val="0"/>
          <w:color w:val="000000" w:themeColor="text1"/>
          <w:kern w:val="22"/>
          <w:szCs w:val="22"/>
          <w:lang w:eastAsia="zh-CN"/>
        </w:rPr>
        <w:t>sprat</w:t>
      </w:r>
      <w:r w:rsidRPr="0088780C">
        <w:rPr>
          <w:rFonts w:eastAsia="SimSun"/>
          <w:i/>
          <w:snapToGrid w:val="0"/>
          <w:color w:val="000000" w:themeColor="text1"/>
          <w:kern w:val="22"/>
          <w:szCs w:val="22"/>
          <w:lang w:eastAsia="zh-CN"/>
        </w:rPr>
        <w:t xml:space="preserve"> Sprattus sprattus phalericus </w:t>
      </w:r>
      <w:r w:rsidRPr="0088780C">
        <w:rPr>
          <w:rFonts w:eastAsia="SimSun"/>
          <w:snapToGrid w:val="0"/>
          <w:color w:val="000000" w:themeColor="text1"/>
          <w:kern w:val="22"/>
          <w:szCs w:val="22"/>
          <w:lang w:eastAsia="zh-CN"/>
        </w:rPr>
        <w:t>(Risso) and</w:t>
      </w:r>
      <w:r w:rsidRPr="0088780C">
        <w:rPr>
          <w:rFonts w:eastAsia="SimSun"/>
          <w:i/>
          <w:snapToGrid w:val="0"/>
          <w:color w:val="000000" w:themeColor="text1"/>
          <w:kern w:val="22"/>
          <w:szCs w:val="22"/>
          <w:lang w:eastAsia="zh-CN"/>
        </w:rPr>
        <w:t xml:space="preserve"> </w:t>
      </w:r>
      <w:r w:rsidRPr="0088780C">
        <w:rPr>
          <w:rFonts w:eastAsia="SimSun"/>
          <w:snapToGrid w:val="0"/>
          <w:color w:val="000000" w:themeColor="text1"/>
          <w:kern w:val="22"/>
          <w:szCs w:val="22"/>
          <w:lang w:eastAsia="zh-CN"/>
        </w:rPr>
        <w:t>anchovy</w:t>
      </w:r>
      <w:r w:rsidRPr="0088780C">
        <w:rPr>
          <w:rFonts w:eastAsia="SimSun"/>
          <w:i/>
          <w:snapToGrid w:val="0"/>
          <w:color w:val="000000" w:themeColor="text1"/>
          <w:kern w:val="22"/>
          <w:szCs w:val="22"/>
          <w:lang w:eastAsia="zh-CN"/>
        </w:rPr>
        <w:t xml:space="preserve"> Engraulis encrasiholus maeoticus</w:t>
      </w:r>
      <w:r w:rsidRPr="0088780C">
        <w:rPr>
          <w:rFonts w:eastAsia="SimSun"/>
          <w:snapToGrid w:val="0"/>
          <w:color w:val="000000" w:themeColor="text1"/>
          <w:kern w:val="22"/>
          <w:szCs w:val="22"/>
          <w:lang w:eastAsia="zh-CN"/>
        </w:rPr>
        <w:t xml:space="preserve">. Twenty four species of fish are included in the Red Data Book of Ukraine and </w:t>
      </w:r>
      <w:r w:rsidRPr="0088780C">
        <w:rPr>
          <w:rFonts w:eastAsia="Times New Roman"/>
          <w:iCs/>
          <w:snapToGrid w:val="0"/>
          <w:color w:val="000000" w:themeColor="text1"/>
          <w:kern w:val="22"/>
          <w:szCs w:val="22"/>
          <w:shd w:val="clear" w:color="auto" w:fill="FFFFFF"/>
        </w:rPr>
        <w:t>International Union for Conservation of Nature and Natural Resources</w:t>
      </w:r>
      <w:r w:rsidRPr="0088780C">
        <w:rPr>
          <w:rFonts w:eastAsia="Times New Roman"/>
          <w:snapToGrid w:val="0"/>
          <w:color w:val="000000" w:themeColor="text1"/>
          <w:kern w:val="22"/>
          <w:szCs w:val="22"/>
          <w:shd w:val="clear" w:color="auto" w:fill="FFFFFF"/>
        </w:rPr>
        <w:t xml:space="preserve"> (IUCN), eight of which are endangered: sturgeons (</w:t>
      </w:r>
      <w:r w:rsidRPr="0088780C">
        <w:rPr>
          <w:rFonts w:eastAsia="Times New Roman"/>
          <w:i/>
          <w:snapToGrid w:val="0"/>
          <w:color w:val="000000" w:themeColor="text1"/>
          <w:kern w:val="22"/>
          <w:szCs w:val="22"/>
          <w:shd w:val="clear" w:color="auto" w:fill="FFFFFF"/>
        </w:rPr>
        <w:t>Acipenser stellatus</w:t>
      </w:r>
      <w:r w:rsidRPr="0088780C">
        <w:rPr>
          <w:rFonts w:eastAsia="Times New Roman"/>
          <w:snapToGrid w:val="0"/>
          <w:color w:val="000000" w:themeColor="text1"/>
          <w:kern w:val="22"/>
          <w:szCs w:val="22"/>
          <w:shd w:val="clear" w:color="auto" w:fill="FFFFFF"/>
        </w:rPr>
        <w:t xml:space="preserve">, </w:t>
      </w:r>
      <w:r w:rsidRPr="0088780C">
        <w:rPr>
          <w:rFonts w:eastAsia="Times New Roman"/>
          <w:i/>
          <w:snapToGrid w:val="0"/>
          <w:color w:val="000000" w:themeColor="text1"/>
          <w:kern w:val="22"/>
          <w:szCs w:val="22"/>
          <w:shd w:val="clear" w:color="auto" w:fill="FFFFFF"/>
        </w:rPr>
        <w:t>A. gueldenstaedtii</w:t>
      </w:r>
      <w:r w:rsidRPr="0088780C">
        <w:rPr>
          <w:rFonts w:eastAsia="Times New Roman"/>
          <w:snapToGrid w:val="0"/>
          <w:color w:val="000000" w:themeColor="text1"/>
          <w:kern w:val="22"/>
          <w:szCs w:val="22"/>
          <w:shd w:val="clear" w:color="auto" w:fill="FFFFFF"/>
        </w:rPr>
        <w:t xml:space="preserve">, </w:t>
      </w:r>
      <w:r w:rsidRPr="0088780C">
        <w:rPr>
          <w:rFonts w:eastAsia="Times New Roman"/>
          <w:i/>
          <w:snapToGrid w:val="0"/>
          <w:color w:val="000000" w:themeColor="text1"/>
          <w:kern w:val="22"/>
          <w:szCs w:val="22"/>
          <w:shd w:val="clear" w:color="auto" w:fill="FFFFFF"/>
        </w:rPr>
        <w:t>A. nudiventris</w:t>
      </w:r>
      <w:r w:rsidRPr="0088780C">
        <w:rPr>
          <w:rFonts w:eastAsia="Times New Roman"/>
          <w:snapToGrid w:val="0"/>
          <w:color w:val="000000" w:themeColor="text1"/>
          <w:kern w:val="22"/>
          <w:szCs w:val="22"/>
          <w:shd w:val="clear" w:color="auto" w:fill="FFFFFF"/>
        </w:rPr>
        <w:t xml:space="preserve">, </w:t>
      </w:r>
      <w:r w:rsidRPr="0088780C">
        <w:rPr>
          <w:rFonts w:eastAsia="Times New Roman"/>
          <w:i/>
          <w:snapToGrid w:val="0"/>
          <w:color w:val="000000" w:themeColor="text1"/>
          <w:kern w:val="22"/>
          <w:szCs w:val="22"/>
          <w:shd w:val="clear" w:color="auto" w:fill="FFFFFF"/>
        </w:rPr>
        <w:t>Huso huso</w:t>
      </w:r>
      <w:r w:rsidRPr="0088780C">
        <w:rPr>
          <w:rFonts w:eastAsia="Times New Roman"/>
          <w:snapToGrid w:val="0"/>
          <w:color w:val="000000" w:themeColor="text1"/>
          <w:kern w:val="22"/>
          <w:szCs w:val="22"/>
          <w:shd w:val="clear" w:color="auto" w:fill="FFFFFF"/>
        </w:rPr>
        <w:t xml:space="preserve">), </w:t>
      </w:r>
      <w:r w:rsidRPr="0088780C">
        <w:rPr>
          <w:rFonts w:eastAsia="Times New Roman"/>
          <w:i/>
          <w:snapToGrid w:val="0"/>
          <w:color w:val="000000" w:themeColor="text1"/>
          <w:kern w:val="22"/>
          <w:szCs w:val="22"/>
          <w:shd w:val="clear" w:color="auto" w:fill="FFFFFF"/>
        </w:rPr>
        <w:t xml:space="preserve">Alburnus sarmaticus, Barbus borysthenicus, Sygnathus tenuirostris, S. variegatus </w:t>
      </w:r>
      <w:r w:rsidRPr="0088780C">
        <w:rPr>
          <w:rFonts w:eastAsia="Times New Roman"/>
          <w:snapToGrid w:val="0"/>
          <w:color w:val="000000" w:themeColor="text1"/>
          <w:kern w:val="22"/>
          <w:szCs w:val="22"/>
          <w:shd w:val="clear" w:color="auto" w:fill="FFFFFF"/>
        </w:rPr>
        <w:t xml:space="preserve">(see Table 4). In connection with the increase in the flow from the Crimean peninsula to the </w:t>
      </w:r>
      <w:r w:rsidR="00C656A2" w:rsidRPr="0088780C">
        <w:rPr>
          <w:rFonts w:eastAsia="Times New Roman"/>
          <w:snapToGrid w:val="0"/>
          <w:color w:val="000000" w:themeColor="text1"/>
          <w:kern w:val="22"/>
          <w:szCs w:val="22"/>
          <w:shd w:val="clear" w:color="auto" w:fill="FFFFFF"/>
        </w:rPr>
        <w:t>north-west</w:t>
      </w:r>
      <w:r w:rsidRPr="0088780C">
        <w:rPr>
          <w:rFonts w:eastAsia="Times New Roman"/>
          <w:snapToGrid w:val="0"/>
          <w:color w:val="000000" w:themeColor="text1"/>
          <w:kern w:val="22"/>
          <w:szCs w:val="22"/>
          <w:shd w:val="clear" w:color="auto" w:fill="FFFFFF"/>
        </w:rPr>
        <w:t>ern part of the Black Sea, 12 fish that are rare in this area have been recorded during the last decade</w:t>
      </w:r>
      <w:r w:rsidRPr="0088780C">
        <w:rPr>
          <w:rFonts w:eastAsia="SimSun"/>
          <w:snapToGrid w:val="0"/>
          <w:color w:val="000000" w:themeColor="text1"/>
          <w:kern w:val="22"/>
          <w:szCs w:val="22"/>
          <w:lang w:eastAsia="zh-CN"/>
        </w:rPr>
        <w:t xml:space="preserve"> (Takachenko, 2012a).</w:t>
      </w:r>
    </w:p>
    <w:p w14:paraId="284D50FA" w14:textId="77777777" w:rsidR="00A876F3" w:rsidRPr="0088780C" w:rsidRDefault="00A876F3" w:rsidP="001013AF">
      <w:pPr>
        <w:suppressLineNumbers/>
        <w:shd w:val="clear" w:color="auto" w:fill="FFFFFF"/>
        <w:suppressAutoHyphens/>
        <w:kinsoku w:val="0"/>
        <w:overflowPunct w:val="0"/>
        <w:autoSpaceDE w:val="0"/>
        <w:autoSpaceDN w:val="0"/>
        <w:rPr>
          <w:rFonts w:eastAsia="SimSun"/>
          <w:iCs/>
          <w:snapToGrid w:val="0"/>
          <w:color w:val="000000" w:themeColor="text1"/>
          <w:kern w:val="22"/>
          <w:szCs w:val="22"/>
          <w:lang w:eastAsia="zh-CN"/>
        </w:rPr>
      </w:pPr>
    </w:p>
    <w:p w14:paraId="39284696" w14:textId="77777777" w:rsidR="00A876F3" w:rsidRPr="0088780C" w:rsidRDefault="00A876F3" w:rsidP="001013AF">
      <w:pPr>
        <w:suppressLineNumbers/>
        <w:shd w:val="clear" w:color="auto" w:fill="FFFFFF"/>
        <w:suppressAutoHyphens/>
        <w:kinsoku w:val="0"/>
        <w:overflowPunct w:val="0"/>
        <w:autoSpaceDE w:val="0"/>
        <w:autoSpaceDN w:val="0"/>
        <w:rPr>
          <w:rFonts w:eastAsia="SimSun"/>
          <w:i/>
          <w:snapToGrid w:val="0"/>
          <w:color w:val="000000" w:themeColor="text1"/>
          <w:kern w:val="22"/>
          <w:szCs w:val="22"/>
          <w:lang w:eastAsia="zh-CN"/>
        </w:rPr>
      </w:pPr>
      <w:r w:rsidRPr="0088780C">
        <w:rPr>
          <w:rFonts w:eastAsia="SimSun"/>
          <w:i/>
          <w:snapToGrid w:val="0"/>
          <w:color w:val="000000" w:themeColor="text1"/>
          <w:kern w:val="22"/>
          <w:szCs w:val="22"/>
          <w:lang w:eastAsia="zh-CN"/>
        </w:rPr>
        <w:t>Ornithofauna</w:t>
      </w:r>
    </w:p>
    <w:p w14:paraId="5928B212" w14:textId="77777777" w:rsidR="00A876F3" w:rsidRPr="0088780C" w:rsidRDefault="00A876F3" w:rsidP="001013AF">
      <w:pPr>
        <w:suppressLineNumbers/>
        <w:shd w:val="clear" w:color="auto" w:fill="FFFFFF"/>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 xml:space="preserve">Yagorlytsky Bay is located on the main bird migration route of species that nest not only in the northern regions of Ukraine, but also in other European countries. Southern Prichornormya is the most important wintering place for waterbirds, as well as mass nesting of terns, ducks, waders and storks (Natural complexes of the Black Sea State Biosphere Reserve, 1992). </w:t>
      </w:r>
      <w:r w:rsidRPr="0088780C">
        <w:rPr>
          <w:rFonts w:eastAsia="SimSun"/>
          <w:snapToGrid w:val="0"/>
          <w:color w:val="000000" w:themeColor="text1"/>
          <w:kern w:val="22"/>
          <w:szCs w:val="22"/>
          <w:lang w:eastAsia="zh-CN"/>
        </w:rPr>
        <w:t>Yagorlytsky Bay serves as a reserve wintering ground for birds, in particular when the northern coast of the Azov Sea freezes. It serves as a refugium and a place of mass nesting of various water-swamp birds: wintering swans, various ducks, terns, waders and storks (Sabinevsky, 1977).</w:t>
      </w:r>
    </w:p>
    <w:p w14:paraId="0944449E" w14:textId="77777777" w:rsidR="00A876F3" w:rsidRPr="0088780C" w:rsidRDefault="00A876F3" w:rsidP="001013AF">
      <w:pPr>
        <w:suppressLineNumbers/>
        <w:shd w:val="clear" w:color="auto" w:fill="FFFFFF"/>
        <w:suppressAutoHyphens/>
        <w:kinsoku w:val="0"/>
        <w:overflowPunct w:val="0"/>
        <w:autoSpaceDE w:val="0"/>
        <w:autoSpaceDN w:val="0"/>
        <w:rPr>
          <w:rFonts w:eastAsia="Times New Roman"/>
          <w:snapToGrid w:val="0"/>
          <w:color w:val="000000" w:themeColor="text1"/>
          <w:kern w:val="22"/>
          <w:szCs w:val="22"/>
          <w:lang w:eastAsia="ru-RU"/>
        </w:rPr>
      </w:pPr>
    </w:p>
    <w:p w14:paraId="1B092057"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rFonts w:eastAsia="MS Mincho"/>
          <w:b/>
          <w:snapToGrid w:val="0"/>
          <w:color w:val="000000" w:themeColor="text1"/>
          <w:kern w:val="22"/>
          <w:szCs w:val="22"/>
        </w:rPr>
        <w:t>Feature condition and outlook of the area</w:t>
      </w:r>
    </w:p>
    <w:p w14:paraId="482A7343" w14:textId="510CEE25" w:rsidR="00A876F3" w:rsidRPr="0088780C" w:rsidRDefault="00A876F3" w:rsidP="00B27524">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Features of the structure—the size of the water bed, the configuration of the coastline and the relief of the catchment area of Yagorlytsky Bay, expressed by hydrological and morphometric parameters in conjunction with the climatic conditions of the region—determine the natural intensity of the biogeochemical processes in its ecosystem, i.e., the </w:t>
      </w:r>
      <w:r w:rsidR="00D8482D" w:rsidRPr="0088780C">
        <w:rPr>
          <w:snapToGrid w:val="0"/>
          <w:color w:val="000000" w:themeColor="text1"/>
          <w:kern w:val="22"/>
          <w:szCs w:val="22"/>
        </w:rPr>
        <w:t>“</w:t>
      </w:r>
      <w:r w:rsidRPr="0088780C">
        <w:rPr>
          <w:snapToGrid w:val="0"/>
          <w:color w:val="000000" w:themeColor="text1"/>
          <w:kern w:val="22"/>
          <w:szCs w:val="22"/>
        </w:rPr>
        <w:t>morphometry effect</w:t>
      </w:r>
      <w:r w:rsidR="00D8482D" w:rsidRPr="0088780C">
        <w:rPr>
          <w:snapToGrid w:val="0"/>
          <w:color w:val="000000" w:themeColor="text1"/>
          <w:kern w:val="22"/>
          <w:szCs w:val="22"/>
        </w:rPr>
        <w:t>”</w:t>
      </w:r>
      <w:r w:rsidRPr="0088780C">
        <w:rPr>
          <w:snapToGrid w:val="0"/>
          <w:color w:val="000000" w:themeColor="text1"/>
          <w:kern w:val="22"/>
          <w:szCs w:val="22"/>
        </w:rPr>
        <w:t xml:space="preserve"> (Romanov, 1991) and determine the natural intensity ecological processes. Based on limnological characteristics for Yagorlytsky Bay, the </w:t>
      </w:r>
      <w:r w:rsidRPr="0088780C">
        <w:rPr>
          <w:bCs/>
          <w:snapToGrid w:val="0"/>
          <w:color w:val="000000" w:themeColor="text1"/>
          <w:kern w:val="22"/>
          <w:szCs w:val="22"/>
        </w:rPr>
        <w:t>Nature Resistance Index</w:t>
      </w:r>
      <w:r w:rsidRPr="0088780C">
        <w:rPr>
          <w:b/>
          <w:bCs/>
          <w:snapToGrid w:val="0"/>
          <w:color w:val="000000" w:themeColor="text1"/>
          <w:kern w:val="22"/>
          <w:szCs w:val="22"/>
        </w:rPr>
        <w:t xml:space="preserve"> </w:t>
      </w:r>
      <w:r w:rsidRPr="0088780C">
        <w:rPr>
          <w:snapToGrid w:val="0"/>
          <w:color w:val="000000" w:themeColor="text1"/>
          <w:kern w:val="22"/>
          <w:szCs w:val="22"/>
        </w:rPr>
        <w:t>(NRI) was calculated, which includes seven relevant parameters (Mіnicheva and Sokolov, 2014). In comparison with more than 20 local coastal objects of the north-weste</w:t>
      </w:r>
      <w:r w:rsidR="00B27524" w:rsidRPr="0088780C">
        <w:rPr>
          <w:snapToGrid w:val="0"/>
          <w:color w:val="000000" w:themeColor="text1"/>
          <w:kern w:val="22"/>
          <w:szCs w:val="22"/>
        </w:rPr>
        <w:t xml:space="preserve">rn Black Sea coast, the values </w:t>
      </w:r>
      <w:r w:rsidRPr="0088780C">
        <w:rPr>
          <w:snapToGrid w:val="0"/>
          <w:color w:val="000000" w:themeColor="text1"/>
          <w:kern w:val="22"/>
          <w:szCs w:val="22"/>
        </w:rPr>
        <w:t xml:space="preserve">of the NRI are in the altitudes from 0.250 to 0.730, for Yagorlytsky Bay, which can also be regarded as a local ecosystem, the maximum value of this index is fixed at 0.835, which corresponds to the class </w:t>
      </w:r>
      <w:r w:rsidR="00D8482D" w:rsidRPr="0088780C">
        <w:rPr>
          <w:snapToGrid w:val="0"/>
          <w:color w:val="000000" w:themeColor="text1"/>
          <w:kern w:val="22"/>
          <w:szCs w:val="22"/>
        </w:rPr>
        <w:t>“</w:t>
      </w:r>
      <w:r w:rsidRPr="0088780C">
        <w:rPr>
          <w:snapToGrid w:val="0"/>
          <w:color w:val="000000" w:themeColor="text1"/>
          <w:kern w:val="22"/>
          <w:szCs w:val="22"/>
        </w:rPr>
        <w:t>High</w:t>
      </w:r>
      <w:r w:rsidR="00D8482D" w:rsidRPr="0088780C">
        <w:rPr>
          <w:snapToGrid w:val="0"/>
          <w:color w:val="000000" w:themeColor="text1"/>
          <w:kern w:val="22"/>
          <w:szCs w:val="22"/>
        </w:rPr>
        <w:t>“</w:t>
      </w:r>
      <w:r w:rsidRPr="0088780C">
        <w:rPr>
          <w:snapToGrid w:val="0"/>
          <w:color w:val="000000" w:themeColor="text1"/>
          <w:kern w:val="22"/>
          <w:szCs w:val="22"/>
        </w:rPr>
        <w:t xml:space="preserve"> (Minichevaet al., 2016).</w:t>
      </w:r>
    </w:p>
    <w:p w14:paraId="1F949A06"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22E59300"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The estimation of the intensity of the primary production process in the ecosystem of Yagorlytsky Bay using classical and morphofunctional indicators of bottom vegetation (Minichovaet al., 2003) gives an idea of the spatial distribution of the macrophyte biomass, as well as the ecological activity of the phytobenthos communities depending on their floristic composition (Fig. 13).</w:t>
      </w:r>
    </w:p>
    <w:p w14:paraId="5C453107"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6576C510" w14:textId="1371CC05"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The spatial distribution of the structural and functional indices of phytocenosis of bottom vegetation in June 2013 is characterized by heterogeneity. The horizon of 2-2.5 m is the most favourable for the formation of plant biomass. The average values of biomass of bottom vegetation exceed 800</w:t>
      </w:r>
      <w:r w:rsidR="00E13468" w:rsidRPr="0088780C">
        <w:rPr>
          <w:snapToGrid w:val="0"/>
          <w:color w:val="000000" w:themeColor="text1"/>
          <w:kern w:val="22"/>
          <w:szCs w:val="22"/>
        </w:rPr>
        <w:t> </w:t>
      </w:r>
      <w:r w:rsidRPr="0088780C">
        <w:rPr>
          <w:snapToGrid w:val="0"/>
          <w:color w:val="000000" w:themeColor="text1"/>
          <w:kern w:val="22"/>
          <w:szCs w:val="22"/>
        </w:rPr>
        <w:t>g·m</w:t>
      </w:r>
      <w:r w:rsidRPr="0088780C">
        <w:rPr>
          <w:snapToGrid w:val="0"/>
          <w:color w:val="000000" w:themeColor="text1"/>
          <w:kern w:val="22"/>
          <w:szCs w:val="22"/>
          <w:vertAlign w:val="superscript"/>
        </w:rPr>
        <w:t>-2</w:t>
      </w:r>
      <w:r w:rsidRPr="0088780C">
        <w:rPr>
          <w:snapToGrid w:val="0"/>
          <w:color w:val="000000" w:themeColor="text1"/>
          <w:kern w:val="22"/>
          <w:szCs w:val="22"/>
        </w:rPr>
        <w:t>, with a maximum of 1</w:t>
      </w:r>
      <w:r w:rsidR="00E13468" w:rsidRPr="0088780C">
        <w:rPr>
          <w:snapToGrid w:val="0"/>
          <w:color w:val="000000" w:themeColor="text1"/>
          <w:kern w:val="22"/>
          <w:szCs w:val="22"/>
        </w:rPr>
        <w:t>,</w:t>
      </w:r>
      <w:r w:rsidRPr="0088780C">
        <w:rPr>
          <w:snapToGrid w:val="0"/>
          <w:color w:val="000000" w:themeColor="text1"/>
          <w:kern w:val="22"/>
          <w:szCs w:val="22"/>
        </w:rPr>
        <w:t>800</w:t>
      </w:r>
      <w:r w:rsidR="00E13468" w:rsidRPr="0088780C">
        <w:rPr>
          <w:snapToGrid w:val="0"/>
          <w:color w:val="000000" w:themeColor="text1"/>
          <w:kern w:val="22"/>
          <w:szCs w:val="22"/>
        </w:rPr>
        <w:t> </w:t>
      </w:r>
      <w:r w:rsidRPr="0088780C">
        <w:rPr>
          <w:snapToGrid w:val="0"/>
          <w:color w:val="000000" w:themeColor="text1"/>
          <w:kern w:val="22"/>
          <w:szCs w:val="22"/>
        </w:rPr>
        <w:t>g·m</w:t>
      </w:r>
      <w:r w:rsidRPr="0088780C">
        <w:rPr>
          <w:snapToGrid w:val="0"/>
          <w:color w:val="000000" w:themeColor="text1"/>
          <w:kern w:val="22"/>
          <w:szCs w:val="22"/>
          <w:vertAlign w:val="superscript"/>
        </w:rPr>
        <w:t>-2</w:t>
      </w:r>
      <w:r w:rsidRPr="0088780C">
        <w:rPr>
          <w:snapToGrid w:val="0"/>
          <w:color w:val="000000" w:themeColor="text1"/>
          <w:kern w:val="22"/>
          <w:szCs w:val="22"/>
        </w:rPr>
        <w:t xml:space="preserve">, recorded on phytocenoses </w:t>
      </w:r>
      <w:r w:rsidRPr="0088780C">
        <w:rPr>
          <w:i/>
          <w:snapToGrid w:val="0"/>
          <w:color w:val="000000" w:themeColor="text1"/>
          <w:kern w:val="22"/>
          <w:szCs w:val="22"/>
        </w:rPr>
        <w:t>Zostera marina</w:t>
      </w:r>
      <w:r w:rsidRPr="0088780C">
        <w:rPr>
          <w:snapToGrid w:val="0"/>
          <w:color w:val="000000" w:themeColor="text1"/>
          <w:kern w:val="22"/>
          <w:szCs w:val="22"/>
        </w:rPr>
        <w:t>. The development in this horizon of species with the largest size of thallus and, accordingly, the minimum value of ecological activity (S/Wp), ensures the production of a significant plant biomass and indicates the optimal conditions for the primary production process in this horizon. The average value of the specific surface area of macrophyte populations developing in the Bay is 45,11 ± 3.35 kg</w:t>
      </w:r>
      <w:r w:rsidRPr="0088780C">
        <w:rPr>
          <w:snapToGrid w:val="0"/>
          <w:color w:val="000000" w:themeColor="text1"/>
          <w:kern w:val="22"/>
          <w:szCs w:val="22"/>
          <w:vertAlign w:val="superscript"/>
        </w:rPr>
        <w:t>-1</w:t>
      </w:r>
      <w:r w:rsidRPr="0088780C">
        <w:rPr>
          <w:snapToGrid w:val="0"/>
          <w:color w:val="000000" w:themeColor="text1"/>
          <w:kern w:val="22"/>
          <w:szCs w:val="22"/>
        </w:rPr>
        <w:t>·m</w:t>
      </w:r>
      <w:r w:rsidRPr="0088780C">
        <w:rPr>
          <w:snapToGrid w:val="0"/>
          <w:color w:val="000000" w:themeColor="text1"/>
          <w:kern w:val="22"/>
          <w:szCs w:val="22"/>
          <w:vertAlign w:val="superscript"/>
        </w:rPr>
        <w:t>2</w:t>
      </w:r>
      <w:r w:rsidRPr="0088780C">
        <w:rPr>
          <w:snapToGrid w:val="0"/>
          <w:color w:val="000000" w:themeColor="text1"/>
          <w:kern w:val="22"/>
          <w:szCs w:val="22"/>
        </w:rPr>
        <w:t xml:space="preserve">, which is approximately two times lower than in macrophyte phytocenoses developing in the coastal waters of the </w:t>
      </w:r>
      <w:r w:rsidR="00C656A2" w:rsidRPr="0088780C">
        <w:rPr>
          <w:snapToGrid w:val="0"/>
          <w:color w:val="000000" w:themeColor="text1"/>
          <w:kern w:val="22"/>
          <w:szCs w:val="22"/>
        </w:rPr>
        <w:t>north-west</w:t>
      </w:r>
      <w:r w:rsidRPr="0088780C">
        <w:rPr>
          <w:snapToGrid w:val="0"/>
          <w:color w:val="000000" w:themeColor="text1"/>
          <w:kern w:val="22"/>
          <w:szCs w:val="22"/>
        </w:rPr>
        <w:t>ern part of the Black Sea, which indicates the low speed of the intensity of ecological processes. The maximum ecological activity of bottom vegetation communities was recorded on the southern coast at the entrance to the bay (station E1, see Fig.8.) - 95.33 ± 7.30 m</w:t>
      </w:r>
      <w:r w:rsidRPr="0088780C">
        <w:rPr>
          <w:snapToGrid w:val="0"/>
          <w:color w:val="000000" w:themeColor="text1"/>
          <w:kern w:val="22"/>
          <w:szCs w:val="22"/>
          <w:vertAlign w:val="superscript"/>
        </w:rPr>
        <w:t>2</w:t>
      </w:r>
      <w:r w:rsidRPr="0088780C">
        <w:rPr>
          <w:snapToGrid w:val="0"/>
          <w:color w:val="000000" w:themeColor="text1"/>
          <w:kern w:val="22"/>
          <w:szCs w:val="22"/>
        </w:rPr>
        <w:t>·kg</w:t>
      </w:r>
      <w:r w:rsidRPr="0088780C">
        <w:rPr>
          <w:snapToGrid w:val="0"/>
          <w:color w:val="000000" w:themeColor="text1"/>
          <w:kern w:val="22"/>
          <w:szCs w:val="22"/>
          <w:vertAlign w:val="superscript"/>
        </w:rPr>
        <w:t>-1</w:t>
      </w:r>
      <w:r w:rsidRPr="0088780C">
        <w:rPr>
          <w:snapToGrid w:val="0"/>
          <w:color w:val="000000" w:themeColor="text1"/>
          <w:kern w:val="22"/>
          <w:szCs w:val="22"/>
        </w:rPr>
        <w:t>.</w:t>
      </w:r>
    </w:p>
    <w:p w14:paraId="1872E9C1"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0B7E5D05" w14:textId="6B1315A1"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The use of morpho-functional indicators of the bottom vegetation of Yagorlytsky Bay as Ecological Evaluation Index (EEI) made it possible to assess the ecological state of the water area of Yagorlytsky Bay in the unified European system of </w:t>
      </w:r>
      <w:r w:rsidR="00D8482D" w:rsidRPr="0088780C">
        <w:rPr>
          <w:snapToGrid w:val="0"/>
          <w:color w:val="000000" w:themeColor="text1"/>
          <w:kern w:val="22"/>
          <w:szCs w:val="22"/>
        </w:rPr>
        <w:t>“</w:t>
      </w:r>
      <w:r w:rsidRPr="0088780C">
        <w:rPr>
          <w:snapToGrid w:val="0"/>
          <w:color w:val="000000" w:themeColor="text1"/>
          <w:kern w:val="22"/>
          <w:szCs w:val="22"/>
        </w:rPr>
        <w:t>ecological status class</w:t>
      </w:r>
      <w:r w:rsidR="00D8482D" w:rsidRPr="0088780C">
        <w:rPr>
          <w:snapToGrid w:val="0"/>
          <w:color w:val="000000" w:themeColor="text1"/>
          <w:kern w:val="22"/>
          <w:szCs w:val="22"/>
        </w:rPr>
        <w:t>”</w:t>
      </w:r>
      <w:r w:rsidRPr="0088780C">
        <w:rPr>
          <w:snapToGrid w:val="0"/>
          <w:color w:val="000000" w:themeColor="text1"/>
          <w:kern w:val="22"/>
          <w:szCs w:val="22"/>
        </w:rPr>
        <w:t xml:space="preserve"> (Fig. 14).</w:t>
      </w:r>
    </w:p>
    <w:p w14:paraId="09C33C5F"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21EFBACA" w14:textId="66A13F40"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 xml:space="preserve">Mostly at all stations the ESC is rated by the category </w:t>
      </w:r>
      <w:r w:rsidR="00D8482D" w:rsidRPr="0088780C">
        <w:rPr>
          <w:snapToGrid w:val="0"/>
          <w:color w:val="000000" w:themeColor="text1"/>
          <w:kern w:val="22"/>
          <w:szCs w:val="22"/>
        </w:rPr>
        <w:t>“</w:t>
      </w:r>
      <w:r w:rsidRPr="0088780C">
        <w:rPr>
          <w:snapToGrid w:val="0"/>
          <w:color w:val="000000" w:themeColor="text1"/>
          <w:kern w:val="22"/>
          <w:szCs w:val="22"/>
        </w:rPr>
        <w:t>High</w:t>
      </w:r>
      <w:r w:rsidR="00D8482D" w:rsidRPr="0088780C">
        <w:rPr>
          <w:snapToGrid w:val="0"/>
          <w:color w:val="000000" w:themeColor="text1"/>
          <w:kern w:val="22"/>
          <w:szCs w:val="22"/>
        </w:rPr>
        <w:t>”</w:t>
      </w:r>
      <w:r w:rsidRPr="0088780C">
        <w:rPr>
          <w:snapToGrid w:val="0"/>
          <w:color w:val="000000" w:themeColor="text1"/>
          <w:kern w:val="22"/>
          <w:szCs w:val="22"/>
        </w:rPr>
        <w:t xml:space="preserve"> and only at some coastal stations by the category </w:t>
      </w:r>
      <w:r w:rsidR="00D8482D" w:rsidRPr="0088780C">
        <w:rPr>
          <w:snapToGrid w:val="0"/>
          <w:color w:val="000000" w:themeColor="text1"/>
          <w:kern w:val="22"/>
          <w:szCs w:val="22"/>
        </w:rPr>
        <w:t>“</w:t>
      </w:r>
      <w:r w:rsidRPr="0088780C">
        <w:rPr>
          <w:snapToGrid w:val="0"/>
          <w:color w:val="000000" w:themeColor="text1"/>
          <w:kern w:val="22"/>
          <w:szCs w:val="22"/>
        </w:rPr>
        <w:t>Good</w:t>
      </w:r>
      <w:r w:rsidR="00D8482D" w:rsidRPr="0088780C">
        <w:rPr>
          <w:snapToGrid w:val="0"/>
          <w:color w:val="000000" w:themeColor="text1"/>
          <w:kern w:val="22"/>
          <w:szCs w:val="22"/>
        </w:rPr>
        <w:t>”</w:t>
      </w:r>
      <w:r w:rsidRPr="0088780C">
        <w:rPr>
          <w:snapToGrid w:val="0"/>
          <w:color w:val="000000" w:themeColor="text1"/>
          <w:kern w:val="22"/>
          <w:szCs w:val="22"/>
        </w:rPr>
        <w:t xml:space="preserve"> and </w:t>
      </w:r>
      <w:r w:rsidR="00D8482D" w:rsidRPr="0088780C">
        <w:rPr>
          <w:snapToGrid w:val="0"/>
          <w:color w:val="000000" w:themeColor="text1"/>
          <w:kern w:val="22"/>
          <w:szCs w:val="22"/>
        </w:rPr>
        <w:t>“</w:t>
      </w:r>
      <w:r w:rsidRPr="0088780C">
        <w:rPr>
          <w:snapToGrid w:val="0"/>
          <w:color w:val="000000" w:themeColor="text1"/>
          <w:kern w:val="22"/>
          <w:szCs w:val="22"/>
        </w:rPr>
        <w:t>Moderate</w:t>
      </w:r>
      <w:r w:rsidR="00D8482D" w:rsidRPr="0088780C">
        <w:rPr>
          <w:snapToGrid w:val="0"/>
          <w:color w:val="000000" w:themeColor="text1"/>
          <w:kern w:val="22"/>
          <w:szCs w:val="22"/>
        </w:rPr>
        <w:t>”</w:t>
      </w:r>
      <w:r w:rsidRPr="0088780C">
        <w:rPr>
          <w:snapToGrid w:val="0"/>
          <w:color w:val="000000" w:themeColor="text1"/>
          <w:kern w:val="22"/>
          <w:szCs w:val="22"/>
        </w:rPr>
        <w:t>. The EEI values at all stations remained rather high and did not drop below 0.74 (Table 5).</w:t>
      </w:r>
    </w:p>
    <w:p w14:paraId="04DDACA8" w14:textId="77777777" w:rsidR="00A876F3" w:rsidRPr="0088780C" w:rsidRDefault="00A876F3" w:rsidP="001013AF">
      <w:pPr>
        <w:pStyle w:val="ListParagraph"/>
        <w:suppressLineNumbers/>
        <w:suppressAutoHyphens/>
        <w:kinsoku w:val="0"/>
        <w:overflowPunct w:val="0"/>
        <w:autoSpaceDE w:val="0"/>
        <w:autoSpaceDN w:val="0"/>
        <w:ind w:left="880"/>
        <w:rPr>
          <w:snapToGrid w:val="0"/>
          <w:color w:val="000000" w:themeColor="text1"/>
          <w:kern w:val="22"/>
          <w:szCs w:val="22"/>
        </w:rPr>
      </w:pPr>
    </w:p>
    <w:p w14:paraId="47355145" w14:textId="6C7EB575" w:rsidR="00A876F3" w:rsidRPr="0088780C" w:rsidRDefault="00A876F3" w:rsidP="001013AF">
      <w:pPr>
        <w:pStyle w:val="ListParagraph"/>
        <w:suppressLineNumbers/>
        <w:suppressAutoHyphens/>
        <w:kinsoku w:val="0"/>
        <w:overflowPunct w:val="0"/>
        <w:autoSpaceDE w:val="0"/>
        <w:autoSpaceDN w:val="0"/>
        <w:ind w:left="880"/>
        <w:rPr>
          <w:snapToGrid w:val="0"/>
          <w:color w:val="000000" w:themeColor="text1"/>
          <w:kern w:val="22"/>
          <w:szCs w:val="22"/>
        </w:rPr>
      </w:pPr>
      <w:r w:rsidRPr="0088780C">
        <w:rPr>
          <w:snapToGrid w:val="0"/>
          <w:color w:val="000000" w:themeColor="text1"/>
          <w:kern w:val="22"/>
          <w:szCs w:val="22"/>
        </w:rPr>
        <w:t xml:space="preserve">Practically all stations with the category </w:t>
      </w:r>
      <w:r w:rsidR="00D8482D" w:rsidRPr="0088780C">
        <w:rPr>
          <w:snapToGrid w:val="0"/>
          <w:color w:val="000000" w:themeColor="text1"/>
          <w:kern w:val="22"/>
          <w:szCs w:val="22"/>
        </w:rPr>
        <w:t>“</w:t>
      </w:r>
      <w:r w:rsidRPr="0088780C">
        <w:rPr>
          <w:snapToGrid w:val="0"/>
          <w:color w:val="000000" w:themeColor="text1"/>
          <w:kern w:val="22"/>
          <w:szCs w:val="22"/>
        </w:rPr>
        <w:t>Moderate</w:t>
      </w:r>
      <w:r w:rsidR="00D8482D" w:rsidRPr="0088780C">
        <w:rPr>
          <w:snapToGrid w:val="0"/>
          <w:color w:val="000000" w:themeColor="text1"/>
          <w:kern w:val="22"/>
          <w:szCs w:val="22"/>
        </w:rPr>
        <w:t>”</w:t>
      </w:r>
      <w:r w:rsidRPr="0088780C">
        <w:rPr>
          <w:snapToGrid w:val="0"/>
          <w:color w:val="000000" w:themeColor="text1"/>
          <w:kern w:val="22"/>
          <w:szCs w:val="22"/>
        </w:rPr>
        <w:t xml:space="preserve"> were located in coastal areas with the greatest turbidity of water (see Fig. 6), which reflects the spatial location of the zones of increased concentration of suspended organic matter and the features of hydrodynamics. The lowest water turbidity is observed in the places of penetration of sea water into the bay and at the greatest depths. Obviously, biological processes proceed with different intensities, depending on the turbidity and depth; in the shallow coastal zones they are most intense. Similarly, the anthropogenic impact associated with the receipt of the allochthonous biogenic substance, which reduces the ecological status class, is most pronounced in the shoreline zone.</w:t>
      </w:r>
    </w:p>
    <w:p w14:paraId="637B8C4C" w14:textId="77777777" w:rsidR="00A876F3" w:rsidRPr="0088780C" w:rsidRDefault="00A876F3" w:rsidP="001013AF">
      <w:pPr>
        <w:pStyle w:val="ListParagraph"/>
        <w:suppressLineNumbers/>
        <w:suppressAutoHyphens/>
        <w:kinsoku w:val="0"/>
        <w:overflowPunct w:val="0"/>
        <w:autoSpaceDE w:val="0"/>
        <w:autoSpaceDN w:val="0"/>
        <w:ind w:left="880"/>
        <w:rPr>
          <w:snapToGrid w:val="0"/>
          <w:color w:val="000000" w:themeColor="text1"/>
          <w:kern w:val="22"/>
          <w:szCs w:val="22"/>
        </w:rPr>
      </w:pPr>
    </w:p>
    <w:p w14:paraId="15C21D59" w14:textId="77777777" w:rsidR="00A876F3" w:rsidRPr="0088780C" w:rsidRDefault="00A876F3" w:rsidP="001013AF">
      <w:pPr>
        <w:pStyle w:val="ListParagraph"/>
        <w:suppressLineNumbers/>
        <w:suppressAutoHyphens/>
        <w:kinsoku w:val="0"/>
        <w:overflowPunct w:val="0"/>
        <w:autoSpaceDE w:val="0"/>
        <w:autoSpaceDN w:val="0"/>
        <w:ind w:left="880"/>
        <w:rPr>
          <w:snapToGrid w:val="0"/>
          <w:color w:val="000000" w:themeColor="text1"/>
          <w:kern w:val="22"/>
          <w:szCs w:val="22"/>
        </w:rPr>
      </w:pPr>
      <w:r w:rsidRPr="0088780C">
        <w:rPr>
          <w:snapToGrid w:val="0"/>
          <w:color w:val="000000" w:themeColor="text1"/>
          <w:kern w:val="22"/>
          <w:szCs w:val="22"/>
        </w:rPr>
        <w:t>The best environmental quality was noted on the C1-C4 transect (see Fig. 8), located in the northeastern part of Yagorlytsky Bay.</w:t>
      </w:r>
    </w:p>
    <w:p w14:paraId="52EC9BB9" w14:textId="77777777" w:rsidR="00A876F3" w:rsidRPr="0088780C" w:rsidRDefault="00A876F3" w:rsidP="001013AF">
      <w:pPr>
        <w:pStyle w:val="ListParagraph"/>
        <w:suppressLineNumbers/>
        <w:suppressAutoHyphens/>
        <w:kinsoku w:val="0"/>
        <w:overflowPunct w:val="0"/>
        <w:autoSpaceDE w:val="0"/>
        <w:autoSpaceDN w:val="0"/>
        <w:ind w:left="880"/>
        <w:rPr>
          <w:snapToGrid w:val="0"/>
          <w:color w:val="000000" w:themeColor="text1"/>
          <w:kern w:val="22"/>
          <w:szCs w:val="22"/>
        </w:rPr>
      </w:pPr>
    </w:p>
    <w:p w14:paraId="5A1EF17B" w14:textId="77777777" w:rsidR="00A876F3" w:rsidRPr="0088780C" w:rsidRDefault="00A876F3" w:rsidP="001013AF">
      <w:pPr>
        <w:pStyle w:val="ListParagraph"/>
        <w:suppressLineNumbers/>
        <w:suppressAutoHyphens/>
        <w:kinsoku w:val="0"/>
        <w:overflowPunct w:val="0"/>
        <w:autoSpaceDE w:val="0"/>
        <w:autoSpaceDN w:val="0"/>
        <w:ind w:left="880"/>
        <w:rPr>
          <w:snapToGrid w:val="0"/>
          <w:color w:val="000000" w:themeColor="text1"/>
          <w:kern w:val="22"/>
          <w:szCs w:val="22"/>
        </w:rPr>
      </w:pPr>
      <w:r w:rsidRPr="0088780C">
        <w:rPr>
          <w:snapToGrid w:val="0"/>
          <w:color w:val="000000" w:themeColor="text1"/>
          <w:kern w:val="22"/>
          <w:szCs w:val="22"/>
        </w:rPr>
        <w:t>The terrestrial biogeocoenoses adjacent to this coast are characterized by high mosaicism and preservation, being in a natural and quasi-natural state (Fig. 15). Tendrovsky Bay, in comparison with Yagorlytsky Bay, is characterized by a greater turbidity of water and the transformation of natural-territorial complexes into cropland with irrigation systems, which is reflected in lower categories of ESC calculated according to the average specific surface of species of bottom vegetation (S/W</w:t>
      </w:r>
      <w:r w:rsidRPr="0088780C">
        <w:rPr>
          <w:snapToGrid w:val="0"/>
          <w:color w:val="000000" w:themeColor="text1"/>
          <w:kern w:val="22"/>
          <w:szCs w:val="22"/>
          <w:vertAlign w:val="subscript"/>
        </w:rPr>
        <w:t>x</w:t>
      </w:r>
      <w:r w:rsidRPr="0088780C">
        <w:rPr>
          <w:snapToGrid w:val="0"/>
          <w:color w:val="000000" w:themeColor="text1"/>
          <w:kern w:val="22"/>
          <w:szCs w:val="22"/>
        </w:rPr>
        <w:t>) (see Fig. 14).</w:t>
      </w:r>
    </w:p>
    <w:p w14:paraId="7022DD63"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p w14:paraId="049419C7" w14:textId="5404492E"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The natural terrestrial lands of the area are represented by wormwood-fescue-feather grass steppes, higher-aquatic vegetation, salt marshes, barrows and sands, and natural reservoirs (lakes). Quasi-natural landscapes can be attributed to artificial forest plantations. anthropogenically transformed landscapes include: settlement buildings and their infrastructure, reservoirs, irrigated arable land, rice checks, deposits, horticultural areas, farms, landfills, hayfields, felling of forests. All kinds of anthropogenically transformed territories can lead to the entry of biogenic and polluting substances of allochthon origin into Yagorlytsky and Tendrovsky bays.</w:t>
      </w:r>
    </w:p>
    <w:p w14:paraId="40AD8FAE" w14:textId="77777777" w:rsidR="00A876F3" w:rsidRPr="0088780C" w:rsidRDefault="00A876F3" w:rsidP="001013AF">
      <w:pPr>
        <w:pStyle w:val="ListParagraph"/>
        <w:suppressLineNumbers/>
        <w:tabs>
          <w:tab w:val="left" w:pos="709"/>
          <w:tab w:val="left" w:pos="7290"/>
        </w:tabs>
        <w:suppressAutoHyphens/>
        <w:kinsoku w:val="0"/>
        <w:overflowPunct w:val="0"/>
        <w:autoSpaceDE w:val="0"/>
        <w:autoSpaceDN w:val="0"/>
        <w:ind w:left="880"/>
        <w:rPr>
          <w:snapToGrid w:val="0"/>
          <w:color w:val="000000" w:themeColor="text1"/>
          <w:kern w:val="22"/>
          <w:szCs w:val="22"/>
        </w:rPr>
      </w:pPr>
    </w:p>
    <w:p w14:paraId="5D6DDC61" w14:textId="43785755" w:rsidR="00A876F3" w:rsidRPr="0088780C" w:rsidRDefault="00A876F3" w:rsidP="001013AF">
      <w:pPr>
        <w:pStyle w:val="ListParagraph"/>
        <w:suppressLineNumbers/>
        <w:tabs>
          <w:tab w:val="left" w:pos="709"/>
          <w:tab w:val="left" w:pos="7290"/>
        </w:tabs>
        <w:suppressAutoHyphens/>
        <w:kinsoku w:val="0"/>
        <w:overflowPunct w:val="0"/>
        <w:autoSpaceDE w:val="0"/>
        <w:autoSpaceDN w:val="0"/>
        <w:ind w:left="880"/>
        <w:rPr>
          <w:snapToGrid w:val="0"/>
          <w:color w:val="000000" w:themeColor="text1"/>
          <w:kern w:val="22"/>
          <w:szCs w:val="22"/>
        </w:rPr>
      </w:pPr>
      <w:r w:rsidRPr="0088780C">
        <w:rPr>
          <w:snapToGrid w:val="0"/>
          <w:color w:val="000000" w:themeColor="text1"/>
          <w:kern w:val="22"/>
          <w:szCs w:val="22"/>
        </w:rPr>
        <w:t>Based on the results of the assessment of the landscape and antropogenic structure of the territories adjacent to the bays, the distribution of the coefficient of anthropogenic transformation (Shishchenko, 1988) in the catchment area and adjacent territory of the Yagorlytsky Bay was obtained in such proportions: non-transformed – 37,66%; slightly transformed – 29,61%; converted 5,70%, medium-converted – 3,34%, strongly converted – 20,32%, very strongly converted – 2,49% and transformed – 0,87% of the total area of the territory (Fig. 16). This condition indicates the presence of an ecological and antropogenic balance of the territory and a significant preservation of natural landscapes. A particularly high degree of preservation of natural conditions corresponds to sites that have the status of environmental protection.</w:t>
      </w:r>
    </w:p>
    <w:p w14:paraId="5AAC4ABB" w14:textId="77777777" w:rsidR="00A876F3" w:rsidRPr="0088780C" w:rsidRDefault="00A876F3" w:rsidP="001013AF">
      <w:pPr>
        <w:pStyle w:val="ListParagraph"/>
        <w:suppressLineNumbers/>
        <w:suppressAutoHyphens/>
        <w:kinsoku w:val="0"/>
        <w:overflowPunct w:val="0"/>
        <w:autoSpaceDE w:val="0"/>
        <w:autoSpaceDN w:val="0"/>
        <w:ind w:left="880"/>
        <w:rPr>
          <w:snapToGrid w:val="0"/>
          <w:color w:val="000000" w:themeColor="text1"/>
          <w:kern w:val="22"/>
          <w:szCs w:val="22"/>
        </w:rPr>
      </w:pPr>
    </w:p>
    <w:p w14:paraId="1EBBCB71" w14:textId="77777777" w:rsidR="00A876F3" w:rsidRPr="0088780C" w:rsidRDefault="00A876F3" w:rsidP="001013AF">
      <w:pPr>
        <w:pStyle w:val="ListParagraph"/>
        <w:suppressLineNumbers/>
        <w:suppressAutoHyphens/>
        <w:kinsoku w:val="0"/>
        <w:overflowPunct w:val="0"/>
        <w:autoSpaceDE w:val="0"/>
        <w:autoSpaceDN w:val="0"/>
        <w:ind w:left="880"/>
        <w:rPr>
          <w:snapToGrid w:val="0"/>
          <w:color w:val="000000" w:themeColor="text1"/>
          <w:kern w:val="22"/>
          <w:szCs w:val="22"/>
        </w:rPr>
      </w:pPr>
      <w:r w:rsidRPr="0088780C">
        <w:rPr>
          <w:snapToGrid w:val="0"/>
          <w:color w:val="000000" w:themeColor="text1"/>
          <w:kern w:val="22"/>
          <w:szCs w:val="22"/>
        </w:rPr>
        <w:t>Also, the study of the degree of anthropogenic load on the bay was carried out on the basis of an estimate of the spatial distribution of the population (Fig. 17). On the whole, the area under consideration is characterized by a low population density and the absence of large settlements. The least anthropogenic load is observed in nature conservation areas. The largest number of settlements and population density is confined to cultivated agricultural lands.</w:t>
      </w:r>
    </w:p>
    <w:p w14:paraId="257869EC"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p w14:paraId="17843B3C" w14:textId="53882CDF"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 xml:space="preserve">To quantify the impact of the anthropogenic component on the ecological state of the ecosystem of Yagorlytsky Bay, the artificial force index (AFI) was used (Minicheva et al., 2013). The method of comparing the categories obtained on the basis of morphofunctional indicators of bottom vegetation and the natural stability of the water of the local ecosystem allowed us to estimate the current degree of anthropogenic impact on the ecosystem of Yagorlytsky Bay. The values of all three morphofunctional indicators of the bottom vegetation of the bay correspond to the category </w:t>
      </w:r>
      <w:r w:rsidR="00D8482D" w:rsidRPr="0088780C">
        <w:rPr>
          <w:rFonts w:eastAsia="Times New Roman"/>
          <w:snapToGrid w:val="0"/>
          <w:color w:val="000000" w:themeColor="text1"/>
          <w:kern w:val="22"/>
          <w:szCs w:val="22"/>
          <w:lang w:eastAsia="ru-RU"/>
        </w:rPr>
        <w:t>“</w:t>
      </w:r>
      <w:r w:rsidRPr="0088780C">
        <w:rPr>
          <w:rFonts w:eastAsia="Times New Roman"/>
          <w:snapToGrid w:val="0"/>
          <w:color w:val="000000" w:themeColor="text1"/>
          <w:kern w:val="22"/>
          <w:szCs w:val="22"/>
          <w:lang w:eastAsia="ru-RU"/>
        </w:rPr>
        <w:t>High</w:t>
      </w:r>
      <w:r w:rsidR="00D8482D" w:rsidRPr="0088780C">
        <w:rPr>
          <w:rFonts w:eastAsia="Times New Roman"/>
          <w:snapToGrid w:val="0"/>
          <w:color w:val="000000" w:themeColor="text1"/>
          <w:kern w:val="22"/>
          <w:szCs w:val="22"/>
          <w:lang w:eastAsia="ru-RU"/>
        </w:rPr>
        <w:t>”</w:t>
      </w:r>
      <w:r w:rsidRPr="0088780C">
        <w:rPr>
          <w:rFonts w:eastAsia="Times New Roman"/>
          <w:snapToGrid w:val="0"/>
          <w:color w:val="000000" w:themeColor="text1"/>
          <w:kern w:val="22"/>
          <w:szCs w:val="22"/>
          <w:lang w:eastAsia="ru-RU"/>
        </w:rPr>
        <w:t xml:space="preserve"> (Table 5). The value of the IPU also corresponds to the category: </w:t>
      </w:r>
      <w:r w:rsidR="00D8482D" w:rsidRPr="0088780C">
        <w:rPr>
          <w:rFonts w:eastAsia="Times New Roman"/>
          <w:snapToGrid w:val="0"/>
          <w:color w:val="000000" w:themeColor="text1"/>
          <w:kern w:val="22"/>
          <w:szCs w:val="22"/>
          <w:lang w:eastAsia="ru-RU"/>
        </w:rPr>
        <w:t>“</w:t>
      </w:r>
      <w:r w:rsidRPr="0088780C">
        <w:rPr>
          <w:rFonts w:eastAsia="Times New Roman"/>
          <w:snapToGrid w:val="0"/>
          <w:color w:val="000000" w:themeColor="text1"/>
          <w:kern w:val="22"/>
          <w:szCs w:val="22"/>
          <w:lang w:eastAsia="ru-RU"/>
        </w:rPr>
        <w:t>High</w:t>
      </w:r>
      <w:r w:rsidR="00D8482D" w:rsidRPr="0088780C">
        <w:rPr>
          <w:rFonts w:eastAsia="Times New Roman"/>
          <w:snapToGrid w:val="0"/>
          <w:color w:val="000000" w:themeColor="text1"/>
          <w:kern w:val="22"/>
          <w:szCs w:val="22"/>
          <w:lang w:eastAsia="ru-RU"/>
        </w:rPr>
        <w:t>”</w:t>
      </w:r>
      <w:r w:rsidRPr="0088780C">
        <w:rPr>
          <w:rFonts w:eastAsia="Times New Roman"/>
          <w:snapToGrid w:val="0"/>
          <w:color w:val="000000" w:themeColor="text1"/>
          <w:kern w:val="22"/>
          <w:szCs w:val="22"/>
          <w:lang w:eastAsia="ru-RU"/>
        </w:rPr>
        <w:t xml:space="preserve">. This means that when the evaluation categories are compared, the EEI value is </w:t>
      </w:r>
      <w:r w:rsidR="00D8482D" w:rsidRPr="0088780C">
        <w:rPr>
          <w:rFonts w:eastAsia="Times New Roman"/>
          <w:snapToGrid w:val="0"/>
          <w:color w:val="000000" w:themeColor="text1"/>
          <w:kern w:val="22"/>
          <w:szCs w:val="22"/>
          <w:lang w:eastAsia="ru-RU"/>
        </w:rPr>
        <w:t>“</w:t>
      </w:r>
      <w:r w:rsidRPr="0088780C">
        <w:rPr>
          <w:rFonts w:eastAsia="Times New Roman"/>
          <w:snapToGrid w:val="0"/>
          <w:color w:val="000000" w:themeColor="text1"/>
          <w:kern w:val="22"/>
          <w:szCs w:val="22"/>
          <w:lang w:eastAsia="ru-RU"/>
        </w:rPr>
        <w:t>0</w:t>
      </w:r>
      <w:r w:rsidR="00D8482D" w:rsidRPr="0088780C">
        <w:rPr>
          <w:rFonts w:eastAsia="Times New Roman"/>
          <w:snapToGrid w:val="0"/>
          <w:color w:val="000000" w:themeColor="text1"/>
          <w:kern w:val="22"/>
          <w:szCs w:val="22"/>
          <w:lang w:eastAsia="ru-RU"/>
        </w:rPr>
        <w:t>”</w:t>
      </w:r>
      <w:r w:rsidRPr="0088780C">
        <w:rPr>
          <w:rFonts w:eastAsia="Times New Roman"/>
          <w:snapToGrid w:val="0"/>
          <w:color w:val="000000" w:themeColor="text1"/>
          <w:kern w:val="22"/>
          <w:szCs w:val="22"/>
          <w:lang w:eastAsia="ru-RU"/>
        </w:rPr>
        <w:t>.</w:t>
      </w:r>
    </w:p>
    <w:p w14:paraId="46E11EA0"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p w14:paraId="4560B1F2" w14:textId="77777777" w:rsidR="00A876F3" w:rsidRPr="0088780C" w:rsidRDefault="00A876F3" w:rsidP="001013AF">
      <w:pPr>
        <w:suppressLineNumbers/>
        <w:suppressAutoHyphens/>
        <w:kinsoku w:val="0"/>
        <w:overflowPunct w:val="0"/>
        <w:autoSpaceDE w:val="0"/>
        <w:autoSpaceDN w:val="0"/>
        <w:rPr>
          <w:rFonts w:eastAsia="MS Mincho"/>
          <w:i/>
          <w:snapToGrid w:val="0"/>
          <w:color w:val="000000" w:themeColor="text1"/>
          <w:kern w:val="22"/>
          <w:szCs w:val="22"/>
        </w:rPr>
      </w:pPr>
      <w:r w:rsidRPr="0088780C">
        <w:rPr>
          <w:rFonts w:eastAsia="Times New Roman"/>
          <w:snapToGrid w:val="0"/>
          <w:color w:val="000000" w:themeColor="text1"/>
          <w:kern w:val="22"/>
          <w:szCs w:val="22"/>
          <w:lang w:eastAsia="ru-RU"/>
        </w:rPr>
        <w:t>Thus, it can be concluded that at the current time the water area of Yagorlytsky Bay, in accordance with the standards of the Water Frame Directive, is characterized by the highest category of ESC. In addition, the zero value of EEI indicates that the current anthropogenic impact has not reduced the initial natural state of this environmental area of the marine ecological network of Ukraine.</w:t>
      </w:r>
    </w:p>
    <w:p w14:paraId="2997783E"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themeColor="text1"/>
          <w:kern w:val="22"/>
          <w:szCs w:val="22"/>
        </w:rPr>
      </w:pPr>
    </w:p>
    <w:p w14:paraId="32ECA882" w14:textId="2A2E52FC"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rFonts w:eastAsia="MS Mincho"/>
          <w:b/>
          <w:snapToGrid w:val="0"/>
          <w:color w:val="000000" w:themeColor="text1"/>
          <w:kern w:val="22"/>
          <w:szCs w:val="22"/>
        </w:rPr>
        <w:t>Assessment of the area against CBD EBSA Criteria</w:t>
      </w:r>
    </w:p>
    <w:p w14:paraId="3C094FBB"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themeColor="text1"/>
          <w:kern w:val="22"/>
          <w:szCs w:val="22"/>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6"/>
        <w:gridCol w:w="3999"/>
        <w:gridCol w:w="1356"/>
        <w:gridCol w:w="195"/>
        <w:gridCol w:w="706"/>
        <w:gridCol w:w="313"/>
        <w:gridCol w:w="682"/>
        <w:gridCol w:w="86"/>
        <w:gridCol w:w="642"/>
      </w:tblGrid>
      <w:tr w:rsidR="00A876F3" w:rsidRPr="0088780C" w14:paraId="0F35610C" w14:textId="77777777" w:rsidTr="006972AD">
        <w:tc>
          <w:tcPr>
            <w:tcW w:w="740" w:type="pct"/>
            <w:vMerge w:val="restart"/>
            <w:shd w:val="clear" w:color="auto" w:fill="auto"/>
          </w:tcPr>
          <w:p w14:paraId="4C447DD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CBD EBSA Criteria</w:t>
            </w:r>
          </w:p>
        </w:tc>
        <w:tc>
          <w:tcPr>
            <w:tcW w:w="2135" w:type="pct"/>
            <w:vMerge w:val="restart"/>
            <w:shd w:val="clear" w:color="auto" w:fill="auto"/>
          </w:tcPr>
          <w:p w14:paraId="7A9D8BA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Description</w:t>
            </w:r>
          </w:p>
        </w:tc>
        <w:tc>
          <w:tcPr>
            <w:tcW w:w="2125" w:type="pct"/>
            <w:gridSpan w:val="7"/>
            <w:shd w:val="clear" w:color="auto" w:fill="auto"/>
          </w:tcPr>
          <w:p w14:paraId="090490D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Ranking of criterion relevance</w:t>
            </w:r>
          </w:p>
        </w:tc>
      </w:tr>
      <w:tr w:rsidR="00A876F3" w:rsidRPr="0088780C" w14:paraId="48CEC92E" w14:textId="77777777" w:rsidTr="006972AD">
        <w:tc>
          <w:tcPr>
            <w:tcW w:w="740" w:type="pct"/>
            <w:vMerge/>
            <w:shd w:val="clear" w:color="auto" w:fill="auto"/>
          </w:tcPr>
          <w:p w14:paraId="0DD8D42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themeColor="text1"/>
                <w:kern w:val="22"/>
                <w:szCs w:val="22"/>
              </w:rPr>
            </w:pPr>
          </w:p>
        </w:tc>
        <w:tc>
          <w:tcPr>
            <w:tcW w:w="2135" w:type="pct"/>
            <w:vMerge/>
            <w:shd w:val="clear" w:color="auto" w:fill="auto"/>
          </w:tcPr>
          <w:p w14:paraId="524F273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themeColor="text1"/>
                <w:kern w:val="22"/>
                <w:szCs w:val="22"/>
              </w:rPr>
            </w:pPr>
          </w:p>
        </w:tc>
        <w:tc>
          <w:tcPr>
            <w:tcW w:w="828" w:type="pct"/>
            <w:gridSpan w:val="2"/>
            <w:shd w:val="clear" w:color="auto" w:fill="auto"/>
          </w:tcPr>
          <w:p w14:paraId="419F72E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No information</w:t>
            </w:r>
          </w:p>
        </w:tc>
        <w:tc>
          <w:tcPr>
            <w:tcW w:w="376" w:type="pct"/>
            <w:shd w:val="clear" w:color="auto" w:fill="auto"/>
          </w:tcPr>
          <w:p w14:paraId="1D078AD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Low</w:t>
            </w:r>
          </w:p>
        </w:tc>
        <w:tc>
          <w:tcPr>
            <w:tcW w:w="531" w:type="pct"/>
            <w:gridSpan w:val="2"/>
            <w:shd w:val="clear" w:color="auto" w:fill="auto"/>
          </w:tcPr>
          <w:p w14:paraId="4566372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Medium</w:t>
            </w:r>
          </w:p>
        </w:tc>
        <w:tc>
          <w:tcPr>
            <w:tcW w:w="389" w:type="pct"/>
            <w:gridSpan w:val="2"/>
            <w:shd w:val="clear" w:color="auto" w:fill="auto"/>
          </w:tcPr>
          <w:p w14:paraId="7D5F370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High</w:t>
            </w:r>
          </w:p>
        </w:tc>
      </w:tr>
      <w:tr w:rsidR="00A876F3" w:rsidRPr="0088780C" w14:paraId="30768C1F" w14:textId="77777777" w:rsidTr="006972AD">
        <w:tc>
          <w:tcPr>
            <w:tcW w:w="740" w:type="pct"/>
            <w:shd w:val="clear" w:color="auto" w:fill="auto"/>
          </w:tcPr>
          <w:p w14:paraId="2BEF4223" w14:textId="7D3C8393"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themeColor="text1"/>
                <w:kern w:val="22"/>
                <w:szCs w:val="22"/>
              </w:rPr>
            </w:pPr>
            <w:r w:rsidRPr="0088780C">
              <w:rPr>
                <w:rFonts w:eastAsia="MS Mincho"/>
                <w:b/>
                <w:bCs/>
                <w:snapToGrid w:val="0"/>
                <w:color w:val="000000" w:themeColor="text1"/>
                <w:kern w:val="22"/>
                <w:szCs w:val="22"/>
              </w:rPr>
              <w:t>Uniquenessor rarity</w:t>
            </w:r>
          </w:p>
        </w:tc>
        <w:tc>
          <w:tcPr>
            <w:tcW w:w="2135" w:type="pct"/>
            <w:shd w:val="clear" w:color="auto" w:fill="auto"/>
          </w:tcPr>
          <w:p w14:paraId="14C90106" w14:textId="393F03D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themeColor="text1"/>
                <w:kern w:val="22"/>
                <w:szCs w:val="22"/>
              </w:rPr>
            </w:pPr>
            <w:r w:rsidRPr="0088780C">
              <w:rPr>
                <w:rFonts w:eastAsia="MS Mincho"/>
                <w:bCs/>
                <w:snapToGrid w:val="0"/>
                <w:color w:val="000000" w:themeColor="text1"/>
                <w:kern w:val="22"/>
                <w:szCs w:val="22"/>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828" w:type="pct"/>
            <w:gridSpan w:val="2"/>
            <w:shd w:val="clear" w:color="auto" w:fill="auto"/>
          </w:tcPr>
          <w:p w14:paraId="7E39018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themeColor="text1"/>
                <w:kern w:val="22"/>
                <w:szCs w:val="22"/>
              </w:rPr>
            </w:pPr>
          </w:p>
        </w:tc>
        <w:tc>
          <w:tcPr>
            <w:tcW w:w="376" w:type="pct"/>
            <w:shd w:val="clear" w:color="auto" w:fill="auto"/>
          </w:tcPr>
          <w:p w14:paraId="6BFC29F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531" w:type="pct"/>
            <w:gridSpan w:val="2"/>
            <w:shd w:val="clear" w:color="auto" w:fill="auto"/>
          </w:tcPr>
          <w:p w14:paraId="43E2390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389" w:type="pct"/>
            <w:gridSpan w:val="2"/>
            <w:shd w:val="clear" w:color="auto" w:fill="auto"/>
          </w:tcPr>
          <w:p w14:paraId="58B19A3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X</w:t>
            </w:r>
          </w:p>
        </w:tc>
      </w:tr>
      <w:tr w:rsidR="00A876F3" w:rsidRPr="0088780C" w14:paraId="57A24D50" w14:textId="77777777" w:rsidTr="006972AD">
        <w:tc>
          <w:tcPr>
            <w:tcW w:w="5000" w:type="pct"/>
            <w:gridSpan w:val="9"/>
            <w:shd w:val="clear" w:color="auto" w:fill="auto"/>
          </w:tcPr>
          <w:p w14:paraId="4EEA4E10"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themeColor="text1"/>
                <w:kern w:val="22"/>
                <w:szCs w:val="22"/>
              </w:rPr>
            </w:pPr>
            <w:r w:rsidRPr="0088780C">
              <w:rPr>
                <w:rFonts w:eastAsia="MS Mincho"/>
                <w:i/>
                <w:snapToGrid w:val="0"/>
                <w:color w:val="000000" w:themeColor="text1"/>
                <w:kern w:val="22"/>
                <w:szCs w:val="22"/>
              </w:rPr>
              <w:t>Explanation for ranking</w:t>
            </w:r>
          </w:p>
          <w:p w14:paraId="0DC19CA0"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themeColor="text1"/>
                <w:kern w:val="22"/>
                <w:szCs w:val="22"/>
              </w:rPr>
            </w:pPr>
            <w:r w:rsidRPr="0088780C">
              <w:rPr>
                <w:rFonts w:eastAsia="MS Mincho"/>
                <w:snapToGrid w:val="0"/>
                <w:color w:val="000000" w:themeColor="text1"/>
                <w:kern w:val="22"/>
                <w:szCs w:val="22"/>
              </w:rPr>
              <w:t xml:space="preserve">Four sturgeon species recorded in the Red Data Book of Ukraine and in IUCN with the highest conservation status are registered in the bay, as well as the seahorse </w:t>
            </w:r>
            <w:r w:rsidRPr="0088780C">
              <w:rPr>
                <w:rFonts w:eastAsia="MS Mincho"/>
                <w:i/>
                <w:snapToGrid w:val="0"/>
                <w:color w:val="000000" w:themeColor="text1"/>
                <w:kern w:val="22"/>
                <w:szCs w:val="22"/>
              </w:rPr>
              <w:t>Hippocampus ramulosus</w:t>
            </w:r>
            <w:r w:rsidRPr="0088780C">
              <w:rPr>
                <w:rFonts w:eastAsia="MS Mincho"/>
                <w:snapToGrid w:val="0"/>
                <w:color w:val="000000" w:themeColor="text1"/>
                <w:kern w:val="22"/>
                <w:szCs w:val="22"/>
              </w:rPr>
              <w:t xml:space="preserve">, sea cock </w:t>
            </w:r>
            <w:r w:rsidRPr="0088780C">
              <w:rPr>
                <w:rFonts w:eastAsia="MS Mincho"/>
                <w:i/>
                <w:snapToGrid w:val="0"/>
                <w:color w:val="000000" w:themeColor="text1"/>
                <w:kern w:val="22"/>
                <w:szCs w:val="22"/>
              </w:rPr>
              <w:t>Trigla lucerna</w:t>
            </w:r>
            <w:r w:rsidRPr="0088780C">
              <w:rPr>
                <w:rFonts w:eastAsia="MS Mincho"/>
                <w:snapToGrid w:val="0"/>
                <w:color w:val="000000" w:themeColor="text1"/>
                <w:kern w:val="22"/>
                <w:szCs w:val="22"/>
              </w:rPr>
              <w:t>, black</w:t>
            </w:r>
            <w:r w:rsidRPr="0088780C">
              <w:rPr>
                <w:snapToGrid w:val="0"/>
                <w:color w:val="000000" w:themeColor="text1"/>
                <w:kern w:val="22"/>
                <w:szCs w:val="22"/>
                <w:shd w:val="clear" w:color="auto" w:fill="FFFFFF"/>
              </w:rPr>
              <w:t xml:space="preserve">-striped pipefish </w:t>
            </w:r>
            <w:r w:rsidRPr="0088780C">
              <w:rPr>
                <w:i/>
                <w:snapToGrid w:val="0"/>
                <w:color w:val="000000" w:themeColor="text1"/>
                <w:kern w:val="22"/>
                <w:szCs w:val="22"/>
                <w:shd w:val="clear" w:color="auto" w:fill="FFFFFF"/>
              </w:rPr>
              <w:t>Syngnathus abaster</w:t>
            </w:r>
            <w:r w:rsidRPr="0088780C">
              <w:rPr>
                <w:rFonts w:eastAsia="MS Mincho"/>
                <w:snapToGrid w:val="0"/>
                <w:color w:val="000000" w:themeColor="text1"/>
                <w:kern w:val="22"/>
                <w:szCs w:val="22"/>
              </w:rPr>
              <w:t xml:space="preserve">, laurac </w:t>
            </w:r>
            <w:r w:rsidRPr="0088780C">
              <w:rPr>
                <w:rFonts w:eastAsia="MS Mincho"/>
                <w:i/>
                <w:snapToGrid w:val="0"/>
                <w:color w:val="000000" w:themeColor="text1"/>
                <w:kern w:val="22"/>
                <w:szCs w:val="22"/>
              </w:rPr>
              <w:t>Morone labrax</w:t>
            </w:r>
            <w:r w:rsidRPr="0088780C">
              <w:rPr>
                <w:rFonts w:eastAsia="MS Mincho"/>
                <w:snapToGrid w:val="0"/>
                <w:color w:val="000000" w:themeColor="text1"/>
                <w:kern w:val="22"/>
                <w:szCs w:val="22"/>
              </w:rPr>
              <w:t xml:space="preserve">, light mantel </w:t>
            </w:r>
            <w:r w:rsidRPr="0088780C">
              <w:rPr>
                <w:rFonts w:eastAsia="MS Mincho"/>
                <w:i/>
                <w:snapToGrid w:val="0"/>
                <w:color w:val="000000" w:themeColor="text1"/>
                <w:kern w:val="22"/>
                <w:szCs w:val="22"/>
              </w:rPr>
              <w:t>Umbrina cirrosa</w:t>
            </w:r>
            <w:r w:rsidRPr="0088780C">
              <w:rPr>
                <w:rFonts w:eastAsia="MS Mincho"/>
                <w:snapToGrid w:val="0"/>
                <w:color w:val="000000" w:themeColor="text1"/>
                <w:kern w:val="22"/>
                <w:szCs w:val="22"/>
              </w:rPr>
              <w:t xml:space="preserve">, marine pikeperch </w:t>
            </w:r>
            <w:r w:rsidRPr="0088780C">
              <w:rPr>
                <w:rFonts w:eastAsia="MS Mincho"/>
                <w:i/>
                <w:snapToGrid w:val="0"/>
                <w:color w:val="000000" w:themeColor="text1"/>
                <w:kern w:val="22"/>
                <w:szCs w:val="22"/>
              </w:rPr>
              <w:t>Stizostedion marinum</w:t>
            </w:r>
            <w:r w:rsidRPr="0088780C">
              <w:rPr>
                <w:rFonts w:eastAsia="MS Mincho"/>
                <w:snapToGrid w:val="0"/>
                <w:color w:val="000000" w:themeColor="text1"/>
                <w:kern w:val="22"/>
                <w:szCs w:val="22"/>
              </w:rPr>
              <w:t xml:space="preserve">, </w:t>
            </w:r>
            <w:r w:rsidRPr="0088780C">
              <w:rPr>
                <w:snapToGrid w:val="0"/>
                <w:color w:val="000000" w:themeColor="text1"/>
                <w:kern w:val="22"/>
                <w:szCs w:val="22"/>
              </w:rPr>
              <w:t>monkfish</w:t>
            </w:r>
            <w:r w:rsidRPr="0088780C">
              <w:rPr>
                <w:rFonts w:eastAsia="MS Mincho"/>
                <w:snapToGrid w:val="0"/>
                <w:color w:val="000000" w:themeColor="text1"/>
                <w:kern w:val="22"/>
                <w:szCs w:val="22"/>
              </w:rPr>
              <w:t xml:space="preserve"> </w:t>
            </w:r>
            <w:r w:rsidRPr="0088780C">
              <w:rPr>
                <w:rFonts w:eastAsia="MS Mincho"/>
                <w:i/>
                <w:snapToGrid w:val="0"/>
                <w:color w:val="000000" w:themeColor="text1"/>
                <w:kern w:val="22"/>
                <w:szCs w:val="22"/>
              </w:rPr>
              <w:t>Lophius piscatorius</w:t>
            </w:r>
            <w:r w:rsidRPr="0088780C">
              <w:rPr>
                <w:rFonts w:eastAsia="MS Mincho"/>
                <w:snapToGrid w:val="0"/>
                <w:color w:val="000000" w:themeColor="text1"/>
                <w:kern w:val="22"/>
                <w:szCs w:val="22"/>
              </w:rPr>
              <w:t xml:space="preserve"> (Pinchuk and Tkachenko, 1996; Tkachenko, 1999), listed in the Ukrainian and the Black Sea Red Data Book. Until the end of the 1970s Yagorlytsky Bay was a region of mass habitat for the European flat oyster </w:t>
            </w:r>
            <w:r w:rsidRPr="0088780C">
              <w:rPr>
                <w:rFonts w:eastAsia="MS Mincho"/>
                <w:i/>
                <w:snapToGrid w:val="0"/>
                <w:color w:val="000000" w:themeColor="text1"/>
                <w:kern w:val="22"/>
                <w:szCs w:val="22"/>
              </w:rPr>
              <w:t>Ostrea edulis</w:t>
            </w:r>
            <w:r w:rsidRPr="0088780C">
              <w:rPr>
                <w:rFonts w:eastAsia="MS Mincho"/>
                <w:snapToGrid w:val="0"/>
                <w:color w:val="000000" w:themeColor="text1"/>
                <w:kern w:val="22"/>
                <w:szCs w:val="22"/>
              </w:rPr>
              <w:t xml:space="preserve">, which disappeared because of eutrophication. Today, this species is listed in the Red Data Book of Ukraine and the Black Sea as a vanishing species (Alexandrovet al., 2006). At the same time, the most widespread macrophyte in the bay was the red alga </w:t>
            </w:r>
            <w:r w:rsidRPr="0088780C">
              <w:rPr>
                <w:rFonts w:eastAsia="MS Mincho"/>
                <w:i/>
                <w:snapToGrid w:val="0"/>
                <w:color w:val="000000" w:themeColor="text1"/>
                <w:kern w:val="22"/>
                <w:szCs w:val="22"/>
              </w:rPr>
              <w:t>Phyllofora crispa</w:t>
            </w:r>
            <w:r w:rsidRPr="0088780C">
              <w:rPr>
                <w:rFonts w:eastAsia="MS Mincho"/>
                <w:snapToGrid w:val="0"/>
                <w:color w:val="000000" w:themeColor="text1"/>
                <w:kern w:val="22"/>
                <w:szCs w:val="22"/>
              </w:rPr>
              <w:t xml:space="preserve"> (= </w:t>
            </w:r>
            <w:r w:rsidRPr="0088780C">
              <w:rPr>
                <w:rFonts w:eastAsia="MS Mincho"/>
                <w:i/>
                <w:snapToGrid w:val="0"/>
                <w:color w:val="000000" w:themeColor="text1"/>
                <w:kern w:val="22"/>
                <w:szCs w:val="22"/>
              </w:rPr>
              <w:t>nervosa</w:t>
            </w:r>
            <w:r w:rsidRPr="0088780C">
              <w:rPr>
                <w:rFonts w:eastAsia="MS Mincho"/>
                <w:snapToGrid w:val="0"/>
                <w:color w:val="000000" w:themeColor="text1"/>
                <w:kern w:val="22"/>
                <w:szCs w:val="22"/>
              </w:rPr>
              <w:t>), which is an edificator species of biocenosis with the same name (Eremenko and Minicheva, 1992). The Red Data Book of Ukraine includes 12 species of birds inhabiting shallow waters and the coast of Yagorlytsky Bay (Chernichko et al., 2000).</w:t>
            </w:r>
          </w:p>
        </w:tc>
      </w:tr>
      <w:tr w:rsidR="00A876F3" w:rsidRPr="0088780C" w14:paraId="04DD45A7" w14:textId="77777777" w:rsidTr="006972AD">
        <w:tc>
          <w:tcPr>
            <w:tcW w:w="740" w:type="pct"/>
            <w:shd w:val="clear" w:color="auto" w:fill="auto"/>
          </w:tcPr>
          <w:p w14:paraId="087CCFD5"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themeColor="text1"/>
                <w:kern w:val="22"/>
                <w:szCs w:val="22"/>
              </w:rPr>
            </w:pPr>
            <w:r w:rsidRPr="0088780C">
              <w:rPr>
                <w:rFonts w:eastAsia="MS Mincho"/>
                <w:b/>
                <w:bCs/>
                <w:snapToGrid w:val="0"/>
                <w:color w:val="000000" w:themeColor="text1"/>
                <w:kern w:val="22"/>
                <w:szCs w:val="22"/>
              </w:rPr>
              <w:t>Special importance for life-history stages of species</w:t>
            </w:r>
          </w:p>
        </w:tc>
        <w:tc>
          <w:tcPr>
            <w:tcW w:w="2135" w:type="pct"/>
            <w:shd w:val="clear" w:color="auto" w:fill="auto"/>
          </w:tcPr>
          <w:p w14:paraId="373DC2B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themeColor="text1"/>
                <w:kern w:val="22"/>
                <w:szCs w:val="22"/>
              </w:rPr>
            </w:pPr>
            <w:r w:rsidRPr="0088780C">
              <w:rPr>
                <w:rFonts w:eastAsia="MS Mincho"/>
                <w:bCs/>
                <w:snapToGrid w:val="0"/>
                <w:color w:val="000000" w:themeColor="text1"/>
                <w:kern w:val="22"/>
                <w:szCs w:val="22"/>
              </w:rPr>
              <w:t>Areas that are required for a population to survive and thrive.</w:t>
            </w:r>
          </w:p>
        </w:tc>
        <w:tc>
          <w:tcPr>
            <w:tcW w:w="724" w:type="pct"/>
            <w:shd w:val="clear" w:color="auto" w:fill="auto"/>
          </w:tcPr>
          <w:p w14:paraId="5763EA5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481" w:type="pct"/>
            <w:gridSpan w:val="2"/>
            <w:shd w:val="clear" w:color="auto" w:fill="auto"/>
          </w:tcPr>
          <w:p w14:paraId="2F2272E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531" w:type="pct"/>
            <w:gridSpan w:val="2"/>
            <w:shd w:val="clear" w:color="auto" w:fill="auto"/>
          </w:tcPr>
          <w:p w14:paraId="579F23E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389" w:type="pct"/>
            <w:gridSpan w:val="2"/>
            <w:shd w:val="clear" w:color="auto" w:fill="auto"/>
          </w:tcPr>
          <w:p w14:paraId="0F31CEF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X</w:t>
            </w:r>
          </w:p>
        </w:tc>
      </w:tr>
      <w:tr w:rsidR="00A876F3" w:rsidRPr="0088780C" w14:paraId="15D233FF" w14:textId="77777777" w:rsidTr="006972AD">
        <w:tc>
          <w:tcPr>
            <w:tcW w:w="5000" w:type="pct"/>
            <w:gridSpan w:val="9"/>
            <w:shd w:val="clear" w:color="auto" w:fill="auto"/>
          </w:tcPr>
          <w:p w14:paraId="37C5D76F" w14:textId="77777777" w:rsidR="00A876F3" w:rsidRPr="0088780C" w:rsidRDefault="00A876F3" w:rsidP="001013AF">
            <w:pPr>
              <w:pStyle w:val="CommentText"/>
              <w:suppressLineNumbers/>
              <w:suppressAutoHyphens/>
              <w:kinsoku w:val="0"/>
              <w:overflowPunct w:val="0"/>
              <w:autoSpaceDE w:val="0"/>
              <w:autoSpaceDN w:val="0"/>
              <w:rPr>
                <w:snapToGrid w:val="0"/>
                <w:color w:val="000000" w:themeColor="text1"/>
                <w:kern w:val="22"/>
                <w:szCs w:val="22"/>
              </w:rPr>
            </w:pPr>
            <w:r w:rsidRPr="0088780C">
              <w:rPr>
                <w:rFonts w:eastAsia="MS Mincho"/>
                <w:i/>
                <w:snapToGrid w:val="0"/>
                <w:color w:val="000000" w:themeColor="text1"/>
                <w:kern w:val="22"/>
                <w:szCs w:val="22"/>
              </w:rPr>
              <w:t>Explanation for ranking</w:t>
            </w:r>
          </w:p>
          <w:p w14:paraId="3BE686E8" w14:textId="77777777" w:rsidR="00A876F3" w:rsidRPr="0088780C" w:rsidRDefault="00A876F3" w:rsidP="001013AF">
            <w:pPr>
              <w:pStyle w:val="CommentText"/>
              <w:suppressLineNumbers/>
              <w:suppressAutoHyphens/>
              <w:kinsoku w:val="0"/>
              <w:overflowPunct w:val="0"/>
              <w:autoSpaceDE w:val="0"/>
              <w:autoSpaceDN w:val="0"/>
              <w:rPr>
                <w:rFonts w:eastAsia="MS Mincho"/>
                <w:snapToGrid w:val="0"/>
                <w:color w:val="000000" w:themeColor="text1"/>
                <w:kern w:val="22"/>
                <w:szCs w:val="22"/>
              </w:rPr>
            </w:pPr>
            <w:r w:rsidRPr="0088780C">
              <w:rPr>
                <w:snapToGrid w:val="0"/>
                <w:color w:val="000000" w:themeColor="text1"/>
                <w:kern w:val="22"/>
                <w:szCs w:val="22"/>
              </w:rPr>
              <w:t>The a</w:t>
            </w:r>
            <w:r w:rsidRPr="0088780C">
              <w:rPr>
                <w:rFonts w:eastAsia="MS Mincho"/>
                <w:snapToGrid w:val="0"/>
                <w:color w:val="000000" w:themeColor="text1"/>
                <w:kern w:val="22"/>
                <w:szCs w:val="22"/>
              </w:rPr>
              <w:t xml:space="preserve">quatic area of </w:t>
            </w:r>
            <w:r w:rsidRPr="0088780C">
              <w:rPr>
                <w:rFonts w:eastAsia="Times New Roman"/>
                <w:snapToGrid w:val="0"/>
                <w:color w:val="000000" w:themeColor="text1"/>
                <w:kern w:val="22"/>
                <w:szCs w:val="22"/>
                <w:lang w:eastAsia="ru-RU"/>
              </w:rPr>
              <w:t>Yagorlytsky Bay</w:t>
            </w:r>
            <w:r w:rsidRPr="0088780C">
              <w:rPr>
                <w:rFonts w:eastAsia="MS Mincho"/>
                <w:snapToGrid w:val="0"/>
                <w:color w:val="000000" w:themeColor="text1"/>
                <w:kern w:val="22"/>
                <w:szCs w:val="22"/>
              </w:rPr>
              <w:t xml:space="preserve"> is a feeding ground for sturgeon, in particular the Russian sturgeon </w:t>
            </w:r>
            <w:r w:rsidRPr="0088780C">
              <w:rPr>
                <w:rFonts w:eastAsia="MS Mincho"/>
                <w:i/>
                <w:snapToGrid w:val="0"/>
                <w:color w:val="000000" w:themeColor="text1"/>
                <w:kern w:val="22"/>
                <w:szCs w:val="22"/>
              </w:rPr>
              <w:t>Acipenser gueldenstaedtii</w:t>
            </w:r>
            <w:r w:rsidRPr="0088780C">
              <w:rPr>
                <w:rFonts w:eastAsia="MS Mincho"/>
                <w:snapToGrid w:val="0"/>
                <w:color w:val="000000" w:themeColor="text1"/>
                <w:kern w:val="22"/>
                <w:szCs w:val="22"/>
              </w:rPr>
              <w:t xml:space="preserve">, star sturgeon </w:t>
            </w:r>
            <w:r w:rsidRPr="0088780C">
              <w:rPr>
                <w:rFonts w:eastAsia="MS Mincho"/>
                <w:i/>
                <w:snapToGrid w:val="0"/>
                <w:color w:val="000000" w:themeColor="text1"/>
                <w:kern w:val="22"/>
                <w:szCs w:val="22"/>
              </w:rPr>
              <w:t>Acipenser stellatus</w:t>
            </w:r>
            <w:r w:rsidRPr="0088780C">
              <w:rPr>
                <w:rFonts w:eastAsia="MS Mincho"/>
                <w:snapToGrid w:val="0"/>
                <w:color w:val="000000" w:themeColor="text1"/>
                <w:kern w:val="22"/>
                <w:szCs w:val="22"/>
              </w:rPr>
              <w:t xml:space="preserve">, sterled </w:t>
            </w:r>
            <w:r w:rsidRPr="0088780C">
              <w:rPr>
                <w:rFonts w:eastAsia="MS Mincho"/>
                <w:i/>
                <w:snapToGrid w:val="0"/>
                <w:color w:val="000000" w:themeColor="text1"/>
                <w:kern w:val="22"/>
                <w:szCs w:val="22"/>
              </w:rPr>
              <w:t>Acipenser ruthenus</w:t>
            </w:r>
            <w:r w:rsidRPr="0088780C">
              <w:rPr>
                <w:rFonts w:eastAsia="MS Mincho"/>
                <w:snapToGrid w:val="0"/>
                <w:color w:val="000000" w:themeColor="text1"/>
                <w:kern w:val="22"/>
                <w:szCs w:val="22"/>
              </w:rPr>
              <w:t xml:space="preserve"> and giant sturgeon </w:t>
            </w:r>
            <w:r w:rsidRPr="0088780C">
              <w:rPr>
                <w:rFonts w:eastAsia="MS Mincho"/>
                <w:i/>
                <w:snapToGrid w:val="0"/>
                <w:color w:val="000000" w:themeColor="text1"/>
                <w:kern w:val="22"/>
                <w:szCs w:val="22"/>
              </w:rPr>
              <w:t>Huso huso</w:t>
            </w:r>
            <w:r w:rsidRPr="0088780C">
              <w:rPr>
                <w:rFonts w:eastAsia="MS Mincho"/>
                <w:snapToGrid w:val="0"/>
                <w:color w:val="000000" w:themeColor="text1"/>
                <w:kern w:val="22"/>
                <w:szCs w:val="22"/>
              </w:rPr>
              <w:t>, as well as four species of mullets (</w:t>
            </w:r>
            <w:r w:rsidRPr="0088780C">
              <w:rPr>
                <w:rFonts w:eastAsia="MS Mincho"/>
                <w:i/>
                <w:snapToGrid w:val="0"/>
                <w:color w:val="000000" w:themeColor="text1"/>
                <w:kern w:val="22"/>
                <w:szCs w:val="22"/>
              </w:rPr>
              <w:t xml:space="preserve">Mugil cephalus, Liza aurata, Liza saliens, </w:t>
            </w:r>
            <w:r w:rsidRPr="0088780C">
              <w:rPr>
                <w:rStyle w:val="Emphasis"/>
                <w:snapToGrid w:val="0"/>
                <w:color w:val="000000" w:themeColor="text1"/>
                <w:kern w:val="22"/>
                <w:szCs w:val="22"/>
                <w:shd w:val="clear" w:color="auto" w:fill="FFFFFF"/>
              </w:rPr>
              <w:t>Liza</w:t>
            </w:r>
            <w:r w:rsidRPr="0088780C">
              <w:rPr>
                <w:rStyle w:val="apple-converted-space"/>
                <w:i/>
                <w:snapToGrid w:val="0"/>
                <w:color w:val="000000" w:themeColor="text1"/>
                <w:kern w:val="22"/>
                <w:szCs w:val="22"/>
                <w:shd w:val="clear" w:color="auto" w:fill="FFFFFF"/>
              </w:rPr>
              <w:t> </w:t>
            </w:r>
            <w:r w:rsidRPr="0088780C">
              <w:rPr>
                <w:i/>
                <w:snapToGrid w:val="0"/>
                <w:color w:val="000000" w:themeColor="text1"/>
                <w:kern w:val="22"/>
                <w:szCs w:val="22"/>
                <w:shd w:val="clear" w:color="auto" w:fill="FFFFFF"/>
              </w:rPr>
              <w:t>haematocheilus</w:t>
            </w:r>
            <w:r w:rsidRPr="0088780C">
              <w:rPr>
                <w:rFonts w:eastAsia="MS Mincho"/>
                <w:i/>
                <w:snapToGrid w:val="0"/>
                <w:color w:val="000000" w:themeColor="text1"/>
                <w:kern w:val="22"/>
                <w:szCs w:val="22"/>
              </w:rPr>
              <w:t xml:space="preserve"> =Mugil so-iuy</w:t>
            </w:r>
            <w:r w:rsidRPr="0088780C">
              <w:rPr>
                <w:rFonts w:eastAsia="MS Mincho"/>
                <w:snapToGrid w:val="0"/>
                <w:color w:val="000000" w:themeColor="text1"/>
                <w:kern w:val="22"/>
                <w:szCs w:val="22"/>
              </w:rPr>
              <w:t xml:space="preserve">). Three of these species of sturgeon are included in the new edition of the Red Data Book of Ukraine. For these water areas, these species are pass-through and occur here annually. Most (80-90%) o sturgeons gathering in this region do so in the spring (Tkachenko, 2012). Yagorlytsky Bay is a key nesting site for migrating species from Europe and Africa: terns, waders, ducks (Chernichko, et al., 2000). Today, Yagorlytsky Bay is a refugium of the macrophyte </w:t>
            </w:r>
            <w:r w:rsidRPr="0088780C">
              <w:rPr>
                <w:rFonts w:eastAsia="MS Mincho"/>
                <w:i/>
                <w:snapToGrid w:val="0"/>
                <w:color w:val="000000" w:themeColor="text1"/>
                <w:kern w:val="22"/>
                <w:szCs w:val="22"/>
              </w:rPr>
              <w:t>Lamprothamnium papulosum</w:t>
            </w:r>
            <w:r w:rsidRPr="0088780C">
              <w:rPr>
                <w:rFonts w:eastAsia="MS Mincho"/>
                <w:snapToGrid w:val="0"/>
                <w:color w:val="000000" w:themeColor="text1"/>
                <w:kern w:val="22"/>
                <w:szCs w:val="22"/>
              </w:rPr>
              <w:t xml:space="preserve">, which is currently one of the dominant species in the bay (IMB NASU, 2013; </w:t>
            </w:r>
            <w:r w:rsidRPr="0088780C">
              <w:rPr>
                <w:snapToGrid w:val="0"/>
                <w:kern w:val="22"/>
                <w:szCs w:val="22"/>
              </w:rPr>
              <w:t>Minicheva et al., 2014</w:t>
            </w:r>
            <w:r w:rsidRPr="0088780C">
              <w:rPr>
                <w:rFonts w:eastAsia="MS Mincho"/>
                <w:snapToGrid w:val="0"/>
                <w:color w:val="000000" w:themeColor="text1"/>
                <w:kern w:val="22"/>
                <w:szCs w:val="22"/>
              </w:rPr>
              <w:t>). This species is listed as vulnerable in the Red Data Book of Ukraine.</w:t>
            </w:r>
          </w:p>
        </w:tc>
      </w:tr>
      <w:tr w:rsidR="00A876F3" w:rsidRPr="0088780C" w14:paraId="2D0F1C1E" w14:textId="77777777" w:rsidTr="001013AF">
        <w:trPr>
          <w:cantSplit/>
        </w:trPr>
        <w:tc>
          <w:tcPr>
            <w:tcW w:w="740" w:type="pct"/>
            <w:shd w:val="clear" w:color="auto" w:fill="auto"/>
          </w:tcPr>
          <w:p w14:paraId="3C217C94"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themeColor="text1"/>
                <w:kern w:val="22"/>
                <w:szCs w:val="22"/>
              </w:rPr>
            </w:pPr>
            <w:r w:rsidRPr="0088780C">
              <w:rPr>
                <w:rFonts w:eastAsia="MS Mincho"/>
                <w:b/>
                <w:bCs/>
                <w:snapToGrid w:val="0"/>
                <w:color w:val="000000" w:themeColor="text1"/>
                <w:kern w:val="22"/>
                <w:szCs w:val="22"/>
              </w:rPr>
              <w:t>Importance for threatened, endangered or declining species and/or habitats</w:t>
            </w:r>
          </w:p>
        </w:tc>
        <w:tc>
          <w:tcPr>
            <w:tcW w:w="2135" w:type="pct"/>
            <w:shd w:val="clear" w:color="auto" w:fill="auto"/>
          </w:tcPr>
          <w:p w14:paraId="6BB5036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themeColor="text1"/>
                <w:kern w:val="22"/>
                <w:szCs w:val="22"/>
              </w:rPr>
            </w:pPr>
            <w:r w:rsidRPr="0088780C">
              <w:rPr>
                <w:rFonts w:eastAsia="MS Mincho"/>
                <w:bCs/>
                <w:snapToGrid w:val="0"/>
                <w:color w:val="000000" w:themeColor="text1"/>
                <w:kern w:val="22"/>
                <w:szCs w:val="22"/>
              </w:rPr>
              <w:t>Area containing habitat for the survival and recovery of endangered, threatened, declining species or area with significant assemblages of such species.</w:t>
            </w:r>
          </w:p>
        </w:tc>
        <w:tc>
          <w:tcPr>
            <w:tcW w:w="724" w:type="pct"/>
            <w:shd w:val="clear" w:color="auto" w:fill="auto"/>
          </w:tcPr>
          <w:p w14:paraId="1A510EE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481" w:type="pct"/>
            <w:gridSpan w:val="2"/>
            <w:shd w:val="clear" w:color="auto" w:fill="auto"/>
          </w:tcPr>
          <w:p w14:paraId="32B6085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531" w:type="pct"/>
            <w:gridSpan w:val="2"/>
            <w:shd w:val="clear" w:color="auto" w:fill="auto"/>
          </w:tcPr>
          <w:p w14:paraId="0C6AC99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389" w:type="pct"/>
            <w:gridSpan w:val="2"/>
            <w:shd w:val="clear" w:color="auto" w:fill="auto"/>
          </w:tcPr>
          <w:p w14:paraId="77C3C95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X</w:t>
            </w:r>
          </w:p>
        </w:tc>
      </w:tr>
      <w:tr w:rsidR="00A876F3" w:rsidRPr="0088780C" w14:paraId="71217CE1" w14:textId="77777777" w:rsidTr="006972AD">
        <w:tc>
          <w:tcPr>
            <w:tcW w:w="5000" w:type="pct"/>
            <w:gridSpan w:val="9"/>
            <w:shd w:val="clear" w:color="auto" w:fill="auto"/>
          </w:tcPr>
          <w:p w14:paraId="37B66FC2"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themeColor="text1"/>
                <w:kern w:val="22"/>
                <w:szCs w:val="22"/>
              </w:rPr>
            </w:pPr>
            <w:r w:rsidRPr="0088780C">
              <w:rPr>
                <w:rFonts w:eastAsia="MS Mincho"/>
                <w:i/>
                <w:snapToGrid w:val="0"/>
                <w:color w:val="000000" w:themeColor="text1"/>
                <w:kern w:val="22"/>
                <w:szCs w:val="22"/>
              </w:rPr>
              <w:t>Explanation for ranking</w:t>
            </w:r>
          </w:p>
          <w:p w14:paraId="6CEA3C8A" w14:textId="40A5562F"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themeColor="text1"/>
                <w:kern w:val="22"/>
                <w:szCs w:val="22"/>
              </w:rPr>
            </w:pPr>
            <w:r w:rsidRPr="0088780C">
              <w:rPr>
                <w:rFonts w:eastAsia="MS Mincho"/>
                <w:snapToGrid w:val="0"/>
                <w:color w:val="000000" w:themeColor="text1"/>
                <w:kern w:val="22"/>
                <w:szCs w:val="22"/>
              </w:rPr>
              <w:t>Yagorlytsky Bay was the last large natural settlement of the European flat oyster population (Zayev et al., 2006). On the coast of the bay there are 12 species of birds that have European protection status (Chernichko et al., 2000). Twenty-four</w:t>
            </w:r>
            <w:r w:rsidRPr="0088780C">
              <w:rPr>
                <w:rFonts w:eastAsia="SimSun"/>
                <w:snapToGrid w:val="0"/>
                <w:color w:val="000000" w:themeColor="text1"/>
                <w:kern w:val="22"/>
                <w:szCs w:val="22"/>
                <w:lang w:eastAsia="zh-CN"/>
              </w:rPr>
              <w:t xml:space="preserve"> species of fish are included in the Red Data Book of Ukraine and </w:t>
            </w:r>
            <w:r w:rsidRPr="0088780C">
              <w:rPr>
                <w:rFonts w:eastAsia="Times New Roman"/>
                <w:iCs/>
                <w:snapToGrid w:val="0"/>
                <w:color w:val="000000" w:themeColor="text1"/>
                <w:kern w:val="22"/>
                <w:szCs w:val="22"/>
                <w:shd w:val="clear" w:color="auto" w:fill="FFFFFF"/>
              </w:rPr>
              <w:t>International Union for Conservation of Nature</w:t>
            </w:r>
            <w:r w:rsidRPr="0088780C">
              <w:rPr>
                <w:rFonts w:eastAsia="Times New Roman"/>
                <w:snapToGrid w:val="0"/>
                <w:color w:val="000000" w:themeColor="text1"/>
                <w:kern w:val="22"/>
                <w:szCs w:val="22"/>
                <w:shd w:val="clear" w:color="auto" w:fill="FFFFFF"/>
              </w:rPr>
              <w:t xml:space="preserve"> (IUCN), eight of which are endangered: sturgeons (</w:t>
            </w:r>
            <w:r w:rsidRPr="0088780C">
              <w:rPr>
                <w:rFonts w:eastAsia="Times New Roman"/>
                <w:i/>
                <w:snapToGrid w:val="0"/>
                <w:color w:val="000000" w:themeColor="text1"/>
                <w:kern w:val="22"/>
                <w:szCs w:val="22"/>
                <w:shd w:val="clear" w:color="auto" w:fill="FFFFFF"/>
              </w:rPr>
              <w:t>Acipenser stellatus</w:t>
            </w:r>
            <w:r w:rsidRPr="0088780C">
              <w:rPr>
                <w:rFonts w:eastAsia="Times New Roman"/>
                <w:snapToGrid w:val="0"/>
                <w:color w:val="000000" w:themeColor="text1"/>
                <w:kern w:val="22"/>
                <w:szCs w:val="22"/>
                <w:shd w:val="clear" w:color="auto" w:fill="FFFFFF"/>
              </w:rPr>
              <w:t xml:space="preserve">, </w:t>
            </w:r>
            <w:r w:rsidRPr="0088780C">
              <w:rPr>
                <w:rFonts w:eastAsia="Times New Roman"/>
                <w:i/>
                <w:snapToGrid w:val="0"/>
                <w:color w:val="000000" w:themeColor="text1"/>
                <w:kern w:val="22"/>
                <w:szCs w:val="22"/>
                <w:shd w:val="clear" w:color="auto" w:fill="FFFFFF"/>
              </w:rPr>
              <w:t>A. gueldenstaedtii</w:t>
            </w:r>
            <w:r w:rsidRPr="0088780C">
              <w:rPr>
                <w:rFonts w:eastAsia="Times New Roman"/>
                <w:snapToGrid w:val="0"/>
                <w:color w:val="000000" w:themeColor="text1"/>
                <w:kern w:val="22"/>
                <w:szCs w:val="22"/>
                <w:shd w:val="clear" w:color="auto" w:fill="FFFFFF"/>
              </w:rPr>
              <w:t xml:space="preserve">, </w:t>
            </w:r>
            <w:r w:rsidRPr="0088780C">
              <w:rPr>
                <w:rFonts w:eastAsia="Times New Roman"/>
                <w:i/>
                <w:snapToGrid w:val="0"/>
                <w:color w:val="000000" w:themeColor="text1"/>
                <w:kern w:val="22"/>
                <w:szCs w:val="22"/>
                <w:shd w:val="clear" w:color="auto" w:fill="FFFFFF"/>
              </w:rPr>
              <w:t>A. nudiventris</w:t>
            </w:r>
            <w:r w:rsidRPr="0088780C">
              <w:rPr>
                <w:rFonts w:eastAsia="Times New Roman"/>
                <w:snapToGrid w:val="0"/>
                <w:color w:val="000000" w:themeColor="text1"/>
                <w:kern w:val="22"/>
                <w:szCs w:val="22"/>
                <w:shd w:val="clear" w:color="auto" w:fill="FFFFFF"/>
              </w:rPr>
              <w:t xml:space="preserve">, </w:t>
            </w:r>
            <w:r w:rsidRPr="0088780C">
              <w:rPr>
                <w:rFonts w:eastAsia="Times New Roman"/>
                <w:i/>
                <w:snapToGrid w:val="0"/>
                <w:color w:val="000000" w:themeColor="text1"/>
                <w:kern w:val="22"/>
                <w:szCs w:val="22"/>
                <w:shd w:val="clear" w:color="auto" w:fill="FFFFFF"/>
              </w:rPr>
              <w:t>Huso huso</w:t>
            </w:r>
            <w:r w:rsidRPr="0088780C">
              <w:rPr>
                <w:rFonts w:eastAsia="Times New Roman"/>
                <w:snapToGrid w:val="0"/>
                <w:color w:val="000000" w:themeColor="text1"/>
                <w:kern w:val="22"/>
                <w:szCs w:val="22"/>
                <w:shd w:val="clear" w:color="auto" w:fill="FFFFFF"/>
              </w:rPr>
              <w:t xml:space="preserve">), </w:t>
            </w:r>
            <w:r w:rsidRPr="0088780C">
              <w:rPr>
                <w:rFonts w:eastAsia="Times New Roman"/>
                <w:i/>
                <w:snapToGrid w:val="0"/>
                <w:color w:val="000000" w:themeColor="text1"/>
                <w:kern w:val="22"/>
                <w:szCs w:val="22"/>
                <w:shd w:val="clear" w:color="auto" w:fill="FFFFFF"/>
              </w:rPr>
              <w:t xml:space="preserve">Alburnus sarmaticus, Barbus borysthenicus, Sygnathus tenuirostris </w:t>
            </w:r>
            <w:r w:rsidRPr="0088780C">
              <w:rPr>
                <w:rFonts w:eastAsia="Times New Roman"/>
                <w:snapToGrid w:val="0"/>
                <w:color w:val="000000" w:themeColor="text1"/>
                <w:kern w:val="22"/>
                <w:szCs w:val="22"/>
                <w:shd w:val="clear" w:color="auto" w:fill="FFFFFF"/>
              </w:rPr>
              <w:t>and</w:t>
            </w:r>
            <w:r w:rsidRPr="0088780C">
              <w:rPr>
                <w:rFonts w:eastAsia="Times New Roman"/>
                <w:i/>
                <w:snapToGrid w:val="0"/>
                <w:color w:val="000000" w:themeColor="text1"/>
                <w:kern w:val="22"/>
                <w:szCs w:val="22"/>
                <w:shd w:val="clear" w:color="auto" w:fill="FFFFFF"/>
              </w:rPr>
              <w:t xml:space="preserve"> S. variegatus. </w:t>
            </w:r>
            <w:r w:rsidRPr="0088780C">
              <w:rPr>
                <w:snapToGrid w:val="0"/>
                <w:color w:val="000000" w:themeColor="text1"/>
                <w:kern w:val="22"/>
                <w:szCs w:val="22"/>
              </w:rPr>
              <w:t>Seven species of phytobenthos found in the bay are listed in the Red Data Book of Ukraine, and two of them (</w:t>
            </w:r>
            <w:r w:rsidRPr="0088780C">
              <w:rPr>
                <w:i/>
                <w:snapToGrid w:val="0"/>
                <w:color w:val="000000" w:themeColor="text1"/>
                <w:kern w:val="22"/>
                <w:szCs w:val="22"/>
              </w:rPr>
              <w:t xml:space="preserve">Ectocarpus siliculosus </w:t>
            </w:r>
            <w:r w:rsidRPr="0088780C">
              <w:rPr>
                <w:snapToGrid w:val="0"/>
                <w:color w:val="000000" w:themeColor="text1"/>
                <w:kern w:val="22"/>
                <w:szCs w:val="22"/>
              </w:rPr>
              <w:t>and</w:t>
            </w:r>
            <w:r w:rsidRPr="0088780C">
              <w:rPr>
                <w:i/>
                <w:snapToGrid w:val="0"/>
                <w:color w:val="000000" w:themeColor="text1"/>
                <w:kern w:val="22"/>
                <w:szCs w:val="22"/>
              </w:rPr>
              <w:t xml:space="preserve"> Lamprothamnium papulosum</w:t>
            </w:r>
            <w:r w:rsidRPr="0088780C">
              <w:rPr>
                <w:snapToGrid w:val="0"/>
                <w:color w:val="000000" w:themeColor="text1"/>
                <w:kern w:val="22"/>
                <w:szCs w:val="22"/>
              </w:rPr>
              <w:t xml:space="preserve">) are in the vulnerable category. Yagorlytsky Bay is a refugium for recovery of </w:t>
            </w:r>
            <w:r w:rsidRPr="0088780C">
              <w:rPr>
                <w:rFonts w:eastAsia="MS Mincho"/>
                <w:snapToGrid w:val="0"/>
                <w:color w:val="000000" w:themeColor="text1"/>
                <w:kern w:val="22"/>
                <w:szCs w:val="22"/>
              </w:rPr>
              <w:t xml:space="preserve">the macrophyte </w:t>
            </w:r>
            <w:r w:rsidRPr="0088780C">
              <w:rPr>
                <w:rFonts w:eastAsia="MS Mincho"/>
                <w:i/>
                <w:snapToGrid w:val="0"/>
                <w:color w:val="000000" w:themeColor="text1"/>
                <w:kern w:val="22"/>
                <w:szCs w:val="22"/>
              </w:rPr>
              <w:t>Lamprothamnium papulosum</w:t>
            </w:r>
            <w:r w:rsidRPr="0088780C">
              <w:rPr>
                <w:rFonts w:eastAsia="MS Mincho"/>
                <w:snapToGrid w:val="0"/>
                <w:color w:val="000000" w:themeColor="text1"/>
                <w:kern w:val="22"/>
                <w:szCs w:val="22"/>
              </w:rPr>
              <w:t>, which is currently one of the dominant species in the bay (IMB NASU, 2013).</w:t>
            </w:r>
          </w:p>
        </w:tc>
      </w:tr>
      <w:tr w:rsidR="00A876F3" w:rsidRPr="0088780C" w14:paraId="114624CD" w14:textId="77777777" w:rsidTr="006972AD">
        <w:tc>
          <w:tcPr>
            <w:tcW w:w="740" w:type="pct"/>
            <w:shd w:val="clear" w:color="auto" w:fill="auto"/>
          </w:tcPr>
          <w:p w14:paraId="2CC0C298" w14:textId="77777777" w:rsidR="00A876F3" w:rsidRPr="0088780C" w:rsidRDefault="00A876F3" w:rsidP="001013AF">
            <w:pPr>
              <w:suppressLineNumbers/>
              <w:suppressAutoHyphens/>
              <w:kinsoku w:val="0"/>
              <w:overflowPunct w:val="0"/>
              <w:autoSpaceDE w:val="0"/>
              <w:autoSpaceDN w:val="0"/>
              <w:adjustRightInd w:val="0"/>
              <w:jc w:val="left"/>
              <w:rPr>
                <w:rFonts w:ascii="Times New Roman Bold" w:eastAsia="MS Mincho" w:hAnsi="Times New Roman Bold" w:cs="Times New Roman Bold"/>
                <w:b/>
                <w:bCs/>
                <w:snapToGrid w:val="0"/>
                <w:color w:val="000000" w:themeColor="text1"/>
                <w:spacing w:val="-8"/>
                <w:kern w:val="22"/>
                <w:szCs w:val="22"/>
              </w:rPr>
            </w:pPr>
            <w:r w:rsidRPr="0088780C">
              <w:rPr>
                <w:rFonts w:ascii="Times New Roman Bold" w:eastAsia="MS Mincho" w:hAnsi="Times New Roman Bold" w:cs="Times New Roman Bold"/>
                <w:b/>
                <w:bCs/>
                <w:snapToGrid w:val="0"/>
                <w:color w:val="000000" w:themeColor="text1"/>
                <w:spacing w:val="-8"/>
                <w:kern w:val="22"/>
                <w:szCs w:val="22"/>
              </w:rPr>
              <w:t>Vulnerability, fragility, sensitivity, or slow recovery</w:t>
            </w:r>
          </w:p>
        </w:tc>
        <w:tc>
          <w:tcPr>
            <w:tcW w:w="2135" w:type="pct"/>
            <w:shd w:val="clear" w:color="auto" w:fill="auto"/>
          </w:tcPr>
          <w:p w14:paraId="79F6089F"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themeColor="text1"/>
                <w:kern w:val="22"/>
                <w:szCs w:val="22"/>
              </w:rPr>
            </w:pPr>
            <w:r w:rsidRPr="0088780C">
              <w:rPr>
                <w:rFonts w:eastAsia="MS Mincho"/>
                <w:bCs/>
                <w:snapToGrid w:val="0"/>
                <w:color w:val="000000" w:themeColor="text1"/>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724" w:type="pct"/>
            <w:shd w:val="clear" w:color="auto" w:fill="auto"/>
          </w:tcPr>
          <w:p w14:paraId="6EB5BFE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481" w:type="pct"/>
            <w:gridSpan w:val="2"/>
            <w:shd w:val="clear" w:color="auto" w:fill="auto"/>
          </w:tcPr>
          <w:p w14:paraId="4D911D8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p>
        </w:tc>
        <w:tc>
          <w:tcPr>
            <w:tcW w:w="531" w:type="pct"/>
            <w:gridSpan w:val="2"/>
            <w:shd w:val="clear" w:color="auto" w:fill="auto"/>
          </w:tcPr>
          <w:p w14:paraId="5327691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X</w:t>
            </w:r>
          </w:p>
        </w:tc>
        <w:tc>
          <w:tcPr>
            <w:tcW w:w="389" w:type="pct"/>
            <w:gridSpan w:val="2"/>
            <w:shd w:val="clear" w:color="auto" w:fill="auto"/>
          </w:tcPr>
          <w:p w14:paraId="29F75A0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r>
      <w:tr w:rsidR="00A876F3" w:rsidRPr="0088780C" w14:paraId="60FEE17F" w14:textId="77777777" w:rsidTr="006972AD">
        <w:tc>
          <w:tcPr>
            <w:tcW w:w="5000" w:type="pct"/>
            <w:gridSpan w:val="9"/>
            <w:shd w:val="clear" w:color="auto" w:fill="auto"/>
          </w:tcPr>
          <w:p w14:paraId="4AFE86EB"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themeColor="text1"/>
                <w:kern w:val="22"/>
                <w:szCs w:val="22"/>
              </w:rPr>
            </w:pPr>
            <w:r w:rsidRPr="0088780C">
              <w:rPr>
                <w:rFonts w:eastAsia="MS Mincho"/>
                <w:i/>
                <w:snapToGrid w:val="0"/>
                <w:color w:val="000000" w:themeColor="text1"/>
                <w:kern w:val="22"/>
                <w:szCs w:val="22"/>
              </w:rPr>
              <w:t>Explanation for ranking</w:t>
            </w:r>
          </w:p>
          <w:p w14:paraId="218AB2E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themeColor="text1"/>
                <w:kern w:val="22"/>
                <w:szCs w:val="22"/>
              </w:rPr>
            </w:pPr>
            <w:r w:rsidRPr="0088780C">
              <w:rPr>
                <w:rFonts w:eastAsia="MS Mincho"/>
                <w:snapToGrid w:val="0"/>
                <w:color w:val="000000" w:themeColor="text1"/>
                <w:kern w:val="22"/>
                <w:szCs w:val="22"/>
              </w:rPr>
              <w:t xml:space="preserve">Changes in the ecosystem of Yagorlytsky Bay due to large-scale eutrophication occurred about ten years later than in other areas of the north-western Black Sea. This feature can be confirmed by the example of red alga </w:t>
            </w:r>
            <w:r w:rsidRPr="0088780C">
              <w:rPr>
                <w:rFonts w:eastAsia="MS Mincho"/>
                <w:i/>
                <w:snapToGrid w:val="0"/>
                <w:color w:val="000000" w:themeColor="text1"/>
                <w:kern w:val="22"/>
                <w:szCs w:val="22"/>
              </w:rPr>
              <w:t>Phyllofora crispa (= nervosa)</w:t>
            </w:r>
            <w:r w:rsidRPr="0088780C">
              <w:rPr>
                <w:rFonts w:eastAsia="MS Mincho"/>
                <w:snapToGrid w:val="0"/>
                <w:color w:val="000000" w:themeColor="text1"/>
                <w:kern w:val="22"/>
                <w:szCs w:val="22"/>
              </w:rPr>
              <w:t xml:space="preserve"> and European flat oyster </w:t>
            </w:r>
            <w:r w:rsidRPr="0088780C">
              <w:rPr>
                <w:rFonts w:eastAsia="MS Mincho"/>
                <w:i/>
                <w:snapToGrid w:val="0"/>
                <w:color w:val="000000" w:themeColor="text1"/>
                <w:kern w:val="22"/>
                <w:szCs w:val="22"/>
              </w:rPr>
              <w:t>Ostrea edulis</w:t>
            </w:r>
            <w:r w:rsidRPr="0088780C">
              <w:rPr>
                <w:rFonts w:eastAsia="MS Mincho"/>
                <w:snapToGrid w:val="0"/>
                <w:color w:val="000000" w:themeColor="text1"/>
                <w:kern w:val="22"/>
                <w:szCs w:val="22"/>
              </w:rPr>
              <w:t xml:space="preserve"> (Eremenko and Minicheva, 1992; Zaitsev, Alexandrov and Minicheva, 2006).</w:t>
            </w:r>
          </w:p>
        </w:tc>
      </w:tr>
      <w:tr w:rsidR="00A876F3" w:rsidRPr="0088780C" w14:paraId="7FE55E8A" w14:textId="77777777" w:rsidTr="006972AD">
        <w:tc>
          <w:tcPr>
            <w:tcW w:w="740" w:type="pct"/>
            <w:shd w:val="clear" w:color="auto" w:fill="auto"/>
          </w:tcPr>
          <w:p w14:paraId="2D1DB63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themeColor="text1"/>
                <w:kern w:val="22"/>
                <w:szCs w:val="22"/>
              </w:rPr>
            </w:pPr>
            <w:r w:rsidRPr="0088780C">
              <w:rPr>
                <w:rFonts w:eastAsia="MS Mincho"/>
                <w:b/>
                <w:bCs/>
                <w:snapToGrid w:val="0"/>
                <w:color w:val="000000" w:themeColor="text1"/>
                <w:kern w:val="22"/>
                <w:szCs w:val="22"/>
              </w:rPr>
              <w:t>Biological productivity</w:t>
            </w:r>
          </w:p>
        </w:tc>
        <w:tc>
          <w:tcPr>
            <w:tcW w:w="2135" w:type="pct"/>
            <w:shd w:val="clear" w:color="auto" w:fill="auto"/>
          </w:tcPr>
          <w:p w14:paraId="67E3C66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themeColor="text1"/>
                <w:kern w:val="22"/>
                <w:szCs w:val="22"/>
              </w:rPr>
            </w:pPr>
            <w:r w:rsidRPr="0088780C">
              <w:rPr>
                <w:rFonts w:eastAsia="MS Mincho"/>
                <w:bCs/>
                <w:snapToGrid w:val="0"/>
                <w:color w:val="000000" w:themeColor="text1"/>
                <w:kern w:val="22"/>
                <w:szCs w:val="22"/>
              </w:rPr>
              <w:t>Area containing species, populations or communities with comparatively higher natural biological productivity.</w:t>
            </w:r>
          </w:p>
        </w:tc>
        <w:tc>
          <w:tcPr>
            <w:tcW w:w="724" w:type="pct"/>
            <w:shd w:val="clear" w:color="auto" w:fill="auto"/>
          </w:tcPr>
          <w:p w14:paraId="283F2B4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481" w:type="pct"/>
            <w:gridSpan w:val="2"/>
            <w:shd w:val="clear" w:color="auto" w:fill="auto"/>
          </w:tcPr>
          <w:p w14:paraId="1A6BC55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X</w:t>
            </w:r>
          </w:p>
        </w:tc>
        <w:tc>
          <w:tcPr>
            <w:tcW w:w="531" w:type="pct"/>
            <w:gridSpan w:val="2"/>
            <w:shd w:val="clear" w:color="auto" w:fill="auto"/>
          </w:tcPr>
          <w:p w14:paraId="337E7B3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389" w:type="pct"/>
            <w:gridSpan w:val="2"/>
            <w:shd w:val="clear" w:color="auto" w:fill="auto"/>
          </w:tcPr>
          <w:p w14:paraId="1648BF7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r>
      <w:tr w:rsidR="00A876F3" w:rsidRPr="0088780C" w14:paraId="7266BFDD" w14:textId="77777777" w:rsidTr="006972AD">
        <w:tc>
          <w:tcPr>
            <w:tcW w:w="5000" w:type="pct"/>
            <w:gridSpan w:val="9"/>
            <w:shd w:val="clear" w:color="auto" w:fill="auto"/>
          </w:tcPr>
          <w:p w14:paraId="1D68C414"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themeColor="text1"/>
                <w:kern w:val="22"/>
                <w:szCs w:val="22"/>
              </w:rPr>
            </w:pPr>
            <w:r w:rsidRPr="0088780C">
              <w:rPr>
                <w:rFonts w:eastAsia="MS Mincho"/>
                <w:i/>
                <w:snapToGrid w:val="0"/>
                <w:color w:val="000000" w:themeColor="text1"/>
                <w:kern w:val="22"/>
                <w:szCs w:val="22"/>
              </w:rPr>
              <w:t>Explanation for ranking</w:t>
            </w:r>
          </w:p>
          <w:p w14:paraId="5736F520"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themeColor="text1"/>
                <w:kern w:val="22"/>
                <w:szCs w:val="22"/>
              </w:rPr>
            </w:pPr>
            <w:r w:rsidRPr="0088780C">
              <w:rPr>
                <w:rFonts w:eastAsia="MS Mincho"/>
                <w:snapToGrid w:val="0"/>
                <w:color w:val="000000" w:themeColor="text1"/>
                <w:kern w:val="22"/>
                <w:szCs w:val="22"/>
              </w:rPr>
              <w:t>The productivity of aquatic ecosystems is determined by the primary production of phytoplankton and macrophytes, which are antagonists. Values of quantitative characteristics of macrophytes in the bay do not indicate a high nutrient content, reduction of water blooms caused by phytoplankton and high transparency of the water that indicates, in general, low level of biological productivity (Minicheva and Sokolov, 2016).</w:t>
            </w:r>
          </w:p>
        </w:tc>
      </w:tr>
      <w:tr w:rsidR="00A876F3" w:rsidRPr="0088780C" w14:paraId="6C4FF593" w14:textId="77777777" w:rsidTr="006972AD">
        <w:tc>
          <w:tcPr>
            <w:tcW w:w="740" w:type="pct"/>
            <w:shd w:val="clear" w:color="auto" w:fill="auto"/>
          </w:tcPr>
          <w:p w14:paraId="6ADB690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themeColor="text1"/>
                <w:kern w:val="22"/>
                <w:szCs w:val="22"/>
              </w:rPr>
            </w:pPr>
            <w:r w:rsidRPr="0088780C">
              <w:rPr>
                <w:rFonts w:eastAsia="MS Mincho"/>
                <w:b/>
                <w:bCs/>
                <w:snapToGrid w:val="0"/>
                <w:color w:val="000000" w:themeColor="text1"/>
                <w:kern w:val="22"/>
                <w:szCs w:val="22"/>
              </w:rPr>
              <w:t>Biological diversity</w:t>
            </w:r>
          </w:p>
        </w:tc>
        <w:tc>
          <w:tcPr>
            <w:tcW w:w="2135" w:type="pct"/>
            <w:shd w:val="clear" w:color="auto" w:fill="auto"/>
          </w:tcPr>
          <w:p w14:paraId="7E5A5450"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themeColor="text1"/>
                <w:kern w:val="22"/>
                <w:szCs w:val="22"/>
              </w:rPr>
            </w:pPr>
            <w:r w:rsidRPr="0088780C">
              <w:rPr>
                <w:rFonts w:eastAsia="MS Mincho"/>
                <w:bCs/>
                <w:snapToGrid w:val="0"/>
                <w:color w:val="000000" w:themeColor="text1"/>
                <w:kern w:val="22"/>
                <w:szCs w:val="22"/>
              </w:rPr>
              <w:t>Area contains comparatively higher diversity of ecosystems, habitats, communities, or species, or has higher genetic diversity.</w:t>
            </w:r>
          </w:p>
        </w:tc>
        <w:tc>
          <w:tcPr>
            <w:tcW w:w="724" w:type="pct"/>
            <w:shd w:val="clear" w:color="auto" w:fill="auto"/>
          </w:tcPr>
          <w:p w14:paraId="6A61889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481" w:type="pct"/>
            <w:gridSpan w:val="2"/>
            <w:shd w:val="clear" w:color="auto" w:fill="auto"/>
          </w:tcPr>
          <w:p w14:paraId="3AC292C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c>
          <w:tcPr>
            <w:tcW w:w="531" w:type="pct"/>
            <w:gridSpan w:val="2"/>
            <w:shd w:val="clear" w:color="auto" w:fill="auto"/>
          </w:tcPr>
          <w:p w14:paraId="5585A86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color w:val="000000" w:themeColor="text1"/>
                <w:kern w:val="22"/>
                <w:szCs w:val="22"/>
              </w:rPr>
            </w:pPr>
            <w:r w:rsidRPr="0088780C">
              <w:rPr>
                <w:rFonts w:eastAsia="MS Mincho"/>
                <w:b/>
                <w:bCs/>
                <w:snapToGrid w:val="0"/>
                <w:color w:val="000000" w:themeColor="text1"/>
                <w:kern w:val="22"/>
                <w:szCs w:val="22"/>
              </w:rPr>
              <w:t>X</w:t>
            </w:r>
          </w:p>
        </w:tc>
        <w:tc>
          <w:tcPr>
            <w:tcW w:w="389" w:type="pct"/>
            <w:gridSpan w:val="2"/>
            <w:shd w:val="clear" w:color="auto" w:fill="auto"/>
          </w:tcPr>
          <w:p w14:paraId="039AFFB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themeColor="text1"/>
                <w:kern w:val="22"/>
                <w:szCs w:val="22"/>
              </w:rPr>
            </w:pPr>
          </w:p>
        </w:tc>
      </w:tr>
      <w:tr w:rsidR="00A876F3" w:rsidRPr="0088780C" w14:paraId="67EB9679" w14:textId="77777777" w:rsidTr="006972AD">
        <w:tc>
          <w:tcPr>
            <w:tcW w:w="5000" w:type="pct"/>
            <w:gridSpan w:val="9"/>
            <w:shd w:val="clear" w:color="auto" w:fill="auto"/>
          </w:tcPr>
          <w:p w14:paraId="528D0528"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themeColor="text1"/>
                <w:kern w:val="22"/>
                <w:szCs w:val="22"/>
              </w:rPr>
            </w:pPr>
            <w:r w:rsidRPr="0088780C">
              <w:rPr>
                <w:rFonts w:eastAsia="MS Mincho"/>
                <w:i/>
                <w:snapToGrid w:val="0"/>
                <w:color w:val="000000" w:themeColor="text1"/>
                <w:kern w:val="22"/>
                <w:szCs w:val="22"/>
              </w:rPr>
              <w:t>Explanation for ranking</w:t>
            </w:r>
          </w:p>
          <w:p w14:paraId="070BBA02" w14:textId="1B71D820"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themeColor="text1"/>
                <w:kern w:val="22"/>
                <w:szCs w:val="22"/>
              </w:rPr>
            </w:pPr>
            <w:r w:rsidRPr="0088780C">
              <w:rPr>
                <w:rFonts w:eastAsia="MS Mincho"/>
                <w:snapToGrid w:val="0"/>
                <w:color w:val="000000" w:themeColor="text1"/>
                <w:kern w:val="22"/>
                <w:szCs w:val="22"/>
              </w:rPr>
              <w:t xml:space="preserve">With a low level of eutrophication, which stimulates high biological diversity, the key habitat restriction of many species of the bay is low salinity (mesagolnium zone). In recent years, due to the increased flow from the Crimean Peninsula to the </w:t>
            </w:r>
            <w:r w:rsidR="00C656A2" w:rsidRPr="0088780C">
              <w:rPr>
                <w:rFonts w:eastAsia="MS Mincho"/>
                <w:snapToGrid w:val="0"/>
                <w:color w:val="000000" w:themeColor="text1"/>
                <w:kern w:val="22"/>
                <w:szCs w:val="22"/>
              </w:rPr>
              <w:t>north-west</w:t>
            </w:r>
            <w:r w:rsidRPr="0088780C">
              <w:rPr>
                <w:rFonts w:eastAsia="MS Mincho"/>
                <w:snapToGrid w:val="0"/>
                <w:color w:val="000000" w:themeColor="text1"/>
                <w:kern w:val="22"/>
                <w:szCs w:val="22"/>
              </w:rPr>
              <w:t xml:space="preserve">ern part of the Black Sea, an increase in salinity has been noted, as well as the appearance of 12 species of rare fish for this area (Tkachenko, 2012a). </w:t>
            </w:r>
            <w:r w:rsidRPr="0088780C">
              <w:rPr>
                <w:snapToGrid w:val="0"/>
                <w:color w:val="000000" w:themeColor="text1"/>
                <w:kern w:val="22"/>
                <w:szCs w:val="22"/>
              </w:rPr>
              <w:t>In the bay</w:t>
            </w:r>
            <w:r w:rsidR="001A68AD" w:rsidRPr="0088780C">
              <w:rPr>
                <w:snapToGrid w:val="0"/>
                <w:color w:val="000000" w:themeColor="text1"/>
                <w:kern w:val="22"/>
                <w:szCs w:val="22"/>
              </w:rPr>
              <w:t>,</w:t>
            </w:r>
            <w:r w:rsidRPr="0088780C">
              <w:rPr>
                <w:snapToGrid w:val="0"/>
                <w:color w:val="000000" w:themeColor="text1"/>
                <w:kern w:val="22"/>
                <w:szCs w:val="22"/>
              </w:rPr>
              <w:t xml:space="preserve"> there are six species of flowering plants, and 49 kinds of shapes multicellular algae (Pauli, 1927; Eryomenko and Minicheva, 1992)</w:t>
            </w:r>
            <w:r w:rsidRPr="0088780C">
              <w:rPr>
                <w:rFonts w:eastAsia="MS Mincho"/>
                <w:snapToGrid w:val="0"/>
                <w:color w:val="000000" w:themeColor="text1"/>
                <w:kern w:val="22"/>
                <w:szCs w:val="22"/>
              </w:rPr>
              <w:t xml:space="preserve">. According to recent studies in the bay, 64 macrozoobenthos taxa have been </w:t>
            </w:r>
            <w:r w:rsidRPr="0088780C">
              <w:rPr>
                <w:rFonts w:eastAsia="MS Mincho"/>
                <w:snapToGrid w:val="0"/>
                <w:kern w:val="22"/>
                <w:szCs w:val="22"/>
              </w:rPr>
              <w:t>reco</w:t>
            </w:r>
            <w:r w:rsidR="00E460F7" w:rsidRPr="0088780C">
              <w:rPr>
                <w:rFonts w:eastAsia="MS Mincho"/>
                <w:snapToGrid w:val="0"/>
                <w:kern w:val="22"/>
                <w:szCs w:val="22"/>
              </w:rPr>
              <w:t xml:space="preserve">rded (Minicheva et al., 2014). </w:t>
            </w:r>
            <w:r w:rsidRPr="0088780C">
              <w:rPr>
                <w:rFonts w:eastAsia="MS Mincho"/>
                <w:snapToGrid w:val="0"/>
                <w:kern w:val="22"/>
                <w:szCs w:val="22"/>
              </w:rPr>
              <w:t>Eight</w:t>
            </w:r>
            <w:r w:rsidRPr="0088780C">
              <w:rPr>
                <w:rFonts w:eastAsia="MS Mincho"/>
                <w:snapToGrid w:val="0"/>
                <w:color w:val="000000" w:themeColor="text1"/>
                <w:kern w:val="22"/>
                <w:szCs w:val="22"/>
              </w:rPr>
              <w:t xml:space="preserve">-four species of fish from 43 families have been recorded, 35 species of which </w:t>
            </w:r>
            <w:r w:rsidR="00E460F7" w:rsidRPr="0088780C">
              <w:rPr>
                <w:rFonts w:eastAsia="MS Mincho"/>
                <w:snapToGrid w:val="0"/>
                <w:color w:val="000000" w:themeColor="text1"/>
                <w:kern w:val="22"/>
                <w:szCs w:val="22"/>
              </w:rPr>
              <w:t xml:space="preserve">comprise </w:t>
            </w:r>
            <w:r w:rsidRPr="0088780C">
              <w:rPr>
                <w:rFonts w:eastAsia="MS Mincho"/>
                <w:snapToGrid w:val="0"/>
                <w:color w:val="000000" w:themeColor="text1"/>
                <w:kern w:val="22"/>
                <w:szCs w:val="22"/>
              </w:rPr>
              <w:t>the basis of the fish fauna (annual incidence) (Tkachenko, 2012a; Tkachenko, 2012b).</w:t>
            </w:r>
          </w:p>
        </w:tc>
      </w:tr>
      <w:tr w:rsidR="00A876F3" w:rsidRPr="0088780C" w14:paraId="3A2B087E" w14:textId="77777777" w:rsidTr="006972AD">
        <w:tc>
          <w:tcPr>
            <w:tcW w:w="740" w:type="pct"/>
            <w:shd w:val="clear" w:color="auto" w:fill="auto"/>
          </w:tcPr>
          <w:p w14:paraId="53F87F31"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themeColor="text1"/>
                <w:kern w:val="22"/>
                <w:szCs w:val="22"/>
              </w:rPr>
            </w:pPr>
            <w:r w:rsidRPr="0088780C">
              <w:rPr>
                <w:rFonts w:eastAsia="MS Mincho"/>
                <w:b/>
                <w:snapToGrid w:val="0"/>
                <w:color w:val="000000" w:themeColor="text1"/>
                <w:kern w:val="22"/>
                <w:szCs w:val="22"/>
              </w:rPr>
              <w:t>Naturalness</w:t>
            </w:r>
          </w:p>
        </w:tc>
        <w:tc>
          <w:tcPr>
            <w:tcW w:w="2135" w:type="pct"/>
            <w:shd w:val="clear" w:color="auto" w:fill="auto"/>
          </w:tcPr>
          <w:p w14:paraId="7F344F77"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themeColor="text1"/>
                <w:kern w:val="22"/>
                <w:szCs w:val="22"/>
              </w:rPr>
            </w:pPr>
            <w:r w:rsidRPr="0088780C">
              <w:rPr>
                <w:rFonts w:eastAsia="MS Mincho"/>
                <w:snapToGrid w:val="0"/>
                <w:color w:val="000000" w:themeColor="text1"/>
                <w:kern w:val="22"/>
                <w:szCs w:val="22"/>
              </w:rPr>
              <w:t>Area with a comparatively higher degree of naturalness because of the lack of or low level of human-induced disturbance or degradation.</w:t>
            </w:r>
          </w:p>
        </w:tc>
        <w:tc>
          <w:tcPr>
            <w:tcW w:w="724" w:type="pct"/>
            <w:shd w:val="clear" w:color="auto" w:fill="auto"/>
          </w:tcPr>
          <w:p w14:paraId="14D9922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themeColor="text1"/>
                <w:kern w:val="22"/>
                <w:szCs w:val="22"/>
              </w:rPr>
            </w:pPr>
          </w:p>
        </w:tc>
        <w:tc>
          <w:tcPr>
            <w:tcW w:w="648" w:type="pct"/>
            <w:gridSpan w:val="3"/>
            <w:shd w:val="clear" w:color="auto" w:fill="auto"/>
          </w:tcPr>
          <w:p w14:paraId="79C98B4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themeColor="text1"/>
                <w:kern w:val="22"/>
                <w:szCs w:val="22"/>
              </w:rPr>
            </w:pPr>
          </w:p>
        </w:tc>
        <w:tc>
          <w:tcPr>
            <w:tcW w:w="410" w:type="pct"/>
            <w:gridSpan w:val="2"/>
            <w:shd w:val="clear" w:color="auto" w:fill="auto"/>
          </w:tcPr>
          <w:p w14:paraId="43F044A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themeColor="text1"/>
                <w:kern w:val="22"/>
                <w:szCs w:val="22"/>
              </w:rPr>
            </w:pPr>
          </w:p>
        </w:tc>
        <w:tc>
          <w:tcPr>
            <w:tcW w:w="342" w:type="pct"/>
            <w:shd w:val="clear" w:color="auto" w:fill="auto"/>
          </w:tcPr>
          <w:p w14:paraId="7387C20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snapToGrid w:val="0"/>
                <w:color w:val="000000" w:themeColor="text1"/>
                <w:kern w:val="22"/>
                <w:szCs w:val="22"/>
              </w:rPr>
            </w:pPr>
            <w:r w:rsidRPr="0088780C">
              <w:rPr>
                <w:rFonts w:eastAsia="MS Mincho"/>
                <w:b/>
                <w:snapToGrid w:val="0"/>
                <w:color w:val="000000" w:themeColor="text1"/>
                <w:kern w:val="22"/>
                <w:szCs w:val="22"/>
              </w:rPr>
              <w:t>X</w:t>
            </w:r>
          </w:p>
        </w:tc>
      </w:tr>
      <w:tr w:rsidR="00A876F3" w:rsidRPr="0088780C" w14:paraId="24FA0374" w14:textId="77777777" w:rsidTr="006972AD">
        <w:tc>
          <w:tcPr>
            <w:tcW w:w="5000" w:type="pct"/>
            <w:gridSpan w:val="9"/>
            <w:shd w:val="clear" w:color="auto" w:fill="auto"/>
          </w:tcPr>
          <w:p w14:paraId="1FF19920"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themeColor="text1"/>
                <w:kern w:val="22"/>
                <w:szCs w:val="22"/>
              </w:rPr>
            </w:pPr>
            <w:r w:rsidRPr="0088780C">
              <w:rPr>
                <w:rFonts w:eastAsia="MS Mincho"/>
                <w:i/>
                <w:snapToGrid w:val="0"/>
                <w:color w:val="000000" w:themeColor="text1"/>
                <w:kern w:val="22"/>
                <w:szCs w:val="22"/>
              </w:rPr>
              <w:t>Explanation for ranking</w:t>
            </w:r>
          </w:p>
          <w:p w14:paraId="128C21D1" w14:textId="7724F5BC"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themeColor="text1"/>
                <w:kern w:val="22"/>
                <w:szCs w:val="22"/>
              </w:rPr>
            </w:pPr>
            <w:r w:rsidRPr="0088780C">
              <w:rPr>
                <w:rFonts w:eastAsia="MS Mincho"/>
                <w:snapToGrid w:val="0"/>
                <w:color w:val="000000" w:themeColor="text1"/>
                <w:kern w:val="22"/>
                <w:szCs w:val="22"/>
              </w:rPr>
              <w:t xml:space="preserve">Absence of direct impact of river flow from the Dnieper and the Bug. Inadequate farming due to poor soil quality. The lack of industrial production has contributed to the low density of the population living along the perimeter of the bay. These factors determine the high natural value of the water area of ​​Yagorlytsky Bay, which led to the creation here of the first marine protected area in the Black Sea (1927), the Black Sea Biosphere Reserve. Strengthening of the protected status of Yagorlytsky Bay was the creation in 2009 of the national nature park </w:t>
            </w:r>
            <w:r w:rsidR="00D8482D" w:rsidRPr="0088780C">
              <w:rPr>
                <w:rFonts w:eastAsia="MS Mincho"/>
                <w:snapToGrid w:val="0"/>
                <w:color w:val="000000" w:themeColor="text1"/>
                <w:kern w:val="22"/>
                <w:szCs w:val="22"/>
              </w:rPr>
              <w:t>“</w:t>
            </w:r>
            <w:r w:rsidRPr="0088780C">
              <w:rPr>
                <w:rFonts w:eastAsia="MS Mincho"/>
                <w:snapToGrid w:val="0"/>
                <w:color w:val="000000" w:themeColor="text1"/>
                <w:kern w:val="22"/>
                <w:szCs w:val="22"/>
              </w:rPr>
              <w:t>Beloberezhya Svyatoslava</w:t>
            </w:r>
            <w:r w:rsidR="00D8482D" w:rsidRPr="0088780C">
              <w:rPr>
                <w:rFonts w:eastAsia="MS Mincho"/>
                <w:snapToGrid w:val="0"/>
                <w:color w:val="000000" w:themeColor="text1"/>
                <w:kern w:val="22"/>
                <w:szCs w:val="22"/>
              </w:rPr>
              <w:t>”</w:t>
            </w:r>
            <w:r w:rsidRPr="0088780C">
              <w:rPr>
                <w:rFonts w:eastAsia="MS Mincho"/>
                <w:snapToGrid w:val="0"/>
                <w:color w:val="000000" w:themeColor="text1"/>
                <w:kern w:val="22"/>
                <w:szCs w:val="22"/>
              </w:rPr>
              <w:t>, which protected the north-western part of the Yagorlytsky Bay water area.</w:t>
            </w:r>
          </w:p>
        </w:tc>
      </w:tr>
    </w:tbl>
    <w:p w14:paraId="26633948"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themeColor="text1"/>
          <w:kern w:val="22"/>
          <w:szCs w:val="22"/>
        </w:rPr>
      </w:pPr>
    </w:p>
    <w:p w14:paraId="47994537" w14:textId="5FF41FA3" w:rsidR="00A876F3" w:rsidRPr="0088780C" w:rsidRDefault="00A876F3" w:rsidP="006418AE">
      <w:pPr>
        <w:suppressLineNumbers/>
        <w:suppressAutoHyphens/>
        <w:kinsoku w:val="0"/>
        <w:overflowPunct w:val="0"/>
        <w:autoSpaceDE w:val="0"/>
        <w:autoSpaceDN w:val="0"/>
        <w:spacing w:after="60"/>
        <w:rPr>
          <w:rFonts w:eastAsia="MS Mincho"/>
          <w:b/>
          <w:snapToGrid w:val="0"/>
          <w:color w:val="000000" w:themeColor="text1"/>
          <w:kern w:val="22"/>
          <w:szCs w:val="22"/>
        </w:rPr>
      </w:pPr>
      <w:r w:rsidRPr="0088780C">
        <w:rPr>
          <w:rFonts w:eastAsia="MS Mincho"/>
          <w:b/>
          <w:snapToGrid w:val="0"/>
          <w:color w:val="000000" w:themeColor="text1"/>
          <w:kern w:val="22"/>
          <w:szCs w:val="22"/>
        </w:rPr>
        <w:t>References</w:t>
      </w:r>
    </w:p>
    <w:p w14:paraId="5E012273"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snapToGrid w:val="0"/>
          <w:color w:val="000000" w:themeColor="text1"/>
          <w:kern w:val="22"/>
          <w:sz w:val="22"/>
          <w:szCs w:val="22"/>
          <w:lang w:val="en-GB"/>
        </w:rPr>
        <w:t>Alekseev R.P., 1982. Materials on the results of the expedition of OdDINBIUM employees of the Academy of Sciences of the Ukrainian SSR to Yahorlytskyi Bay of the Black Sea in 1982. Scientific Foundations of the Black Sea Biosphere Reserve: 4. (In Russian).</w:t>
      </w:r>
    </w:p>
    <w:p w14:paraId="6C937CF4"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snapToGrid w:val="0"/>
          <w:color w:val="000000" w:themeColor="text1"/>
          <w:kern w:val="22"/>
          <w:sz w:val="22"/>
          <w:szCs w:val="22"/>
          <w:lang w:val="en-GB"/>
        </w:rPr>
        <w:t>Mitin, L.I., ed. 2006. Atlas of nature protection of the Black and Azov Seas SPb: State Educational Establishment of the Ministry of Defense of the Russian Federation: 434.</w:t>
      </w:r>
    </w:p>
    <w:p w14:paraId="712D7B0C" w14:textId="77777777" w:rsidR="00A876F3" w:rsidRPr="0088780C" w:rsidRDefault="00A876F3" w:rsidP="001013AF">
      <w:pPr>
        <w:pStyle w:val="Bodytext21"/>
        <w:suppressLineNumbers/>
        <w:shd w:val="clear" w:color="auto" w:fill="auto"/>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snapToGrid w:val="0"/>
          <w:color w:val="000000" w:themeColor="text1"/>
          <w:kern w:val="22"/>
          <w:sz w:val="22"/>
          <w:szCs w:val="22"/>
          <w:lang w:val="en-GB"/>
        </w:rPr>
        <w:t xml:space="preserve">Chepizhko A.V. 2007. Conditions of sedimentation in Dnipro-Bug estuary, the Yagorlytsky Bay and the underwater slope of the western part of the Kinburg spit in the Holocene. Bulletin of the Odessa National University – Odessa </w:t>
      </w:r>
      <w:r w:rsidRPr="0088780C">
        <w:rPr>
          <w:b/>
          <w:snapToGrid w:val="0"/>
          <w:color w:val="000000" w:themeColor="text1"/>
          <w:kern w:val="22"/>
          <w:sz w:val="22"/>
          <w:szCs w:val="22"/>
          <w:lang w:val="en-GB"/>
        </w:rPr>
        <w:t>12</w:t>
      </w:r>
      <w:r w:rsidRPr="0088780C">
        <w:rPr>
          <w:snapToGrid w:val="0"/>
          <w:color w:val="000000" w:themeColor="text1"/>
          <w:kern w:val="22"/>
          <w:sz w:val="22"/>
          <w:szCs w:val="22"/>
          <w:lang w:val="en-GB"/>
        </w:rPr>
        <w:t>: 244-251. (In Russian).</w:t>
      </w:r>
    </w:p>
    <w:p w14:paraId="78D67677" w14:textId="77777777" w:rsidR="00A876F3" w:rsidRPr="0088780C" w:rsidRDefault="00A876F3" w:rsidP="001013AF">
      <w:pPr>
        <w:pStyle w:val="Bodytext21"/>
        <w:suppressLineNumbers/>
        <w:shd w:val="clear" w:color="auto" w:fill="auto"/>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snapToGrid w:val="0"/>
          <w:color w:val="000000" w:themeColor="text1"/>
          <w:kern w:val="22"/>
          <w:sz w:val="22"/>
          <w:szCs w:val="22"/>
          <w:lang w:val="en-GB"/>
        </w:rPr>
        <w:t>Chernichko I.I, Siohin V. D, Koshelev A.I, Dyadicheva E. A, Kirikova. 2000. Number and location of nesting waterbirds and wetlands of the Azov-Black Sea coast of Ukraine. Melitopol-Kiev: Branta: 339-372. (In Russian).</w:t>
      </w:r>
    </w:p>
    <w:p w14:paraId="568B9DDA" w14:textId="77777777" w:rsidR="00A876F3" w:rsidRPr="0088780C" w:rsidRDefault="00A876F3" w:rsidP="001013AF">
      <w:pPr>
        <w:pStyle w:val="Bodytext21"/>
        <w:suppressLineNumbers/>
        <w:shd w:val="clear" w:color="auto" w:fill="auto"/>
        <w:tabs>
          <w:tab w:val="left" w:leader="dot" w:pos="7202"/>
        </w:tabs>
        <w:suppressAutoHyphens/>
        <w:kinsoku w:val="0"/>
        <w:overflowPunct w:val="0"/>
        <w:autoSpaceDE w:val="0"/>
        <w:autoSpaceDN w:val="0"/>
        <w:spacing w:after="60" w:line="240" w:lineRule="auto"/>
        <w:ind w:left="567" w:right="-1" w:hanging="567"/>
        <w:rPr>
          <w:rFonts w:eastAsia="Times New Roman"/>
          <w:snapToGrid w:val="0"/>
          <w:color w:val="000000" w:themeColor="text1"/>
          <w:kern w:val="22"/>
          <w:sz w:val="22"/>
          <w:szCs w:val="22"/>
          <w:lang w:val="en-GB"/>
        </w:rPr>
      </w:pPr>
      <w:r w:rsidRPr="0088780C">
        <w:rPr>
          <w:rFonts w:eastAsia="Times New Roman"/>
          <w:snapToGrid w:val="0"/>
          <w:color w:val="000000" w:themeColor="text1"/>
          <w:kern w:val="22"/>
          <w:sz w:val="22"/>
          <w:szCs w:val="22"/>
          <w:lang w:val="en-GB"/>
        </w:rPr>
        <w:t xml:space="preserve">Chernyakov D.O. 1995. Natural aquatic landscape complexes and Tendrovsky Yagorlytsky bays and monitoring ix condition in the Black Sea Biosphere Reserve: Author. di ... candidate. Geography. Sciences: 11.00.03 : 21. </w:t>
      </w:r>
      <w:r w:rsidRPr="0088780C">
        <w:rPr>
          <w:snapToGrid w:val="0"/>
          <w:color w:val="000000" w:themeColor="text1"/>
          <w:kern w:val="22"/>
          <w:sz w:val="22"/>
          <w:szCs w:val="22"/>
          <w:lang w:val="en-GB"/>
        </w:rPr>
        <w:t>(In Russian).</w:t>
      </w:r>
    </w:p>
    <w:p w14:paraId="4533A051" w14:textId="77777777" w:rsidR="00A876F3" w:rsidRPr="0088780C" w:rsidRDefault="00A876F3" w:rsidP="001013AF">
      <w:pPr>
        <w:pStyle w:val="Bodytext21"/>
        <w:suppressLineNumbers/>
        <w:shd w:val="clear" w:color="auto" w:fill="auto"/>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rFonts w:eastAsia="Times New Roman"/>
          <w:snapToGrid w:val="0"/>
          <w:color w:val="000000" w:themeColor="text1"/>
          <w:kern w:val="22"/>
          <w:sz w:val="22"/>
          <w:szCs w:val="22"/>
          <w:lang w:val="en-GB"/>
        </w:rPr>
        <w:t xml:space="preserve">Eremenko T.I, Minicheva G.G. 1992. Structural and Functional Characteristics of the Bottom Vegetation of Yagorlitskyi Bay. Natural Complexes of the Black Sea State Biosphere Reserve. Kiev: Science Dumka: 44-48. </w:t>
      </w:r>
      <w:r w:rsidRPr="0088780C">
        <w:rPr>
          <w:snapToGrid w:val="0"/>
          <w:color w:val="000000" w:themeColor="text1"/>
          <w:kern w:val="22"/>
          <w:sz w:val="22"/>
          <w:szCs w:val="22"/>
          <w:lang w:val="en-GB"/>
        </w:rPr>
        <w:t>(In Russian).</w:t>
      </w:r>
    </w:p>
    <w:p w14:paraId="689A2162" w14:textId="33C1409A" w:rsidR="00A876F3" w:rsidRPr="0088780C" w:rsidRDefault="00A876F3" w:rsidP="001013AF">
      <w:pPr>
        <w:pStyle w:val="Bodytext21"/>
        <w:suppressLineNumbers/>
        <w:shd w:val="clear" w:color="auto" w:fill="auto"/>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rFonts w:eastAsia="Times New Roman"/>
          <w:snapToGrid w:val="0"/>
          <w:color w:val="000000" w:themeColor="text1"/>
          <w:kern w:val="22"/>
          <w:sz w:val="22"/>
          <w:szCs w:val="22"/>
          <w:lang w:val="en-GB"/>
        </w:rPr>
        <w:t xml:space="preserve">Geology of the shelf of the Ukrainian SSR. Stratigraphy of the shelf and coast of the Black Sea, 1984. Astakhova T.V., Gorak S.V., Krayeva E.Ya., etc. Kiev: </w:t>
      </w:r>
      <w:r w:rsidR="00D8482D" w:rsidRPr="0088780C">
        <w:rPr>
          <w:rFonts w:eastAsia="Times New Roman"/>
          <w:snapToGrid w:val="0"/>
          <w:color w:val="000000" w:themeColor="text1"/>
          <w:kern w:val="22"/>
          <w:sz w:val="22"/>
          <w:szCs w:val="22"/>
          <w:lang w:val="en-GB"/>
        </w:rPr>
        <w:t>“</w:t>
      </w:r>
      <w:r w:rsidRPr="0088780C">
        <w:rPr>
          <w:rFonts w:eastAsia="Times New Roman"/>
          <w:snapToGrid w:val="0"/>
          <w:color w:val="000000" w:themeColor="text1"/>
          <w:kern w:val="22"/>
          <w:sz w:val="22"/>
          <w:szCs w:val="22"/>
          <w:lang w:val="en-GB"/>
        </w:rPr>
        <w:t>The Science Dumka</w:t>
      </w:r>
      <w:r w:rsidR="00D8482D" w:rsidRPr="0088780C">
        <w:rPr>
          <w:rFonts w:eastAsia="Times New Roman"/>
          <w:snapToGrid w:val="0"/>
          <w:color w:val="000000" w:themeColor="text1"/>
          <w:kern w:val="22"/>
          <w:sz w:val="22"/>
          <w:szCs w:val="22"/>
          <w:lang w:val="en-GB"/>
        </w:rPr>
        <w:t>”</w:t>
      </w:r>
      <w:r w:rsidRPr="0088780C">
        <w:rPr>
          <w:rFonts w:eastAsia="Times New Roman"/>
          <w:snapToGrid w:val="0"/>
          <w:color w:val="000000" w:themeColor="text1"/>
          <w:kern w:val="22"/>
          <w:sz w:val="22"/>
          <w:szCs w:val="22"/>
          <w:lang w:val="en-GB"/>
        </w:rPr>
        <w:t xml:space="preserve">: 184. </w:t>
      </w:r>
      <w:r w:rsidRPr="0088780C">
        <w:rPr>
          <w:snapToGrid w:val="0"/>
          <w:color w:val="000000" w:themeColor="text1"/>
          <w:kern w:val="22"/>
          <w:sz w:val="22"/>
          <w:szCs w:val="22"/>
          <w:lang w:val="en-GB"/>
        </w:rPr>
        <w:t>(In Russian).</w:t>
      </w:r>
    </w:p>
    <w:p w14:paraId="7BFFA442" w14:textId="77777777" w:rsidR="00A876F3" w:rsidRPr="0088780C" w:rsidRDefault="00A876F3" w:rsidP="001013AF">
      <w:pPr>
        <w:pStyle w:val="Bodytext21"/>
        <w:suppressLineNumbers/>
        <w:shd w:val="clear" w:color="auto" w:fill="auto"/>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rFonts w:eastAsia="Times New Roman"/>
          <w:snapToGrid w:val="0"/>
          <w:color w:val="000000" w:themeColor="text1"/>
          <w:kern w:val="22"/>
          <w:sz w:val="22"/>
          <w:szCs w:val="22"/>
          <w:lang w:val="en-GB"/>
        </w:rPr>
        <w:t xml:space="preserve">Grigoryev B.F. and Pupkov V.A. 1977. Bottom invertebrates of Yagorlytsky and Tendrovsky Bays of the Black Sea. Bulletin of Zoology </w:t>
      </w:r>
      <w:r w:rsidRPr="0088780C">
        <w:rPr>
          <w:rFonts w:eastAsia="Times New Roman"/>
          <w:b/>
          <w:snapToGrid w:val="0"/>
          <w:color w:val="000000" w:themeColor="text1"/>
          <w:kern w:val="22"/>
          <w:sz w:val="22"/>
          <w:szCs w:val="22"/>
          <w:lang w:val="en-GB"/>
        </w:rPr>
        <w:t>2</w:t>
      </w:r>
      <w:r w:rsidRPr="0088780C">
        <w:rPr>
          <w:rFonts w:eastAsia="Times New Roman"/>
          <w:snapToGrid w:val="0"/>
          <w:color w:val="000000" w:themeColor="text1"/>
          <w:kern w:val="22"/>
          <w:sz w:val="22"/>
          <w:szCs w:val="22"/>
          <w:lang w:val="en-GB"/>
        </w:rPr>
        <w:t xml:space="preserve">: 76-82. </w:t>
      </w:r>
      <w:r w:rsidRPr="0088780C">
        <w:rPr>
          <w:snapToGrid w:val="0"/>
          <w:color w:val="000000" w:themeColor="text1"/>
          <w:kern w:val="22"/>
          <w:sz w:val="22"/>
          <w:szCs w:val="22"/>
          <w:lang w:val="en-GB"/>
        </w:rPr>
        <w:t>(In Russian).</w:t>
      </w:r>
    </w:p>
    <w:p w14:paraId="194D7B41"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rFonts w:eastAsia="Times New Roman"/>
          <w:snapToGrid w:val="0"/>
          <w:color w:val="000000" w:themeColor="text1"/>
          <w:kern w:val="22"/>
          <w:sz w:val="22"/>
          <w:szCs w:val="22"/>
          <w:lang w:val="en-GB"/>
        </w:rPr>
      </w:pPr>
      <w:r w:rsidRPr="0088780C">
        <w:rPr>
          <w:rFonts w:eastAsia="Times New Roman"/>
          <w:snapToGrid w:val="0"/>
          <w:color w:val="000000" w:themeColor="text1"/>
          <w:kern w:val="22"/>
          <w:sz w:val="22"/>
          <w:szCs w:val="22"/>
          <w:lang w:val="en-GB"/>
        </w:rPr>
        <w:t xml:space="preserve">Grinbart S. B. 1968. Zoobenthos of Yagorlytsky and Tendrovsky Bays. Biological Studies of the Black Sea and Its Fishing Resources. Moscow: Nauka: 32-37. </w:t>
      </w:r>
      <w:r w:rsidRPr="0088780C">
        <w:rPr>
          <w:snapToGrid w:val="0"/>
          <w:color w:val="000000" w:themeColor="text1"/>
          <w:kern w:val="22"/>
          <w:sz w:val="22"/>
          <w:szCs w:val="22"/>
          <w:lang w:val="en-GB"/>
        </w:rPr>
        <w:t>(In Russian).</w:t>
      </w:r>
      <w:r w:rsidRPr="0088780C">
        <w:rPr>
          <w:rFonts w:eastAsia="Times New Roman"/>
          <w:snapToGrid w:val="0"/>
          <w:color w:val="000000" w:themeColor="text1"/>
          <w:kern w:val="22"/>
          <w:sz w:val="22"/>
          <w:szCs w:val="22"/>
          <w:lang w:val="en-GB"/>
        </w:rPr>
        <w:t xml:space="preserve"> </w:t>
      </w:r>
    </w:p>
    <w:p w14:paraId="4C7E2914"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rFonts w:eastAsia="Times New Roman"/>
          <w:snapToGrid w:val="0"/>
          <w:color w:val="000000" w:themeColor="text1"/>
          <w:kern w:val="22"/>
          <w:sz w:val="22"/>
          <w:szCs w:val="22"/>
          <w:lang w:val="en-GB"/>
        </w:rPr>
        <w:t>Krivulchenko A.I. 2016. Kinburn: landscapes, current status and meaning. Kropivnitskyi: Central Ukrainian publishing : 416. (In Ukrainian).</w:t>
      </w:r>
    </w:p>
    <w:p w14:paraId="1EFAD483"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snapToGrid w:val="0"/>
          <w:color w:val="000000" w:themeColor="text1"/>
          <w:kern w:val="22"/>
          <w:sz w:val="22"/>
          <w:szCs w:val="22"/>
          <w:lang w:val="en-GB"/>
        </w:rPr>
        <w:t xml:space="preserve">Minicheva G.G., Zotov A.B., Kosenko M.N. 2003. Guidelines for determining morphological parameters unicellular and multicellular forms of aquatic vegetation. Odessa: 32. </w:t>
      </w:r>
      <w:r w:rsidRPr="0088780C">
        <w:rPr>
          <w:rFonts w:eastAsia="Times New Roman"/>
          <w:snapToGrid w:val="0"/>
          <w:color w:val="000000" w:themeColor="text1"/>
          <w:kern w:val="22"/>
          <w:sz w:val="22"/>
          <w:szCs w:val="22"/>
          <w:lang w:val="en-GB"/>
        </w:rPr>
        <w:t>(In Ukrainian).</w:t>
      </w:r>
    </w:p>
    <w:p w14:paraId="17B75CD1"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snapToGrid w:val="0"/>
          <w:color w:val="000000" w:themeColor="text1"/>
          <w:kern w:val="22"/>
          <w:sz w:val="22"/>
          <w:szCs w:val="22"/>
          <w:lang w:val="en-GB"/>
        </w:rPr>
        <w:t xml:space="preserve">Minicheva G. G., Sokolov E.V. 2014. Assessment of sustainability natural estuaries of the Northwest Black Sea in accordance with the principles of EU water directives. Scientific reports National Agriculture University of Ukraine </w:t>
      </w:r>
      <w:r w:rsidRPr="0088780C">
        <w:rPr>
          <w:bCs/>
          <w:snapToGrid w:val="0"/>
          <w:color w:val="000000" w:themeColor="text1"/>
          <w:kern w:val="22"/>
          <w:sz w:val="22"/>
          <w:szCs w:val="22"/>
          <w:lang w:val="en-GB"/>
        </w:rPr>
        <w:t>5</w:t>
      </w:r>
      <w:r w:rsidRPr="0088780C">
        <w:rPr>
          <w:snapToGrid w:val="0"/>
          <w:color w:val="000000" w:themeColor="text1"/>
          <w:kern w:val="22"/>
          <w:sz w:val="22"/>
          <w:szCs w:val="22"/>
          <w:lang w:val="en-GB"/>
        </w:rPr>
        <w:t xml:space="preserve">. Access: http://nbuv.gov.ua/j-pdf/Nd 2014_5_7.pdf. </w:t>
      </w:r>
      <w:r w:rsidRPr="0088780C">
        <w:rPr>
          <w:rFonts w:eastAsia="Times New Roman"/>
          <w:snapToGrid w:val="0"/>
          <w:color w:val="000000" w:themeColor="text1"/>
          <w:kern w:val="22"/>
          <w:sz w:val="22"/>
          <w:szCs w:val="22"/>
          <w:lang w:val="en-GB"/>
        </w:rPr>
        <w:t>(In Ukrainian).</w:t>
      </w:r>
    </w:p>
    <w:p w14:paraId="70706C61" w14:textId="77777777" w:rsidR="00A876F3" w:rsidRPr="0088780C" w:rsidRDefault="00A876F3" w:rsidP="001013AF">
      <w:pPr>
        <w:pStyle w:val="CommentText"/>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Minicheva G.G, Zotov A.B, Migas R.V, Sinegub I.A, Sokolov E.V, Shvets A.V. 2014. </w:t>
      </w:r>
      <w:r w:rsidRPr="0088780C">
        <w:rPr>
          <w:snapToGrid w:val="0"/>
          <w:kern w:val="22"/>
          <w:szCs w:val="22"/>
          <w:shd w:val="clear" w:color="auto" w:fill="FFFFFF"/>
        </w:rPr>
        <w:t xml:space="preserve">Status of the biological component and ecological status of the water areas of Yagorlytsky and Tendrovsky bays according to the expedition of the OB InBUM of the NAS of Ukraine in June 2013. – Scientific report. – Odessa Branch, Institute of Marine Biology of the Southen Seas, National academy of Science of Ukraine. Odessa: 55 . </w:t>
      </w:r>
      <w:r w:rsidRPr="0088780C">
        <w:rPr>
          <w:snapToGrid w:val="0"/>
          <w:color w:val="000000" w:themeColor="text1"/>
          <w:kern w:val="22"/>
          <w:szCs w:val="22"/>
        </w:rPr>
        <w:t>(In Russian).</w:t>
      </w:r>
    </w:p>
    <w:p w14:paraId="23FAB6C2" w14:textId="77777777" w:rsidR="00A876F3" w:rsidRPr="0088780C" w:rsidRDefault="00A876F3" w:rsidP="001013AF">
      <w:pPr>
        <w:pStyle w:val="Bodytext21"/>
        <w:suppressLineNumbers/>
        <w:shd w:val="clear" w:color="auto" w:fill="auto"/>
        <w:suppressAutoHyphens/>
        <w:kinsoku w:val="0"/>
        <w:overflowPunct w:val="0"/>
        <w:autoSpaceDE w:val="0"/>
        <w:autoSpaceDN w:val="0"/>
        <w:spacing w:after="60" w:line="240" w:lineRule="auto"/>
        <w:ind w:left="810" w:hanging="810"/>
        <w:rPr>
          <w:snapToGrid w:val="0"/>
          <w:color w:val="000000" w:themeColor="text1"/>
          <w:kern w:val="22"/>
          <w:sz w:val="22"/>
          <w:szCs w:val="22"/>
          <w:lang w:val="en-GB"/>
        </w:rPr>
      </w:pPr>
      <w:r w:rsidRPr="0088780C">
        <w:rPr>
          <w:snapToGrid w:val="0"/>
          <w:color w:val="000000" w:themeColor="text1"/>
          <w:kern w:val="22"/>
          <w:sz w:val="22"/>
          <w:szCs w:val="22"/>
          <w:shd w:val="clear" w:color="auto" w:fill="FFFFFF"/>
          <w:lang w:val="en-GB"/>
        </w:rPr>
        <w:t xml:space="preserve">Minicheva G.G., Sokolov E.V. and Shvets A.V. 2016. Evaluation of the natural-anthropogenic status of the coastal-aquatic complex of Yagorlytsky Bay. Scientific notes Ternopil National Pedagogical University named after Volodymyr Hnatyuk. Series: biology </w:t>
      </w:r>
      <w:r w:rsidRPr="0088780C">
        <w:rPr>
          <w:bCs/>
          <w:snapToGrid w:val="0"/>
          <w:color w:val="000000" w:themeColor="text1"/>
          <w:kern w:val="22"/>
          <w:sz w:val="22"/>
          <w:szCs w:val="22"/>
          <w:shd w:val="clear" w:color="auto" w:fill="FFFFFF"/>
          <w:lang w:val="en-GB"/>
        </w:rPr>
        <w:t xml:space="preserve">3 - 4 (67): </w:t>
      </w:r>
      <w:r w:rsidRPr="0088780C">
        <w:rPr>
          <w:snapToGrid w:val="0"/>
          <w:color w:val="000000" w:themeColor="text1"/>
          <w:kern w:val="22"/>
          <w:sz w:val="22"/>
          <w:szCs w:val="22"/>
          <w:shd w:val="clear" w:color="auto" w:fill="FFFFFF"/>
          <w:lang w:val="en-GB"/>
        </w:rPr>
        <w:t xml:space="preserve">74 - 84. </w:t>
      </w:r>
      <w:r w:rsidRPr="0088780C">
        <w:rPr>
          <w:snapToGrid w:val="0"/>
          <w:color w:val="000000" w:themeColor="text1"/>
          <w:kern w:val="22"/>
          <w:sz w:val="22"/>
          <w:szCs w:val="22"/>
          <w:lang w:val="en-GB"/>
        </w:rPr>
        <w:t>(In Russian).</w:t>
      </w:r>
    </w:p>
    <w:p w14:paraId="6441EB25" w14:textId="17D82997" w:rsidR="00A876F3" w:rsidRPr="0088780C" w:rsidRDefault="00A876F3" w:rsidP="001013AF">
      <w:pPr>
        <w:pStyle w:val="Bodytext21"/>
        <w:suppressLineNumbers/>
        <w:shd w:val="clear" w:color="auto" w:fill="auto"/>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snapToGrid w:val="0"/>
          <w:color w:val="000000" w:themeColor="text1"/>
          <w:kern w:val="22"/>
          <w:sz w:val="22"/>
          <w:szCs w:val="22"/>
          <w:lang w:val="en-GB"/>
        </w:rPr>
        <w:t xml:space="preserve">Minicheva G.G, Zotov A.B., Sokolov E.V. 2013. New methodological approach in estimation of the </w:t>
      </w:r>
      <w:r w:rsidR="00C656A2" w:rsidRPr="0088780C">
        <w:rPr>
          <w:snapToGrid w:val="0"/>
          <w:color w:val="000000" w:themeColor="text1"/>
          <w:kern w:val="22"/>
          <w:sz w:val="22"/>
          <w:szCs w:val="22"/>
          <w:lang w:val="en-GB"/>
        </w:rPr>
        <w:t>north-west</w:t>
      </w:r>
      <w:r w:rsidRPr="0088780C">
        <w:rPr>
          <w:snapToGrid w:val="0"/>
          <w:color w:val="000000" w:themeColor="text1"/>
          <w:kern w:val="22"/>
          <w:sz w:val="22"/>
          <w:szCs w:val="22"/>
          <w:lang w:val="en-GB"/>
        </w:rPr>
        <w:t>ern black sea water bodies' enviromental status. Materials of the 40th Congress of the Mediterranean Scientific Commission (CIESM). - Marseille, France 28 October to 1 November, 2013. (</w:t>
      </w:r>
      <w:hyperlink r:id="rId155" w:history="1">
        <w:r w:rsidRPr="0088780C">
          <w:rPr>
            <w:rStyle w:val="Hyperlink"/>
            <w:snapToGrid w:val="0"/>
            <w:kern w:val="22"/>
            <w:sz w:val="22"/>
            <w:szCs w:val="22"/>
            <w:lang w:val="en-GB"/>
          </w:rPr>
          <w:t>http://www.ciesm.org/</w:t>
        </w:r>
      </w:hyperlink>
      <w:r w:rsidRPr="0088780C">
        <w:rPr>
          <w:snapToGrid w:val="0"/>
          <w:color w:val="000000" w:themeColor="text1"/>
          <w:kern w:val="22"/>
          <w:sz w:val="22"/>
          <w:szCs w:val="22"/>
          <w:lang w:val="en-GB"/>
        </w:rPr>
        <w:t>).</w:t>
      </w:r>
    </w:p>
    <w:p w14:paraId="4FE6CCE6"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810" w:hanging="810"/>
        <w:rPr>
          <w:snapToGrid w:val="0"/>
          <w:color w:val="000000" w:themeColor="text1"/>
          <w:kern w:val="22"/>
          <w:sz w:val="22"/>
          <w:szCs w:val="22"/>
          <w:shd w:val="clear" w:color="auto" w:fill="FFFFFF"/>
          <w:lang w:val="en-GB"/>
        </w:rPr>
      </w:pPr>
      <w:r w:rsidRPr="0088780C">
        <w:rPr>
          <w:snapToGrid w:val="0"/>
          <w:color w:val="000000" w:themeColor="text1"/>
          <w:kern w:val="22"/>
          <w:sz w:val="22"/>
          <w:szCs w:val="22"/>
          <w:shd w:val="clear" w:color="auto" w:fill="FFFFFF"/>
          <w:lang w:val="en-GB"/>
        </w:rPr>
        <w:t xml:space="preserve">Nesterova D.A. Vasilenko L.S. 1986. Phytoplankton and phytoneuston of the shallow bays of the Black Sea. Ecology of the sea. Issue </w:t>
      </w:r>
      <w:r w:rsidRPr="0088780C">
        <w:rPr>
          <w:bCs/>
          <w:snapToGrid w:val="0"/>
          <w:color w:val="000000" w:themeColor="text1"/>
          <w:kern w:val="22"/>
          <w:sz w:val="22"/>
          <w:szCs w:val="22"/>
          <w:shd w:val="clear" w:color="auto" w:fill="FFFFFF"/>
          <w:lang w:val="en-GB"/>
        </w:rPr>
        <w:t>23</w:t>
      </w:r>
      <w:r w:rsidRPr="0088780C">
        <w:rPr>
          <w:snapToGrid w:val="0"/>
          <w:color w:val="000000" w:themeColor="text1"/>
          <w:kern w:val="22"/>
          <w:sz w:val="22"/>
          <w:szCs w:val="22"/>
          <w:shd w:val="clear" w:color="auto" w:fill="FFFFFF"/>
          <w:lang w:val="en-GB"/>
        </w:rPr>
        <w:t xml:space="preserve">: 24 - 30. </w:t>
      </w:r>
      <w:r w:rsidRPr="0088780C">
        <w:rPr>
          <w:snapToGrid w:val="0"/>
          <w:color w:val="000000" w:themeColor="text1"/>
          <w:kern w:val="22"/>
          <w:sz w:val="22"/>
          <w:szCs w:val="22"/>
          <w:lang w:val="en-GB"/>
        </w:rPr>
        <w:t>(In Russian).</w:t>
      </w:r>
    </w:p>
    <w:p w14:paraId="644F60F4"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810" w:hanging="810"/>
        <w:rPr>
          <w:snapToGrid w:val="0"/>
          <w:color w:val="000000" w:themeColor="text1"/>
          <w:kern w:val="22"/>
          <w:sz w:val="22"/>
          <w:szCs w:val="22"/>
          <w:shd w:val="clear" w:color="auto" w:fill="FFFFFF"/>
          <w:lang w:val="en-GB"/>
        </w:rPr>
      </w:pPr>
      <w:r w:rsidRPr="0088780C">
        <w:rPr>
          <w:snapToGrid w:val="0"/>
          <w:color w:val="000000" w:themeColor="text1"/>
          <w:kern w:val="22"/>
          <w:sz w:val="22"/>
          <w:szCs w:val="22"/>
          <w:shd w:val="clear" w:color="auto" w:fill="FFFFFF"/>
          <w:lang w:val="en-GB"/>
        </w:rPr>
        <w:t xml:space="preserve">Natural complexes of the Black Sea State Biosphere Reserve [Ed. S.V. Trashchuk]. 1992. Кiev: Naukova dumka: 160. </w:t>
      </w:r>
      <w:r w:rsidRPr="0088780C">
        <w:rPr>
          <w:snapToGrid w:val="0"/>
          <w:color w:val="000000" w:themeColor="text1"/>
          <w:kern w:val="22"/>
          <w:sz w:val="22"/>
          <w:szCs w:val="22"/>
          <w:lang w:val="en-GB"/>
        </w:rPr>
        <w:t>(In Russian).</w:t>
      </w:r>
    </w:p>
    <w:p w14:paraId="544762D5"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shd w:val="clear" w:color="auto" w:fill="FFFFFF"/>
          <w:lang w:val="en-GB"/>
        </w:rPr>
      </w:pPr>
      <w:r w:rsidRPr="0088780C">
        <w:rPr>
          <w:snapToGrid w:val="0"/>
          <w:color w:val="000000" w:themeColor="text1"/>
          <w:kern w:val="22"/>
          <w:sz w:val="22"/>
          <w:szCs w:val="22"/>
          <w:shd w:val="clear" w:color="auto" w:fill="FFFFFF"/>
          <w:lang w:val="en-GB"/>
        </w:rPr>
        <w:t xml:space="preserve">Pauli V.L. 1927. Materials for the knowledge of the biocenoses of the Egorlitsky Bay. Proceedings of the All-Ukrainian State Chernomor-Azov Scientific and Experimental Experimental Station </w:t>
      </w:r>
      <w:r w:rsidRPr="0088780C">
        <w:rPr>
          <w:b/>
          <w:snapToGrid w:val="0"/>
          <w:color w:val="000000" w:themeColor="text1"/>
          <w:kern w:val="22"/>
          <w:sz w:val="22"/>
          <w:szCs w:val="22"/>
          <w:shd w:val="clear" w:color="auto" w:fill="FFFFFF"/>
          <w:lang w:val="en-GB"/>
        </w:rPr>
        <w:t>2</w:t>
      </w:r>
      <w:r w:rsidRPr="0088780C">
        <w:rPr>
          <w:snapToGrid w:val="0"/>
          <w:color w:val="000000" w:themeColor="text1"/>
          <w:kern w:val="22"/>
          <w:sz w:val="22"/>
          <w:szCs w:val="22"/>
          <w:shd w:val="clear" w:color="auto" w:fill="FFFFFF"/>
          <w:lang w:val="en-GB"/>
        </w:rPr>
        <w:t xml:space="preserve">: 32-75. </w:t>
      </w:r>
      <w:r w:rsidRPr="0088780C">
        <w:rPr>
          <w:snapToGrid w:val="0"/>
          <w:color w:val="000000" w:themeColor="text1"/>
          <w:kern w:val="22"/>
          <w:sz w:val="22"/>
          <w:szCs w:val="22"/>
          <w:lang w:val="en-GB"/>
        </w:rPr>
        <w:t>(In Russian).</w:t>
      </w:r>
    </w:p>
    <w:p w14:paraId="51A75853"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rFonts w:eastAsia="Times New Roman"/>
          <w:snapToGrid w:val="0"/>
          <w:color w:val="000000" w:themeColor="text1"/>
          <w:kern w:val="22"/>
          <w:sz w:val="22"/>
          <w:szCs w:val="22"/>
          <w:lang w:val="en-GB"/>
        </w:rPr>
      </w:pPr>
      <w:r w:rsidRPr="0088780C">
        <w:rPr>
          <w:rFonts w:eastAsia="Times New Roman"/>
          <w:snapToGrid w:val="0"/>
          <w:color w:val="000000" w:themeColor="text1"/>
          <w:kern w:val="22"/>
          <w:sz w:val="22"/>
          <w:szCs w:val="22"/>
          <w:lang w:val="en-GB"/>
        </w:rPr>
        <w:t>The Red Data Book of Ukraine. Animal world [Ed. I.A Akimova]. 2009. Kiev: Globalconsulting: 600. (In Ukrainian).</w:t>
      </w:r>
    </w:p>
    <w:p w14:paraId="1BF444EB" w14:textId="1EEDBAD1"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shd w:val="clear" w:color="auto" w:fill="FFFFFF"/>
          <w:lang w:val="en-GB"/>
        </w:rPr>
      </w:pPr>
      <w:r w:rsidRPr="0088780C">
        <w:rPr>
          <w:snapToGrid w:val="0"/>
          <w:color w:val="000000" w:themeColor="text1"/>
          <w:kern w:val="22"/>
          <w:sz w:val="22"/>
          <w:szCs w:val="22"/>
          <w:shd w:val="clear" w:color="auto" w:fill="FFFFFF"/>
          <w:lang w:val="en-GB"/>
        </w:rPr>
        <w:t xml:space="preserve">Romanov V.P. 1990. Application of morphometric indicators for the purpose of determining the natural potential of reservoirs and predicting their state. Mater. all-Russian. Sow. </w:t>
      </w:r>
      <w:r w:rsidR="00D8482D" w:rsidRPr="0088780C">
        <w:rPr>
          <w:snapToGrid w:val="0"/>
          <w:color w:val="000000" w:themeColor="text1"/>
          <w:kern w:val="22"/>
          <w:sz w:val="22"/>
          <w:szCs w:val="22"/>
          <w:shd w:val="clear" w:color="auto" w:fill="FFFFFF"/>
          <w:lang w:val="en-GB"/>
        </w:rPr>
        <w:t>“</w:t>
      </w:r>
      <w:r w:rsidRPr="0088780C">
        <w:rPr>
          <w:snapToGrid w:val="0"/>
          <w:color w:val="000000" w:themeColor="text1"/>
          <w:kern w:val="22"/>
          <w:sz w:val="22"/>
          <w:szCs w:val="22"/>
          <w:shd w:val="clear" w:color="auto" w:fill="FFFFFF"/>
          <w:lang w:val="en-GB"/>
        </w:rPr>
        <w:t>Anthropogenic changes in the ecosystems of small lakes (causes, consequences, management possibility)</w:t>
      </w:r>
      <w:r w:rsidR="00D8482D" w:rsidRPr="0088780C">
        <w:rPr>
          <w:snapToGrid w:val="0"/>
          <w:color w:val="000000" w:themeColor="text1"/>
          <w:kern w:val="22"/>
          <w:sz w:val="22"/>
          <w:szCs w:val="22"/>
          <w:shd w:val="clear" w:color="auto" w:fill="FFFFFF"/>
          <w:lang w:val="en-GB"/>
        </w:rPr>
        <w:t>”</w:t>
      </w:r>
      <w:r w:rsidRPr="0088780C">
        <w:rPr>
          <w:snapToGrid w:val="0"/>
          <w:color w:val="000000" w:themeColor="text1"/>
          <w:kern w:val="22"/>
          <w:sz w:val="22"/>
          <w:szCs w:val="22"/>
          <w:shd w:val="clear" w:color="auto" w:fill="FFFFFF"/>
          <w:lang w:val="en-GB"/>
        </w:rPr>
        <w:t xml:space="preserve">, March 27 - 29. Petersburg:118-120. </w:t>
      </w:r>
      <w:r w:rsidRPr="0088780C">
        <w:rPr>
          <w:snapToGrid w:val="0"/>
          <w:color w:val="000000" w:themeColor="text1"/>
          <w:kern w:val="22"/>
          <w:sz w:val="22"/>
          <w:szCs w:val="22"/>
          <w:lang w:val="en-GB"/>
        </w:rPr>
        <w:t>(In Russian).</w:t>
      </w:r>
    </w:p>
    <w:p w14:paraId="050499E8"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shd w:val="clear" w:color="auto" w:fill="FFFFFF"/>
          <w:lang w:val="en-GB"/>
        </w:rPr>
      </w:pPr>
      <w:r w:rsidRPr="0088780C">
        <w:rPr>
          <w:snapToGrid w:val="0"/>
          <w:color w:val="000000" w:themeColor="text1"/>
          <w:kern w:val="22"/>
          <w:sz w:val="22"/>
          <w:szCs w:val="22"/>
          <w:shd w:val="clear" w:color="auto" w:fill="FFFFFF"/>
          <w:lang w:val="en-GB"/>
        </w:rPr>
        <w:t xml:space="preserve">Sabinevskyi B.V. 1977. Azov-Black Sea coast of Ukraine - a complex reserve of water-swamp birds. Bulleten of Zoology </w:t>
      </w:r>
      <w:r w:rsidRPr="0088780C">
        <w:rPr>
          <w:b/>
          <w:snapToGrid w:val="0"/>
          <w:color w:val="000000" w:themeColor="text1"/>
          <w:kern w:val="22"/>
          <w:sz w:val="22"/>
          <w:szCs w:val="22"/>
          <w:shd w:val="clear" w:color="auto" w:fill="FFFFFF"/>
          <w:lang w:val="en-GB"/>
        </w:rPr>
        <w:t>2</w:t>
      </w:r>
      <w:r w:rsidRPr="0088780C">
        <w:rPr>
          <w:snapToGrid w:val="0"/>
          <w:color w:val="000000" w:themeColor="text1"/>
          <w:kern w:val="22"/>
          <w:sz w:val="22"/>
          <w:szCs w:val="22"/>
          <w:shd w:val="clear" w:color="auto" w:fill="FFFFFF"/>
          <w:lang w:val="en-GB"/>
        </w:rPr>
        <w:t xml:space="preserve">: 44-54. </w:t>
      </w:r>
      <w:r w:rsidRPr="0088780C">
        <w:rPr>
          <w:snapToGrid w:val="0"/>
          <w:color w:val="000000" w:themeColor="text1"/>
          <w:kern w:val="22"/>
          <w:sz w:val="22"/>
          <w:szCs w:val="22"/>
          <w:lang w:val="en-GB"/>
        </w:rPr>
        <w:t>(In Russian).</w:t>
      </w:r>
    </w:p>
    <w:p w14:paraId="1C91050B" w14:textId="77777777" w:rsidR="00A876F3" w:rsidRPr="0088780C" w:rsidRDefault="00A876F3" w:rsidP="001013AF">
      <w:pPr>
        <w:pStyle w:val="Bodytext21"/>
        <w:suppressLineNumbers/>
        <w:shd w:val="clear" w:color="auto" w:fill="auto"/>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snapToGrid w:val="0"/>
          <w:color w:val="000000" w:themeColor="text1"/>
          <w:kern w:val="22"/>
          <w:sz w:val="22"/>
          <w:szCs w:val="22"/>
          <w:lang w:val="en-GB"/>
        </w:rPr>
        <w:t>Shishchenko P.G. 1988. Applied physical geography. Kiev. Vishcha school: 192. (In Russian).</w:t>
      </w:r>
    </w:p>
    <w:p w14:paraId="027B2D79"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shd w:val="clear" w:color="auto" w:fill="FFFFFF"/>
          <w:lang w:val="en-GB"/>
        </w:rPr>
      </w:pPr>
      <w:r w:rsidRPr="0088780C">
        <w:rPr>
          <w:snapToGrid w:val="0"/>
          <w:color w:val="000000" w:themeColor="text1"/>
          <w:kern w:val="22"/>
          <w:sz w:val="22"/>
          <w:szCs w:val="22"/>
          <w:shd w:val="clear" w:color="auto" w:fill="FFFFFF"/>
          <w:lang w:val="en-GB"/>
        </w:rPr>
        <w:t xml:space="preserve">Sinegub I. A. 2006. Macrozoobenthos: 1984-2002. North-western part of the Black Sea: biology and ecology. Kiev: Naukova Dumka: 276-286. </w:t>
      </w:r>
      <w:r w:rsidRPr="0088780C">
        <w:rPr>
          <w:snapToGrid w:val="0"/>
          <w:color w:val="000000" w:themeColor="text1"/>
          <w:kern w:val="22"/>
          <w:sz w:val="22"/>
          <w:szCs w:val="22"/>
          <w:lang w:val="en-GB"/>
        </w:rPr>
        <w:t>(In Russian).</w:t>
      </w:r>
    </w:p>
    <w:p w14:paraId="4A8C3075"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snapToGrid w:val="0"/>
          <w:color w:val="000000" w:themeColor="text1"/>
          <w:kern w:val="22"/>
          <w:sz w:val="22"/>
          <w:szCs w:val="22"/>
          <w:lang w:val="en-GB"/>
        </w:rPr>
        <w:t>Sorokina, A.I. (Ed.). 1974. A Guide to the Climate of the Black Sea.</w:t>
      </w:r>
    </w:p>
    <w:p w14:paraId="7F2BC681"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shd w:val="clear" w:color="auto" w:fill="FFFFFF"/>
          <w:lang w:val="en-GB"/>
        </w:rPr>
      </w:pPr>
      <w:r w:rsidRPr="0088780C">
        <w:rPr>
          <w:snapToGrid w:val="0"/>
          <w:color w:val="000000" w:themeColor="text1"/>
          <w:kern w:val="22"/>
          <w:sz w:val="22"/>
          <w:szCs w:val="22"/>
          <w:shd w:val="clear" w:color="auto" w:fill="FFFFFF"/>
          <w:lang w:val="en-GB"/>
        </w:rPr>
        <w:t xml:space="preserve">Tkachenko P.V. 2012а. Dynamics of the state of populations of rare fish species of Tendrovsky and Yagorlytsky bays and adjacent waters of the Black Sea from 2006 to 2011. Natural Almanac. Kherson </w:t>
      </w:r>
      <w:r w:rsidRPr="0088780C">
        <w:rPr>
          <w:bCs/>
          <w:snapToGrid w:val="0"/>
          <w:color w:val="000000" w:themeColor="text1"/>
          <w:kern w:val="22"/>
          <w:sz w:val="22"/>
          <w:szCs w:val="22"/>
          <w:shd w:val="clear" w:color="auto" w:fill="FFFFFF"/>
          <w:lang w:val="en-GB"/>
        </w:rPr>
        <w:t>18:</w:t>
      </w:r>
      <w:r w:rsidRPr="0088780C">
        <w:rPr>
          <w:snapToGrid w:val="0"/>
          <w:color w:val="000000" w:themeColor="text1"/>
          <w:kern w:val="22"/>
          <w:sz w:val="22"/>
          <w:szCs w:val="22"/>
          <w:shd w:val="clear" w:color="auto" w:fill="FFFFFF"/>
          <w:lang w:val="en-GB"/>
        </w:rPr>
        <w:t xml:space="preserve"> 194-198. </w:t>
      </w:r>
      <w:r w:rsidRPr="0088780C">
        <w:rPr>
          <w:snapToGrid w:val="0"/>
          <w:color w:val="000000" w:themeColor="text1"/>
          <w:kern w:val="22"/>
          <w:sz w:val="22"/>
          <w:szCs w:val="22"/>
          <w:lang w:val="en-GB"/>
        </w:rPr>
        <w:t>(In Russian).</w:t>
      </w:r>
    </w:p>
    <w:p w14:paraId="4D6B3714" w14:textId="77777777" w:rsidR="00A876F3" w:rsidRPr="0088780C" w:rsidRDefault="00A876F3" w:rsidP="001013AF">
      <w:pPr>
        <w:pStyle w:val="Bodytext21"/>
        <w:suppressLineNumbers/>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shd w:val="clear" w:color="auto" w:fill="FFFFFF"/>
          <w:lang w:val="en-GB"/>
        </w:rPr>
      </w:pPr>
      <w:r w:rsidRPr="0088780C">
        <w:rPr>
          <w:snapToGrid w:val="0"/>
          <w:color w:val="000000" w:themeColor="text1"/>
          <w:kern w:val="22"/>
          <w:sz w:val="22"/>
          <w:szCs w:val="22"/>
          <w:shd w:val="clear" w:color="auto" w:fill="FFFFFF"/>
          <w:lang w:val="en-GB"/>
        </w:rPr>
        <w:t xml:space="preserve">Tkachenko P.V. 2012b. Fish of Tendrovsky, Yagorlytsky Bays and Adjacent Black Sea Water Area Natural Almanac. Ser.: Life sciences </w:t>
      </w:r>
      <w:r w:rsidRPr="0088780C">
        <w:rPr>
          <w:bCs/>
          <w:snapToGrid w:val="0"/>
          <w:color w:val="000000" w:themeColor="text1"/>
          <w:kern w:val="22"/>
          <w:sz w:val="22"/>
          <w:szCs w:val="22"/>
          <w:shd w:val="clear" w:color="auto" w:fill="FFFFFF"/>
          <w:lang w:val="en-GB"/>
        </w:rPr>
        <w:t>18:</w:t>
      </w:r>
      <w:r w:rsidRPr="0088780C">
        <w:rPr>
          <w:snapToGrid w:val="0"/>
          <w:color w:val="000000" w:themeColor="text1"/>
          <w:kern w:val="22"/>
          <w:sz w:val="22"/>
          <w:szCs w:val="22"/>
          <w:shd w:val="clear" w:color="auto" w:fill="FFFFFF"/>
          <w:lang w:val="en-GB"/>
        </w:rPr>
        <w:t xml:space="preserve"> 181-193. - Access mode: http://nbuv.gov.ua/UJRN/Pasbn_2012_18_16. </w:t>
      </w:r>
      <w:r w:rsidRPr="0088780C">
        <w:rPr>
          <w:snapToGrid w:val="0"/>
          <w:color w:val="000000" w:themeColor="text1"/>
          <w:kern w:val="22"/>
          <w:sz w:val="22"/>
          <w:szCs w:val="22"/>
          <w:lang w:val="en-GB"/>
        </w:rPr>
        <w:t>(In Russian).</w:t>
      </w:r>
    </w:p>
    <w:p w14:paraId="252CC99E" w14:textId="77777777" w:rsidR="00A876F3" w:rsidRPr="0088780C" w:rsidRDefault="00A876F3" w:rsidP="001013AF">
      <w:pPr>
        <w:pStyle w:val="Bodytext21"/>
        <w:suppressLineNumbers/>
        <w:shd w:val="clear" w:color="auto" w:fill="auto"/>
        <w:tabs>
          <w:tab w:val="left" w:leader="dot" w:pos="7202"/>
        </w:tabs>
        <w:suppressAutoHyphens/>
        <w:kinsoku w:val="0"/>
        <w:overflowPunct w:val="0"/>
        <w:autoSpaceDE w:val="0"/>
        <w:autoSpaceDN w:val="0"/>
        <w:spacing w:after="60" w:line="240" w:lineRule="auto"/>
        <w:ind w:left="567" w:right="-1" w:hanging="567"/>
        <w:rPr>
          <w:snapToGrid w:val="0"/>
          <w:color w:val="000000" w:themeColor="text1"/>
          <w:kern w:val="22"/>
          <w:sz w:val="22"/>
          <w:szCs w:val="22"/>
          <w:lang w:val="en-GB"/>
        </w:rPr>
      </w:pPr>
      <w:r w:rsidRPr="0088780C">
        <w:rPr>
          <w:snapToGrid w:val="0"/>
          <w:color w:val="000000" w:themeColor="text1"/>
          <w:kern w:val="22"/>
          <w:sz w:val="22"/>
          <w:szCs w:val="22"/>
          <w:lang w:val="en-GB"/>
        </w:rPr>
        <w:t xml:space="preserve">Vekhov N.V., 2010. The Pearl of Nature of the Northern Black Sea Coast - Black Sea State Biosphere Reserve. Geography and Ecology in the School of the 21st Century </w:t>
      </w:r>
      <w:r w:rsidRPr="0088780C">
        <w:rPr>
          <w:bCs/>
          <w:snapToGrid w:val="0"/>
          <w:color w:val="000000" w:themeColor="text1"/>
          <w:kern w:val="22"/>
          <w:sz w:val="22"/>
          <w:szCs w:val="22"/>
          <w:lang w:val="en-GB"/>
        </w:rPr>
        <w:t>4</w:t>
      </w:r>
      <w:r w:rsidRPr="0088780C">
        <w:rPr>
          <w:snapToGrid w:val="0"/>
          <w:color w:val="000000" w:themeColor="text1"/>
          <w:kern w:val="22"/>
          <w:sz w:val="22"/>
          <w:szCs w:val="22"/>
          <w:lang w:val="en-GB"/>
        </w:rPr>
        <w:t>:13-21. (In Russian).</w:t>
      </w:r>
    </w:p>
    <w:p w14:paraId="423F7396" w14:textId="77777777" w:rsidR="00A876F3" w:rsidRPr="0088780C" w:rsidRDefault="00A876F3" w:rsidP="001013AF">
      <w:pPr>
        <w:pStyle w:val="Bodytext21"/>
        <w:suppressLineNumbers/>
        <w:shd w:val="clear" w:color="auto" w:fill="auto"/>
        <w:tabs>
          <w:tab w:val="left" w:leader="dot" w:pos="7202"/>
        </w:tabs>
        <w:suppressAutoHyphens/>
        <w:kinsoku w:val="0"/>
        <w:overflowPunct w:val="0"/>
        <w:autoSpaceDE w:val="0"/>
        <w:autoSpaceDN w:val="0"/>
        <w:spacing w:after="60" w:line="240" w:lineRule="auto"/>
        <w:ind w:left="567" w:right="-1" w:hanging="567"/>
        <w:rPr>
          <w:rFonts w:eastAsia="MS Mincho"/>
          <w:b/>
          <w:snapToGrid w:val="0"/>
          <w:color w:val="000000" w:themeColor="text1"/>
          <w:kern w:val="22"/>
          <w:sz w:val="22"/>
          <w:szCs w:val="22"/>
          <w:lang w:val="en-GB"/>
        </w:rPr>
      </w:pPr>
      <w:r w:rsidRPr="0088780C">
        <w:rPr>
          <w:snapToGrid w:val="0"/>
          <w:kern w:val="22"/>
          <w:sz w:val="22"/>
          <w:szCs w:val="22"/>
          <w:lang w:val="en-GB"/>
        </w:rPr>
        <w:t xml:space="preserve">Zaitsev, Y. and Mamaev, V.O., 1997. Biological diversity in the Black Sea: A study of change and decline. Black Sea Environmental Series, United Nations Publishing, New York. Vol. </w:t>
      </w:r>
      <w:r w:rsidRPr="0088780C">
        <w:rPr>
          <w:bCs/>
          <w:snapToGrid w:val="0"/>
          <w:kern w:val="22"/>
          <w:sz w:val="22"/>
          <w:szCs w:val="22"/>
          <w:lang w:val="en-GB"/>
        </w:rPr>
        <w:t>3</w:t>
      </w:r>
      <w:r w:rsidRPr="0088780C">
        <w:rPr>
          <w:snapToGrid w:val="0"/>
          <w:kern w:val="22"/>
          <w:sz w:val="22"/>
          <w:szCs w:val="22"/>
          <w:lang w:val="en-GB"/>
        </w:rPr>
        <w:t>: 208.</w:t>
      </w:r>
    </w:p>
    <w:p w14:paraId="17421C62" w14:textId="77777777" w:rsidR="00A876F3" w:rsidRPr="0088780C" w:rsidRDefault="00A876F3" w:rsidP="001013AF">
      <w:pPr>
        <w:pStyle w:val="Bodytext21"/>
        <w:suppressLineNumbers/>
        <w:suppressAutoHyphens/>
        <w:kinsoku w:val="0"/>
        <w:overflowPunct w:val="0"/>
        <w:autoSpaceDE w:val="0"/>
        <w:autoSpaceDN w:val="0"/>
        <w:spacing w:after="60" w:line="240" w:lineRule="auto"/>
        <w:ind w:left="810" w:hanging="810"/>
        <w:rPr>
          <w:snapToGrid w:val="0"/>
          <w:color w:val="000000" w:themeColor="text1"/>
          <w:kern w:val="22"/>
          <w:sz w:val="22"/>
          <w:szCs w:val="22"/>
          <w:shd w:val="clear" w:color="auto" w:fill="FFFFFF"/>
          <w:lang w:val="en-GB"/>
        </w:rPr>
      </w:pPr>
      <w:r w:rsidRPr="0088780C">
        <w:rPr>
          <w:rFonts w:eastAsia="MS Mincho"/>
          <w:snapToGrid w:val="0"/>
          <w:color w:val="000000" w:themeColor="text1"/>
          <w:kern w:val="22"/>
          <w:sz w:val="22"/>
          <w:szCs w:val="22"/>
          <w:lang w:val="en-GB" w:eastAsia="en-US"/>
        </w:rPr>
        <w:t xml:space="preserve">Zaitsev, Y.P., Alexandrov, B.G. and G.G. Minicheva, (eds.) 2006. </w:t>
      </w:r>
      <w:r w:rsidRPr="0088780C">
        <w:rPr>
          <w:snapToGrid w:val="0"/>
          <w:color w:val="000000" w:themeColor="text1"/>
          <w:kern w:val="22"/>
          <w:sz w:val="22"/>
          <w:szCs w:val="22"/>
          <w:shd w:val="clear" w:color="auto" w:fill="FFFFFF"/>
          <w:lang w:val="en-GB"/>
        </w:rPr>
        <w:t xml:space="preserve">North-western part of the Black Sea: (biology and ecology) Naukova Dumka: 351 - 356. </w:t>
      </w:r>
      <w:r w:rsidRPr="0088780C">
        <w:rPr>
          <w:snapToGrid w:val="0"/>
          <w:color w:val="000000" w:themeColor="text1"/>
          <w:kern w:val="22"/>
          <w:sz w:val="22"/>
          <w:szCs w:val="22"/>
          <w:lang w:val="en-GB"/>
        </w:rPr>
        <w:t>(In Russian).</w:t>
      </w:r>
    </w:p>
    <w:p w14:paraId="5E479BBD" w14:textId="77777777" w:rsidR="00A876F3" w:rsidRPr="0088780C" w:rsidRDefault="00A876F3" w:rsidP="001013AF">
      <w:pPr>
        <w:suppressLineNumbers/>
        <w:suppressAutoHyphens/>
        <w:kinsoku w:val="0"/>
        <w:overflowPunct w:val="0"/>
        <w:autoSpaceDE w:val="0"/>
        <w:autoSpaceDN w:val="0"/>
        <w:spacing w:after="120"/>
        <w:rPr>
          <w:rFonts w:eastAsia="MS Mincho"/>
          <w:b/>
          <w:snapToGrid w:val="0"/>
          <w:color w:val="000000" w:themeColor="text1"/>
          <w:kern w:val="22"/>
          <w:szCs w:val="22"/>
        </w:rPr>
      </w:pPr>
      <w:r w:rsidRPr="0088780C">
        <w:rPr>
          <w:rFonts w:eastAsia="MS Mincho"/>
          <w:b/>
          <w:snapToGrid w:val="0"/>
          <w:color w:val="000000" w:themeColor="text1"/>
          <w:kern w:val="22"/>
          <w:szCs w:val="22"/>
        </w:rPr>
        <w:br w:type="page"/>
      </w:r>
    </w:p>
    <w:p w14:paraId="7C2E8E14"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rFonts w:eastAsia="MS Mincho"/>
          <w:b/>
          <w:snapToGrid w:val="0"/>
          <w:color w:val="000000" w:themeColor="text1"/>
          <w:kern w:val="22"/>
          <w:szCs w:val="22"/>
        </w:rPr>
        <w:t>Maps and Figures</w:t>
      </w:r>
    </w:p>
    <w:p w14:paraId="210D8F1A"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p>
    <w:p w14:paraId="20379969"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noProof/>
          <w:snapToGrid w:val="0"/>
          <w:kern w:val="22"/>
          <w:szCs w:val="22"/>
          <w:lang w:eastAsia="zh-CN"/>
        </w:rPr>
        <w:drawing>
          <wp:inline distT="0" distB="0" distL="0" distR="0" wp14:anchorId="21067467" wp14:editId="0FAC5EB9">
            <wp:extent cx="5486400" cy="4572000"/>
            <wp:effectExtent l="0" t="0" r="0" b="0"/>
            <wp:docPr id="64559" name="Picture 64559" descr="C:\Users\grekin\AppData\Local\Microsoft\Windows\Temporary Internet Files\Content.Wor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grekin\AppData\Local\Microsoft\Windows\Temporary Internet Files\Content.Word\8.png"/>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10051721"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rFonts w:eastAsia="MS Mincho"/>
          <w:b/>
          <w:snapToGrid w:val="0"/>
          <w:color w:val="000000" w:themeColor="text1"/>
          <w:kern w:val="22"/>
          <w:szCs w:val="22"/>
        </w:rPr>
        <w:t>Figure 1. Area meeting the EBSA criteria</w:t>
      </w:r>
    </w:p>
    <w:p w14:paraId="2E55197E"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p>
    <w:p w14:paraId="11BFBBB6"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p>
    <w:p w14:paraId="0390ECCB"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p>
    <w:p w14:paraId="69D8D9A5" w14:textId="77777777"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62BAA7BC" wp14:editId="2DC1D0E8">
            <wp:extent cx="5894070" cy="2589530"/>
            <wp:effectExtent l="0" t="0" r="0" b="1270"/>
            <wp:docPr id="20" name="Рисунок 2" descr="R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NI"/>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894070" cy="2589530"/>
                    </a:xfrm>
                    <a:prstGeom prst="rect">
                      <a:avLst/>
                    </a:prstGeom>
                    <a:noFill/>
                    <a:ln>
                      <a:noFill/>
                    </a:ln>
                  </pic:spPr>
                </pic:pic>
              </a:graphicData>
            </a:graphic>
          </wp:inline>
        </w:drawing>
      </w:r>
    </w:p>
    <w:p w14:paraId="3F228E18" w14:textId="77777777" w:rsidR="00A876F3" w:rsidRPr="0088780C" w:rsidRDefault="00A876F3" w:rsidP="001013AF">
      <w:pPr>
        <w:pStyle w:val="CommentText"/>
        <w:suppressLineNumbers/>
        <w:suppressAutoHyphens/>
        <w:kinsoku w:val="0"/>
        <w:overflowPunct w:val="0"/>
        <w:autoSpaceDE w:val="0"/>
        <w:autoSpaceDN w:val="0"/>
        <w:rPr>
          <w:b/>
          <w:snapToGrid w:val="0"/>
          <w:kern w:val="22"/>
          <w:szCs w:val="22"/>
        </w:rPr>
      </w:pPr>
      <w:r w:rsidRPr="0088780C">
        <w:rPr>
          <w:b/>
          <w:snapToGrid w:val="0"/>
          <w:color w:val="000000" w:themeColor="text1"/>
          <w:kern w:val="22"/>
          <w:szCs w:val="22"/>
        </w:rPr>
        <w:t xml:space="preserve">Figure 2. Hydrological and morphometric features of Yagorlytsky Bay </w:t>
      </w:r>
      <w:r w:rsidRPr="0088780C">
        <w:rPr>
          <w:b/>
          <w:snapToGrid w:val="0"/>
          <w:color w:val="000000" w:themeColor="text1"/>
          <w:kern w:val="22"/>
          <w:szCs w:val="22"/>
          <w:shd w:val="clear" w:color="auto" w:fill="FFFFFF"/>
        </w:rPr>
        <w:t>(Minicheva, Sokolov and Shvets, 2016)</w:t>
      </w:r>
    </w:p>
    <w:p w14:paraId="2BB211ED"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69667774" w14:textId="77777777" w:rsidR="00A876F3" w:rsidRPr="0088780C" w:rsidRDefault="00A876F3" w:rsidP="001013AF">
      <w:pPr>
        <w:suppressLineNumbers/>
        <w:suppressAutoHyphens/>
        <w:kinsoku w:val="0"/>
        <w:overflowPunct w:val="0"/>
        <w:autoSpaceDE w:val="0"/>
        <w:autoSpaceDN w:val="0"/>
        <w:jc w:val="center"/>
        <w:rPr>
          <w:b/>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7F78268D" wp14:editId="3F6BD9FF">
            <wp:extent cx="3694038" cy="3548607"/>
            <wp:effectExtent l="0" t="0" r="1905" b="0"/>
            <wp:docPr id="2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694151" cy="3548715"/>
                    </a:xfrm>
                    <a:prstGeom prst="rect">
                      <a:avLst/>
                    </a:prstGeom>
                    <a:noFill/>
                    <a:ln>
                      <a:noFill/>
                    </a:ln>
                  </pic:spPr>
                </pic:pic>
              </a:graphicData>
            </a:graphic>
          </wp:inline>
        </w:drawing>
      </w:r>
    </w:p>
    <w:p w14:paraId="1B018C7D" w14:textId="77777777" w:rsidR="00A876F3" w:rsidRPr="0088780C" w:rsidRDefault="00A876F3" w:rsidP="001013AF">
      <w:pPr>
        <w:pStyle w:val="CommentText"/>
        <w:suppressLineNumbers/>
        <w:suppressAutoHyphens/>
        <w:kinsoku w:val="0"/>
        <w:overflowPunct w:val="0"/>
        <w:autoSpaceDE w:val="0"/>
        <w:autoSpaceDN w:val="0"/>
        <w:rPr>
          <w:b/>
          <w:snapToGrid w:val="0"/>
          <w:kern w:val="22"/>
          <w:szCs w:val="22"/>
        </w:rPr>
      </w:pPr>
      <w:r w:rsidRPr="0088780C">
        <w:rPr>
          <w:b/>
          <w:snapToGrid w:val="0"/>
          <w:color w:val="000000" w:themeColor="text1"/>
          <w:kern w:val="22"/>
          <w:szCs w:val="22"/>
        </w:rPr>
        <w:t>Figure 3</w:t>
      </w:r>
      <w:r w:rsidRPr="0088780C">
        <w:rPr>
          <w:rFonts w:eastAsia="MS Mincho"/>
          <w:b/>
          <w:snapToGrid w:val="0"/>
          <w:color w:val="000000" w:themeColor="text1"/>
          <w:kern w:val="22"/>
          <w:szCs w:val="22"/>
        </w:rPr>
        <w:t xml:space="preserve">. The distribution of surface temperature and surface currents in the water area of Yagorlytsky Bay on 05/20/2013 (8:45:53) calculated based on satellite image Landsat 8 </w:t>
      </w:r>
      <w:r w:rsidRPr="0088780C">
        <w:rPr>
          <w:b/>
          <w:snapToGrid w:val="0"/>
          <w:kern w:val="22"/>
          <w:szCs w:val="22"/>
        </w:rPr>
        <w:t>(compiled by E. Sokolov, Institute of Marine Biology NAS Ukraine)</w:t>
      </w:r>
    </w:p>
    <w:p w14:paraId="257747BE"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6C07FD91"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099790B3" w14:textId="77777777" w:rsidR="00A876F3" w:rsidRPr="0088780C" w:rsidRDefault="00A876F3" w:rsidP="001013AF">
      <w:pPr>
        <w:suppressLineNumbers/>
        <w:suppressAutoHyphens/>
        <w:kinsoku w:val="0"/>
        <w:overflowPunct w:val="0"/>
        <w:autoSpaceDE w:val="0"/>
        <w:autoSpaceDN w:val="0"/>
        <w:ind w:firstLine="720"/>
        <w:rPr>
          <w:rFonts w:eastAsia="MS Mincho"/>
          <w:b/>
          <w:snapToGrid w:val="0"/>
          <w:color w:val="000000" w:themeColor="text1"/>
          <w:kern w:val="22"/>
          <w:szCs w:val="22"/>
        </w:rPr>
      </w:pPr>
      <w:r w:rsidRPr="0088780C">
        <w:rPr>
          <w:rFonts w:eastAsia="MS Mincho"/>
          <w:b/>
          <w:noProof/>
          <w:snapToGrid w:val="0"/>
          <w:color w:val="000000" w:themeColor="text1"/>
          <w:kern w:val="22"/>
          <w:szCs w:val="22"/>
          <w:lang w:eastAsia="zh-CN"/>
        </w:rPr>
        <w:drawing>
          <wp:inline distT="0" distB="0" distL="0" distR="0" wp14:anchorId="2796DF55" wp14:editId="62029598">
            <wp:extent cx="6120765" cy="3672206"/>
            <wp:effectExtent l="0" t="0" r="0" b="4445"/>
            <wp:docPr id="15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pic:cNvPicPr>
                      <a:picLocks noChangeAspect="1" noChangeArrowheads="1"/>
                    </pic:cNvPicPr>
                  </pic:nvPicPr>
                  <pic:blipFill>
                    <a:blip r:embed="rId159" cstate="email">
                      <a:extLst>
                        <a:ext uri="{28A0092B-C50C-407E-A947-70E740481C1C}">
                          <a14:useLocalDpi xmlns:a14="http://schemas.microsoft.com/office/drawing/2010/main"/>
                        </a:ext>
                      </a:extLst>
                    </a:blip>
                    <a:srcRect/>
                    <a:stretch>
                      <a:fillRect/>
                    </a:stretch>
                  </pic:blipFill>
                  <pic:spPr bwMode="auto">
                    <a:xfrm>
                      <a:off x="0" y="0"/>
                      <a:ext cx="6120765" cy="3672206"/>
                    </a:xfrm>
                    <a:prstGeom prst="rect">
                      <a:avLst/>
                    </a:prstGeom>
                    <a:noFill/>
                    <a:ln>
                      <a:noFill/>
                    </a:ln>
                    <a:extLst/>
                  </pic:spPr>
                </pic:pic>
              </a:graphicData>
            </a:graphic>
          </wp:inline>
        </w:drawing>
      </w:r>
    </w:p>
    <w:p w14:paraId="1696E198" w14:textId="5EF004F6" w:rsidR="00A876F3" w:rsidRPr="0088780C" w:rsidRDefault="00A876F3" w:rsidP="001013AF">
      <w:pPr>
        <w:pStyle w:val="CommentText"/>
        <w:suppressLineNumbers/>
        <w:suppressAutoHyphens/>
        <w:kinsoku w:val="0"/>
        <w:overflowPunct w:val="0"/>
        <w:autoSpaceDE w:val="0"/>
        <w:autoSpaceDN w:val="0"/>
        <w:rPr>
          <w:b/>
          <w:snapToGrid w:val="0"/>
          <w:kern w:val="22"/>
          <w:szCs w:val="22"/>
        </w:rPr>
      </w:pPr>
      <w:r w:rsidRPr="0088780C">
        <w:rPr>
          <w:b/>
          <w:snapToGrid w:val="0"/>
          <w:color w:val="000000" w:themeColor="text1"/>
          <w:kern w:val="22"/>
          <w:szCs w:val="22"/>
        </w:rPr>
        <w:t>Figure</w:t>
      </w:r>
      <w:r w:rsidRPr="0088780C">
        <w:rPr>
          <w:rFonts w:eastAsia="MS Mincho"/>
          <w:b/>
          <w:snapToGrid w:val="0"/>
          <w:color w:val="000000" w:themeColor="text1"/>
          <w:kern w:val="22"/>
          <w:szCs w:val="22"/>
        </w:rPr>
        <w:t xml:space="preserve"> 4. The bays in the Marine Protected Area of Ukraine </w:t>
      </w:r>
      <w:r w:rsidRPr="0088780C">
        <w:rPr>
          <w:b/>
          <w:snapToGrid w:val="0"/>
          <w:kern w:val="22"/>
          <w:szCs w:val="22"/>
        </w:rPr>
        <w:t>(Compiled by E. Sokolov, Institute</w:t>
      </w:r>
      <w:r w:rsidR="00C40C6B" w:rsidRPr="0088780C">
        <w:rPr>
          <w:b/>
          <w:snapToGrid w:val="0"/>
          <w:kern w:val="22"/>
          <w:szCs w:val="22"/>
        </w:rPr>
        <w:t xml:space="preserve"> of Marine Biology NAS Ukraine)</w:t>
      </w:r>
    </w:p>
    <w:p w14:paraId="3E946CFA"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p>
    <w:p w14:paraId="5F259221" w14:textId="77777777" w:rsidR="00A876F3" w:rsidRPr="0088780C" w:rsidRDefault="00A876F3" w:rsidP="001013AF">
      <w:pPr>
        <w:suppressLineNumbers/>
        <w:suppressAutoHyphens/>
        <w:kinsoku w:val="0"/>
        <w:overflowPunct w:val="0"/>
        <w:autoSpaceDE w:val="0"/>
        <w:autoSpaceDN w:val="0"/>
        <w:jc w:val="center"/>
        <w:rPr>
          <w:b/>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1831E0A2" wp14:editId="4C83565B">
            <wp:extent cx="5540721" cy="3484055"/>
            <wp:effectExtent l="19050" t="19050" r="22225" b="21590"/>
            <wp:docPr id="22" name="Рисунок 4" descr="C:\Users\Asus\AppData\Local\Microsoft\Windows\Temporary Internet Files\Content.Word\Без названия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C:\Users\Asus\AppData\Local\Microsoft\Windows\Temporary Internet Files\Content.Word\Без названия2.tif"/>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545132" cy="3486829"/>
                    </a:xfrm>
                    <a:prstGeom prst="rect">
                      <a:avLst/>
                    </a:prstGeom>
                    <a:noFill/>
                    <a:ln w="3175" cmpd="sng">
                      <a:solidFill>
                        <a:srgbClr val="000000"/>
                      </a:solidFill>
                      <a:miter lim="800000"/>
                      <a:headEnd/>
                      <a:tailEnd/>
                    </a:ln>
                    <a:effectLst/>
                  </pic:spPr>
                </pic:pic>
              </a:graphicData>
            </a:graphic>
          </wp:inline>
        </w:drawing>
      </w:r>
    </w:p>
    <w:p w14:paraId="3F63D7A0" w14:textId="77777777" w:rsidR="00A876F3" w:rsidRPr="0088780C" w:rsidRDefault="00A876F3" w:rsidP="001013AF">
      <w:pPr>
        <w:pStyle w:val="CommentText"/>
        <w:suppressLineNumbers/>
        <w:suppressAutoHyphens/>
        <w:kinsoku w:val="0"/>
        <w:overflowPunct w:val="0"/>
        <w:autoSpaceDE w:val="0"/>
        <w:autoSpaceDN w:val="0"/>
        <w:spacing w:after="0" w:line="240" w:lineRule="auto"/>
        <w:rPr>
          <w:b/>
          <w:snapToGrid w:val="0"/>
          <w:kern w:val="22"/>
          <w:szCs w:val="22"/>
        </w:rPr>
      </w:pPr>
      <w:r w:rsidRPr="0088780C">
        <w:rPr>
          <w:b/>
          <w:snapToGrid w:val="0"/>
          <w:color w:val="000000" w:themeColor="text1"/>
          <w:kern w:val="22"/>
          <w:szCs w:val="22"/>
        </w:rPr>
        <w:t xml:space="preserve">Figure </w:t>
      </w:r>
      <w:r w:rsidRPr="0088780C">
        <w:rPr>
          <w:rFonts w:eastAsia="MS Mincho"/>
          <w:b/>
          <w:snapToGrid w:val="0"/>
          <w:color w:val="000000" w:themeColor="text1"/>
          <w:kern w:val="22"/>
          <w:szCs w:val="22"/>
        </w:rPr>
        <w:t xml:space="preserve">5. Aqua-coastal complex of Yagorlytsky Bay </w:t>
      </w:r>
      <w:r w:rsidRPr="0088780C">
        <w:rPr>
          <w:b/>
          <w:snapToGrid w:val="0"/>
          <w:color w:val="000000" w:themeColor="text1"/>
          <w:kern w:val="22"/>
          <w:szCs w:val="22"/>
          <w:shd w:val="clear" w:color="auto" w:fill="FFFFFF"/>
        </w:rPr>
        <w:t>(Minicheva , Sokolov and Shvets 2016).</w:t>
      </w:r>
    </w:p>
    <w:p w14:paraId="7453F495" w14:textId="147A6065"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53DAE1B4" w14:textId="21249D2C" w:rsidR="00A876F3" w:rsidRPr="0088780C" w:rsidRDefault="00A876F3" w:rsidP="001013AF">
      <w:pPr>
        <w:suppressLineNumbers/>
        <w:suppressAutoHyphens/>
        <w:kinsoku w:val="0"/>
        <w:overflowPunct w:val="0"/>
        <w:autoSpaceDE w:val="0"/>
        <w:autoSpaceDN w:val="0"/>
        <w:jc w:val="center"/>
        <w:rPr>
          <w:b/>
          <w:snapToGrid w:val="0"/>
          <w:color w:val="000000" w:themeColor="text1"/>
          <w:kern w:val="22"/>
          <w:szCs w:val="22"/>
        </w:rPr>
      </w:pPr>
      <w:r w:rsidRPr="0088780C">
        <w:rPr>
          <w:b/>
          <w:noProof/>
          <w:snapToGrid w:val="0"/>
          <w:color w:val="000000" w:themeColor="text1"/>
          <w:kern w:val="22"/>
          <w:szCs w:val="22"/>
          <w:lang w:eastAsia="zh-CN"/>
        </w:rPr>
        <w:drawing>
          <wp:inline distT="0" distB="0" distL="0" distR="0" wp14:anchorId="6594C10A" wp14:editId="16BE90A0">
            <wp:extent cx="5686425" cy="4108745"/>
            <wp:effectExtent l="0" t="0" r="0" b="6350"/>
            <wp:docPr id="2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687926" cy="4109830"/>
                    </a:xfrm>
                    <a:prstGeom prst="rect">
                      <a:avLst/>
                    </a:prstGeom>
                    <a:noFill/>
                  </pic:spPr>
                </pic:pic>
              </a:graphicData>
            </a:graphic>
          </wp:inline>
        </w:drawing>
      </w:r>
    </w:p>
    <w:p w14:paraId="0F118DAF" w14:textId="1878ADA0" w:rsidR="00A876F3" w:rsidRPr="0088780C" w:rsidRDefault="00A876F3" w:rsidP="001013AF">
      <w:pPr>
        <w:pStyle w:val="CommentText"/>
        <w:suppressLineNumbers/>
        <w:suppressAutoHyphens/>
        <w:kinsoku w:val="0"/>
        <w:overflowPunct w:val="0"/>
        <w:autoSpaceDE w:val="0"/>
        <w:autoSpaceDN w:val="0"/>
        <w:rPr>
          <w:b/>
          <w:snapToGrid w:val="0"/>
          <w:color w:val="000000" w:themeColor="text1"/>
          <w:kern w:val="22"/>
          <w:szCs w:val="22"/>
          <w:shd w:val="clear" w:color="auto" w:fill="FFFFFF"/>
        </w:rPr>
      </w:pPr>
      <w:r w:rsidRPr="0088780C">
        <w:rPr>
          <w:b/>
          <w:snapToGrid w:val="0"/>
          <w:color w:val="000000" w:themeColor="text1"/>
          <w:kern w:val="22"/>
          <w:szCs w:val="22"/>
        </w:rPr>
        <w:t xml:space="preserve">Figure 6. Layers of water turbidity because of decoding of satellite images Landsat 8 at the time of 24.08.2013 </w:t>
      </w:r>
      <w:r w:rsidRPr="0088780C">
        <w:rPr>
          <w:b/>
          <w:snapToGrid w:val="0"/>
          <w:color w:val="000000" w:themeColor="text1"/>
          <w:kern w:val="22"/>
          <w:szCs w:val="22"/>
          <w:shd w:val="clear" w:color="auto" w:fill="FFFFFF"/>
        </w:rPr>
        <w:t>(Minich</w:t>
      </w:r>
      <w:r w:rsidR="00C40C6B" w:rsidRPr="0088780C">
        <w:rPr>
          <w:b/>
          <w:snapToGrid w:val="0"/>
          <w:color w:val="000000" w:themeColor="text1"/>
          <w:kern w:val="22"/>
          <w:szCs w:val="22"/>
          <w:shd w:val="clear" w:color="auto" w:fill="FFFFFF"/>
        </w:rPr>
        <w:t>eva , Sokolov and Shvets, 2016)</w:t>
      </w:r>
    </w:p>
    <w:p w14:paraId="2F753D81" w14:textId="77777777" w:rsidR="00A876F3" w:rsidRPr="0088780C" w:rsidRDefault="00A876F3" w:rsidP="001013AF">
      <w:pPr>
        <w:pStyle w:val="CommentText"/>
        <w:suppressLineNumbers/>
        <w:suppressAutoHyphens/>
        <w:kinsoku w:val="0"/>
        <w:overflowPunct w:val="0"/>
        <w:autoSpaceDE w:val="0"/>
        <w:autoSpaceDN w:val="0"/>
        <w:rPr>
          <w:snapToGrid w:val="0"/>
          <w:kern w:val="22"/>
          <w:szCs w:val="22"/>
        </w:rPr>
      </w:pPr>
    </w:p>
    <w:p w14:paraId="3FC549EA" w14:textId="77777777" w:rsidR="00A876F3" w:rsidRPr="0088780C" w:rsidRDefault="00A876F3" w:rsidP="001013AF">
      <w:pPr>
        <w:suppressLineNumbers/>
        <w:suppressAutoHyphens/>
        <w:kinsoku w:val="0"/>
        <w:overflowPunct w:val="0"/>
        <w:autoSpaceDE w:val="0"/>
        <w:autoSpaceDN w:val="0"/>
        <w:ind w:firstLine="720"/>
        <w:rPr>
          <w:rFonts w:eastAsia="MS Mincho"/>
          <w:snapToGrid w:val="0"/>
          <w:color w:val="000000" w:themeColor="text1"/>
          <w:kern w:val="22"/>
          <w:szCs w:val="22"/>
        </w:rPr>
      </w:pPr>
    </w:p>
    <w:p w14:paraId="0EB17DDD" w14:textId="77777777"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r w:rsidRPr="0088780C">
        <w:rPr>
          <w:rFonts w:eastAsia="MS Mincho"/>
          <w:noProof/>
          <w:snapToGrid w:val="0"/>
          <w:color w:val="000000" w:themeColor="text1"/>
          <w:kern w:val="22"/>
          <w:szCs w:val="22"/>
          <w:lang w:eastAsia="zh-CN"/>
        </w:rPr>
        <w:drawing>
          <wp:inline distT="0" distB="0" distL="0" distR="0" wp14:anchorId="27BF047F" wp14:editId="661C42B8">
            <wp:extent cx="6120765" cy="3285592"/>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6120765" cy="3285592"/>
                    </a:xfrm>
                    <a:prstGeom prst="rect">
                      <a:avLst/>
                    </a:prstGeom>
                    <a:noFill/>
                    <a:ln>
                      <a:noFill/>
                    </a:ln>
                    <a:extLst/>
                  </pic:spPr>
                </pic:pic>
              </a:graphicData>
            </a:graphic>
          </wp:inline>
        </w:drawing>
      </w:r>
    </w:p>
    <w:p w14:paraId="4A363152" w14:textId="4B52AB78" w:rsidR="00A876F3" w:rsidRPr="0088780C" w:rsidRDefault="00A876F3" w:rsidP="001013AF">
      <w:pPr>
        <w:suppressLineNumbers/>
        <w:suppressAutoHyphens/>
        <w:kinsoku w:val="0"/>
        <w:overflowPunct w:val="0"/>
        <w:autoSpaceDE w:val="0"/>
        <w:autoSpaceDN w:val="0"/>
        <w:rPr>
          <w:b/>
          <w:bCs/>
          <w:snapToGrid w:val="0"/>
          <w:kern w:val="22"/>
          <w:szCs w:val="22"/>
        </w:rPr>
      </w:pPr>
      <w:r w:rsidRPr="0088780C">
        <w:rPr>
          <w:b/>
          <w:bCs/>
          <w:snapToGrid w:val="0"/>
          <w:color w:val="000000" w:themeColor="text1"/>
          <w:kern w:val="22"/>
          <w:szCs w:val="22"/>
        </w:rPr>
        <w:t>Figure</w:t>
      </w:r>
      <w:r w:rsidRPr="0088780C">
        <w:rPr>
          <w:rFonts w:eastAsia="MS Mincho"/>
          <w:b/>
          <w:bCs/>
          <w:snapToGrid w:val="0"/>
          <w:color w:val="000000" w:themeColor="text1"/>
          <w:kern w:val="22"/>
          <w:szCs w:val="22"/>
        </w:rPr>
        <w:t xml:space="preserve"> 7. Scheme of propagation of real-genetic types of modern sediments in the </w:t>
      </w:r>
      <w:r w:rsidR="00C656A2" w:rsidRPr="0088780C">
        <w:rPr>
          <w:rFonts w:eastAsia="MS Mincho"/>
          <w:b/>
          <w:bCs/>
          <w:snapToGrid w:val="0"/>
          <w:color w:val="000000" w:themeColor="text1"/>
          <w:kern w:val="22"/>
          <w:szCs w:val="22"/>
        </w:rPr>
        <w:t>north-west</w:t>
      </w:r>
      <w:r w:rsidRPr="0088780C">
        <w:rPr>
          <w:rFonts w:eastAsia="MS Mincho"/>
          <w:b/>
          <w:bCs/>
          <w:snapToGrid w:val="0"/>
          <w:color w:val="000000" w:themeColor="text1"/>
          <w:kern w:val="22"/>
          <w:szCs w:val="22"/>
        </w:rPr>
        <w:t xml:space="preserve">ern part of the Black Sea </w:t>
      </w:r>
      <w:r w:rsidRPr="0088780C">
        <w:rPr>
          <w:b/>
          <w:bCs/>
          <w:snapToGrid w:val="0"/>
          <w:kern w:val="22"/>
          <w:szCs w:val="22"/>
        </w:rPr>
        <w:t xml:space="preserve">(Compiled by E. Sokolov, Institute of Marine Biology NAS Ukraine; </w:t>
      </w:r>
      <w:r w:rsidRPr="0088780C">
        <w:rPr>
          <w:b/>
          <w:bCs/>
          <w:snapToGrid w:val="0"/>
          <w:color w:val="000000" w:themeColor="text1"/>
          <w:kern w:val="22"/>
          <w:szCs w:val="22"/>
        </w:rPr>
        <w:t>Geology of the shelf of the Ukrainian SSR, 1985</w:t>
      </w:r>
      <w:r w:rsidR="00C40C6B" w:rsidRPr="0088780C">
        <w:rPr>
          <w:b/>
          <w:bCs/>
          <w:snapToGrid w:val="0"/>
          <w:kern w:val="22"/>
          <w:szCs w:val="22"/>
        </w:rPr>
        <w:t>)</w:t>
      </w:r>
    </w:p>
    <w:p w14:paraId="1C0EECCF"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039F88C2" w14:textId="77777777" w:rsidR="00A876F3" w:rsidRPr="0088780C" w:rsidRDefault="00A876F3" w:rsidP="001013AF">
      <w:pPr>
        <w:suppressLineNumbers/>
        <w:suppressAutoHyphens/>
        <w:kinsoku w:val="0"/>
        <w:overflowPunct w:val="0"/>
        <w:autoSpaceDE w:val="0"/>
        <w:autoSpaceDN w:val="0"/>
        <w:rPr>
          <w:rFonts w:eastAsia="MS Mincho"/>
          <w:snapToGrid w:val="0"/>
          <w:color w:val="000000" w:themeColor="text1"/>
          <w:kern w:val="22"/>
          <w:szCs w:val="22"/>
        </w:rPr>
      </w:pPr>
    </w:p>
    <w:p w14:paraId="1A4E3FDD"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65386ABA" wp14:editId="40635243">
            <wp:extent cx="5940425" cy="3057317"/>
            <wp:effectExtent l="19050" t="0" r="3175" b="0"/>
            <wp:docPr id="24" name="Рисунок 3" descr="C:\Users\Asus\Downloads\Ягорлыцкий зали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sus\Downloads\Ягорлыцкий залив.tif"/>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940425" cy="3057317"/>
                    </a:xfrm>
                    <a:prstGeom prst="rect">
                      <a:avLst/>
                    </a:prstGeom>
                    <a:noFill/>
                    <a:ln>
                      <a:noFill/>
                    </a:ln>
                  </pic:spPr>
                </pic:pic>
              </a:graphicData>
            </a:graphic>
          </wp:inline>
        </w:drawing>
      </w:r>
    </w:p>
    <w:p w14:paraId="46F4BC67" w14:textId="3D88FCE6" w:rsidR="00A876F3" w:rsidRPr="0088780C" w:rsidRDefault="00A876F3" w:rsidP="001013AF">
      <w:pPr>
        <w:pStyle w:val="CommentText"/>
        <w:suppressLineNumbers/>
        <w:suppressAutoHyphens/>
        <w:kinsoku w:val="0"/>
        <w:overflowPunct w:val="0"/>
        <w:autoSpaceDE w:val="0"/>
        <w:autoSpaceDN w:val="0"/>
        <w:rPr>
          <w:b/>
          <w:bCs/>
          <w:snapToGrid w:val="0"/>
          <w:kern w:val="22"/>
          <w:szCs w:val="22"/>
        </w:rPr>
      </w:pPr>
      <w:r w:rsidRPr="0088780C">
        <w:rPr>
          <w:b/>
          <w:bCs/>
          <w:snapToGrid w:val="0"/>
          <w:color w:val="000000" w:themeColor="text1"/>
          <w:kern w:val="22"/>
          <w:szCs w:val="22"/>
        </w:rPr>
        <w:t xml:space="preserve">Figure 8. Scheme of the stations of the water areas of Yagorlytsky and Tendrovsky Bays according to the expedition of the IMB NASU in June 2013 </w:t>
      </w:r>
      <w:r w:rsidRPr="0088780C">
        <w:rPr>
          <w:b/>
          <w:bCs/>
          <w:snapToGrid w:val="0"/>
          <w:color w:val="000000" w:themeColor="text1"/>
          <w:kern w:val="22"/>
          <w:szCs w:val="22"/>
          <w:shd w:val="clear" w:color="auto" w:fill="FFFFFF"/>
        </w:rPr>
        <w:t>(</w:t>
      </w:r>
      <w:r w:rsidRPr="0088780C">
        <w:rPr>
          <w:rFonts w:eastAsia="MS Mincho"/>
          <w:b/>
          <w:bCs/>
          <w:snapToGrid w:val="0"/>
          <w:color w:val="000000" w:themeColor="text1"/>
          <w:kern w:val="22"/>
          <w:szCs w:val="22"/>
        </w:rPr>
        <w:t xml:space="preserve">Minicheva et al., 2014; </w:t>
      </w:r>
      <w:r w:rsidRPr="0088780C">
        <w:rPr>
          <w:b/>
          <w:bCs/>
          <w:snapToGrid w:val="0"/>
          <w:color w:val="000000" w:themeColor="text1"/>
          <w:kern w:val="22"/>
          <w:szCs w:val="22"/>
          <w:shd w:val="clear" w:color="auto" w:fill="FFFFFF"/>
        </w:rPr>
        <w:t>Minicheva , Sokolov and Shvets, 2016)</w:t>
      </w:r>
    </w:p>
    <w:p w14:paraId="35ECA152" w14:textId="77777777" w:rsidR="00A876F3" w:rsidRPr="0088780C" w:rsidRDefault="00A876F3" w:rsidP="001013AF">
      <w:pPr>
        <w:suppressLineNumbers/>
        <w:suppressAutoHyphens/>
        <w:kinsoku w:val="0"/>
        <w:overflowPunct w:val="0"/>
        <w:autoSpaceDE w:val="0"/>
        <w:autoSpaceDN w:val="0"/>
        <w:spacing w:before="120"/>
        <w:rPr>
          <w:snapToGrid w:val="0"/>
          <w:color w:val="000000" w:themeColor="text1"/>
          <w:kern w:val="22"/>
          <w:szCs w:val="22"/>
        </w:rPr>
      </w:pPr>
    </w:p>
    <w:p w14:paraId="51F5A1D3" w14:textId="035D5154"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574E1017" w14:textId="77777777" w:rsidR="00A876F3" w:rsidRPr="0088780C" w:rsidRDefault="00A876F3" w:rsidP="001013AF">
      <w:pPr>
        <w:suppressLineNumbers/>
        <w:suppressAutoHyphens/>
        <w:kinsoku w:val="0"/>
        <w:overflowPunct w:val="0"/>
        <w:autoSpaceDE w:val="0"/>
        <w:autoSpaceDN w:val="0"/>
        <w:ind w:left="709"/>
        <w:rPr>
          <w:b/>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3D57B55F" wp14:editId="68D5DFF7">
            <wp:extent cx="4952521" cy="3420000"/>
            <wp:effectExtent l="0" t="0" r="635" b="9525"/>
            <wp:docPr id="25" name="Рисунок 6" descr="D:\Foto\Kuyalnik\2017.03.21_S2\Новый рисун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oto\Kuyalnik\2017.03.21_S2\Новый рисунок.jp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952521" cy="3420000"/>
                    </a:xfrm>
                    <a:prstGeom prst="rect">
                      <a:avLst/>
                    </a:prstGeom>
                    <a:noFill/>
                    <a:ln>
                      <a:noFill/>
                    </a:ln>
                  </pic:spPr>
                </pic:pic>
              </a:graphicData>
            </a:graphic>
          </wp:inline>
        </w:drawing>
      </w:r>
    </w:p>
    <w:p w14:paraId="68CC2688" w14:textId="4B5AE962" w:rsidR="00A876F3" w:rsidRPr="0088780C" w:rsidRDefault="00A876F3" w:rsidP="001013AF">
      <w:pPr>
        <w:pStyle w:val="CommentText"/>
        <w:suppressLineNumbers/>
        <w:suppressAutoHyphens/>
        <w:kinsoku w:val="0"/>
        <w:overflowPunct w:val="0"/>
        <w:autoSpaceDE w:val="0"/>
        <w:autoSpaceDN w:val="0"/>
        <w:rPr>
          <w:b/>
          <w:bCs/>
          <w:snapToGrid w:val="0"/>
          <w:color w:val="000000" w:themeColor="text1"/>
          <w:kern w:val="22"/>
          <w:szCs w:val="22"/>
        </w:rPr>
      </w:pPr>
      <w:r w:rsidRPr="0088780C">
        <w:rPr>
          <w:b/>
          <w:bCs/>
          <w:snapToGrid w:val="0"/>
          <w:color w:val="000000" w:themeColor="text1"/>
          <w:kern w:val="22"/>
          <w:szCs w:val="22"/>
        </w:rPr>
        <w:t xml:space="preserve">Figure 9. Distribution of macrophytobenthos dominants in Yagorlytsky Bay and </w:t>
      </w:r>
      <w:r w:rsidR="00C656A2" w:rsidRPr="0088780C">
        <w:rPr>
          <w:b/>
          <w:bCs/>
          <w:snapToGrid w:val="0"/>
          <w:color w:val="000000" w:themeColor="text1"/>
          <w:kern w:val="22"/>
          <w:szCs w:val="22"/>
        </w:rPr>
        <w:t>north-west</w:t>
      </w:r>
      <w:r w:rsidRPr="0088780C">
        <w:rPr>
          <w:b/>
          <w:bCs/>
          <w:snapToGrid w:val="0"/>
          <w:color w:val="000000" w:themeColor="text1"/>
          <w:kern w:val="22"/>
          <w:szCs w:val="22"/>
        </w:rPr>
        <w:t xml:space="preserve">ern parts of Tendrovsky Bay based on the materials of the expedition of the IMB NASU in June 2013 </w:t>
      </w:r>
      <w:r w:rsidRPr="0088780C">
        <w:rPr>
          <w:rFonts w:eastAsia="MS Mincho"/>
          <w:b/>
          <w:bCs/>
          <w:snapToGrid w:val="0"/>
          <w:color w:val="000000" w:themeColor="text1"/>
          <w:kern w:val="22"/>
          <w:szCs w:val="22"/>
        </w:rPr>
        <w:t>(Minicheva et al., 2014)</w:t>
      </w:r>
    </w:p>
    <w:p w14:paraId="7AEF29FC"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442AAF0B"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348A14A2" w14:textId="77777777" w:rsidR="00A876F3" w:rsidRPr="0088780C" w:rsidRDefault="00A876F3" w:rsidP="001013AF">
      <w:pPr>
        <w:suppressLineNumbers/>
        <w:suppressAutoHyphens/>
        <w:kinsoku w:val="0"/>
        <w:overflowPunct w:val="0"/>
        <w:autoSpaceDE w:val="0"/>
        <w:autoSpaceDN w:val="0"/>
        <w:ind w:firstLine="708"/>
        <w:rPr>
          <w:b/>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6FFDFA7E" wp14:editId="7D7FA5F6">
            <wp:extent cx="5052121" cy="3420000"/>
            <wp:effectExtent l="0" t="0" r="0" b="9525"/>
            <wp:docPr id="26" name="Рисунок 7" descr="D:\Foto\Kuyalnik\2017.03.21_S2\Новый рисуно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oto\Kuyalnik\2017.03.21_S2\Новый рисунок (1).jp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052121" cy="3420000"/>
                    </a:xfrm>
                    <a:prstGeom prst="rect">
                      <a:avLst/>
                    </a:prstGeom>
                    <a:noFill/>
                    <a:ln>
                      <a:noFill/>
                    </a:ln>
                  </pic:spPr>
                </pic:pic>
              </a:graphicData>
            </a:graphic>
          </wp:inline>
        </w:drawing>
      </w:r>
    </w:p>
    <w:p w14:paraId="30466A50" w14:textId="79B828AB" w:rsidR="00A876F3" w:rsidRPr="0088780C" w:rsidRDefault="00A876F3" w:rsidP="001013AF">
      <w:pPr>
        <w:pStyle w:val="CommentText"/>
        <w:suppressLineNumbers/>
        <w:suppressAutoHyphens/>
        <w:kinsoku w:val="0"/>
        <w:overflowPunct w:val="0"/>
        <w:autoSpaceDE w:val="0"/>
        <w:autoSpaceDN w:val="0"/>
        <w:rPr>
          <w:b/>
          <w:bCs/>
          <w:snapToGrid w:val="0"/>
          <w:color w:val="000000" w:themeColor="text1"/>
          <w:kern w:val="22"/>
          <w:szCs w:val="22"/>
        </w:rPr>
      </w:pPr>
      <w:r w:rsidRPr="0088780C">
        <w:rPr>
          <w:b/>
          <w:bCs/>
          <w:snapToGrid w:val="0"/>
          <w:color w:val="000000" w:themeColor="text1"/>
          <w:kern w:val="22"/>
          <w:szCs w:val="22"/>
        </w:rPr>
        <w:t xml:space="preserve">Figure </w:t>
      </w:r>
      <w:r w:rsidRPr="0088780C">
        <w:rPr>
          <w:b/>
          <w:bCs/>
          <w:snapToGrid w:val="0"/>
          <w:color w:val="000000" w:themeColor="text1"/>
          <w:kern w:val="22"/>
          <w:szCs w:val="22"/>
          <w:lang w:eastAsia="ru-RU"/>
        </w:rPr>
        <w:t xml:space="preserve">10. </w:t>
      </w:r>
      <w:r w:rsidRPr="0088780C">
        <w:rPr>
          <w:b/>
          <w:bCs/>
          <w:snapToGrid w:val="0"/>
          <w:color w:val="000000" w:themeColor="text1"/>
          <w:kern w:val="22"/>
          <w:szCs w:val="22"/>
        </w:rPr>
        <w:t>Distribution of macrophytobenthos biomass in Yagorlytsky Bay and north-western part of Tendrovsky Bay based on the materials of the expedition of the IMB NASU in June 2013</w:t>
      </w:r>
      <w:r w:rsidRPr="0088780C">
        <w:rPr>
          <w:rFonts w:eastAsia="MS Mincho"/>
          <w:b/>
          <w:bCs/>
          <w:snapToGrid w:val="0"/>
          <w:color w:val="000000" w:themeColor="text1"/>
          <w:kern w:val="22"/>
          <w:szCs w:val="22"/>
        </w:rPr>
        <w:t xml:space="preserve"> (Minicheva et al., 2014)</w:t>
      </w:r>
    </w:p>
    <w:p w14:paraId="18694247"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19204EA6"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0775FA45" w14:textId="77777777" w:rsidR="00A876F3" w:rsidRPr="0088780C" w:rsidRDefault="00A876F3" w:rsidP="001013AF">
      <w:pPr>
        <w:suppressLineNumbers/>
        <w:suppressAutoHyphens/>
        <w:kinsoku w:val="0"/>
        <w:overflowPunct w:val="0"/>
        <w:autoSpaceDE w:val="0"/>
        <w:autoSpaceDN w:val="0"/>
        <w:jc w:val="center"/>
        <w:rPr>
          <w:b/>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250EC7AE" wp14:editId="430F14AF">
            <wp:extent cx="4486734" cy="3096000"/>
            <wp:effectExtent l="0" t="0" r="0" b="9525"/>
            <wp:docPr id="27" name="Рисунок 8" descr="D:\Foto\Kuyalnik\2017.03.21_S2\Новый рисунок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Foto\Kuyalnik\2017.03.21_S2\Новый рисунок (2).jp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486734" cy="3096000"/>
                    </a:xfrm>
                    <a:prstGeom prst="rect">
                      <a:avLst/>
                    </a:prstGeom>
                    <a:noFill/>
                    <a:ln>
                      <a:noFill/>
                    </a:ln>
                  </pic:spPr>
                </pic:pic>
              </a:graphicData>
            </a:graphic>
          </wp:inline>
        </w:drawing>
      </w:r>
    </w:p>
    <w:p w14:paraId="540ED2E0" w14:textId="28FD20AF" w:rsidR="00A876F3" w:rsidRPr="0088780C" w:rsidRDefault="00A876F3" w:rsidP="001013AF">
      <w:pPr>
        <w:pStyle w:val="CommentText"/>
        <w:suppressLineNumbers/>
        <w:suppressAutoHyphens/>
        <w:kinsoku w:val="0"/>
        <w:overflowPunct w:val="0"/>
        <w:autoSpaceDE w:val="0"/>
        <w:autoSpaceDN w:val="0"/>
        <w:rPr>
          <w:b/>
          <w:bCs/>
          <w:snapToGrid w:val="0"/>
          <w:color w:val="000000" w:themeColor="text1"/>
          <w:kern w:val="22"/>
          <w:szCs w:val="22"/>
        </w:rPr>
      </w:pPr>
      <w:r w:rsidRPr="0088780C">
        <w:rPr>
          <w:b/>
          <w:bCs/>
          <w:snapToGrid w:val="0"/>
          <w:color w:val="000000" w:themeColor="text1"/>
          <w:kern w:val="22"/>
          <w:szCs w:val="22"/>
        </w:rPr>
        <w:t xml:space="preserve">Figure </w:t>
      </w:r>
      <w:r w:rsidRPr="0088780C">
        <w:rPr>
          <w:b/>
          <w:bCs/>
          <w:snapToGrid w:val="0"/>
          <w:color w:val="000000" w:themeColor="text1"/>
          <w:kern w:val="22"/>
          <w:szCs w:val="22"/>
          <w:lang w:eastAsia="ru-RU"/>
        </w:rPr>
        <w:t xml:space="preserve">11. Distribution of macrozoobenthos at the stations of Yagorlytsky and Tendrovsky Bays based on the materials of the expedition of the Institute of Physics and Technology of the IMB NASU in June 2013 </w:t>
      </w:r>
      <w:r w:rsidRPr="0088780C">
        <w:rPr>
          <w:b/>
          <w:bCs/>
          <w:snapToGrid w:val="0"/>
          <w:kern w:val="22"/>
          <w:szCs w:val="22"/>
        </w:rPr>
        <w:t>(Minicheva et al., 2014)</w:t>
      </w:r>
    </w:p>
    <w:p w14:paraId="57BCC2DA" w14:textId="77777777" w:rsidR="00A876F3" w:rsidRPr="0088780C" w:rsidRDefault="00A876F3" w:rsidP="001013AF">
      <w:pPr>
        <w:suppressLineNumbers/>
        <w:suppressAutoHyphens/>
        <w:kinsoku w:val="0"/>
        <w:overflowPunct w:val="0"/>
        <w:autoSpaceDE w:val="0"/>
        <w:autoSpaceDN w:val="0"/>
        <w:ind w:firstLine="709"/>
        <w:rPr>
          <w:snapToGrid w:val="0"/>
          <w:color w:val="000000" w:themeColor="text1"/>
          <w:kern w:val="22"/>
          <w:szCs w:val="22"/>
        </w:rPr>
      </w:pPr>
    </w:p>
    <w:p w14:paraId="7F8BF91D" w14:textId="77777777" w:rsidR="00A876F3" w:rsidRPr="0088780C" w:rsidRDefault="00A876F3" w:rsidP="001013AF">
      <w:pPr>
        <w:suppressLineNumbers/>
        <w:suppressAutoHyphens/>
        <w:kinsoku w:val="0"/>
        <w:overflowPunct w:val="0"/>
        <w:autoSpaceDE w:val="0"/>
        <w:autoSpaceDN w:val="0"/>
        <w:ind w:firstLine="709"/>
        <w:rPr>
          <w:snapToGrid w:val="0"/>
          <w:color w:val="000000" w:themeColor="text1"/>
          <w:kern w:val="22"/>
          <w:szCs w:val="22"/>
          <w:lang w:eastAsia="ru-RU"/>
        </w:rPr>
      </w:pPr>
    </w:p>
    <w:p w14:paraId="37E0B829" w14:textId="77777777" w:rsidR="00A876F3" w:rsidRPr="0088780C" w:rsidRDefault="00A876F3" w:rsidP="001013AF">
      <w:pPr>
        <w:suppressLineNumbers/>
        <w:suppressAutoHyphens/>
        <w:kinsoku w:val="0"/>
        <w:overflowPunct w:val="0"/>
        <w:autoSpaceDE w:val="0"/>
        <w:autoSpaceDN w:val="0"/>
        <w:jc w:val="center"/>
        <w:rPr>
          <w:b/>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34995970" wp14:editId="7A08EBAF">
            <wp:extent cx="4486734" cy="3096000"/>
            <wp:effectExtent l="0" t="0" r="0" b="9525"/>
            <wp:docPr id="28" name="Рисунок 10" descr="D:\Foto\Kuyalnik\2017.03.21_S2\Новый рисунок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Foto\Kuyalnik\2017.03.21_S2\Новый рисунок (3).jp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486734" cy="3096000"/>
                    </a:xfrm>
                    <a:prstGeom prst="rect">
                      <a:avLst/>
                    </a:prstGeom>
                    <a:noFill/>
                    <a:ln>
                      <a:noFill/>
                    </a:ln>
                  </pic:spPr>
                </pic:pic>
              </a:graphicData>
            </a:graphic>
          </wp:inline>
        </w:drawing>
      </w:r>
    </w:p>
    <w:p w14:paraId="4305C2A7" w14:textId="11DB9718" w:rsidR="00A876F3" w:rsidRPr="0088780C" w:rsidRDefault="00A876F3" w:rsidP="001013AF">
      <w:pPr>
        <w:pStyle w:val="CommentText"/>
        <w:suppressLineNumbers/>
        <w:suppressAutoHyphens/>
        <w:kinsoku w:val="0"/>
        <w:overflowPunct w:val="0"/>
        <w:autoSpaceDE w:val="0"/>
        <w:autoSpaceDN w:val="0"/>
        <w:rPr>
          <w:b/>
          <w:bCs/>
          <w:snapToGrid w:val="0"/>
          <w:color w:val="000000" w:themeColor="text1"/>
          <w:kern w:val="22"/>
          <w:szCs w:val="22"/>
          <w:lang w:eastAsia="ru-RU"/>
        </w:rPr>
      </w:pPr>
      <w:r w:rsidRPr="0088780C">
        <w:rPr>
          <w:b/>
          <w:bCs/>
          <w:snapToGrid w:val="0"/>
          <w:color w:val="000000" w:themeColor="text1"/>
          <w:kern w:val="22"/>
          <w:szCs w:val="22"/>
        </w:rPr>
        <w:t xml:space="preserve">Figure </w:t>
      </w:r>
      <w:r w:rsidRPr="0088780C">
        <w:rPr>
          <w:b/>
          <w:bCs/>
          <w:snapToGrid w:val="0"/>
          <w:color w:val="000000" w:themeColor="text1"/>
          <w:kern w:val="22"/>
          <w:szCs w:val="22"/>
          <w:lang w:eastAsia="ru-RU"/>
        </w:rPr>
        <w:t xml:space="preserve">12. Distribution of the biomass of macrozoobenthos at the stations of Yagorlytsky and Tendrovsky Bays, based on the materials of the expedition of the IMB NASU in June 2013 </w:t>
      </w:r>
      <w:r w:rsidRPr="0088780C">
        <w:rPr>
          <w:b/>
          <w:bCs/>
          <w:snapToGrid w:val="0"/>
          <w:kern w:val="22"/>
          <w:szCs w:val="22"/>
        </w:rPr>
        <w:t>(Minicheva et al., 2014)</w:t>
      </w:r>
    </w:p>
    <w:p w14:paraId="4F095EA1"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lang w:eastAsia="ru-RU"/>
        </w:rPr>
      </w:pPr>
    </w:p>
    <w:p w14:paraId="358017C9"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43469C26" wp14:editId="06E13626">
            <wp:extent cx="6120765" cy="4321660"/>
            <wp:effectExtent l="0" t="0" r="0" b="3175"/>
            <wp:docPr id="29" name="Рисунок 12" descr="D:\флешка\АСПИРАНТУРА 1\статьии и намётки\Ягорлыцкий залив\ЭБЗР\Assessment_ecological status_Ygorlitskiy Bay\Fig.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флешка\АСПИРАНТУРА 1\статьии и намётки\Ягорлыцкий залив\ЭБЗР\Assessment_ecological status_Ygorlitskiy Bay\Fig.3.tif"/>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0765" cy="4321660"/>
                    </a:xfrm>
                    <a:prstGeom prst="rect">
                      <a:avLst/>
                    </a:prstGeom>
                    <a:noFill/>
                    <a:ln>
                      <a:noFill/>
                    </a:ln>
                  </pic:spPr>
                </pic:pic>
              </a:graphicData>
            </a:graphic>
          </wp:inline>
        </w:drawing>
      </w:r>
    </w:p>
    <w:p w14:paraId="0E1D56EF" w14:textId="30402C11" w:rsidR="00A876F3" w:rsidRPr="0088780C" w:rsidRDefault="00A876F3" w:rsidP="001013AF">
      <w:pPr>
        <w:pStyle w:val="CommentText"/>
        <w:suppressLineNumbers/>
        <w:suppressAutoHyphens/>
        <w:kinsoku w:val="0"/>
        <w:overflowPunct w:val="0"/>
        <w:autoSpaceDE w:val="0"/>
        <w:autoSpaceDN w:val="0"/>
        <w:rPr>
          <w:b/>
          <w:bCs/>
          <w:snapToGrid w:val="0"/>
          <w:color w:val="000000" w:themeColor="text1"/>
          <w:kern w:val="22"/>
          <w:szCs w:val="22"/>
        </w:rPr>
      </w:pPr>
      <w:r w:rsidRPr="0088780C">
        <w:rPr>
          <w:b/>
          <w:bCs/>
          <w:snapToGrid w:val="0"/>
          <w:color w:val="000000" w:themeColor="text1"/>
          <w:kern w:val="22"/>
          <w:szCs w:val="22"/>
        </w:rPr>
        <w:t xml:space="preserve">Figure 13. Spatial characterization of structural and functional organization of the ground vegetation of Yagorlytsky Bay in June 2013 </w:t>
      </w:r>
      <w:r w:rsidRPr="0088780C">
        <w:rPr>
          <w:b/>
          <w:bCs/>
          <w:snapToGrid w:val="0"/>
          <w:color w:val="000000" w:themeColor="text1"/>
          <w:kern w:val="22"/>
          <w:szCs w:val="22"/>
          <w:shd w:val="clear" w:color="auto" w:fill="FFFFFF"/>
        </w:rPr>
        <w:t>(Minicheva et al., 2016)</w:t>
      </w:r>
    </w:p>
    <w:p w14:paraId="169CCB4B" w14:textId="77777777" w:rsidR="00A876F3" w:rsidRPr="0088780C" w:rsidRDefault="00A876F3" w:rsidP="001013AF">
      <w:pPr>
        <w:pStyle w:val="CommentText"/>
        <w:suppressLineNumbers/>
        <w:suppressAutoHyphens/>
        <w:kinsoku w:val="0"/>
        <w:overflowPunct w:val="0"/>
        <w:autoSpaceDE w:val="0"/>
        <w:autoSpaceDN w:val="0"/>
        <w:rPr>
          <w:snapToGrid w:val="0"/>
          <w:color w:val="000000" w:themeColor="text1"/>
          <w:kern w:val="22"/>
          <w:szCs w:val="22"/>
        </w:rPr>
      </w:pPr>
    </w:p>
    <w:p w14:paraId="182FC621" w14:textId="4546BA82" w:rsidR="00A876F3" w:rsidRPr="0088780C" w:rsidRDefault="00A876F3" w:rsidP="001013AF">
      <w:pPr>
        <w:suppressLineNumbers/>
        <w:suppressAutoHyphens/>
        <w:kinsoku w:val="0"/>
        <w:overflowPunct w:val="0"/>
        <w:autoSpaceDE w:val="0"/>
        <w:autoSpaceDN w:val="0"/>
        <w:spacing w:after="240"/>
        <w:rPr>
          <w:b/>
          <w:bCs/>
          <w:snapToGrid w:val="0"/>
          <w:kern w:val="22"/>
          <w:szCs w:val="22"/>
        </w:rPr>
      </w:pPr>
      <w:r w:rsidRPr="0088780C">
        <w:rPr>
          <w:noProof/>
          <w:snapToGrid w:val="0"/>
          <w:color w:val="000000" w:themeColor="text1"/>
          <w:kern w:val="22"/>
          <w:szCs w:val="22"/>
          <w:lang w:eastAsia="zh-CN"/>
        </w:rPr>
        <w:drawing>
          <wp:inline distT="0" distB="0" distL="0" distR="0" wp14:anchorId="08E70934" wp14:editId="2258C89D">
            <wp:extent cx="6120765" cy="3242003"/>
            <wp:effectExtent l="0" t="0" r="0"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69" cstate="email">
                      <a:extLst>
                        <a:ext uri="{28A0092B-C50C-407E-A947-70E740481C1C}">
                          <a14:useLocalDpi xmlns:a14="http://schemas.microsoft.com/office/drawing/2010/main"/>
                        </a:ext>
                      </a:extLst>
                    </a:blip>
                    <a:srcRect/>
                    <a:stretch>
                      <a:fillRect/>
                    </a:stretch>
                  </pic:blipFill>
                  <pic:spPr bwMode="auto">
                    <a:xfrm>
                      <a:off x="0" y="0"/>
                      <a:ext cx="6120765" cy="3242003"/>
                    </a:xfrm>
                    <a:prstGeom prst="rect">
                      <a:avLst/>
                    </a:prstGeom>
                    <a:noFill/>
                    <a:ln>
                      <a:noFill/>
                    </a:ln>
                    <a:effectLst/>
                    <a:extLst/>
                  </pic:spPr>
                </pic:pic>
              </a:graphicData>
            </a:graphic>
          </wp:inline>
        </w:drawing>
      </w:r>
      <w:r w:rsidRPr="0088780C">
        <w:rPr>
          <w:b/>
          <w:bCs/>
          <w:snapToGrid w:val="0"/>
          <w:kern w:val="22"/>
          <w:szCs w:val="22"/>
        </w:rPr>
        <w:t xml:space="preserve">Figure 14. The spatial distribution of ecological status class (ESC) in the waters of Yagorlytsky Bay and north-western part of Tendrovsky Bay </w:t>
      </w:r>
      <w:r w:rsidRPr="0088780C">
        <w:rPr>
          <w:b/>
          <w:bCs/>
          <w:snapToGrid w:val="0"/>
          <w:kern w:val="22"/>
          <w:szCs w:val="22"/>
          <w:shd w:val="clear" w:color="auto" w:fill="FFFFFF"/>
        </w:rPr>
        <w:t>(Minicheva, Sokolov and Shvets, 2016)</w:t>
      </w:r>
    </w:p>
    <w:p w14:paraId="7BD09735" w14:textId="77777777" w:rsidR="00A876F3" w:rsidRPr="0088780C" w:rsidRDefault="00A876F3" w:rsidP="001013AF">
      <w:pPr>
        <w:pStyle w:val="HTMLPreformatted"/>
        <w:suppressLineNumbers/>
        <w:suppressAutoHyphens/>
        <w:kinsoku w:val="0"/>
        <w:overflowPunct w:val="0"/>
        <w:autoSpaceDE w:val="0"/>
        <w:autoSpaceDN w:val="0"/>
        <w:jc w:val="both"/>
        <w:rPr>
          <w:rFonts w:ascii="Times New Roman" w:hAnsi="Times New Roman"/>
          <w:snapToGrid w:val="0"/>
          <w:color w:val="000000" w:themeColor="text1"/>
          <w:kern w:val="22"/>
          <w:sz w:val="22"/>
          <w:szCs w:val="22"/>
          <w:lang w:val="en-GB"/>
        </w:rPr>
      </w:pPr>
    </w:p>
    <w:p w14:paraId="0C45C771" w14:textId="77777777" w:rsidR="00A876F3" w:rsidRPr="0088780C" w:rsidRDefault="00A876F3" w:rsidP="001013AF">
      <w:pPr>
        <w:pStyle w:val="HTMLPreformatted"/>
        <w:suppressLineNumbers/>
        <w:suppressAutoHyphens/>
        <w:kinsoku w:val="0"/>
        <w:overflowPunct w:val="0"/>
        <w:autoSpaceDE w:val="0"/>
        <w:autoSpaceDN w:val="0"/>
        <w:ind w:firstLine="720"/>
        <w:jc w:val="both"/>
        <w:rPr>
          <w:rFonts w:ascii="Times New Roman" w:hAnsi="Times New Roman"/>
          <w:snapToGrid w:val="0"/>
          <w:color w:val="000000" w:themeColor="text1"/>
          <w:kern w:val="22"/>
          <w:sz w:val="22"/>
          <w:szCs w:val="22"/>
          <w:lang w:val="en-GB"/>
        </w:rPr>
      </w:pPr>
    </w:p>
    <w:p w14:paraId="6C00DED7" w14:textId="77777777" w:rsidR="00A876F3" w:rsidRPr="0088780C" w:rsidRDefault="00A876F3" w:rsidP="001013AF">
      <w:pPr>
        <w:pStyle w:val="HTMLPreformatted"/>
        <w:suppressLineNumbers/>
        <w:suppressAutoHyphens/>
        <w:kinsoku w:val="0"/>
        <w:overflowPunct w:val="0"/>
        <w:autoSpaceDE w:val="0"/>
        <w:autoSpaceDN w:val="0"/>
        <w:jc w:val="center"/>
        <w:rPr>
          <w:rFonts w:ascii="Times New Roman" w:hAnsi="Times New Roman"/>
          <w:snapToGrid w:val="0"/>
          <w:color w:val="000000" w:themeColor="text1"/>
          <w:kern w:val="22"/>
          <w:sz w:val="22"/>
          <w:szCs w:val="22"/>
          <w:lang w:val="en-GB"/>
        </w:rPr>
      </w:pPr>
      <w:r w:rsidRPr="0088780C">
        <w:rPr>
          <w:rFonts w:ascii="Times New Roman" w:hAnsi="Times New Roman"/>
          <w:noProof/>
          <w:snapToGrid w:val="0"/>
          <w:color w:val="000000" w:themeColor="text1"/>
          <w:kern w:val="22"/>
          <w:sz w:val="22"/>
          <w:szCs w:val="22"/>
          <w:lang w:val="en-GB" w:eastAsia="zh-CN"/>
        </w:rPr>
        <w:drawing>
          <wp:inline distT="0" distB="0" distL="0" distR="0" wp14:anchorId="4314F5C5" wp14:editId="16254C07">
            <wp:extent cx="6120765" cy="3717690"/>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70" cstate="email">
                      <a:extLst>
                        <a:ext uri="{28A0092B-C50C-407E-A947-70E740481C1C}">
                          <a14:useLocalDpi xmlns:a14="http://schemas.microsoft.com/office/drawing/2010/main"/>
                        </a:ext>
                      </a:extLst>
                    </a:blip>
                    <a:srcRect/>
                    <a:stretch>
                      <a:fillRect/>
                    </a:stretch>
                  </pic:blipFill>
                  <pic:spPr bwMode="auto">
                    <a:xfrm>
                      <a:off x="0" y="0"/>
                      <a:ext cx="6120765" cy="3717690"/>
                    </a:xfrm>
                    <a:prstGeom prst="rect">
                      <a:avLst/>
                    </a:prstGeom>
                    <a:noFill/>
                    <a:ln>
                      <a:noFill/>
                    </a:ln>
                    <a:extLst/>
                  </pic:spPr>
                </pic:pic>
              </a:graphicData>
            </a:graphic>
          </wp:inline>
        </w:drawing>
      </w:r>
    </w:p>
    <w:p w14:paraId="7871BF0F" w14:textId="456DF3CE" w:rsidR="00A876F3" w:rsidRPr="0088780C" w:rsidRDefault="00A876F3" w:rsidP="001013AF">
      <w:pPr>
        <w:pStyle w:val="CommentText"/>
        <w:suppressLineNumbers/>
        <w:suppressAutoHyphens/>
        <w:kinsoku w:val="0"/>
        <w:overflowPunct w:val="0"/>
        <w:autoSpaceDE w:val="0"/>
        <w:autoSpaceDN w:val="0"/>
        <w:rPr>
          <w:b/>
          <w:bCs/>
          <w:snapToGrid w:val="0"/>
          <w:kern w:val="22"/>
          <w:szCs w:val="22"/>
        </w:rPr>
      </w:pPr>
      <w:r w:rsidRPr="0088780C">
        <w:rPr>
          <w:b/>
          <w:bCs/>
          <w:snapToGrid w:val="0"/>
          <w:color w:val="000000" w:themeColor="text1"/>
          <w:kern w:val="22"/>
          <w:szCs w:val="22"/>
        </w:rPr>
        <w:t xml:space="preserve">Figure 15. Landscape and anthropogenic structure of the catchment area of Yagorlytsky and Tendrovsky bays </w:t>
      </w:r>
      <w:r w:rsidRPr="0088780C">
        <w:rPr>
          <w:b/>
          <w:bCs/>
          <w:snapToGrid w:val="0"/>
          <w:color w:val="000000" w:themeColor="text1"/>
          <w:kern w:val="22"/>
          <w:szCs w:val="22"/>
          <w:shd w:val="clear" w:color="auto" w:fill="FFFFFF"/>
        </w:rPr>
        <w:t>(Minicheva et al., 2016)</w:t>
      </w:r>
    </w:p>
    <w:p w14:paraId="3EBBA473" w14:textId="77777777" w:rsidR="00A876F3" w:rsidRPr="0088780C" w:rsidRDefault="00A876F3" w:rsidP="001013AF">
      <w:pPr>
        <w:suppressLineNumbers/>
        <w:suppressAutoHyphens/>
        <w:kinsoku w:val="0"/>
        <w:overflowPunct w:val="0"/>
        <w:autoSpaceDE w:val="0"/>
        <w:autoSpaceDN w:val="0"/>
        <w:spacing w:after="240"/>
        <w:ind w:firstLine="709"/>
        <w:rPr>
          <w:snapToGrid w:val="0"/>
          <w:color w:val="000000" w:themeColor="text1"/>
          <w:kern w:val="22"/>
          <w:szCs w:val="22"/>
        </w:rPr>
      </w:pPr>
    </w:p>
    <w:p w14:paraId="3FA0AF50" w14:textId="77777777" w:rsidR="00A876F3" w:rsidRPr="0088780C" w:rsidRDefault="00A876F3" w:rsidP="001013AF">
      <w:pPr>
        <w:pStyle w:val="ListParagraph"/>
        <w:suppressLineNumbers/>
        <w:tabs>
          <w:tab w:val="left" w:pos="7290"/>
        </w:tabs>
        <w:suppressAutoHyphens/>
        <w:kinsoku w:val="0"/>
        <w:overflowPunct w:val="0"/>
        <w:autoSpaceDE w:val="0"/>
        <w:autoSpaceDN w:val="0"/>
        <w:spacing w:before="240"/>
        <w:ind w:left="880"/>
        <w:rPr>
          <w:b/>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2FE26AA2" wp14:editId="1C218446">
            <wp:extent cx="6120765" cy="2511099"/>
            <wp:effectExtent l="0" t="0" r="0" b="381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71" cstate="email">
                      <a:extLst>
                        <a:ext uri="{28A0092B-C50C-407E-A947-70E740481C1C}">
                          <a14:useLocalDpi xmlns:a14="http://schemas.microsoft.com/office/drawing/2010/main"/>
                        </a:ext>
                      </a:extLst>
                    </a:blip>
                    <a:srcRect/>
                    <a:stretch>
                      <a:fillRect/>
                    </a:stretch>
                  </pic:blipFill>
                  <pic:spPr bwMode="auto">
                    <a:xfrm>
                      <a:off x="0" y="0"/>
                      <a:ext cx="6120765" cy="2511099"/>
                    </a:xfrm>
                    <a:prstGeom prst="rect">
                      <a:avLst/>
                    </a:prstGeom>
                    <a:noFill/>
                    <a:ln>
                      <a:noFill/>
                    </a:ln>
                    <a:extLst/>
                  </pic:spPr>
                </pic:pic>
              </a:graphicData>
            </a:graphic>
          </wp:inline>
        </w:drawing>
      </w:r>
    </w:p>
    <w:p w14:paraId="12725A3F" w14:textId="262EF2DD" w:rsidR="00A876F3" w:rsidRPr="0088780C" w:rsidRDefault="00A876F3" w:rsidP="001013AF">
      <w:pPr>
        <w:pStyle w:val="CommentText"/>
        <w:suppressLineNumbers/>
        <w:suppressAutoHyphens/>
        <w:kinsoku w:val="0"/>
        <w:overflowPunct w:val="0"/>
        <w:autoSpaceDE w:val="0"/>
        <w:autoSpaceDN w:val="0"/>
        <w:rPr>
          <w:b/>
          <w:bCs/>
          <w:snapToGrid w:val="0"/>
          <w:kern w:val="22"/>
          <w:szCs w:val="22"/>
        </w:rPr>
      </w:pPr>
      <w:r w:rsidRPr="0088780C">
        <w:rPr>
          <w:b/>
          <w:bCs/>
          <w:snapToGrid w:val="0"/>
          <w:color w:val="000000" w:themeColor="text1"/>
          <w:kern w:val="22"/>
          <w:szCs w:val="22"/>
        </w:rPr>
        <w:t xml:space="preserve">Figure 16. Spatial distribution of the coefficient of anthropogenic transformation of the catchment area and the surrounding area of Yagorlytsky Bay </w:t>
      </w:r>
      <w:r w:rsidRPr="0088780C">
        <w:rPr>
          <w:b/>
          <w:bCs/>
          <w:snapToGrid w:val="0"/>
          <w:color w:val="000000" w:themeColor="text1"/>
          <w:kern w:val="22"/>
          <w:szCs w:val="22"/>
          <w:shd w:val="clear" w:color="auto" w:fill="FFFFFF"/>
        </w:rPr>
        <w:t>(Minicheva et al., 2016)</w:t>
      </w:r>
    </w:p>
    <w:p w14:paraId="47FCCF9E" w14:textId="77777777" w:rsidR="00A876F3" w:rsidRPr="0088780C" w:rsidRDefault="00A876F3" w:rsidP="001013AF">
      <w:pPr>
        <w:pStyle w:val="ListParagraph"/>
        <w:suppressLineNumbers/>
        <w:tabs>
          <w:tab w:val="left" w:pos="7290"/>
        </w:tabs>
        <w:suppressAutoHyphens/>
        <w:kinsoku w:val="0"/>
        <w:overflowPunct w:val="0"/>
        <w:autoSpaceDE w:val="0"/>
        <w:autoSpaceDN w:val="0"/>
        <w:spacing w:before="240"/>
        <w:ind w:left="880"/>
        <w:rPr>
          <w:snapToGrid w:val="0"/>
          <w:color w:val="000000" w:themeColor="text1"/>
          <w:kern w:val="22"/>
          <w:szCs w:val="22"/>
        </w:rPr>
      </w:pPr>
    </w:p>
    <w:p w14:paraId="48B5CB19" w14:textId="77777777" w:rsidR="00A876F3" w:rsidRPr="0088780C" w:rsidRDefault="00A876F3" w:rsidP="001013AF">
      <w:pPr>
        <w:pStyle w:val="ListParagraph"/>
        <w:suppressLineNumbers/>
        <w:tabs>
          <w:tab w:val="left" w:pos="7290"/>
        </w:tabs>
        <w:suppressAutoHyphens/>
        <w:kinsoku w:val="0"/>
        <w:overflowPunct w:val="0"/>
        <w:autoSpaceDE w:val="0"/>
        <w:autoSpaceDN w:val="0"/>
        <w:spacing w:before="240"/>
        <w:ind w:left="880" w:firstLine="720"/>
        <w:rPr>
          <w:snapToGrid w:val="0"/>
          <w:color w:val="000000" w:themeColor="text1"/>
          <w:kern w:val="22"/>
          <w:szCs w:val="22"/>
        </w:rPr>
      </w:pPr>
    </w:p>
    <w:p w14:paraId="013D4ABD" w14:textId="77777777" w:rsidR="00A876F3" w:rsidRPr="0088780C" w:rsidRDefault="00A876F3" w:rsidP="001013AF">
      <w:pPr>
        <w:pStyle w:val="ListParagraph"/>
        <w:suppressLineNumbers/>
        <w:tabs>
          <w:tab w:val="left" w:pos="709"/>
          <w:tab w:val="left" w:pos="7290"/>
        </w:tabs>
        <w:suppressAutoHyphens/>
        <w:kinsoku w:val="0"/>
        <w:overflowPunct w:val="0"/>
        <w:autoSpaceDE w:val="0"/>
        <w:autoSpaceDN w:val="0"/>
        <w:ind w:left="880"/>
        <w:rPr>
          <w:snapToGrid w:val="0"/>
          <w:color w:val="000000" w:themeColor="text1"/>
          <w:kern w:val="22"/>
          <w:szCs w:val="22"/>
        </w:rPr>
      </w:pPr>
      <w:r w:rsidRPr="0088780C">
        <w:rPr>
          <w:noProof/>
          <w:snapToGrid w:val="0"/>
          <w:color w:val="000000" w:themeColor="text1"/>
          <w:kern w:val="22"/>
          <w:szCs w:val="22"/>
          <w:lang w:eastAsia="zh-CN"/>
        </w:rPr>
        <w:drawing>
          <wp:inline distT="0" distB="0" distL="0" distR="0" wp14:anchorId="4CDC267A" wp14:editId="34BD073D">
            <wp:extent cx="6120765" cy="3399025"/>
            <wp:effectExtent l="0" t="0" r="0" b="0"/>
            <wp:docPr id="31" name="Рисунок 16" descr="D:\флешка\АСПИРАНТУРА 1\статьии и намётки\Ягорлыцкий залив\ЭБЗР\Assessment_ecological status_Ygorlitskiy Bay\Fig.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флешка\АСПИРАНТУРА 1\статьии и намётки\Ягорлыцкий залив\ЭБЗР\Assessment_ecological status_Ygorlitskiy Bay\Fig.8.tif"/>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120765" cy="3399025"/>
                    </a:xfrm>
                    <a:prstGeom prst="rect">
                      <a:avLst/>
                    </a:prstGeom>
                    <a:noFill/>
                    <a:ln>
                      <a:noFill/>
                    </a:ln>
                  </pic:spPr>
                </pic:pic>
              </a:graphicData>
            </a:graphic>
          </wp:inline>
        </w:drawing>
      </w:r>
    </w:p>
    <w:p w14:paraId="2768E12B" w14:textId="7227D7A2" w:rsidR="00A876F3" w:rsidRPr="0088780C" w:rsidRDefault="00A876F3" w:rsidP="001013AF">
      <w:pPr>
        <w:pStyle w:val="CommentText"/>
        <w:suppressLineNumbers/>
        <w:suppressAutoHyphens/>
        <w:kinsoku w:val="0"/>
        <w:overflowPunct w:val="0"/>
        <w:autoSpaceDE w:val="0"/>
        <w:autoSpaceDN w:val="0"/>
        <w:rPr>
          <w:b/>
          <w:bCs/>
          <w:snapToGrid w:val="0"/>
          <w:color w:val="000000" w:themeColor="text1"/>
          <w:kern w:val="22"/>
          <w:szCs w:val="22"/>
        </w:rPr>
      </w:pPr>
      <w:r w:rsidRPr="0088780C">
        <w:rPr>
          <w:b/>
          <w:bCs/>
          <w:snapToGrid w:val="0"/>
          <w:color w:val="000000" w:themeColor="text1"/>
          <w:kern w:val="22"/>
          <w:szCs w:val="22"/>
        </w:rPr>
        <w:t xml:space="preserve">Figure 17. Spatial distribution of the population on the catchment area and the surrounding area of Yagorlytsky Bay </w:t>
      </w:r>
      <w:r w:rsidRPr="0088780C">
        <w:rPr>
          <w:b/>
          <w:bCs/>
          <w:snapToGrid w:val="0"/>
          <w:color w:val="000000" w:themeColor="text1"/>
          <w:kern w:val="22"/>
          <w:szCs w:val="22"/>
          <w:shd w:val="clear" w:color="auto" w:fill="FFFFFF"/>
        </w:rPr>
        <w:t>(Minicheva et al., 2016)</w:t>
      </w:r>
    </w:p>
    <w:p w14:paraId="586E359C" w14:textId="7D884966" w:rsidR="00A876F3" w:rsidRPr="0088780C" w:rsidRDefault="00A876F3" w:rsidP="001013AF">
      <w:pPr>
        <w:suppressLineNumbers/>
        <w:suppressAutoHyphens/>
        <w:kinsoku w:val="0"/>
        <w:overflowPunct w:val="0"/>
        <w:autoSpaceDE w:val="0"/>
        <w:autoSpaceDN w:val="0"/>
        <w:spacing w:before="120" w:after="120"/>
        <w:rPr>
          <w:b/>
          <w:bCs/>
          <w:snapToGrid w:val="0"/>
          <w:color w:val="000000" w:themeColor="text1"/>
          <w:kern w:val="22"/>
          <w:szCs w:val="22"/>
        </w:rPr>
      </w:pPr>
      <w:r w:rsidRPr="0088780C">
        <w:rPr>
          <w:b/>
          <w:bCs/>
          <w:snapToGrid w:val="0"/>
          <w:color w:val="000000" w:themeColor="text1"/>
          <w:kern w:val="22"/>
          <w:szCs w:val="22"/>
        </w:rPr>
        <w:t xml:space="preserve">Table 1. Hydrological and morphometric characteristics of Yagorlytsky Bay </w:t>
      </w:r>
      <w:r w:rsidRPr="0088780C">
        <w:rPr>
          <w:rFonts w:eastAsia="MS Mincho"/>
          <w:b/>
          <w:bCs/>
          <w:snapToGrid w:val="0"/>
          <w:color w:val="000000" w:themeColor="text1"/>
          <w:kern w:val="22"/>
          <w:szCs w:val="22"/>
        </w:rPr>
        <w:t>(</w:t>
      </w:r>
      <w:r w:rsidRPr="0088780C">
        <w:rPr>
          <w:b/>
          <w:bCs/>
          <w:snapToGrid w:val="0"/>
          <w:kern w:val="22"/>
          <w:szCs w:val="22"/>
        </w:rPr>
        <w:t>Minicheva et al., 2014)</w:t>
      </w:r>
    </w:p>
    <w:tbl>
      <w:tblPr>
        <w:tblW w:w="6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9" w:type="dxa"/>
          <w:right w:w="79" w:type="dxa"/>
        </w:tblCellMar>
        <w:tblLook w:val="04A0" w:firstRow="1" w:lastRow="0" w:firstColumn="1" w:lastColumn="0" w:noHBand="0" w:noVBand="1"/>
      </w:tblPr>
      <w:tblGrid>
        <w:gridCol w:w="3318"/>
        <w:gridCol w:w="1134"/>
        <w:gridCol w:w="1276"/>
        <w:gridCol w:w="1134"/>
      </w:tblGrid>
      <w:tr w:rsidR="00A876F3" w:rsidRPr="0088780C" w14:paraId="43722867" w14:textId="77777777" w:rsidTr="006972AD">
        <w:trPr>
          <w:trHeight w:val="213"/>
          <w:jc w:val="center"/>
        </w:trPr>
        <w:tc>
          <w:tcPr>
            <w:tcW w:w="3318" w:type="dxa"/>
            <w:tcBorders>
              <w:top w:val="single" w:sz="4" w:space="0" w:color="auto"/>
              <w:left w:val="single" w:sz="4" w:space="0" w:color="000000"/>
              <w:bottom w:val="single" w:sz="4" w:space="0" w:color="auto"/>
              <w:right w:val="single" w:sz="4" w:space="0" w:color="000000"/>
            </w:tcBorders>
            <w:hideMark/>
          </w:tcPr>
          <w:p w14:paraId="170B991C"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i/>
                <w:iCs/>
                <w:snapToGrid w:val="0"/>
                <w:color w:val="000000" w:themeColor="text1"/>
                <w:kern w:val="22"/>
                <w:sz w:val="22"/>
                <w:szCs w:val="22"/>
                <w:lang w:val="en-GB"/>
              </w:rPr>
            </w:pPr>
            <w:r w:rsidRPr="0088780C">
              <w:rPr>
                <w:bCs/>
                <w:i/>
                <w:iCs/>
                <w:snapToGrid w:val="0"/>
                <w:color w:val="000000" w:themeColor="text1"/>
                <w:kern w:val="22"/>
                <w:sz w:val="22"/>
                <w:szCs w:val="22"/>
                <w:lang w:val="en-GB"/>
              </w:rPr>
              <w:t>Characteristic</w:t>
            </w:r>
          </w:p>
        </w:tc>
        <w:tc>
          <w:tcPr>
            <w:tcW w:w="1134" w:type="dxa"/>
            <w:tcBorders>
              <w:top w:val="single" w:sz="4" w:space="0" w:color="auto"/>
              <w:left w:val="single" w:sz="4" w:space="0" w:color="000000"/>
              <w:bottom w:val="single" w:sz="4" w:space="0" w:color="auto"/>
              <w:right w:val="single" w:sz="4" w:space="0" w:color="000000"/>
            </w:tcBorders>
            <w:hideMark/>
          </w:tcPr>
          <w:p w14:paraId="32FD8F2E"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i/>
                <w:iCs/>
                <w:snapToGrid w:val="0"/>
                <w:color w:val="000000" w:themeColor="text1"/>
                <w:kern w:val="22"/>
                <w:sz w:val="22"/>
                <w:szCs w:val="22"/>
                <w:lang w:val="en-GB"/>
              </w:rPr>
            </w:pPr>
            <w:r w:rsidRPr="0088780C">
              <w:rPr>
                <w:bCs/>
                <w:i/>
                <w:iCs/>
                <w:snapToGrid w:val="0"/>
                <w:color w:val="000000" w:themeColor="text1"/>
                <w:kern w:val="22"/>
                <w:sz w:val="22"/>
                <w:szCs w:val="22"/>
                <w:lang w:val="en-GB"/>
              </w:rPr>
              <w:t>Symbol</w:t>
            </w:r>
          </w:p>
        </w:tc>
        <w:tc>
          <w:tcPr>
            <w:tcW w:w="1276" w:type="dxa"/>
            <w:tcBorders>
              <w:top w:val="single" w:sz="4" w:space="0" w:color="auto"/>
              <w:left w:val="single" w:sz="4" w:space="0" w:color="000000"/>
              <w:bottom w:val="single" w:sz="4" w:space="0" w:color="auto"/>
              <w:right w:val="single" w:sz="4" w:space="0" w:color="000000"/>
            </w:tcBorders>
            <w:hideMark/>
          </w:tcPr>
          <w:p w14:paraId="446AA08B"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i/>
                <w:iCs/>
                <w:snapToGrid w:val="0"/>
                <w:color w:val="000000" w:themeColor="text1"/>
                <w:kern w:val="22"/>
                <w:sz w:val="22"/>
                <w:szCs w:val="22"/>
                <w:lang w:val="en-GB"/>
              </w:rPr>
            </w:pPr>
            <w:r w:rsidRPr="0088780C">
              <w:rPr>
                <w:bCs/>
                <w:i/>
                <w:iCs/>
                <w:snapToGrid w:val="0"/>
                <w:color w:val="000000" w:themeColor="text1"/>
                <w:kern w:val="22"/>
                <w:sz w:val="22"/>
                <w:szCs w:val="22"/>
                <w:lang w:val="en-GB"/>
              </w:rPr>
              <w:t>Dimension</w:t>
            </w:r>
          </w:p>
        </w:tc>
        <w:tc>
          <w:tcPr>
            <w:tcW w:w="1134" w:type="dxa"/>
            <w:tcBorders>
              <w:top w:val="single" w:sz="4" w:space="0" w:color="auto"/>
              <w:left w:val="single" w:sz="4" w:space="0" w:color="000000"/>
              <w:bottom w:val="single" w:sz="4" w:space="0" w:color="auto"/>
              <w:right w:val="single" w:sz="4" w:space="0" w:color="000000"/>
            </w:tcBorders>
          </w:tcPr>
          <w:p w14:paraId="499DBD40"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i/>
                <w:iCs/>
                <w:snapToGrid w:val="0"/>
                <w:color w:val="000000" w:themeColor="text1"/>
                <w:kern w:val="22"/>
                <w:sz w:val="22"/>
                <w:szCs w:val="22"/>
                <w:lang w:val="en-GB"/>
              </w:rPr>
            </w:pPr>
            <w:r w:rsidRPr="0088780C">
              <w:rPr>
                <w:bCs/>
                <w:i/>
                <w:iCs/>
                <w:snapToGrid w:val="0"/>
                <w:color w:val="000000" w:themeColor="text1"/>
                <w:kern w:val="22"/>
                <w:sz w:val="22"/>
                <w:szCs w:val="22"/>
                <w:lang w:val="en-GB"/>
              </w:rPr>
              <w:t>Value</w:t>
            </w:r>
          </w:p>
        </w:tc>
      </w:tr>
      <w:tr w:rsidR="00A876F3" w:rsidRPr="0088780C" w14:paraId="3014EB6E" w14:textId="77777777" w:rsidTr="006972AD">
        <w:trPr>
          <w:trHeight w:val="92"/>
          <w:jc w:val="center"/>
        </w:trPr>
        <w:tc>
          <w:tcPr>
            <w:tcW w:w="3318" w:type="dxa"/>
            <w:tcBorders>
              <w:top w:val="single" w:sz="4" w:space="0" w:color="auto"/>
              <w:left w:val="single" w:sz="4" w:space="0" w:color="000000"/>
              <w:bottom w:val="single" w:sz="4" w:space="0" w:color="auto"/>
              <w:right w:val="single" w:sz="4" w:space="0" w:color="000000"/>
            </w:tcBorders>
          </w:tcPr>
          <w:p w14:paraId="0D84BD54"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Water volume</w:t>
            </w:r>
          </w:p>
        </w:tc>
        <w:tc>
          <w:tcPr>
            <w:tcW w:w="1134" w:type="dxa"/>
            <w:tcBorders>
              <w:top w:val="single" w:sz="4" w:space="0" w:color="auto"/>
              <w:left w:val="single" w:sz="4" w:space="0" w:color="000000"/>
              <w:bottom w:val="single" w:sz="4" w:space="0" w:color="auto"/>
              <w:right w:val="single" w:sz="4" w:space="0" w:color="000000"/>
            </w:tcBorders>
          </w:tcPr>
          <w:p w14:paraId="3860050D"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V</w:t>
            </w:r>
          </w:p>
        </w:tc>
        <w:tc>
          <w:tcPr>
            <w:tcW w:w="1276" w:type="dxa"/>
            <w:tcBorders>
              <w:top w:val="single" w:sz="4" w:space="0" w:color="auto"/>
              <w:left w:val="single" w:sz="4" w:space="0" w:color="000000"/>
              <w:bottom w:val="single" w:sz="4" w:space="0" w:color="auto"/>
              <w:right w:val="single" w:sz="4" w:space="0" w:color="FFFFFF"/>
            </w:tcBorders>
          </w:tcPr>
          <w:p w14:paraId="56AE8CC7"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10</w:t>
            </w:r>
            <w:r w:rsidRPr="0088780C">
              <w:rPr>
                <w:bCs/>
                <w:snapToGrid w:val="0"/>
                <w:color w:val="000000" w:themeColor="text1"/>
                <w:kern w:val="22"/>
                <w:sz w:val="22"/>
                <w:szCs w:val="22"/>
                <w:vertAlign w:val="superscript"/>
                <w:lang w:val="en-GB"/>
              </w:rPr>
              <w:t>6</w:t>
            </w:r>
            <w:r w:rsidRPr="0088780C">
              <w:rPr>
                <w:bCs/>
                <w:snapToGrid w:val="0"/>
                <w:color w:val="000000" w:themeColor="text1"/>
                <w:kern w:val="22"/>
                <w:sz w:val="22"/>
                <w:szCs w:val="22"/>
                <w:lang w:val="en-GB"/>
              </w:rPr>
              <w:t xml:space="preserve"> m</w:t>
            </w:r>
            <w:r w:rsidRPr="0088780C">
              <w:rPr>
                <w:bCs/>
                <w:snapToGrid w:val="0"/>
                <w:color w:val="000000" w:themeColor="text1"/>
                <w:kern w:val="22"/>
                <w:sz w:val="22"/>
                <w:szCs w:val="22"/>
                <w:vertAlign w:val="superscript"/>
                <w:lang w:val="en-GB"/>
              </w:rPr>
              <w:t>3</w:t>
            </w:r>
          </w:p>
        </w:tc>
        <w:tc>
          <w:tcPr>
            <w:tcW w:w="1134" w:type="dxa"/>
            <w:tcBorders>
              <w:top w:val="single" w:sz="4" w:space="0" w:color="auto"/>
              <w:left w:val="single" w:sz="4" w:space="0" w:color="000000"/>
              <w:bottom w:val="single" w:sz="4" w:space="0" w:color="auto"/>
              <w:right w:val="single" w:sz="4" w:space="0" w:color="000000"/>
            </w:tcBorders>
          </w:tcPr>
          <w:p w14:paraId="015B8BF5"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849,240</w:t>
            </w:r>
          </w:p>
        </w:tc>
      </w:tr>
      <w:tr w:rsidR="00A876F3" w:rsidRPr="0088780C" w14:paraId="3D6BE2A2" w14:textId="77777777" w:rsidTr="006972AD">
        <w:trPr>
          <w:trHeight w:val="223"/>
          <w:jc w:val="center"/>
        </w:trPr>
        <w:tc>
          <w:tcPr>
            <w:tcW w:w="3318" w:type="dxa"/>
            <w:tcBorders>
              <w:top w:val="single" w:sz="4" w:space="0" w:color="auto"/>
              <w:left w:val="single" w:sz="4" w:space="0" w:color="000000"/>
              <w:bottom w:val="single" w:sz="4" w:space="0" w:color="000000"/>
              <w:right w:val="single" w:sz="4" w:space="0" w:color="000000"/>
            </w:tcBorders>
          </w:tcPr>
          <w:p w14:paraId="2D98A1FF"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Water surface area</w:t>
            </w:r>
          </w:p>
        </w:tc>
        <w:tc>
          <w:tcPr>
            <w:tcW w:w="1134" w:type="dxa"/>
            <w:tcBorders>
              <w:top w:val="single" w:sz="4" w:space="0" w:color="auto"/>
              <w:left w:val="single" w:sz="4" w:space="0" w:color="000000"/>
              <w:bottom w:val="single" w:sz="4" w:space="0" w:color="000000"/>
              <w:right w:val="single" w:sz="4" w:space="0" w:color="000000"/>
            </w:tcBorders>
          </w:tcPr>
          <w:p w14:paraId="538B7A1B"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F</w:t>
            </w:r>
          </w:p>
        </w:tc>
        <w:tc>
          <w:tcPr>
            <w:tcW w:w="1276" w:type="dxa"/>
            <w:tcBorders>
              <w:top w:val="single" w:sz="4" w:space="0" w:color="auto"/>
              <w:left w:val="single" w:sz="4" w:space="0" w:color="000000"/>
              <w:bottom w:val="single" w:sz="4" w:space="0" w:color="000000"/>
              <w:right w:val="single" w:sz="4" w:space="0" w:color="FFFFFF"/>
            </w:tcBorders>
          </w:tcPr>
          <w:p w14:paraId="28D8446D"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km</w:t>
            </w:r>
            <w:r w:rsidRPr="0088780C">
              <w:rPr>
                <w:bCs/>
                <w:snapToGrid w:val="0"/>
                <w:color w:val="000000" w:themeColor="text1"/>
                <w:kern w:val="22"/>
                <w:sz w:val="22"/>
                <w:szCs w:val="22"/>
                <w:vertAlign w:val="superscript"/>
                <w:lang w:val="en-GB"/>
              </w:rPr>
              <w:t>2</w:t>
            </w:r>
          </w:p>
        </w:tc>
        <w:tc>
          <w:tcPr>
            <w:tcW w:w="1134" w:type="dxa"/>
            <w:tcBorders>
              <w:top w:val="single" w:sz="4" w:space="0" w:color="auto"/>
              <w:left w:val="single" w:sz="4" w:space="0" w:color="000000"/>
              <w:bottom w:val="single" w:sz="4" w:space="0" w:color="000000"/>
              <w:right w:val="single" w:sz="4" w:space="0" w:color="000000"/>
            </w:tcBorders>
          </w:tcPr>
          <w:p w14:paraId="0BC5C6E4"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303,300</w:t>
            </w:r>
          </w:p>
        </w:tc>
      </w:tr>
      <w:tr w:rsidR="00A876F3" w:rsidRPr="0088780C" w14:paraId="44888D19" w14:textId="77777777" w:rsidTr="006972AD">
        <w:trPr>
          <w:trHeight w:val="150"/>
          <w:jc w:val="center"/>
        </w:trPr>
        <w:tc>
          <w:tcPr>
            <w:tcW w:w="3318" w:type="dxa"/>
            <w:tcBorders>
              <w:top w:val="single" w:sz="4" w:space="0" w:color="000000"/>
              <w:left w:val="single" w:sz="4" w:space="0" w:color="000000"/>
              <w:bottom w:val="single" w:sz="4" w:space="0" w:color="000000"/>
              <w:right w:val="single" w:sz="4" w:space="0" w:color="000000"/>
            </w:tcBorders>
          </w:tcPr>
          <w:p w14:paraId="6EE23777"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Area of the catchment area</w:t>
            </w:r>
          </w:p>
        </w:tc>
        <w:tc>
          <w:tcPr>
            <w:tcW w:w="1134" w:type="dxa"/>
            <w:tcBorders>
              <w:top w:val="single" w:sz="4" w:space="0" w:color="000000"/>
              <w:left w:val="single" w:sz="4" w:space="0" w:color="000000"/>
              <w:bottom w:val="single" w:sz="4" w:space="0" w:color="000000"/>
              <w:right w:val="single" w:sz="4" w:space="0" w:color="000000"/>
            </w:tcBorders>
          </w:tcPr>
          <w:p w14:paraId="7776CF88"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F</w:t>
            </w:r>
            <w:r w:rsidRPr="0088780C">
              <w:rPr>
                <w:bCs/>
                <w:snapToGrid w:val="0"/>
                <w:color w:val="000000" w:themeColor="text1"/>
                <w:kern w:val="22"/>
                <w:sz w:val="22"/>
                <w:szCs w:val="22"/>
                <w:vertAlign w:val="subscript"/>
                <w:lang w:val="en-GB"/>
              </w:rPr>
              <w:t>c</w:t>
            </w:r>
          </w:p>
        </w:tc>
        <w:tc>
          <w:tcPr>
            <w:tcW w:w="1276" w:type="dxa"/>
            <w:tcBorders>
              <w:top w:val="single" w:sz="4" w:space="0" w:color="000000"/>
              <w:left w:val="single" w:sz="4" w:space="0" w:color="000000"/>
              <w:bottom w:val="single" w:sz="4" w:space="0" w:color="000000"/>
              <w:right w:val="single" w:sz="4" w:space="0" w:color="FFFFFF"/>
            </w:tcBorders>
          </w:tcPr>
          <w:p w14:paraId="240485A0"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km</w:t>
            </w:r>
            <w:r w:rsidRPr="0088780C">
              <w:rPr>
                <w:bCs/>
                <w:snapToGrid w:val="0"/>
                <w:color w:val="000000" w:themeColor="text1"/>
                <w:kern w:val="22"/>
                <w:sz w:val="22"/>
                <w:szCs w:val="22"/>
                <w:vertAlign w:val="superscript"/>
                <w:lang w:val="en-GB"/>
              </w:rPr>
              <w:t>2</w:t>
            </w:r>
          </w:p>
        </w:tc>
        <w:tc>
          <w:tcPr>
            <w:tcW w:w="1134" w:type="dxa"/>
            <w:tcBorders>
              <w:top w:val="single" w:sz="4" w:space="0" w:color="000000"/>
              <w:left w:val="single" w:sz="4" w:space="0" w:color="000000"/>
              <w:bottom w:val="single" w:sz="4" w:space="0" w:color="000000"/>
              <w:right w:val="single" w:sz="4" w:space="0" w:color="000000"/>
            </w:tcBorders>
          </w:tcPr>
          <w:p w14:paraId="5C871048"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450,000</w:t>
            </w:r>
          </w:p>
        </w:tc>
      </w:tr>
      <w:tr w:rsidR="00A876F3" w:rsidRPr="0088780C" w14:paraId="590229BC" w14:textId="77777777" w:rsidTr="006972AD">
        <w:trPr>
          <w:trHeight w:val="195"/>
          <w:jc w:val="center"/>
        </w:trPr>
        <w:tc>
          <w:tcPr>
            <w:tcW w:w="3318" w:type="dxa"/>
            <w:tcBorders>
              <w:top w:val="single" w:sz="4" w:space="0" w:color="000000"/>
              <w:left w:val="single" w:sz="4" w:space="0" w:color="000000"/>
              <w:bottom w:val="single" w:sz="4" w:space="0" w:color="000000"/>
              <w:right w:val="single" w:sz="4" w:space="0" w:color="000000"/>
            </w:tcBorders>
          </w:tcPr>
          <w:p w14:paraId="4599C3FC"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Average depth</w:t>
            </w:r>
          </w:p>
        </w:tc>
        <w:tc>
          <w:tcPr>
            <w:tcW w:w="1134" w:type="dxa"/>
            <w:tcBorders>
              <w:top w:val="single" w:sz="4" w:space="0" w:color="000000"/>
              <w:left w:val="single" w:sz="4" w:space="0" w:color="000000"/>
              <w:bottom w:val="single" w:sz="4" w:space="0" w:color="000000"/>
              <w:right w:val="single" w:sz="4" w:space="0" w:color="000000"/>
            </w:tcBorders>
          </w:tcPr>
          <w:p w14:paraId="37007476"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H</w:t>
            </w:r>
            <w:r w:rsidRPr="0088780C">
              <w:rPr>
                <w:bCs/>
                <w:snapToGrid w:val="0"/>
                <w:color w:val="000000" w:themeColor="text1"/>
                <w:kern w:val="22"/>
                <w:sz w:val="22"/>
                <w:szCs w:val="22"/>
                <w:vertAlign w:val="subscript"/>
                <w:lang w:val="en-GB"/>
              </w:rPr>
              <w:t>av</w:t>
            </w:r>
          </w:p>
        </w:tc>
        <w:tc>
          <w:tcPr>
            <w:tcW w:w="1276" w:type="dxa"/>
            <w:tcBorders>
              <w:top w:val="single" w:sz="4" w:space="0" w:color="000000"/>
              <w:left w:val="single" w:sz="4" w:space="0" w:color="000000"/>
              <w:bottom w:val="single" w:sz="4" w:space="0" w:color="000000"/>
              <w:right w:val="single" w:sz="4" w:space="0" w:color="FFFFFF"/>
            </w:tcBorders>
          </w:tcPr>
          <w:p w14:paraId="2780AB82"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m</w:t>
            </w:r>
          </w:p>
        </w:tc>
        <w:tc>
          <w:tcPr>
            <w:tcW w:w="1134" w:type="dxa"/>
            <w:tcBorders>
              <w:top w:val="single" w:sz="4" w:space="0" w:color="000000"/>
              <w:left w:val="single" w:sz="4" w:space="0" w:color="000000"/>
              <w:bottom w:val="single" w:sz="4" w:space="0" w:color="000000"/>
              <w:right w:val="single" w:sz="4" w:space="0" w:color="000000"/>
            </w:tcBorders>
          </w:tcPr>
          <w:p w14:paraId="0E406F80"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2,700</w:t>
            </w:r>
          </w:p>
        </w:tc>
      </w:tr>
      <w:tr w:rsidR="00A876F3" w:rsidRPr="0088780C" w14:paraId="734F647B" w14:textId="77777777" w:rsidTr="006972AD">
        <w:trPr>
          <w:trHeight w:val="168"/>
          <w:jc w:val="center"/>
        </w:trPr>
        <w:tc>
          <w:tcPr>
            <w:tcW w:w="3318" w:type="dxa"/>
            <w:tcBorders>
              <w:top w:val="single" w:sz="4" w:space="0" w:color="000000"/>
              <w:left w:val="single" w:sz="4" w:space="0" w:color="000000"/>
              <w:bottom w:val="single" w:sz="4" w:space="0" w:color="000000"/>
              <w:right w:val="single" w:sz="4" w:space="0" w:color="000000"/>
            </w:tcBorders>
          </w:tcPr>
          <w:p w14:paraId="4307FFE4"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Maximum depth</w:t>
            </w:r>
          </w:p>
        </w:tc>
        <w:tc>
          <w:tcPr>
            <w:tcW w:w="1134" w:type="dxa"/>
            <w:tcBorders>
              <w:top w:val="single" w:sz="4" w:space="0" w:color="000000"/>
              <w:left w:val="single" w:sz="4" w:space="0" w:color="000000"/>
              <w:bottom w:val="single" w:sz="4" w:space="0" w:color="000000"/>
              <w:right w:val="single" w:sz="4" w:space="0" w:color="000000"/>
            </w:tcBorders>
          </w:tcPr>
          <w:p w14:paraId="24F0AB91"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Н</w:t>
            </w:r>
            <w:r w:rsidRPr="0088780C">
              <w:rPr>
                <w:bCs/>
                <w:snapToGrid w:val="0"/>
                <w:color w:val="000000" w:themeColor="text1"/>
                <w:kern w:val="22"/>
                <w:sz w:val="22"/>
                <w:szCs w:val="22"/>
                <w:vertAlign w:val="subscript"/>
                <w:lang w:val="en-GB"/>
              </w:rPr>
              <w:t>max</w:t>
            </w:r>
          </w:p>
        </w:tc>
        <w:tc>
          <w:tcPr>
            <w:tcW w:w="1276" w:type="dxa"/>
            <w:tcBorders>
              <w:top w:val="single" w:sz="4" w:space="0" w:color="000000"/>
              <w:left w:val="single" w:sz="4" w:space="0" w:color="000000"/>
              <w:bottom w:val="single" w:sz="4" w:space="0" w:color="000000"/>
              <w:right w:val="single" w:sz="4" w:space="0" w:color="FFFFFF"/>
            </w:tcBorders>
          </w:tcPr>
          <w:p w14:paraId="3FF29611"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m</w:t>
            </w:r>
          </w:p>
        </w:tc>
        <w:tc>
          <w:tcPr>
            <w:tcW w:w="1134" w:type="dxa"/>
            <w:tcBorders>
              <w:top w:val="single" w:sz="4" w:space="0" w:color="000000"/>
              <w:left w:val="single" w:sz="4" w:space="0" w:color="000000"/>
              <w:bottom w:val="single" w:sz="4" w:space="0" w:color="000000"/>
              <w:right w:val="single" w:sz="4" w:space="0" w:color="000000"/>
            </w:tcBorders>
          </w:tcPr>
          <w:p w14:paraId="5873F373"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6,000</w:t>
            </w:r>
          </w:p>
        </w:tc>
      </w:tr>
      <w:tr w:rsidR="00A876F3" w:rsidRPr="0088780C" w14:paraId="2C7A7CA9" w14:textId="77777777" w:rsidTr="006972AD">
        <w:trPr>
          <w:trHeight w:val="195"/>
          <w:jc w:val="center"/>
        </w:trPr>
        <w:tc>
          <w:tcPr>
            <w:tcW w:w="3318" w:type="dxa"/>
            <w:tcBorders>
              <w:top w:val="single" w:sz="4" w:space="0" w:color="000000"/>
              <w:left w:val="single" w:sz="4" w:space="0" w:color="000000"/>
              <w:bottom w:val="single" w:sz="4" w:space="0" w:color="000000"/>
              <w:right w:val="single" w:sz="4" w:space="0" w:color="000000"/>
            </w:tcBorders>
          </w:tcPr>
          <w:p w14:paraId="47CEBD7E"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Average width of the water area</w:t>
            </w:r>
          </w:p>
        </w:tc>
        <w:tc>
          <w:tcPr>
            <w:tcW w:w="1134" w:type="dxa"/>
            <w:tcBorders>
              <w:top w:val="single" w:sz="4" w:space="0" w:color="000000"/>
              <w:left w:val="single" w:sz="4" w:space="0" w:color="000000"/>
              <w:bottom w:val="single" w:sz="4" w:space="0" w:color="000000"/>
              <w:right w:val="single" w:sz="4" w:space="0" w:color="000000"/>
            </w:tcBorders>
          </w:tcPr>
          <w:p w14:paraId="61485985"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B</w:t>
            </w:r>
            <w:r w:rsidRPr="0088780C">
              <w:rPr>
                <w:bCs/>
                <w:snapToGrid w:val="0"/>
                <w:color w:val="000000" w:themeColor="text1"/>
                <w:kern w:val="22"/>
                <w:sz w:val="22"/>
                <w:szCs w:val="22"/>
                <w:vertAlign w:val="subscript"/>
                <w:lang w:val="en-GB"/>
              </w:rPr>
              <w:t>w</w:t>
            </w:r>
          </w:p>
        </w:tc>
        <w:tc>
          <w:tcPr>
            <w:tcW w:w="1276" w:type="dxa"/>
            <w:tcBorders>
              <w:top w:val="single" w:sz="4" w:space="0" w:color="000000"/>
              <w:left w:val="single" w:sz="4" w:space="0" w:color="000000"/>
              <w:bottom w:val="single" w:sz="4" w:space="0" w:color="000000"/>
              <w:right w:val="single" w:sz="4" w:space="0" w:color="FFFFFF"/>
            </w:tcBorders>
          </w:tcPr>
          <w:p w14:paraId="2F9F3FD9"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km</w:t>
            </w:r>
          </w:p>
        </w:tc>
        <w:tc>
          <w:tcPr>
            <w:tcW w:w="1134" w:type="dxa"/>
            <w:tcBorders>
              <w:top w:val="single" w:sz="4" w:space="0" w:color="000000"/>
              <w:left w:val="single" w:sz="4" w:space="0" w:color="000000"/>
              <w:bottom w:val="single" w:sz="4" w:space="0" w:color="000000"/>
              <w:right w:val="single" w:sz="4" w:space="0" w:color="000000"/>
            </w:tcBorders>
          </w:tcPr>
          <w:p w14:paraId="0B613D54"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11,700</w:t>
            </w:r>
          </w:p>
        </w:tc>
      </w:tr>
      <w:tr w:rsidR="00A876F3" w:rsidRPr="0088780C" w14:paraId="75E65CBC" w14:textId="77777777" w:rsidTr="006972AD">
        <w:trPr>
          <w:trHeight w:val="256"/>
          <w:jc w:val="center"/>
        </w:trPr>
        <w:tc>
          <w:tcPr>
            <w:tcW w:w="3318" w:type="dxa"/>
            <w:tcBorders>
              <w:top w:val="single" w:sz="4" w:space="0" w:color="000000"/>
              <w:left w:val="single" w:sz="4" w:space="0" w:color="000000"/>
              <w:bottom w:val="single" w:sz="4" w:space="0" w:color="000000"/>
              <w:right w:val="single" w:sz="4" w:space="0" w:color="000000"/>
            </w:tcBorders>
          </w:tcPr>
          <w:p w14:paraId="720D1B42"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Length of the water area</w:t>
            </w:r>
          </w:p>
        </w:tc>
        <w:tc>
          <w:tcPr>
            <w:tcW w:w="1134" w:type="dxa"/>
            <w:tcBorders>
              <w:top w:val="single" w:sz="4" w:space="0" w:color="000000"/>
              <w:left w:val="single" w:sz="4" w:space="0" w:color="000000"/>
              <w:bottom w:val="single" w:sz="4" w:space="0" w:color="000000"/>
              <w:right w:val="single" w:sz="4" w:space="0" w:color="000000"/>
            </w:tcBorders>
          </w:tcPr>
          <w:p w14:paraId="7BDBB832"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L</w:t>
            </w:r>
          </w:p>
        </w:tc>
        <w:tc>
          <w:tcPr>
            <w:tcW w:w="1276" w:type="dxa"/>
            <w:tcBorders>
              <w:top w:val="single" w:sz="4" w:space="0" w:color="000000"/>
              <w:left w:val="single" w:sz="4" w:space="0" w:color="000000"/>
              <w:bottom w:val="single" w:sz="4" w:space="0" w:color="000000"/>
              <w:right w:val="single" w:sz="4" w:space="0" w:color="FFFFFF"/>
            </w:tcBorders>
          </w:tcPr>
          <w:p w14:paraId="373654DE"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km</w:t>
            </w:r>
          </w:p>
        </w:tc>
        <w:tc>
          <w:tcPr>
            <w:tcW w:w="1134" w:type="dxa"/>
            <w:tcBorders>
              <w:top w:val="single" w:sz="4" w:space="0" w:color="000000"/>
              <w:left w:val="single" w:sz="4" w:space="0" w:color="000000"/>
              <w:bottom w:val="single" w:sz="4" w:space="0" w:color="000000"/>
              <w:right w:val="single" w:sz="4" w:space="0" w:color="000000"/>
            </w:tcBorders>
          </w:tcPr>
          <w:p w14:paraId="3A62A87B"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26,000</w:t>
            </w:r>
          </w:p>
        </w:tc>
      </w:tr>
      <w:tr w:rsidR="00A876F3" w:rsidRPr="0088780C" w14:paraId="0433D304" w14:textId="77777777" w:rsidTr="006972AD">
        <w:trPr>
          <w:trHeight w:val="131"/>
          <w:jc w:val="center"/>
        </w:trPr>
        <w:tc>
          <w:tcPr>
            <w:tcW w:w="3318" w:type="dxa"/>
            <w:tcBorders>
              <w:top w:val="single" w:sz="4" w:space="0" w:color="000000"/>
              <w:left w:val="single" w:sz="4" w:space="0" w:color="000000"/>
              <w:bottom w:val="single" w:sz="4" w:space="0" w:color="000000"/>
              <w:right w:val="single" w:sz="4" w:space="0" w:color="000000"/>
            </w:tcBorders>
          </w:tcPr>
          <w:p w14:paraId="21808146"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Length of shoreline</w:t>
            </w:r>
          </w:p>
        </w:tc>
        <w:tc>
          <w:tcPr>
            <w:tcW w:w="1134" w:type="dxa"/>
            <w:tcBorders>
              <w:top w:val="single" w:sz="4" w:space="0" w:color="000000"/>
              <w:left w:val="single" w:sz="4" w:space="0" w:color="000000"/>
              <w:bottom w:val="single" w:sz="4" w:space="0" w:color="000000"/>
              <w:right w:val="single" w:sz="4" w:space="0" w:color="000000"/>
            </w:tcBorders>
          </w:tcPr>
          <w:p w14:paraId="59EC2056"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L'</w:t>
            </w:r>
          </w:p>
        </w:tc>
        <w:tc>
          <w:tcPr>
            <w:tcW w:w="1276" w:type="dxa"/>
            <w:tcBorders>
              <w:top w:val="single" w:sz="4" w:space="0" w:color="000000"/>
              <w:left w:val="single" w:sz="4" w:space="0" w:color="000000"/>
              <w:bottom w:val="single" w:sz="4" w:space="0" w:color="000000"/>
              <w:right w:val="single" w:sz="4" w:space="0" w:color="FFFFFF"/>
            </w:tcBorders>
          </w:tcPr>
          <w:p w14:paraId="52A16F23"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km</w:t>
            </w:r>
          </w:p>
        </w:tc>
        <w:tc>
          <w:tcPr>
            <w:tcW w:w="1134" w:type="dxa"/>
            <w:tcBorders>
              <w:top w:val="single" w:sz="4" w:space="0" w:color="000000"/>
              <w:left w:val="single" w:sz="4" w:space="0" w:color="000000"/>
              <w:bottom w:val="single" w:sz="4" w:space="0" w:color="000000"/>
              <w:right w:val="single" w:sz="4" w:space="0" w:color="000000"/>
            </w:tcBorders>
          </w:tcPr>
          <w:p w14:paraId="16318123"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69,200</w:t>
            </w:r>
          </w:p>
        </w:tc>
      </w:tr>
      <w:tr w:rsidR="00A876F3" w:rsidRPr="0088780C" w14:paraId="7E281598" w14:textId="77777777" w:rsidTr="006972AD">
        <w:trPr>
          <w:trHeight w:val="195"/>
          <w:jc w:val="center"/>
        </w:trPr>
        <w:tc>
          <w:tcPr>
            <w:tcW w:w="3318" w:type="dxa"/>
            <w:tcBorders>
              <w:top w:val="single" w:sz="4" w:space="0" w:color="000000"/>
              <w:left w:val="single" w:sz="4" w:space="0" w:color="000000"/>
              <w:bottom w:val="single" w:sz="4" w:space="0" w:color="000000"/>
              <w:right w:val="single" w:sz="4" w:space="0" w:color="000000"/>
            </w:tcBorders>
          </w:tcPr>
          <w:p w14:paraId="5332F5E0"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Cross-sectional area of the strait</w:t>
            </w:r>
          </w:p>
        </w:tc>
        <w:tc>
          <w:tcPr>
            <w:tcW w:w="1134" w:type="dxa"/>
            <w:tcBorders>
              <w:top w:val="single" w:sz="4" w:space="0" w:color="000000"/>
              <w:left w:val="single" w:sz="4" w:space="0" w:color="000000"/>
              <w:bottom w:val="single" w:sz="4" w:space="0" w:color="000000"/>
              <w:right w:val="single" w:sz="4" w:space="0" w:color="000000"/>
            </w:tcBorders>
          </w:tcPr>
          <w:p w14:paraId="650F7FC5"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S</w:t>
            </w:r>
          </w:p>
        </w:tc>
        <w:tc>
          <w:tcPr>
            <w:tcW w:w="1276" w:type="dxa"/>
            <w:tcBorders>
              <w:top w:val="single" w:sz="4" w:space="0" w:color="000000"/>
              <w:left w:val="single" w:sz="4" w:space="0" w:color="000000"/>
              <w:bottom w:val="single" w:sz="4" w:space="0" w:color="000000"/>
              <w:right w:val="single" w:sz="4" w:space="0" w:color="FFFFFF"/>
            </w:tcBorders>
          </w:tcPr>
          <w:p w14:paraId="1EA589E7"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km</w:t>
            </w:r>
            <w:r w:rsidRPr="0088780C">
              <w:rPr>
                <w:bCs/>
                <w:snapToGrid w:val="0"/>
                <w:color w:val="000000" w:themeColor="text1"/>
                <w:kern w:val="22"/>
                <w:sz w:val="22"/>
                <w:szCs w:val="22"/>
                <w:vertAlign w:val="superscript"/>
                <w:lang w:val="en-GB"/>
              </w:rPr>
              <w:t>2</w:t>
            </w:r>
          </w:p>
        </w:tc>
        <w:tc>
          <w:tcPr>
            <w:tcW w:w="1134" w:type="dxa"/>
            <w:tcBorders>
              <w:top w:val="single" w:sz="4" w:space="0" w:color="000000"/>
              <w:left w:val="single" w:sz="4" w:space="0" w:color="000000"/>
              <w:bottom w:val="single" w:sz="4" w:space="0" w:color="000000"/>
              <w:right w:val="single" w:sz="4" w:space="0" w:color="000000"/>
            </w:tcBorders>
          </w:tcPr>
          <w:p w14:paraId="4FA81485"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0,019</w:t>
            </w:r>
          </w:p>
        </w:tc>
      </w:tr>
      <w:tr w:rsidR="00A876F3" w:rsidRPr="0088780C" w14:paraId="1EE18440" w14:textId="77777777" w:rsidTr="006972AD">
        <w:trPr>
          <w:trHeight w:val="256"/>
          <w:jc w:val="center"/>
        </w:trPr>
        <w:tc>
          <w:tcPr>
            <w:tcW w:w="3318" w:type="dxa"/>
            <w:tcBorders>
              <w:top w:val="single" w:sz="4" w:space="0" w:color="000000"/>
              <w:left w:val="single" w:sz="4" w:space="0" w:color="000000"/>
              <w:bottom w:val="single" w:sz="4" w:space="0" w:color="000000"/>
              <w:right w:val="single" w:sz="4" w:space="0" w:color="000000"/>
            </w:tcBorders>
          </w:tcPr>
          <w:p w14:paraId="62D15BE8"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Average long-term speed of sea water flows across the strait</w:t>
            </w:r>
          </w:p>
        </w:tc>
        <w:tc>
          <w:tcPr>
            <w:tcW w:w="1134" w:type="dxa"/>
            <w:tcBorders>
              <w:top w:val="single" w:sz="4" w:space="0" w:color="000000"/>
              <w:left w:val="single" w:sz="4" w:space="0" w:color="000000"/>
              <w:bottom w:val="single" w:sz="4" w:space="0" w:color="000000"/>
              <w:right w:val="single" w:sz="4" w:space="0" w:color="000000"/>
            </w:tcBorders>
          </w:tcPr>
          <w:p w14:paraId="14BFBE82"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U</w:t>
            </w:r>
          </w:p>
        </w:tc>
        <w:tc>
          <w:tcPr>
            <w:tcW w:w="1276" w:type="dxa"/>
            <w:tcBorders>
              <w:top w:val="single" w:sz="4" w:space="0" w:color="000000"/>
              <w:left w:val="single" w:sz="4" w:space="0" w:color="000000"/>
              <w:bottom w:val="single" w:sz="4" w:space="0" w:color="000000"/>
              <w:right w:val="single" w:sz="4" w:space="0" w:color="FFFFFF"/>
            </w:tcBorders>
          </w:tcPr>
          <w:p w14:paraId="1AFC31EF"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cm·s</w:t>
            </w:r>
            <w:r w:rsidRPr="0088780C">
              <w:rPr>
                <w:bCs/>
                <w:snapToGrid w:val="0"/>
                <w:color w:val="000000" w:themeColor="text1"/>
                <w:kern w:val="22"/>
                <w:sz w:val="22"/>
                <w:szCs w:val="22"/>
                <w:vertAlign w:val="superscript"/>
                <w:lang w:val="en-GB"/>
              </w:rPr>
              <w:t>-1</w:t>
            </w:r>
          </w:p>
        </w:tc>
        <w:tc>
          <w:tcPr>
            <w:tcW w:w="1134" w:type="dxa"/>
            <w:tcBorders>
              <w:top w:val="single" w:sz="4" w:space="0" w:color="000000"/>
              <w:left w:val="single" w:sz="4" w:space="0" w:color="000000"/>
              <w:bottom w:val="single" w:sz="4" w:space="0" w:color="000000"/>
              <w:right w:val="single" w:sz="4" w:space="0" w:color="000000"/>
            </w:tcBorders>
          </w:tcPr>
          <w:p w14:paraId="581453D9"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5,000</w:t>
            </w:r>
          </w:p>
        </w:tc>
      </w:tr>
      <w:tr w:rsidR="00A876F3" w:rsidRPr="0088780C" w14:paraId="39A2EDE3" w14:textId="77777777" w:rsidTr="006972AD">
        <w:trPr>
          <w:trHeight w:val="213"/>
          <w:jc w:val="center"/>
        </w:trPr>
        <w:tc>
          <w:tcPr>
            <w:tcW w:w="3318" w:type="dxa"/>
            <w:tcBorders>
              <w:top w:val="single" w:sz="4" w:space="0" w:color="000000"/>
              <w:left w:val="single" w:sz="4" w:space="0" w:color="000000"/>
              <w:bottom w:val="single" w:sz="4" w:space="0" w:color="000000"/>
              <w:right w:val="single" w:sz="4" w:space="0" w:color="000000"/>
            </w:tcBorders>
          </w:tcPr>
          <w:p w14:paraId="4C9B4B9D" w14:textId="5DAAEA93"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Average annual flow of sea water across the strait</w:t>
            </w:r>
          </w:p>
        </w:tc>
        <w:tc>
          <w:tcPr>
            <w:tcW w:w="1134" w:type="dxa"/>
            <w:tcBorders>
              <w:top w:val="single" w:sz="4" w:space="0" w:color="000000"/>
              <w:left w:val="single" w:sz="4" w:space="0" w:color="000000"/>
              <w:bottom w:val="single" w:sz="4" w:space="0" w:color="000000"/>
              <w:right w:val="single" w:sz="4" w:space="0" w:color="000000"/>
            </w:tcBorders>
          </w:tcPr>
          <w:p w14:paraId="7CB0A0FF"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Q</w:t>
            </w:r>
          </w:p>
        </w:tc>
        <w:tc>
          <w:tcPr>
            <w:tcW w:w="1276" w:type="dxa"/>
            <w:tcBorders>
              <w:top w:val="single" w:sz="4" w:space="0" w:color="000000"/>
              <w:left w:val="single" w:sz="4" w:space="0" w:color="000000"/>
              <w:bottom w:val="single" w:sz="4" w:space="0" w:color="000000"/>
              <w:right w:val="single" w:sz="4" w:space="0" w:color="FFFFFF"/>
            </w:tcBorders>
          </w:tcPr>
          <w:p w14:paraId="1F1D441C"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m</w:t>
            </w:r>
            <w:r w:rsidRPr="0088780C">
              <w:rPr>
                <w:bCs/>
                <w:snapToGrid w:val="0"/>
                <w:color w:val="000000" w:themeColor="text1"/>
                <w:kern w:val="22"/>
                <w:sz w:val="22"/>
                <w:szCs w:val="22"/>
                <w:vertAlign w:val="superscript"/>
                <w:lang w:val="en-GB"/>
              </w:rPr>
              <w:t>3</w:t>
            </w:r>
            <w:r w:rsidRPr="0088780C">
              <w:rPr>
                <w:bCs/>
                <w:snapToGrid w:val="0"/>
                <w:color w:val="000000" w:themeColor="text1"/>
                <w:kern w:val="22"/>
                <w:sz w:val="22"/>
                <w:szCs w:val="22"/>
                <w:lang w:val="en-GB"/>
              </w:rPr>
              <w:t>·с</w:t>
            </w:r>
            <w:r w:rsidRPr="0088780C">
              <w:rPr>
                <w:bCs/>
                <w:snapToGrid w:val="0"/>
                <w:color w:val="000000" w:themeColor="text1"/>
                <w:kern w:val="22"/>
                <w:sz w:val="22"/>
                <w:szCs w:val="22"/>
                <w:vertAlign w:val="superscript"/>
                <w:lang w:val="en-GB"/>
              </w:rPr>
              <w:t>-1</w:t>
            </w:r>
          </w:p>
        </w:tc>
        <w:tc>
          <w:tcPr>
            <w:tcW w:w="1134" w:type="dxa"/>
            <w:tcBorders>
              <w:top w:val="single" w:sz="4" w:space="0" w:color="000000"/>
              <w:left w:val="single" w:sz="4" w:space="0" w:color="000000"/>
              <w:bottom w:val="single" w:sz="4" w:space="0" w:color="000000"/>
              <w:right w:val="single" w:sz="4" w:space="0" w:color="000000"/>
            </w:tcBorders>
          </w:tcPr>
          <w:p w14:paraId="40CAA82F"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950,000</w:t>
            </w:r>
          </w:p>
        </w:tc>
      </w:tr>
      <w:tr w:rsidR="00A876F3" w:rsidRPr="0088780C" w14:paraId="7D6A876B" w14:textId="77777777" w:rsidTr="006972AD">
        <w:trPr>
          <w:trHeight w:val="501"/>
          <w:jc w:val="center"/>
        </w:trPr>
        <w:tc>
          <w:tcPr>
            <w:tcW w:w="3318" w:type="dxa"/>
            <w:tcBorders>
              <w:top w:val="single" w:sz="4" w:space="0" w:color="000000"/>
              <w:left w:val="single" w:sz="4" w:space="0" w:color="000000"/>
              <w:bottom w:val="single" w:sz="4" w:space="0" w:color="auto"/>
              <w:right w:val="single" w:sz="4" w:space="0" w:color="000000"/>
            </w:tcBorders>
            <w:hideMark/>
          </w:tcPr>
          <w:p w14:paraId="3A8CFD00"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rPr>
                <w:snapToGrid w:val="0"/>
                <w:color w:val="000000" w:themeColor="text1"/>
                <w:kern w:val="22"/>
                <w:sz w:val="22"/>
                <w:szCs w:val="22"/>
                <w:lang w:val="en-GB"/>
              </w:rPr>
            </w:pPr>
            <w:r w:rsidRPr="0088780C">
              <w:rPr>
                <w:bCs/>
                <w:snapToGrid w:val="0"/>
                <w:color w:val="000000" w:themeColor="text1"/>
                <w:kern w:val="22"/>
                <w:sz w:val="22"/>
                <w:szCs w:val="22"/>
                <w:lang w:val="en-GB"/>
              </w:rPr>
              <w:t>Average annual volume of the seawater flow through the strait</w:t>
            </w:r>
          </w:p>
        </w:tc>
        <w:tc>
          <w:tcPr>
            <w:tcW w:w="1134" w:type="dxa"/>
            <w:tcBorders>
              <w:top w:val="single" w:sz="4" w:space="0" w:color="000000"/>
              <w:left w:val="single" w:sz="4" w:space="0" w:color="000000"/>
              <w:bottom w:val="single" w:sz="4" w:space="0" w:color="auto"/>
              <w:right w:val="single" w:sz="4" w:space="0" w:color="000000"/>
            </w:tcBorders>
          </w:tcPr>
          <w:p w14:paraId="4DD2B32E"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W</w:t>
            </w:r>
            <w:r w:rsidRPr="0088780C">
              <w:rPr>
                <w:bCs/>
                <w:snapToGrid w:val="0"/>
                <w:color w:val="000000" w:themeColor="text1"/>
                <w:kern w:val="22"/>
                <w:sz w:val="22"/>
                <w:szCs w:val="22"/>
                <w:vertAlign w:val="subscript"/>
                <w:lang w:val="en-GB"/>
              </w:rPr>
              <w:t>s</w:t>
            </w:r>
          </w:p>
        </w:tc>
        <w:tc>
          <w:tcPr>
            <w:tcW w:w="1276" w:type="dxa"/>
            <w:tcBorders>
              <w:top w:val="single" w:sz="4" w:space="0" w:color="000000"/>
              <w:left w:val="single" w:sz="4" w:space="0" w:color="000000"/>
              <w:bottom w:val="single" w:sz="4" w:space="0" w:color="auto"/>
              <w:right w:val="single" w:sz="4" w:space="0" w:color="FFFFFF"/>
            </w:tcBorders>
          </w:tcPr>
          <w:p w14:paraId="2730BECF"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center"/>
              <w:rPr>
                <w:snapToGrid w:val="0"/>
                <w:color w:val="000000" w:themeColor="text1"/>
                <w:kern w:val="22"/>
                <w:sz w:val="22"/>
                <w:szCs w:val="22"/>
                <w:lang w:val="en-GB"/>
              </w:rPr>
            </w:pPr>
            <w:r w:rsidRPr="0088780C">
              <w:rPr>
                <w:bCs/>
                <w:snapToGrid w:val="0"/>
                <w:color w:val="000000" w:themeColor="text1"/>
                <w:kern w:val="22"/>
                <w:sz w:val="22"/>
                <w:szCs w:val="22"/>
                <w:lang w:val="en-GB"/>
              </w:rPr>
              <w:t>10</w:t>
            </w:r>
            <w:r w:rsidRPr="0088780C">
              <w:rPr>
                <w:bCs/>
                <w:snapToGrid w:val="0"/>
                <w:color w:val="000000" w:themeColor="text1"/>
                <w:kern w:val="22"/>
                <w:sz w:val="22"/>
                <w:szCs w:val="22"/>
                <w:vertAlign w:val="superscript"/>
                <w:lang w:val="en-GB"/>
              </w:rPr>
              <w:t>6</w:t>
            </w:r>
            <w:r w:rsidRPr="0088780C">
              <w:rPr>
                <w:bCs/>
                <w:snapToGrid w:val="0"/>
                <w:color w:val="000000" w:themeColor="text1"/>
                <w:kern w:val="22"/>
                <w:sz w:val="22"/>
                <w:szCs w:val="22"/>
                <w:lang w:val="en-GB"/>
              </w:rPr>
              <w:t xml:space="preserve"> m</w:t>
            </w:r>
            <w:r w:rsidRPr="0088780C">
              <w:rPr>
                <w:bCs/>
                <w:snapToGrid w:val="0"/>
                <w:color w:val="000000" w:themeColor="text1"/>
                <w:kern w:val="22"/>
                <w:sz w:val="22"/>
                <w:szCs w:val="22"/>
                <w:vertAlign w:val="superscript"/>
                <w:lang w:val="en-GB"/>
              </w:rPr>
              <w:t>3</w:t>
            </w:r>
          </w:p>
        </w:tc>
        <w:tc>
          <w:tcPr>
            <w:tcW w:w="1134" w:type="dxa"/>
            <w:tcBorders>
              <w:top w:val="single" w:sz="4" w:space="0" w:color="000000"/>
              <w:left w:val="single" w:sz="4" w:space="0" w:color="000000"/>
              <w:bottom w:val="single" w:sz="4" w:space="0" w:color="auto"/>
              <w:right w:val="single" w:sz="4" w:space="0" w:color="000000"/>
            </w:tcBorders>
          </w:tcPr>
          <w:p w14:paraId="1414CF89"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right"/>
              <w:rPr>
                <w:snapToGrid w:val="0"/>
                <w:color w:val="000000" w:themeColor="text1"/>
                <w:kern w:val="22"/>
                <w:sz w:val="22"/>
                <w:szCs w:val="22"/>
                <w:lang w:val="en-GB"/>
              </w:rPr>
            </w:pPr>
            <w:r w:rsidRPr="0088780C">
              <w:rPr>
                <w:bCs/>
                <w:snapToGrid w:val="0"/>
                <w:color w:val="000000" w:themeColor="text1"/>
                <w:kern w:val="22"/>
                <w:sz w:val="22"/>
                <w:szCs w:val="22"/>
                <w:lang w:val="en-GB"/>
              </w:rPr>
              <w:t>14446,080</w:t>
            </w:r>
          </w:p>
        </w:tc>
      </w:tr>
    </w:tbl>
    <w:p w14:paraId="157E9EC8" w14:textId="7074CF4E" w:rsidR="00A876F3" w:rsidRPr="0088780C" w:rsidRDefault="00A876F3" w:rsidP="001013AF">
      <w:pPr>
        <w:pStyle w:val="CommentText"/>
        <w:suppressLineNumbers/>
        <w:suppressAutoHyphens/>
        <w:kinsoku w:val="0"/>
        <w:overflowPunct w:val="0"/>
        <w:autoSpaceDE w:val="0"/>
        <w:autoSpaceDN w:val="0"/>
        <w:spacing w:before="120" w:line="240" w:lineRule="auto"/>
        <w:rPr>
          <w:b/>
          <w:bCs/>
          <w:snapToGrid w:val="0"/>
          <w:kern w:val="22"/>
          <w:szCs w:val="22"/>
        </w:rPr>
      </w:pPr>
      <w:r w:rsidRPr="0088780C">
        <w:rPr>
          <w:b/>
          <w:bCs/>
          <w:snapToGrid w:val="0"/>
          <w:color w:val="000000" w:themeColor="text1"/>
          <w:kern w:val="22"/>
          <w:szCs w:val="22"/>
        </w:rPr>
        <w:t xml:space="preserve">Table 2. Combined limnovological characteristics of Yagorlytsky Bay </w:t>
      </w:r>
      <w:r w:rsidRPr="0088780C">
        <w:rPr>
          <w:b/>
          <w:bCs/>
          <w:snapToGrid w:val="0"/>
          <w:color w:val="000000" w:themeColor="text1"/>
          <w:kern w:val="22"/>
          <w:szCs w:val="22"/>
          <w:shd w:val="clear" w:color="auto" w:fill="FFFFFF"/>
        </w:rPr>
        <w:t>(Minicheva et al., 2016)</w:t>
      </w: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8"/>
        <w:gridCol w:w="1417"/>
        <w:gridCol w:w="850"/>
      </w:tblGrid>
      <w:tr w:rsidR="00A876F3" w:rsidRPr="0088780C" w14:paraId="4E30FCEB" w14:textId="77777777" w:rsidTr="006972AD">
        <w:trPr>
          <w:trHeight w:val="20"/>
          <w:jc w:val="center"/>
        </w:trPr>
        <w:tc>
          <w:tcPr>
            <w:tcW w:w="3828" w:type="dxa"/>
            <w:shd w:val="clear" w:color="auto" w:fill="auto"/>
            <w:tcMar>
              <w:top w:w="15" w:type="dxa"/>
              <w:left w:w="79" w:type="dxa"/>
              <w:bottom w:w="0" w:type="dxa"/>
              <w:right w:w="79" w:type="dxa"/>
            </w:tcMar>
            <w:hideMark/>
          </w:tcPr>
          <w:p w14:paraId="359E08C4" w14:textId="77777777" w:rsidR="00A876F3" w:rsidRPr="0088780C" w:rsidRDefault="00A876F3" w:rsidP="001013AF">
            <w:pPr>
              <w:suppressLineNumbers/>
              <w:suppressAutoHyphens/>
              <w:kinsoku w:val="0"/>
              <w:overflowPunct w:val="0"/>
              <w:autoSpaceDE w:val="0"/>
              <w:autoSpaceDN w:val="0"/>
              <w:spacing w:line="276" w:lineRule="auto"/>
              <w:jc w:val="center"/>
              <w:rPr>
                <w:rFonts w:eastAsia="Times New Roman"/>
                <w:i/>
                <w:iCs/>
                <w:snapToGrid w:val="0"/>
                <w:color w:val="000000" w:themeColor="text1"/>
                <w:kern w:val="22"/>
                <w:szCs w:val="22"/>
                <w:lang w:eastAsia="ru-RU"/>
              </w:rPr>
            </w:pPr>
            <w:r w:rsidRPr="0088780C">
              <w:rPr>
                <w:rFonts w:eastAsia="Times New Roman"/>
                <w:bCs/>
                <w:i/>
                <w:iCs/>
                <w:snapToGrid w:val="0"/>
                <w:color w:val="000000" w:themeColor="text1"/>
                <w:kern w:val="22"/>
                <w:szCs w:val="22"/>
                <w:lang w:eastAsia="ru-RU"/>
              </w:rPr>
              <w:t>Characteristic</w:t>
            </w:r>
          </w:p>
        </w:tc>
        <w:tc>
          <w:tcPr>
            <w:tcW w:w="1417" w:type="dxa"/>
            <w:shd w:val="clear" w:color="auto" w:fill="auto"/>
            <w:tcMar>
              <w:top w:w="15" w:type="dxa"/>
              <w:left w:w="79" w:type="dxa"/>
              <w:bottom w:w="0" w:type="dxa"/>
              <w:right w:w="79" w:type="dxa"/>
            </w:tcMar>
            <w:hideMark/>
          </w:tcPr>
          <w:p w14:paraId="0AC32431" w14:textId="77777777" w:rsidR="00A876F3" w:rsidRPr="0088780C" w:rsidRDefault="00A876F3" w:rsidP="001013AF">
            <w:pPr>
              <w:suppressLineNumbers/>
              <w:suppressAutoHyphens/>
              <w:kinsoku w:val="0"/>
              <w:overflowPunct w:val="0"/>
              <w:autoSpaceDE w:val="0"/>
              <w:autoSpaceDN w:val="0"/>
              <w:spacing w:line="276" w:lineRule="auto"/>
              <w:jc w:val="center"/>
              <w:rPr>
                <w:rFonts w:eastAsia="Times New Roman"/>
                <w:i/>
                <w:iCs/>
                <w:snapToGrid w:val="0"/>
                <w:color w:val="000000" w:themeColor="text1"/>
                <w:kern w:val="22"/>
                <w:szCs w:val="22"/>
                <w:lang w:eastAsia="ru-RU"/>
              </w:rPr>
            </w:pPr>
            <w:r w:rsidRPr="0088780C">
              <w:rPr>
                <w:bCs/>
                <w:i/>
                <w:iCs/>
                <w:snapToGrid w:val="0"/>
                <w:color w:val="000000" w:themeColor="text1"/>
                <w:kern w:val="22"/>
                <w:szCs w:val="22"/>
                <w:lang w:eastAsia="ru-RU"/>
              </w:rPr>
              <w:t>Symbol</w:t>
            </w:r>
          </w:p>
        </w:tc>
        <w:tc>
          <w:tcPr>
            <w:tcW w:w="850" w:type="dxa"/>
            <w:shd w:val="clear" w:color="auto" w:fill="auto"/>
            <w:tcMar>
              <w:top w:w="15" w:type="dxa"/>
              <w:left w:w="79" w:type="dxa"/>
              <w:bottom w:w="0" w:type="dxa"/>
              <w:right w:w="79" w:type="dxa"/>
            </w:tcMar>
            <w:hideMark/>
          </w:tcPr>
          <w:p w14:paraId="7B502F3C" w14:textId="77777777" w:rsidR="00A876F3" w:rsidRPr="0088780C" w:rsidRDefault="00A876F3" w:rsidP="001013AF">
            <w:pPr>
              <w:suppressLineNumbers/>
              <w:suppressAutoHyphens/>
              <w:kinsoku w:val="0"/>
              <w:overflowPunct w:val="0"/>
              <w:autoSpaceDE w:val="0"/>
              <w:autoSpaceDN w:val="0"/>
              <w:spacing w:line="276" w:lineRule="auto"/>
              <w:jc w:val="center"/>
              <w:rPr>
                <w:rFonts w:eastAsia="Times New Roman"/>
                <w:i/>
                <w:iCs/>
                <w:snapToGrid w:val="0"/>
                <w:color w:val="000000" w:themeColor="text1"/>
                <w:kern w:val="22"/>
                <w:szCs w:val="22"/>
                <w:lang w:eastAsia="ru-RU"/>
              </w:rPr>
            </w:pPr>
            <w:r w:rsidRPr="0088780C">
              <w:rPr>
                <w:bCs/>
                <w:i/>
                <w:iCs/>
                <w:snapToGrid w:val="0"/>
                <w:color w:val="000000" w:themeColor="text1"/>
                <w:kern w:val="22"/>
                <w:szCs w:val="22"/>
                <w:lang w:eastAsia="ru-RU"/>
              </w:rPr>
              <w:t>Value*</w:t>
            </w:r>
          </w:p>
        </w:tc>
      </w:tr>
      <w:tr w:rsidR="00A876F3" w:rsidRPr="0088780C" w14:paraId="67250902" w14:textId="77777777" w:rsidTr="006972AD">
        <w:trPr>
          <w:trHeight w:val="20"/>
          <w:jc w:val="center"/>
        </w:trPr>
        <w:tc>
          <w:tcPr>
            <w:tcW w:w="3828" w:type="dxa"/>
            <w:shd w:val="clear" w:color="auto" w:fill="auto"/>
            <w:tcMar>
              <w:top w:w="15" w:type="dxa"/>
              <w:left w:w="108" w:type="dxa"/>
              <w:bottom w:w="0" w:type="dxa"/>
              <w:right w:w="108" w:type="dxa"/>
            </w:tcMar>
            <w:vAlign w:val="center"/>
            <w:hideMark/>
          </w:tcPr>
          <w:p w14:paraId="4863A168"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bCs/>
                <w:snapToGrid w:val="0"/>
                <w:color w:val="000000" w:themeColor="text1"/>
                <w:kern w:val="22"/>
                <w:szCs w:val="22"/>
                <w:lang w:eastAsia="ru-RU"/>
              </w:rPr>
              <w:t>Specific catchment area</w:t>
            </w:r>
          </w:p>
        </w:tc>
        <w:tc>
          <w:tcPr>
            <w:tcW w:w="1417" w:type="dxa"/>
            <w:shd w:val="clear" w:color="auto" w:fill="auto"/>
            <w:tcMar>
              <w:top w:w="15" w:type="dxa"/>
              <w:left w:w="108" w:type="dxa"/>
              <w:bottom w:w="0" w:type="dxa"/>
              <w:right w:w="108" w:type="dxa"/>
            </w:tcMar>
            <w:vAlign w:val="center"/>
            <w:hideMark/>
          </w:tcPr>
          <w:p w14:paraId="3133EB0C"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ΔF = F</w:t>
            </w:r>
            <w:r w:rsidRPr="0088780C">
              <w:rPr>
                <w:bCs/>
                <w:snapToGrid w:val="0"/>
                <w:color w:val="000000" w:themeColor="text1"/>
                <w:kern w:val="22"/>
                <w:szCs w:val="22"/>
                <w:vertAlign w:val="subscript"/>
                <w:lang w:eastAsia="ru-RU"/>
              </w:rPr>
              <w:t>c</w:t>
            </w:r>
            <w:r w:rsidRPr="0088780C">
              <w:rPr>
                <w:bCs/>
                <w:snapToGrid w:val="0"/>
                <w:color w:val="000000" w:themeColor="text1"/>
                <w:kern w:val="22"/>
                <w:szCs w:val="22"/>
                <w:lang w:eastAsia="ru-RU"/>
              </w:rPr>
              <w:t>/F</w:t>
            </w:r>
          </w:p>
        </w:tc>
        <w:tc>
          <w:tcPr>
            <w:tcW w:w="850" w:type="dxa"/>
            <w:shd w:val="clear" w:color="auto" w:fill="auto"/>
            <w:tcMar>
              <w:top w:w="15" w:type="dxa"/>
              <w:left w:w="108" w:type="dxa"/>
              <w:bottom w:w="0" w:type="dxa"/>
              <w:right w:w="108" w:type="dxa"/>
            </w:tcMar>
            <w:vAlign w:val="center"/>
            <w:hideMark/>
          </w:tcPr>
          <w:p w14:paraId="2FCD0427"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1,48</w:t>
            </w:r>
          </w:p>
        </w:tc>
      </w:tr>
      <w:tr w:rsidR="00A876F3" w:rsidRPr="0088780C" w14:paraId="340D909B" w14:textId="77777777" w:rsidTr="006972AD">
        <w:trPr>
          <w:trHeight w:val="20"/>
          <w:jc w:val="center"/>
        </w:trPr>
        <w:tc>
          <w:tcPr>
            <w:tcW w:w="3828" w:type="dxa"/>
            <w:shd w:val="clear" w:color="auto" w:fill="auto"/>
            <w:tcMar>
              <w:top w:w="15" w:type="dxa"/>
              <w:left w:w="108" w:type="dxa"/>
              <w:bottom w:w="0" w:type="dxa"/>
              <w:right w:w="108" w:type="dxa"/>
            </w:tcMar>
            <w:vAlign w:val="center"/>
            <w:hideMark/>
          </w:tcPr>
          <w:p w14:paraId="12D77E73"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bCs/>
                <w:snapToGrid w:val="0"/>
                <w:color w:val="000000" w:themeColor="text1"/>
                <w:kern w:val="22"/>
                <w:szCs w:val="22"/>
                <w:lang w:eastAsia="ru-RU"/>
              </w:rPr>
              <w:t>Coefficient of winding coastline</w:t>
            </w:r>
          </w:p>
        </w:tc>
        <w:tc>
          <w:tcPr>
            <w:tcW w:w="1417" w:type="dxa"/>
            <w:shd w:val="clear" w:color="auto" w:fill="auto"/>
            <w:tcMar>
              <w:top w:w="15" w:type="dxa"/>
              <w:left w:w="108" w:type="dxa"/>
              <w:bottom w:w="0" w:type="dxa"/>
              <w:right w:w="108" w:type="dxa"/>
            </w:tcMar>
            <w:vAlign w:val="center"/>
            <w:hideMark/>
          </w:tcPr>
          <w:p w14:paraId="701ACAC1"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µ = L'/2</w:t>
            </w:r>
            <w:r w:rsidRPr="0088780C">
              <w:rPr>
                <w:rFonts w:hint="eastAsia"/>
                <w:bCs/>
                <w:snapToGrid w:val="0"/>
                <w:color w:val="000000" w:themeColor="text1"/>
                <w:kern w:val="22"/>
                <w:szCs w:val="22"/>
                <w:lang w:eastAsia="ru-RU"/>
              </w:rPr>
              <w:t>π√</w:t>
            </w:r>
            <w:r w:rsidRPr="0088780C">
              <w:rPr>
                <w:bCs/>
                <w:snapToGrid w:val="0"/>
                <w:color w:val="000000" w:themeColor="text1"/>
                <w:kern w:val="22"/>
                <w:szCs w:val="22"/>
                <w:lang w:eastAsia="ru-RU"/>
              </w:rPr>
              <w:t>F</w:t>
            </w:r>
          </w:p>
        </w:tc>
        <w:tc>
          <w:tcPr>
            <w:tcW w:w="850" w:type="dxa"/>
            <w:shd w:val="clear" w:color="auto" w:fill="auto"/>
            <w:tcMar>
              <w:top w:w="15" w:type="dxa"/>
              <w:left w:w="108" w:type="dxa"/>
              <w:bottom w:w="0" w:type="dxa"/>
              <w:right w:w="108" w:type="dxa"/>
            </w:tcMar>
            <w:vAlign w:val="center"/>
            <w:hideMark/>
          </w:tcPr>
          <w:p w14:paraId="4EE14B2B"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1,12</w:t>
            </w:r>
          </w:p>
        </w:tc>
      </w:tr>
      <w:tr w:rsidR="00A876F3" w:rsidRPr="0088780C" w14:paraId="4B5CCF4B" w14:textId="77777777" w:rsidTr="006972AD">
        <w:trPr>
          <w:trHeight w:val="20"/>
          <w:jc w:val="center"/>
        </w:trPr>
        <w:tc>
          <w:tcPr>
            <w:tcW w:w="3828" w:type="dxa"/>
            <w:shd w:val="clear" w:color="auto" w:fill="auto"/>
            <w:tcMar>
              <w:top w:w="15" w:type="dxa"/>
              <w:left w:w="108" w:type="dxa"/>
              <w:bottom w:w="0" w:type="dxa"/>
              <w:right w:w="108" w:type="dxa"/>
            </w:tcMar>
            <w:vAlign w:val="center"/>
            <w:hideMark/>
          </w:tcPr>
          <w:p w14:paraId="077157F0"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bCs/>
                <w:snapToGrid w:val="0"/>
                <w:color w:val="000000" w:themeColor="text1"/>
                <w:kern w:val="22"/>
                <w:szCs w:val="22"/>
                <w:lang w:eastAsia="ru-RU"/>
              </w:rPr>
              <w:t>Coefficient of capacity</w:t>
            </w:r>
          </w:p>
        </w:tc>
        <w:tc>
          <w:tcPr>
            <w:tcW w:w="1417" w:type="dxa"/>
            <w:shd w:val="clear" w:color="auto" w:fill="auto"/>
            <w:tcMar>
              <w:top w:w="15" w:type="dxa"/>
              <w:left w:w="108" w:type="dxa"/>
              <w:bottom w:w="0" w:type="dxa"/>
              <w:right w:w="108" w:type="dxa"/>
            </w:tcMar>
            <w:vAlign w:val="center"/>
            <w:hideMark/>
          </w:tcPr>
          <w:p w14:paraId="22474C8F"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С = H</w:t>
            </w:r>
            <w:r w:rsidRPr="0088780C">
              <w:rPr>
                <w:bCs/>
                <w:snapToGrid w:val="0"/>
                <w:color w:val="000000" w:themeColor="text1"/>
                <w:kern w:val="22"/>
                <w:szCs w:val="22"/>
                <w:vertAlign w:val="subscript"/>
                <w:lang w:eastAsia="ru-RU"/>
              </w:rPr>
              <w:t>max</w:t>
            </w:r>
            <w:r w:rsidRPr="0088780C">
              <w:rPr>
                <w:bCs/>
                <w:snapToGrid w:val="0"/>
                <w:color w:val="000000" w:themeColor="text1"/>
                <w:kern w:val="22"/>
                <w:szCs w:val="22"/>
                <w:lang w:eastAsia="ru-RU"/>
              </w:rPr>
              <w:t>/Н</w:t>
            </w:r>
            <w:r w:rsidRPr="0088780C">
              <w:rPr>
                <w:bCs/>
                <w:snapToGrid w:val="0"/>
                <w:color w:val="000000" w:themeColor="text1"/>
                <w:kern w:val="22"/>
                <w:szCs w:val="22"/>
                <w:vertAlign w:val="subscript"/>
                <w:lang w:eastAsia="ru-RU"/>
              </w:rPr>
              <w:t>av</w:t>
            </w:r>
          </w:p>
        </w:tc>
        <w:tc>
          <w:tcPr>
            <w:tcW w:w="850" w:type="dxa"/>
            <w:shd w:val="clear" w:color="auto" w:fill="auto"/>
            <w:tcMar>
              <w:top w:w="15" w:type="dxa"/>
              <w:left w:w="108" w:type="dxa"/>
              <w:bottom w:w="0" w:type="dxa"/>
              <w:right w:w="108" w:type="dxa"/>
            </w:tcMar>
            <w:vAlign w:val="center"/>
            <w:hideMark/>
          </w:tcPr>
          <w:p w14:paraId="2450D089"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0,5</w:t>
            </w:r>
          </w:p>
        </w:tc>
      </w:tr>
      <w:tr w:rsidR="00A876F3" w:rsidRPr="0088780C" w14:paraId="522A040E" w14:textId="77777777" w:rsidTr="006972AD">
        <w:trPr>
          <w:trHeight w:val="20"/>
          <w:jc w:val="center"/>
        </w:trPr>
        <w:tc>
          <w:tcPr>
            <w:tcW w:w="3828" w:type="dxa"/>
            <w:shd w:val="clear" w:color="auto" w:fill="auto"/>
            <w:tcMar>
              <w:top w:w="15" w:type="dxa"/>
              <w:left w:w="108" w:type="dxa"/>
              <w:bottom w:w="0" w:type="dxa"/>
              <w:right w:w="108" w:type="dxa"/>
            </w:tcMar>
            <w:vAlign w:val="center"/>
            <w:hideMark/>
          </w:tcPr>
          <w:p w14:paraId="42893A93"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bCs/>
                <w:snapToGrid w:val="0"/>
                <w:color w:val="000000" w:themeColor="text1"/>
                <w:kern w:val="22"/>
                <w:szCs w:val="22"/>
                <w:lang w:eastAsia="ru-RU"/>
              </w:rPr>
              <w:t>Depth coefficient</w:t>
            </w:r>
          </w:p>
        </w:tc>
        <w:tc>
          <w:tcPr>
            <w:tcW w:w="1417" w:type="dxa"/>
            <w:shd w:val="clear" w:color="auto" w:fill="auto"/>
            <w:tcMar>
              <w:top w:w="15" w:type="dxa"/>
              <w:left w:w="108" w:type="dxa"/>
              <w:bottom w:w="0" w:type="dxa"/>
              <w:right w:w="108" w:type="dxa"/>
            </w:tcMar>
            <w:vAlign w:val="center"/>
            <w:hideMark/>
          </w:tcPr>
          <w:p w14:paraId="2598FA70"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k</w:t>
            </w:r>
            <w:r w:rsidRPr="0088780C">
              <w:rPr>
                <w:bCs/>
                <w:snapToGrid w:val="0"/>
                <w:color w:val="000000" w:themeColor="text1"/>
                <w:kern w:val="22"/>
                <w:szCs w:val="22"/>
                <w:vertAlign w:val="subscript"/>
                <w:lang w:eastAsia="ru-RU"/>
              </w:rPr>
              <w:t>H</w:t>
            </w:r>
            <w:r w:rsidRPr="0088780C">
              <w:rPr>
                <w:bCs/>
                <w:snapToGrid w:val="0"/>
                <w:color w:val="000000" w:themeColor="text1"/>
                <w:kern w:val="22"/>
                <w:position w:val="-9"/>
                <w:szCs w:val="22"/>
                <w:vertAlign w:val="subscript"/>
                <w:lang w:eastAsia="ru-RU"/>
              </w:rPr>
              <w:t xml:space="preserve"> </w:t>
            </w:r>
            <w:r w:rsidRPr="0088780C">
              <w:rPr>
                <w:bCs/>
                <w:snapToGrid w:val="0"/>
                <w:color w:val="000000" w:themeColor="text1"/>
                <w:kern w:val="22"/>
                <w:szCs w:val="22"/>
                <w:lang w:eastAsia="ru-RU"/>
              </w:rPr>
              <w:t>= H</w:t>
            </w:r>
            <w:r w:rsidRPr="0088780C">
              <w:rPr>
                <w:bCs/>
                <w:snapToGrid w:val="0"/>
                <w:color w:val="000000" w:themeColor="text1"/>
                <w:kern w:val="22"/>
                <w:szCs w:val="22"/>
                <w:vertAlign w:val="subscript"/>
                <w:lang w:eastAsia="ru-RU"/>
              </w:rPr>
              <w:t>av</w:t>
            </w:r>
            <w:r w:rsidRPr="0088780C">
              <w:rPr>
                <w:bCs/>
                <w:snapToGrid w:val="0"/>
                <w:color w:val="000000" w:themeColor="text1"/>
                <w:kern w:val="22"/>
                <w:szCs w:val="22"/>
                <w:lang w:eastAsia="ru-RU"/>
              </w:rPr>
              <w:t>/</w:t>
            </w:r>
            <w:r w:rsidRPr="0088780C">
              <w:rPr>
                <w:bCs/>
                <w:snapToGrid w:val="0"/>
                <w:color w:val="000000" w:themeColor="text1"/>
                <w:kern w:val="22"/>
                <w:szCs w:val="22"/>
                <w:vertAlign w:val="superscript"/>
                <w:lang w:eastAsia="ru-RU"/>
              </w:rPr>
              <w:t>3</w:t>
            </w:r>
            <w:r w:rsidRPr="0088780C">
              <w:rPr>
                <w:rFonts w:hint="eastAsia"/>
                <w:bCs/>
                <w:snapToGrid w:val="0"/>
                <w:color w:val="000000" w:themeColor="text1"/>
                <w:kern w:val="22"/>
                <w:szCs w:val="22"/>
                <w:lang w:eastAsia="ru-RU"/>
              </w:rPr>
              <w:t>√</w:t>
            </w:r>
            <w:r w:rsidRPr="0088780C">
              <w:rPr>
                <w:bCs/>
                <w:snapToGrid w:val="0"/>
                <w:color w:val="000000" w:themeColor="text1"/>
                <w:kern w:val="22"/>
                <w:szCs w:val="22"/>
                <w:lang w:eastAsia="ru-RU"/>
              </w:rPr>
              <w:t>S</w:t>
            </w:r>
          </w:p>
        </w:tc>
        <w:tc>
          <w:tcPr>
            <w:tcW w:w="850" w:type="dxa"/>
            <w:shd w:val="clear" w:color="auto" w:fill="auto"/>
            <w:tcMar>
              <w:top w:w="15" w:type="dxa"/>
              <w:left w:w="108" w:type="dxa"/>
              <w:bottom w:w="0" w:type="dxa"/>
              <w:right w:w="108" w:type="dxa"/>
            </w:tcMar>
            <w:vAlign w:val="center"/>
            <w:hideMark/>
          </w:tcPr>
          <w:p w14:paraId="78CC56C7"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0,41</w:t>
            </w:r>
          </w:p>
        </w:tc>
      </w:tr>
      <w:tr w:rsidR="00A876F3" w:rsidRPr="0088780C" w14:paraId="0FAF8856" w14:textId="77777777" w:rsidTr="006972AD">
        <w:trPr>
          <w:trHeight w:val="20"/>
          <w:jc w:val="center"/>
        </w:trPr>
        <w:tc>
          <w:tcPr>
            <w:tcW w:w="3828" w:type="dxa"/>
            <w:shd w:val="clear" w:color="auto" w:fill="auto"/>
            <w:tcMar>
              <w:top w:w="15" w:type="dxa"/>
              <w:left w:w="108" w:type="dxa"/>
              <w:bottom w:w="0" w:type="dxa"/>
              <w:right w:w="108" w:type="dxa"/>
            </w:tcMar>
            <w:vAlign w:val="center"/>
            <w:hideMark/>
          </w:tcPr>
          <w:p w14:paraId="30EA7F5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bCs/>
                <w:snapToGrid w:val="0"/>
                <w:color w:val="000000" w:themeColor="text1"/>
                <w:kern w:val="22"/>
                <w:szCs w:val="22"/>
                <w:lang w:eastAsia="ru-RU"/>
              </w:rPr>
              <w:t>Coefficient of elongation</w:t>
            </w:r>
          </w:p>
        </w:tc>
        <w:tc>
          <w:tcPr>
            <w:tcW w:w="1417" w:type="dxa"/>
            <w:shd w:val="clear" w:color="auto" w:fill="auto"/>
            <w:tcMar>
              <w:top w:w="15" w:type="dxa"/>
              <w:left w:w="108" w:type="dxa"/>
              <w:bottom w:w="0" w:type="dxa"/>
              <w:right w:w="108" w:type="dxa"/>
            </w:tcMar>
            <w:vAlign w:val="center"/>
            <w:hideMark/>
          </w:tcPr>
          <w:p w14:paraId="2F24799C"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k</w:t>
            </w:r>
            <w:r w:rsidRPr="0088780C">
              <w:rPr>
                <w:bCs/>
                <w:snapToGrid w:val="0"/>
                <w:color w:val="000000" w:themeColor="text1"/>
                <w:kern w:val="22"/>
                <w:szCs w:val="22"/>
                <w:vertAlign w:val="subscript"/>
                <w:lang w:eastAsia="ru-RU"/>
              </w:rPr>
              <w:t>L</w:t>
            </w:r>
            <w:r w:rsidRPr="0088780C">
              <w:rPr>
                <w:bCs/>
                <w:snapToGrid w:val="0"/>
                <w:color w:val="000000" w:themeColor="text1"/>
                <w:kern w:val="22"/>
                <w:position w:val="-9"/>
                <w:szCs w:val="22"/>
                <w:vertAlign w:val="subscript"/>
                <w:lang w:eastAsia="ru-RU"/>
              </w:rPr>
              <w:t xml:space="preserve"> </w:t>
            </w:r>
            <w:r w:rsidRPr="0088780C">
              <w:rPr>
                <w:bCs/>
                <w:snapToGrid w:val="0"/>
                <w:color w:val="000000" w:themeColor="text1"/>
                <w:kern w:val="22"/>
                <w:szCs w:val="22"/>
                <w:lang w:eastAsia="ru-RU"/>
              </w:rPr>
              <w:t>= L/B</w:t>
            </w:r>
            <w:r w:rsidRPr="0088780C">
              <w:rPr>
                <w:bCs/>
                <w:snapToGrid w:val="0"/>
                <w:color w:val="000000" w:themeColor="text1"/>
                <w:kern w:val="22"/>
                <w:szCs w:val="22"/>
                <w:vertAlign w:val="subscript"/>
                <w:lang w:eastAsia="ru-RU"/>
              </w:rPr>
              <w:t>av</w:t>
            </w:r>
          </w:p>
        </w:tc>
        <w:tc>
          <w:tcPr>
            <w:tcW w:w="850" w:type="dxa"/>
            <w:shd w:val="clear" w:color="auto" w:fill="auto"/>
            <w:tcMar>
              <w:top w:w="15" w:type="dxa"/>
              <w:left w:w="108" w:type="dxa"/>
              <w:bottom w:w="0" w:type="dxa"/>
              <w:right w:w="108" w:type="dxa"/>
            </w:tcMar>
            <w:vAlign w:val="center"/>
            <w:hideMark/>
          </w:tcPr>
          <w:p w14:paraId="255A2E50"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1,92</w:t>
            </w:r>
          </w:p>
        </w:tc>
      </w:tr>
      <w:tr w:rsidR="00A876F3" w:rsidRPr="0088780C" w14:paraId="3463F6C8" w14:textId="77777777" w:rsidTr="006972AD">
        <w:trPr>
          <w:trHeight w:val="20"/>
          <w:jc w:val="center"/>
        </w:trPr>
        <w:tc>
          <w:tcPr>
            <w:tcW w:w="3828" w:type="dxa"/>
            <w:shd w:val="clear" w:color="auto" w:fill="auto"/>
            <w:tcMar>
              <w:top w:w="15" w:type="dxa"/>
              <w:left w:w="108" w:type="dxa"/>
              <w:bottom w:w="0" w:type="dxa"/>
              <w:right w:w="108" w:type="dxa"/>
            </w:tcMar>
            <w:vAlign w:val="center"/>
            <w:hideMark/>
          </w:tcPr>
          <w:p w14:paraId="5C0DF37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bCs/>
                <w:snapToGrid w:val="0"/>
                <w:color w:val="000000" w:themeColor="text1"/>
                <w:kern w:val="22"/>
                <w:szCs w:val="22"/>
                <w:lang w:eastAsia="ru-RU"/>
              </w:rPr>
              <w:t>Conditional water exchange with the sea</w:t>
            </w:r>
          </w:p>
        </w:tc>
        <w:tc>
          <w:tcPr>
            <w:tcW w:w="1417" w:type="dxa"/>
            <w:shd w:val="clear" w:color="auto" w:fill="auto"/>
            <w:tcMar>
              <w:top w:w="15" w:type="dxa"/>
              <w:left w:w="108" w:type="dxa"/>
              <w:bottom w:w="0" w:type="dxa"/>
              <w:right w:w="108" w:type="dxa"/>
            </w:tcMar>
            <w:vAlign w:val="center"/>
            <w:hideMark/>
          </w:tcPr>
          <w:p w14:paraId="1E427DEB"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D</w:t>
            </w:r>
            <w:r w:rsidRPr="0088780C">
              <w:rPr>
                <w:bCs/>
                <w:snapToGrid w:val="0"/>
                <w:color w:val="000000" w:themeColor="text1"/>
                <w:kern w:val="22"/>
                <w:szCs w:val="22"/>
                <w:vertAlign w:val="subscript"/>
                <w:lang w:eastAsia="ru-RU"/>
              </w:rPr>
              <w:t>s</w:t>
            </w:r>
            <w:r w:rsidRPr="0088780C">
              <w:rPr>
                <w:bCs/>
                <w:snapToGrid w:val="0"/>
                <w:color w:val="000000" w:themeColor="text1"/>
                <w:kern w:val="22"/>
                <w:position w:val="-9"/>
                <w:szCs w:val="22"/>
                <w:vertAlign w:val="subscript"/>
                <w:lang w:eastAsia="ru-RU"/>
              </w:rPr>
              <w:t xml:space="preserve"> </w:t>
            </w:r>
            <w:r w:rsidRPr="0088780C">
              <w:rPr>
                <w:bCs/>
                <w:snapToGrid w:val="0"/>
                <w:color w:val="000000" w:themeColor="text1"/>
                <w:kern w:val="22"/>
                <w:szCs w:val="22"/>
                <w:lang w:eastAsia="ru-RU"/>
              </w:rPr>
              <w:t>= W</w:t>
            </w:r>
            <w:r w:rsidRPr="0088780C">
              <w:rPr>
                <w:bCs/>
                <w:snapToGrid w:val="0"/>
                <w:color w:val="000000" w:themeColor="text1"/>
                <w:kern w:val="22"/>
                <w:szCs w:val="22"/>
                <w:vertAlign w:val="subscript"/>
                <w:lang w:eastAsia="ru-RU"/>
              </w:rPr>
              <w:t>s</w:t>
            </w:r>
            <w:r w:rsidRPr="0088780C">
              <w:rPr>
                <w:bCs/>
                <w:snapToGrid w:val="0"/>
                <w:color w:val="000000" w:themeColor="text1"/>
                <w:kern w:val="22"/>
                <w:szCs w:val="22"/>
                <w:lang w:eastAsia="ru-RU"/>
              </w:rPr>
              <w:t>/V</w:t>
            </w:r>
          </w:p>
        </w:tc>
        <w:tc>
          <w:tcPr>
            <w:tcW w:w="850" w:type="dxa"/>
            <w:shd w:val="clear" w:color="auto" w:fill="auto"/>
            <w:tcMar>
              <w:top w:w="15" w:type="dxa"/>
              <w:left w:w="108" w:type="dxa"/>
              <w:bottom w:w="0" w:type="dxa"/>
              <w:right w:w="108" w:type="dxa"/>
            </w:tcMar>
            <w:vAlign w:val="center"/>
            <w:hideMark/>
          </w:tcPr>
          <w:p w14:paraId="77E557BD"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bCs/>
                <w:snapToGrid w:val="0"/>
                <w:color w:val="000000" w:themeColor="text1"/>
                <w:kern w:val="22"/>
                <w:szCs w:val="22"/>
                <w:lang w:eastAsia="ru-RU"/>
              </w:rPr>
              <w:t>17</w:t>
            </w:r>
          </w:p>
        </w:tc>
      </w:tr>
    </w:tbl>
    <w:p w14:paraId="79FF19B7" w14:textId="00F5EE8F" w:rsidR="00A876F3" w:rsidRPr="0088780C" w:rsidRDefault="00FD466A" w:rsidP="001013AF">
      <w:pPr>
        <w:suppressLineNumbers/>
        <w:tabs>
          <w:tab w:val="left" w:pos="1620"/>
        </w:tab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ab/>
      </w:r>
      <w:r w:rsidR="00A876F3" w:rsidRPr="0088780C">
        <w:rPr>
          <w:snapToGrid w:val="0"/>
          <w:color w:val="000000" w:themeColor="text1"/>
          <w:kern w:val="22"/>
          <w:szCs w:val="22"/>
        </w:rPr>
        <w:t xml:space="preserve">*all characreristics are </w:t>
      </w:r>
      <w:r w:rsidR="00A876F3" w:rsidRPr="0088780C">
        <w:rPr>
          <w:bCs/>
          <w:snapToGrid w:val="0"/>
          <w:color w:val="000000" w:themeColor="text1"/>
          <w:kern w:val="22"/>
          <w:szCs w:val="22"/>
          <w:lang w:eastAsia="ru-RU"/>
        </w:rPr>
        <w:t>dimensionless quantity</w:t>
      </w:r>
    </w:p>
    <w:p w14:paraId="4A8A7120" w14:textId="77777777" w:rsidR="00A876F3" w:rsidRPr="0088780C" w:rsidRDefault="00A876F3" w:rsidP="001013AF">
      <w:pPr>
        <w:suppressLineNumbers/>
        <w:suppressAutoHyphens/>
        <w:kinsoku w:val="0"/>
        <w:overflowPunct w:val="0"/>
        <w:autoSpaceDE w:val="0"/>
        <w:autoSpaceDN w:val="0"/>
        <w:rPr>
          <w:rFonts w:eastAsia="Calibri"/>
          <w:snapToGrid w:val="0"/>
          <w:color w:val="000000" w:themeColor="text1"/>
          <w:kern w:val="22"/>
          <w:szCs w:val="22"/>
        </w:rPr>
      </w:pPr>
    </w:p>
    <w:p w14:paraId="3C22A4FA" w14:textId="75CD9FAA" w:rsidR="00A876F3" w:rsidRPr="0088780C" w:rsidRDefault="00A876F3" w:rsidP="001013AF">
      <w:pPr>
        <w:suppressLineNumbers/>
        <w:suppressAutoHyphens/>
        <w:kinsoku w:val="0"/>
        <w:overflowPunct w:val="0"/>
        <w:autoSpaceDE w:val="0"/>
        <w:autoSpaceDN w:val="0"/>
        <w:spacing w:after="120"/>
        <w:jc w:val="left"/>
        <w:rPr>
          <w:rFonts w:eastAsia="Calibri"/>
          <w:b/>
          <w:bCs/>
          <w:snapToGrid w:val="0"/>
          <w:color w:val="000000" w:themeColor="text1"/>
          <w:kern w:val="22"/>
          <w:szCs w:val="22"/>
        </w:rPr>
      </w:pPr>
      <w:r w:rsidRPr="0088780C">
        <w:rPr>
          <w:b/>
          <w:bCs/>
          <w:snapToGrid w:val="0"/>
          <w:color w:val="000000" w:themeColor="text1"/>
          <w:kern w:val="22"/>
          <w:szCs w:val="22"/>
        </w:rPr>
        <w:t xml:space="preserve">Table 3. </w:t>
      </w:r>
      <w:r w:rsidRPr="0088780C">
        <w:rPr>
          <w:rFonts w:eastAsia="Calibri"/>
          <w:b/>
          <w:bCs/>
          <w:snapToGrid w:val="0"/>
          <w:color w:val="000000" w:themeColor="text1"/>
          <w:kern w:val="22"/>
          <w:szCs w:val="22"/>
        </w:rPr>
        <w:t>Comparative characteristics of qualitative composition and quantitative indices of macrozoobenthos (N - mean number, ind∙m</w:t>
      </w:r>
      <w:r w:rsidRPr="0088780C">
        <w:rPr>
          <w:rFonts w:eastAsia="Calibri"/>
          <w:b/>
          <w:bCs/>
          <w:snapToGrid w:val="0"/>
          <w:color w:val="000000" w:themeColor="text1"/>
          <w:kern w:val="22"/>
          <w:szCs w:val="22"/>
          <w:vertAlign w:val="superscript"/>
        </w:rPr>
        <w:t>-2</w:t>
      </w:r>
      <w:r w:rsidRPr="0088780C">
        <w:rPr>
          <w:rFonts w:eastAsia="Calibri"/>
          <w:b/>
          <w:bCs/>
          <w:snapToGrid w:val="0"/>
          <w:color w:val="000000" w:themeColor="text1"/>
          <w:kern w:val="22"/>
          <w:szCs w:val="22"/>
        </w:rPr>
        <w:t>, B - average biomass, g∙m</w:t>
      </w:r>
      <w:r w:rsidRPr="0088780C">
        <w:rPr>
          <w:rFonts w:eastAsia="Calibri"/>
          <w:b/>
          <w:bCs/>
          <w:snapToGrid w:val="0"/>
          <w:color w:val="000000" w:themeColor="text1"/>
          <w:kern w:val="22"/>
          <w:szCs w:val="22"/>
          <w:vertAlign w:val="superscript"/>
        </w:rPr>
        <w:t>-2</w:t>
      </w:r>
      <w:r w:rsidRPr="0088780C">
        <w:rPr>
          <w:rFonts w:eastAsia="Calibri"/>
          <w:b/>
          <w:bCs/>
          <w:snapToGrid w:val="0"/>
          <w:color w:val="000000" w:themeColor="text1"/>
          <w:kern w:val="22"/>
          <w:szCs w:val="22"/>
        </w:rPr>
        <w:t xml:space="preserve">, P - occurrence, %) of Yagorlytsky and Tendrovsky bays in June 2013 </w:t>
      </w:r>
      <w:r w:rsidRPr="0088780C">
        <w:rPr>
          <w:b/>
          <w:bCs/>
          <w:snapToGrid w:val="0"/>
          <w:kern w:val="22"/>
          <w:szCs w:val="22"/>
        </w:rPr>
        <w:t>(Minicheva et al., 2014)</w:t>
      </w:r>
    </w:p>
    <w:tbl>
      <w:tblPr>
        <w:tblW w:w="8618" w:type="dxa"/>
        <w:jc w:val="center"/>
        <w:tblLayout w:type="fixed"/>
        <w:tblLook w:val="04A0" w:firstRow="1" w:lastRow="0" w:firstColumn="1" w:lastColumn="0" w:noHBand="0" w:noVBand="1"/>
      </w:tblPr>
      <w:tblGrid>
        <w:gridCol w:w="3374"/>
        <w:gridCol w:w="850"/>
        <w:gridCol w:w="1116"/>
        <w:gridCol w:w="682"/>
        <w:gridCol w:w="895"/>
        <w:gridCol w:w="851"/>
        <w:gridCol w:w="850"/>
      </w:tblGrid>
      <w:tr w:rsidR="00A876F3" w:rsidRPr="0088780C" w14:paraId="37BE746F" w14:textId="77777777" w:rsidTr="007B772D">
        <w:trPr>
          <w:trHeight w:val="110"/>
          <w:tblHeader/>
          <w:jc w:val="center"/>
        </w:trPr>
        <w:tc>
          <w:tcPr>
            <w:tcW w:w="3374" w:type="dxa"/>
            <w:vMerge w:val="restart"/>
            <w:tcBorders>
              <w:top w:val="single" w:sz="4" w:space="0" w:color="auto"/>
              <w:left w:val="single" w:sz="4" w:space="0" w:color="auto"/>
              <w:right w:val="single" w:sz="4" w:space="0" w:color="auto"/>
            </w:tcBorders>
            <w:shd w:val="clear" w:color="auto" w:fill="auto"/>
            <w:noWrap/>
            <w:vAlign w:val="center"/>
            <w:hideMark/>
          </w:tcPr>
          <w:p w14:paraId="181FE82F" w14:textId="77777777" w:rsidR="00A876F3" w:rsidRPr="0088780C" w:rsidRDefault="00A876F3" w:rsidP="001013AF">
            <w:pPr>
              <w:suppressLineNumbers/>
              <w:suppressAutoHyphens/>
              <w:kinsoku w:val="0"/>
              <w:overflowPunct w:val="0"/>
              <w:autoSpaceDE w:val="0"/>
              <w:autoSpaceDN w:val="0"/>
              <w:jc w:val="center"/>
              <w:rPr>
                <w:rFonts w:eastAsia="Times New Roman"/>
                <w:b/>
                <w:bCs/>
                <w:snapToGrid w:val="0"/>
                <w:color w:val="000000" w:themeColor="text1"/>
                <w:kern w:val="22"/>
                <w:szCs w:val="22"/>
                <w:lang w:eastAsia="ru-RU"/>
              </w:rPr>
            </w:pPr>
            <w:r w:rsidRPr="0088780C">
              <w:rPr>
                <w:rFonts w:eastAsia="Times New Roman"/>
                <w:b/>
                <w:bCs/>
                <w:snapToGrid w:val="0"/>
                <w:color w:val="000000" w:themeColor="text1"/>
                <w:kern w:val="22"/>
                <w:szCs w:val="22"/>
                <w:lang w:eastAsia="ru-RU"/>
              </w:rPr>
              <w:t>Taxon</w:t>
            </w:r>
          </w:p>
        </w:tc>
        <w:tc>
          <w:tcPr>
            <w:tcW w:w="2648" w:type="dxa"/>
            <w:gridSpan w:val="3"/>
            <w:tcBorders>
              <w:top w:val="single" w:sz="4" w:space="0" w:color="auto"/>
              <w:left w:val="nil"/>
              <w:bottom w:val="single" w:sz="4" w:space="0" w:color="auto"/>
              <w:right w:val="single" w:sz="4" w:space="0" w:color="auto"/>
            </w:tcBorders>
            <w:shd w:val="clear" w:color="auto" w:fill="auto"/>
            <w:noWrap/>
            <w:hideMark/>
          </w:tcPr>
          <w:p w14:paraId="1B1B12FE" w14:textId="77777777" w:rsidR="00A876F3" w:rsidRPr="0088780C" w:rsidRDefault="00A876F3" w:rsidP="001013AF">
            <w:pPr>
              <w:suppressLineNumbers/>
              <w:suppressAutoHyphens/>
              <w:kinsoku w:val="0"/>
              <w:overflowPunct w:val="0"/>
              <w:autoSpaceDE w:val="0"/>
              <w:autoSpaceDN w:val="0"/>
              <w:jc w:val="center"/>
              <w:rPr>
                <w:rFonts w:eastAsia="Calibri"/>
                <w:b/>
                <w:snapToGrid w:val="0"/>
                <w:color w:val="000000" w:themeColor="text1"/>
                <w:kern w:val="22"/>
                <w:szCs w:val="22"/>
              </w:rPr>
            </w:pPr>
            <w:r w:rsidRPr="0088780C">
              <w:rPr>
                <w:rFonts w:eastAsia="Calibri"/>
                <w:b/>
                <w:snapToGrid w:val="0"/>
                <w:color w:val="000000" w:themeColor="text1"/>
                <w:kern w:val="22"/>
                <w:szCs w:val="22"/>
              </w:rPr>
              <w:t>Yagorlytsky Bay</w:t>
            </w:r>
          </w:p>
        </w:tc>
        <w:tc>
          <w:tcPr>
            <w:tcW w:w="2596" w:type="dxa"/>
            <w:gridSpan w:val="3"/>
            <w:tcBorders>
              <w:top w:val="single" w:sz="4" w:space="0" w:color="auto"/>
              <w:left w:val="nil"/>
              <w:bottom w:val="single" w:sz="4" w:space="0" w:color="auto"/>
              <w:right w:val="single" w:sz="4" w:space="0" w:color="auto"/>
            </w:tcBorders>
            <w:shd w:val="clear" w:color="auto" w:fill="auto"/>
            <w:noWrap/>
            <w:hideMark/>
          </w:tcPr>
          <w:p w14:paraId="78B44B6C" w14:textId="77777777" w:rsidR="00A876F3" w:rsidRPr="0088780C" w:rsidRDefault="00A876F3" w:rsidP="001013AF">
            <w:pPr>
              <w:suppressLineNumbers/>
              <w:suppressAutoHyphens/>
              <w:kinsoku w:val="0"/>
              <w:overflowPunct w:val="0"/>
              <w:autoSpaceDE w:val="0"/>
              <w:autoSpaceDN w:val="0"/>
              <w:jc w:val="center"/>
              <w:rPr>
                <w:rFonts w:eastAsia="Calibri"/>
                <w:b/>
                <w:snapToGrid w:val="0"/>
                <w:color w:val="000000" w:themeColor="text1"/>
                <w:kern w:val="22"/>
                <w:szCs w:val="22"/>
              </w:rPr>
            </w:pPr>
            <w:r w:rsidRPr="0088780C">
              <w:rPr>
                <w:rFonts w:eastAsia="Calibri"/>
                <w:b/>
                <w:snapToGrid w:val="0"/>
                <w:color w:val="000000" w:themeColor="text1"/>
                <w:kern w:val="22"/>
                <w:szCs w:val="22"/>
              </w:rPr>
              <w:t>Tendrovsky Bay</w:t>
            </w:r>
          </w:p>
        </w:tc>
      </w:tr>
      <w:tr w:rsidR="00A876F3" w:rsidRPr="0088780C" w14:paraId="0709F55B" w14:textId="77777777" w:rsidTr="007B772D">
        <w:trPr>
          <w:trHeight w:val="65"/>
          <w:tblHeader/>
          <w:jc w:val="center"/>
        </w:trPr>
        <w:tc>
          <w:tcPr>
            <w:tcW w:w="3374" w:type="dxa"/>
            <w:vMerge/>
            <w:tcBorders>
              <w:left w:val="single" w:sz="4" w:space="0" w:color="auto"/>
              <w:bottom w:val="single" w:sz="4" w:space="0" w:color="auto"/>
              <w:right w:val="single" w:sz="4" w:space="0" w:color="auto"/>
            </w:tcBorders>
            <w:shd w:val="clear" w:color="auto" w:fill="auto"/>
            <w:noWrap/>
            <w:vAlign w:val="bottom"/>
            <w:hideMark/>
          </w:tcPr>
          <w:p w14:paraId="20858617"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D75E9EF"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N</w:t>
            </w:r>
          </w:p>
        </w:tc>
        <w:tc>
          <w:tcPr>
            <w:tcW w:w="1116" w:type="dxa"/>
            <w:tcBorders>
              <w:top w:val="nil"/>
              <w:left w:val="nil"/>
              <w:bottom w:val="single" w:sz="4" w:space="0" w:color="auto"/>
              <w:right w:val="single" w:sz="4" w:space="0" w:color="auto"/>
            </w:tcBorders>
            <w:shd w:val="clear" w:color="auto" w:fill="auto"/>
            <w:noWrap/>
            <w:vAlign w:val="center"/>
            <w:hideMark/>
          </w:tcPr>
          <w:p w14:paraId="6F9C5DE6"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B</w:t>
            </w:r>
          </w:p>
        </w:tc>
        <w:tc>
          <w:tcPr>
            <w:tcW w:w="682" w:type="dxa"/>
            <w:tcBorders>
              <w:top w:val="nil"/>
              <w:left w:val="nil"/>
              <w:bottom w:val="single" w:sz="4" w:space="0" w:color="auto"/>
              <w:right w:val="single" w:sz="4" w:space="0" w:color="auto"/>
            </w:tcBorders>
            <w:shd w:val="clear" w:color="auto" w:fill="auto"/>
            <w:noWrap/>
            <w:vAlign w:val="center"/>
            <w:hideMark/>
          </w:tcPr>
          <w:p w14:paraId="5CCB25DB"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Р, %</w:t>
            </w:r>
          </w:p>
        </w:tc>
        <w:tc>
          <w:tcPr>
            <w:tcW w:w="895" w:type="dxa"/>
            <w:tcBorders>
              <w:top w:val="nil"/>
              <w:left w:val="nil"/>
              <w:bottom w:val="single" w:sz="4" w:space="0" w:color="auto"/>
              <w:right w:val="single" w:sz="4" w:space="0" w:color="auto"/>
            </w:tcBorders>
            <w:shd w:val="clear" w:color="auto" w:fill="auto"/>
            <w:noWrap/>
            <w:vAlign w:val="center"/>
            <w:hideMark/>
          </w:tcPr>
          <w:p w14:paraId="78783293"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N</w:t>
            </w:r>
          </w:p>
        </w:tc>
        <w:tc>
          <w:tcPr>
            <w:tcW w:w="851" w:type="dxa"/>
            <w:tcBorders>
              <w:top w:val="nil"/>
              <w:left w:val="nil"/>
              <w:bottom w:val="single" w:sz="4" w:space="0" w:color="auto"/>
              <w:right w:val="single" w:sz="4" w:space="0" w:color="auto"/>
            </w:tcBorders>
            <w:shd w:val="clear" w:color="auto" w:fill="auto"/>
            <w:noWrap/>
            <w:vAlign w:val="center"/>
            <w:hideMark/>
          </w:tcPr>
          <w:p w14:paraId="36392072"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B</w:t>
            </w:r>
          </w:p>
        </w:tc>
        <w:tc>
          <w:tcPr>
            <w:tcW w:w="850" w:type="dxa"/>
            <w:tcBorders>
              <w:top w:val="nil"/>
              <w:left w:val="nil"/>
              <w:bottom w:val="single" w:sz="4" w:space="0" w:color="auto"/>
              <w:right w:val="single" w:sz="4" w:space="0" w:color="auto"/>
            </w:tcBorders>
            <w:shd w:val="clear" w:color="auto" w:fill="auto"/>
            <w:noWrap/>
            <w:vAlign w:val="center"/>
            <w:hideMark/>
          </w:tcPr>
          <w:p w14:paraId="489E96BF"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Р, %</w:t>
            </w:r>
          </w:p>
        </w:tc>
      </w:tr>
      <w:tr w:rsidR="00A876F3" w:rsidRPr="0088780C" w14:paraId="62985F5C"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241660FA"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Spongia</w:t>
            </w:r>
          </w:p>
        </w:tc>
        <w:tc>
          <w:tcPr>
            <w:tcW w:w="850" w:type="dxa"/>
            <w:tcBorders>
              <w:top w:val="nil"/>
              <w:left w:val="nil"/>
              <w:bottom w:val="single" w:sz="4" w:space="0" w:color="auto"/>
              <w:right w:val="single" w:sz="4" w:space="0" w:color="auto"/>
            </w:tcBorders>
            <w:shd w:val="clear" w:color="auto" w:fill="auto"/>
            <w:noWrap/>
            <w:vAlign w:val="bottom"/>
            <w:hideMark/>
          </w:tcPr>
          <w:p w14:paraId="0993242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1116" w:type="dxa"/>
            <w:tcBorders>
              <w:top w:val="nil"/>
              <w:left w:val="nil"/>
              <w:bottom w:val="single" w:sz="4" w:space="0" w:color="auto"/>
              <w:right w:val="single" w:sz="4" w:space="0" w:color="auto"/>
            </w:tcBorders>
            <w:shd w:val="clear" w:color="auto" w:fill="auto"/>
            <w:noWrap/>
            <w:vAlign w:val="bottom"/>
            <w:hideMark/>
          </w:tcPr>
          <w:p w14:paraId="6CDE8AA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682" w:type="dxa"/>
            <w:tcBorders>
              <w:top w:val="nil"/>
              <w:left w:val="nil"/>
              <w:bottom w:val="single" w:sz="4" w:space="0" w:color="auto"/>
              <w:right w:val="single" w:sz="4" w:space="0" w:color="auto"/>
            </w:tcBorders>
            <w:shd w:val="clear" w:color="auto" w:fill="auto"/>
            <w:noWrap/>
            <w:vAlign w:val="bottom"/>
            <w:hideMark/>
          </w:tcPr>
          <w:p w14:paraId="307A72D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95" w:type="dxa"/>
            <w:tcBorders>
              <w:top w:val="nil"/>
              <w:left w:val="nil"/>
              <w:bottom w:val="single" w:sz="4" w:space="0" w:color="auto"/>
              <w:right w:val="single" w:sz="4" w:space="0" w:color="auto"/>
            </w:tcBorders>
            <w:shd w:val="clear" w:color="auto" w:fill="auto"/>
            <w:noWrap/>
            <w:vAlign w:val="bottom"/>
            <w:hideMark/>
          </w:tcPr>
          <w:p w14:paraId="6493E53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1" w:type="dxa"/>
            <w:tcBorders>
              <w:top w:val="nil"/>
              <w:left w:val="nil"/>
              <w:bottom w:val="single" w:sz="4" w:space="0" w:color="auto"/>
              <w:right w:val="single" w:sz="4" w:space="0" w:color="auto"/>
            </w:tcBorders>
            <w:shd w:val="clear" w:color="auto" w:fill="auto"/>
            <w:noWrap/>
            <w:vAlign w:val="bottom"/>
            <w:hideMark/>
          </w:tcPr>
          <w:p w14:paraId="18CC48C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0" w:type="dxa"/>
            <w:tcBorders>
              <w:top w:val="nil"/>
              <w:left w:val="nil"/>
              <w:bottom w:val="single" w:sz="4" w:space="0" w:color="auto"/>
              <w:right w:val="single" w:sz="4" w:space="0" w:color="auto"/>
            </w:tcBorders>
            <w:shd w:val="clear" w:color="auto" w:fill="auto"/>
            <w:noWrap/>
            <w:vAlign w:val="bottom"/>
            <w:hideMark/>
          </w:tcPr>
          <w:p w14:paraId="70114BD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r>
      <w:tr w:rsidR="00A876F3" w:rsidRPr="0088780C" w14:paraId="034678FD"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A8F32D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Spongia g. sp.</w:t>
            </w:r>
          </w:p>
        </w:tc>
        <w:tc>
          <w:tcPr>
            <w:tcW w:w="850" w:type="dxa"/>
            <w:tcBorders>
              <w:top w:val="nil"/>
              <w:left w:val="nil"/>
              <w:bottom w:val="single" w:sz="4" w:space="0" w:color="auto"/>
              <w:right w:val="single" w:sz="4" w:space="0" w:color="auto"/>
            </w:tcBorders>
            <w:shd w:val="clear" w:color="auto" w:fill="auto"/>
            <w:noWrap/>
            <w:vAlign w:val="bottom"/>
            <w:hideMark/>
          </w:tcPr>
          <w:p w14:paraId="329E944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1116" w:type="dxa"/>
            <w:tcBorders>
              <w:top w:val="nil"/>
              <w:left w:val="nil"/>
              <w:bottom w:val="single" w:sz="4" w:space="0" w:color="auto"/>
              <w:right w:val="single" w:sz="4" w:space="0" w:color="auto"/>
            </w:tcBorders>
            <w:shd w:val="clear" w:color="auto" w:fill="auto"/>
            <w:noWrap/>
            <w:vAlign w:val="bottom"/>
            <w:hideMark/>
          </w:tcPr>
          <w:p w14:paraId="08AB8C1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5,417</w:t>
            </w:r>
          </w:p>
        </w:tc>
        <w:tc>
          <w:tcPr>
            <w:tcW w:w="682" w:type="dxa"/>
            <w:tcBorders>
              <w:top w:val="nil"/>
              <w:left w:val="nil"/>
              <w:bottom w:val="single" w:sz="4" w:space="0" w:color="auto"/>
              <w:right w:val="single" w:sz="4" w:space="0" w:color="auto"/>
            </w:tcBorders>
            <w:shd w:val="clear" w:color="auto" w:fill="auto"/>
            <w:noWrap/>
            <w:vAlign w:val="bottom"/>
            <w:hideMark/>
          </w:tcPr>
          <w:p w14:paraId="382AF4F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33,3</w:t>
            </w:r>
          </w:p>
        </w:tc>
        <w:tc>
          <w:tcPr>
            <w:tcW w:w="895" w:type="dxa"/>
            <w:tcBorders>
              <w:top w:val="nil"/>
              <w:left w:val="nil"/>
              <w:bottom w:val="single" w:sz="4" w:space="0" w:color="auto"/>
              <w:right w:val="single" w:sz="4" w:space="0" w:color="auto"/>
            </w:tcBorders>
            <w:shd w:val="clear" w:color="auto" w:fill="auto"/>
            <w:noWrap/>
            <w:vAlign w:val="bottom"/>
            <w:hideMark/>
          </w:tcPr>
          <w:p w14:paraId="6304D66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4BA17D5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0D514EB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7317E6CE"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19C2A99"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Coelenterata</w:t>
            </w:r>
          </w:p>
        </w:tc>
        <w:tc>
          <w:tcPr>
            <w:tcW w:w="850" w:type="dxa"/>
            <w:tcBorders>
              <w:top w:val="nil"/>
              <w:left w:val="nil"/>
              <w:bottom w:val="single" w:sz="4" w:space="0" w:color="auto"/>
              <w:right w:val="single" w:sz="4" w:space="0" w:color="auto"/>
            </w:tcBorders>
            <w:shd w:val="clear" w:color="auto" w:fill="auto"/>
            <w:noWrap/>
            <w:vAlign w:val="bottom"/>
            <w:hideMark/>
          </w:tcPr>
          <w:p w14:paraId="1F1AFB4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1116" w:type="dxa"/>
            <w:tcBorders>
              <w:top w:val="nil"/>
              <w:left w:val="nil"/>
              <w:bottom w:val="single" w:sz="4" w:space="0" w:color="auto"/>
              <w:right w:val="single" w:sz="4" w:space="0" w:color="auto"/>
            </w:tcBorders>
            <w:shd w:val="clear" w:color="auto" w:fill="auto"/>
            <w:noWrap/>
            <w:vAlign w:val="bottom"/>
            <w:hideMark/>
          </w:tcPr>
          <w:p w14:paraId="6926155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682" w:type="dxa"/>
            <w:tcBorders>
              <w:top w:val="nil"/>
              <w:left w:val="nil"/>
              <w:bottom w:val="single" w:sz="4" w:space="0" w:color="auto"/>
              <w:right w:val="single" w:sz="4" w:space="0" w:color="auto"/>
            </w:tcBorders>
            <w:shd w:val="clear" w:color="auto" w:fill="auto"/>
            <w:noWrap/>
            <w:vAlign w:val="bottom"/>
            <w:hideMark/>
          </w:tcPr>
          <w:p w14:paraId="750DF9A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95" w:type="dxa"/>
            <w:tcBorders>
              <w:top w:val="nil"/>
              <w:left w:val="nil"/>
              <w:bottom w:val="single" w:sz="4" w:space="0" w:color="auto"/>
              <w:right w:val="single" w:sz="4" w:space="0" w:color="auto"/>
            </w:tcBorders>
            <w:shd w:val="clear" w:color="auto" w:fill="auto"/>
            <w:noWrap/>
            <w:vAlign w:val="bottom"/>
            <w:hideMark/>
          </w:tcPr>
          <w:p w14:paraId="342E90D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1" w:type="dxa"/>
            <w:tcBorders>
              <w:top w:val="nil"/>
              <w:left w:val="nil"/>
              <w:bottom w:val="single" w:sz="4" w:space="0" w:color="auto"/>
              <w:right w:val="single" w:sz="4" w:space="0" w:color="auto"/>
            </w:tcBorders>
            <w:shd w:val="clear" w:color="auto" w:fill="auto"/>
            <w:noWrap/>
            <w:vAlign w:val="bottom"/>
            <w:hideMark/>
          </w:tcPr>
          <w:p w14:paraId="7976A18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0" w:type="dxa"/>
            <w:tcBorders>
              <w:top w:val="nil"/>
              <w:left w:val="nil"/>
              <w:bottom w:val="single" w:sz="4" w:space="0" w:color="auto"/>
              <w:right w:val="single" w:sz="4" w:space="0" w:color="auto"/>
            </w:tcBorders>
            <w:shd w:val="clear" w:color="auto" w:fill="auto"/>
            <w:noWrap/>
            <w:vAlign w:val="bottom"/>
            <w:hideMark/>
          </w:tcPr>
          <w:p w14:paraId="571F9EB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r>
      <w:tr w:rsidR="00A876F3" w:rsidRPr="0088780C" w14:paraId="5A77E422" w14:textId="77777777" w:rsidTr="007B772D">
        <w:trPr>
          <w:trHeight w:val="92"/>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76FE6C5C"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Actinia equina</w:t>
            </w:r>
            <w:r w:rsidRPr="0088780C">
              <w:rPr>
                <w:rFonts w:eastAsia="Times New Roman"/>
                <w:snapToGrid w:val="0"/>
                <w:color w:val="000000" w:themeColor="text1"/>
                <w:kern w:val="22"/>
                <w:szCs w:val="22"/>
                <w:lang w:eastAsia="ru-RU"/>
              </w:rPr>
              <w:t xml:space="preserve"> (L.)</w:t>
            </w:r>
          </w:p>
        </w:tc>
        <w:tc>
          <w:tcPr>
            <w:tcW w:w="850" w:type="dxa"/>
            <w:tcBorders>
              <w:top w:val="nil"/>
              <w:left w:val="nil"/>
              <w:bottom w:val="single" w:sz="4" w:space="0" w:color="auto"/>
              <w:right w:val="single" w:sz="4" w:space="0" w:color="auto"/>
            </w:tcBorders>
            <w:shd w:val="clear" w:color="auto" w:fill="auto"/>
            <w:noWrap/>
            <w:vAlign w:val="bottom"/>
            <w:hideMark/>
          </w:tcPr>
          <w:p w14:paraId="19900B9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208,3</w:t>
            </w:r>
          </w:p>
        </w:tc>
        <w:tc>
          <w:tcPr>
            <w:tcW w:w="1116" w:type="dxa"/>
            <w:tcBorders>
              <w:top w:val="nil"/>
              <w:left w:val="nil"/>
              <w:bottom w:val="single" w:sz="4" w:space="0" w:color="auto"/>
              <w:right w:val="single" w:sz="4" w:space="0" w:color="auto"/>
            </w:tcBorders>
            <w:shd w:val="clear" w:color="auto" w:fill="auto"/>
            <w:noWrap/>
            <w:vAlign w:val="bottom"/>
            <w:hideMark/>
          </w:tcPr>
          <w:p w14:paraId="461A928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14,517</w:t>
            </w:r>
          </w:p>
        </w:tc>
        <w:tc>
          <w:tcPr>
            <w:tcW w:w="682" w:type="dxa"/>
            <w:tcBorders>
              <w:top w:val="nil"/>
              <w:left w:val="nil"/>
              <w:bottom w:val="single" w:sz="4" w:space="0" w:color="auto"/>
              <w:right w:val="single" w:sz="4" w:space="0" w:color="auto"/>
            </w:tcBorders>
            <w:shd w:val="clear" w:color="auto" w:fill="auto"/>
            <w:noWrap/>
            <w:vAlign w:val="bottom"/>
            <w:hideMark/>
          </w:tcPr>
          <w:p w14:paraId="04740EA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66,7</w:t>
            </w:r>
          </w:p>
        </w:tc>
        <w:tc>
          <w:tcPr>
            <w:tcW w:w="895" w:type="dxa"/>
            <w:tcBorders>
              <w:top w:val="nil"/>
              <w:left w:val="nil"/>
              <w:bottom w:val="single" w:sz="4" w:space="0" w:color="auto"/>
              <w:right w:val="single" w:sz="4" w:space="0" w:color="auto"/>
            </w:tcBorders>
            <w:shd w:val="clear" w:color="auto" w:fill="auto"/>
            <w:noWrap/>
            <w:vAlign w:val="bottom"/>
            <w:hideMark/>
          </w:tcPr>
          <w:p w14:paraId="7361D1D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w:t>
            </w:r>
          </w:p>
        </w:tc>
        <w:tc>
          <w:tcPr>
            <w:tcW w:w="851" w:type="dxa"/>
            <w:tcBorders>
              <w:top w:val="nil"/>
              <w:left w:val="nil"/>
              <w:bottom w:val="single" w:sz="4" w:space="0" w:color="auto"/>
              <w:right w:val="single" w:sz="4" w:space="0" w:color="auto"/>
            </w:tcBorders>
            <w:shd w:val="clear" w:color="auto" w:fill="auto"/>
            <w:noWrap/>
            <w:vAlign w:val="bottom"/>
            <w:hideMark/>
          </w:tcPr>
          <w:p w14:paraId="0ABBE40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1,900</w:t>
            </w:r>
          </w:p>
        </w:tc>
        <w:tc>
          <w:tcPr>
            <w:tcW w:w="850" w:type="dxa"/>
            <w:tcBorders>
              <w:top w:val="nil"/>
              <w:left w:val="nil"/>
              <w:bottom w:val="single" w:sz="4" w:space="0" w:color="auto"/>
              <w:right w:val="single" w:sz="4" w:space="0" w:color="auto"/>
            </w:tcBorders>
            <w:shd w:val="clear" w:color="auto" w:fill="auto"/>
            <w:noWrap/>
            <w:vAlign w:val="bottom"/>
            <w:hideMark/>
          </w:tcPr>
          <w:p w14:paraId="65286A0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1B6CC0E4" w14:textId="77777777" w:rsidTr="007B772D">
        <w:trPr>
          <w:trHeight w:val="124"/>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477CD89"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Actinothoe clavata</w:t>
            </w:r>
            <w:r w:rsidRPr="0088780C">
              <w:rPr>
                <w:rFonts w:eastAsia="Times New Roman"/>
                <w:snapToGrid w:val="0"/>
                <w:color w:val="000000" w:themeColor="text1"/>
                <w:kern w:val="22"/>
                <w:szCs w:val="22"/>
                <w:lang w:eastAsia="ru-RU"/>
              </w:rPr>
              <w:t xml:space="preserve"> (Ilmoni)</w:t>
            </w:r>
          </w:p>
        </w:tc>
        <w:tc>
          <w:tcPr>
            <w:tcW w:w="850" w:type="dxa"/>
            <w:tcBorders>
              <w:top w:val="nil"/>
              <w:left w:val="nil"/>
              <w:bottom w:val="single" w:sz="4" w:space="0" w:color="auto"/>
              <w:right w:val="single" w:sz="4" w:space="0" w:color="auto"/>
            </w:tcBorders>
            <w:shd w:val="clear" w:color="auto" w:fill="auto"/>
            <w:noWrap/>
            <w:vAlign w:val="bottom"/>
            <w:hideMark/>
          </w:tcPr>
          <w:p w14:paraId="4314CAC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4,2</w:t>
            </w:r>
          </w:p>
        </w:tc>
        <w:tc>
          <w:tcPr>
            <w:tcW w:w="1116" w:type="dxa"/>
            <w:tcBorders>
              <w:top w:val="nil"/>
              <w:left w:val="nil"/>
              <w:bottom w:val="single" w:sz="4" w:space="0" w:color="auto"/>
              <w:right w:val="single" w:sz="4" w:space="0" w:color="auto"/>
            </w:tcBorders>
            <w:shd w:val="clear" w:color="auto" w:fill="auto"/>
            <w:noWrap/>
            <w:vAlign w:val="bottom"/>
            <w:hideMark/>
          </w:tcPr>
          <w:p w14:paraId="0FB4DFA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0,208</w:t>
            </w:r>
          </w:p>
        </w:tc>
        <w:tc>
          <w:tcPr>
            <w:tcW w:w="682" w:type="dxa"/>
            <w:tcBorders>
              <w:top w:val="nil"/>
              <w:left w:val="nil"/>
              <w:bottom w:val="single" w:sz="4" w:space="0" w:color="auto"/>
              <w:right w:val="single" w:sz="4" w:space="0" w:color="auto"/>
            </w:tcBorders>
            <w:shd w:val="clear" w:color="auto" w:fill="auto"/>
            <w:noWrap/>
            <w:vAlign w:val="bottom"/>
            <w:hideMark/>
          </w:tcPr>
          <w:p w14:paraId="28F4166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370D45D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133E093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4DF3C22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15F1C1F8"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3630B96E"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Vermes</w:t>
            </w:r>
          </w:p>
        </w:tc>
        <w:tc>
          <w:tcPr>
            <w:tcW w:w="850" w:type="dxa"/>
            <w:tcBorders>
              <w:top w:val="nil"/>
              <w:left w:val="nil"/>
              <w:bottom w:val="single" w:sz="4" w:space="0" w:color="auto"/>
              <w:right w:val="single" w:sz="4" w:space="0" w:color="auto"/>
            </w:tcBorders>
            <w:shd w:val="clear" w:color="auto" w:fill="auto"/>
            <w:noWrap/>
            <w:vAlign w:val="bottom"/>
            <w:hideMark/>
          </w:tcPr>
          <w:p w14:paraId="0646793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1116" w:type="dxa"/>
            <w:tcBorders>
              <w:top w:val="nil"/>
              <w:left w:val="nil"/>
              <w:bottom w:val="single" w:sz="4" w:space="0" w:color="auto"/>
              <w:right w:val="single" w:sz="4" w:space="0" w:color="auto"/>
            </w:tcBorders>
            <w:shd w:val="clear" w:color="auto" w:fill="auto"/>
            <w:noWrap/>
            <w:vAlign w:val="bottom"/>
            <w:hideMark/>
          </w:tcPr>
          <w:p w14:paraId="58A42A8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682" w:type="dxa"/>
            <w:tcBorders>
              <w:top w:val="nil"/>
              <w:left w:val="nil"/>
              <w:bottom w:val="single" w:sz="4" w:space="0" w:color="auto"/>
              <w:right w:val="single" w:sz="4" w:space="0" w:color="auto"/>
            </w:tcBorders>
            <w:shd w:val="clear" w:color="auto" w:fill="auto"/>
            <w:noWrap/>
            <w:vAlign w:val="bottom"/>
            <w:hideMark/>
          </w:tcPr>
          <w:p w14:paraId="2D00AC8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95" w:type="dxa"/>
            <w:tcBorders>
              <w:top w:val="nil"/>
              <w:left w:val="nil"/>
              <w:bottom w:val="single" w:sz="4" w:space="0" w:color="auto"/>
              <w:right w:val="single" w:sz="4" w:space="0" w:color="auto"/>
            </w:tcBorders>
            <w:shd w:val="clear" w:color="auto" w:fill="auto"/>
            <w:noWrap/>
            <w:vAlign w:val="bottom"/>
            <w:hideMark/>
          </w:tcPr>
          <w:p w14:paraId="0DE779F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1" w:type="dxa"/>
            <w:tcBorders>
              <w:top w:val="nil"/>
              <w:left w:val="nil"/>
              <w:bottom w:val="single" w:sz="4" w:space="0" w:color="auto"/>
              <w:right w:val="single" w:sz="4" w:space="0" w:color="auto"/>
            </w:tcBorders>
            <w:shd w:val="clear" w:color="auto" w:fill="auto"/>
            <w:noWrap/>
            <w:vAlign w:val="bottom"/>
            <w:hideMark/>
          </w:tcPr>
          <w:p w14:paraId="043E675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0" w:type="dxa"/>
            <w:tcBorders>
              <w:top w:val="nil"/>
              <w:left w:val="nil"/>
              <w:bottom w:val="single" w:sz="4" w:space="0" w:color="auto"/>
              <w:right w:val="single" w:sz="4" w:space="0" w:color="auto"/>
            </w:tcBorders>
            <w:shd w:val="clear" w:color="auto" w:fill="auto"/>
            <w:noWrap/>
            <w:vAlign w:val="bottom"/>
            <w:hideMark/>
          </w:tcPr>
          <w:p w14:paraId="690F95C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r>
      <w:tr w:rsidR="00A876F3" w:rsidRPr="0088780C" w14:paraId="078A5757" w14:textId="77777777" w:rsidTr="007B772D">
        <w:trPr>
          <w:trHeight w:val="170"/>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76AB164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Turbellaria g. sp.</w:t>
            </w:r>
          </w:p>
        </w:tc>
        <w:tc>
          <w:tcPr>
            <w:tcW w:w="850" w:type="dxa"/>
            <w:tcBorders>
              <w:top w:val="nil"/>
              <w:left w:val="nil"/>
              <w:bottom w:val="single" w:sz="4" w:space="0" w:color="auto"/>
              <w:right w:val="single" w:sz="4" w:space="0" w:color="auto"/>
            </w:tcBorders>
            <w:shd w:val="clear" w:color="auto" w:fill="auto"/>
            <w:noWrap/>
            <w:vAlign w:val="bottom"/>
            <w:hideMark/>
          </w:tcPr>
          <w:p w14:paraId="1C8314D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45,8</w:t>
            </w:r>
          </w:p>
        </w:tc>
        <w:tc>
          <w:tcPr>
            <w:tcW w:w="1116" w:type="dxa"/>
            <w:tcBorders>
              <w:top w:val="nil"/>
              <w:left w:val="nil"/>
              <w:bottom w:val="single" w:sz="4" w:space="0" w:color="auto"/>
              <w:right w:val="single" w:sz="4" w:space="0" w:color="auto"/>
            </w:tcBorders>
            <w:shd w:val="clear" w:color="auto" w:fill="auto"/>
            <w:noWrap/>
            <w:vAlign w:val="bottom"/>
            <w:hideMark/>
          </w:tcPr>
          <w:p w14:paraId="6BC41F0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0,338</w:t>
            </w:r>
          </w:p>
        </w:tc>
        <w:tc>
          <w:tcPr>
            <w:tcW w:w="682" w:type="dxa"/>
            <w:tcBorders>
              <w:top w:val="nil"/>
              <w:left w:val="nil"/>
              <w:bottom w:val="single" w:sz="4" w:space="0" w:color="auto"/>
              <w:right w:val="single" w:sz="4" w:space="0" w:color="auto"/>
            </w:tcBorders>
            <w:shd w:val="clear" w:color="auto" w:fill="auto"/>
            <w:noWrap/>
            <w:vAlign w:val="bottom"/>
            <w:hideMark/>
          </w:tcPr>
          <w:p w14:paraId="5DE81B7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33,3</w:t>
            </w:r>
          </w:p>
        </w:tc>
        <w:tc>
          <w:tcPr>
            <w:tcW w:w="895" w:type="dxa"/>
            <w:tcBorders>
              <w:top w:val="nil"/>
              <w:left w:val="nil"/>
              <w:bottom w:val="single" w:sz="4" w:space="0" w:color="auto"/>
              <w:right w:val="single" w:sz="4" w:space="0" w:color="auto"/>
            </w:tcBorders>
            <w:shd w:val="clear" w:color="auto" w:fill="auto"/>
            <w:noWrap/>
            <w:vAlign w:val="bottom"/>
            <w:hideMark/>
          </w:tcPr>
          <w:p w14:paraId="2C72E49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w:t>
            </w:r>
          </w:p>
        </w:tc>
        <w:tc>
          <w:tcPr>
            <w:tcW w:w="851" w:type="dxa"/>
            <w:tcBorders>
              <w:top w:val="nil"/>
              <w:left w:val="nil"/>
              <w:bottom w:val="single" w:sz="4" w:space="0" w:color="auto"/>
              <w:right w:val="single" w:sz="4" w:space="0" w:color="auto"/>
            </w:tcBorders>
            <w:shd w:val="clear" w:color="auto" w:fill="auto"/>
            <w:noWrap/>
            <w:vAlign w:val="bottom"/>
            <w:hideMark/>
          </w:tcPr>
          <w:p w14:paraId="4EB7994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0,260</w:t>
            </w:r>
          </w:p>
        </w:tc>
        <w:tc>
          <w:tcPr>
            <w:tcW w:w="850" w:type="dxa"/>
            <w:tcBorders>
              <w:top w:val="nil"/>
              <w:left w:val="nil"/>
              <w:bottom w:val="single" w:sz="4" w:space="0" w:color="auto"/>
              <w:right w:val="single" w:sz="4" w:space="0" w:color="auto"/>
            </w:tcBorders>
            <w:shd w:val="clear" w:color="auto" w:fill="auto"/>
            <w:noWrap/>
            <w:vAlign w:val="bottom"/>
            <w:hideMark/>
          </w:tcPr>
          <w:p w14:paraId="7480AD6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5805CC0D" w14:textId="77777777" w:rsidTr="007B772D">
        <w:trPr>
          <w:trHeight w:val="73"/>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61455A2D"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Nemertini g. sp.</w:t>
            </w:r>
          </w:p>
        </w:tc>
        <w:tc>
          <w:tcPr>
            <w:tcW w:w="850" w:type="dxa"/>
            <w:tcBorders>
              <w:top w:val="nil"/>
              <w:left w:val="nil"/>
              <w:bottom w:val="single" w:sz="4" w:space="0" w:color="auto"/>
              <w:right w:val="single" w:sz="4" w:space="0" w:color="auto"/>
            </w:tcBorders>
            <w:shd w:val="clear" w:color="auto" w:fill="auto"/>
            <w:noWrap/>
            <w:vAlign w:val="bottom"/>
            <w:hideMark/>
          </w:tcPr>
          <w:p w14:paraId="3CA16BA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1116" w:type="dxa"/>
            <w:tcBorders>
              <w:top w:val="nil"/>
              <w:left w:val="nil"/>
              <w:bottom w:val="single" w:sz="4" w:space="0" w:color="auto"/>
              <w:right w:val="single" w:sz="4" w:space="0" w:color="auto"/>
            </w:tcBorders>
            <w:shd w:val="clear" w:color="auto" w:fill="auto"/>
            <w:noWrap/>
            <w:vAlign w:val="bottom"/>
            <w:hideMark/>
          </w:tcPr>
          <w:p w14:paraId="17ACCB4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0,238</w:t>
            </w:r>
          </w:p>
        </w:tc>
        <w:tc>
          <w:tcPr>
            <w:tcW w:w="682" w:type="dxa"/>
            <w:tcBorders>
              <w:top w:val="nil"/>
              <w:left w:val="nil"/>
              <w:bottom w:val="single" w:sz="4" w:space="0" w:color="auto"/>
              <w:right w:val="single" w:sz="4" w:space="0" w:color="auto"/>
            </w:tcBorders>
            <w:shd w:val="clear" w:color="auto" w:fill="auto"/>
            <w:noWrap/>
            <w:vAlign w:val="bottom"/>
            <w:hideMark/>
          </w:tcPr>
          <w:p w14:paraId="5B0021B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25,0</w:t>
            </w:r>
          </w:p>
        </w:tc>
        <w:tc>
          <w:tcPr>
            <w:tcW w:w="895" w:type="dxa"/>
            <w:tcBorders>
              <w:top w:val="nil"/>
              <w:left w:val="nil"/>
              <w:bottom w:val="single" w:sz="4" w:space="0" w:color="auto"/>
              <w:right w:val="single" w:sz="4" w:space="0" w:color="auto"/>
            </w:tcBorders>
            <w:shd w:val="clear" w:color="auto" w:fill="auto"/>
            <w:noWrap/>
            <w:vAlign w:val="bottom"/>
            <w:hideMark/>
          </w:tcPr>
          <w:p w14:paraId="2F19392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75B33DD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7857B69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7940CFFC" w14:textId="77777777" w:rsidTr="007B772D">
        <w:trPr>
          <w:trHeight w:val="106"/>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7171E3E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Phyllodoce tuberculata</w:t>
            </w:r>
            <w:r w:rsidRPr="0088780C">
              <w:rPr>
                <w:rFonts w:eastAsia="Times New Roman"/>
                <w:snapToGrid w:val="0"/>
                <w:color w:val="000000" w:themeColor="text1"/>
                <w:kern w:val="22"/>
                <w:szCs w:val="22"/>
                <w:lang w:eastAsia="ru-RU"/>
              </w:rPr>
              <w:t xml:space="preserve"> Bobretzky</w:t>
            </w:r>
          </w:p>
        </w:tc>
        <w:tc>
          <w:tcPr>
            <w:tcW w:w="850" w:type="dxa"/>
            <w:tcBorders>
              <w:top w:val="nil"/>
              <w:left w:val="nil"/>
              <w:bottom w:val="single" w:sz="4" w:space="0" w:color="auto"/>
              <w:right w:val="single" w:sz="4" w:space="0" w:color="auto"/>
            </w:tcBorders>
            <w:shd w:val="clear" w:color="auto" w:fill="auto"/>
            <w:noWrap/>
            <w:vAlign w:val="bottom"/>
            <w:hideMark/>
          </w:tcPr>
          <w:p w14:paraId="3941760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91,7</w:t>
            </w:r>
          </w:p>
        </w:tc>
        <w:tc>
          <w:tcPr>
            <w:tcW w:w="1116" w:type="dxa"/>
            <w:tcBorders>
              <w:top w:val="nil"/>
              <w:left w:val="nil"/>
              <w:bottom w:val="single" w:sz="4" w:space="0" w:color="auto"/>
              <w:right w:val="single" w:sz="4" w:space="0" w:color="auto"/>
            </w:tcBorders>
            <w:shd w:val="clear" w:color="auto" w:fill="auto"/>
            <w:noWrap/>
            <w:vAlign w:val="bottom"/>
            <w:hideMark/>
          </w:tcPr>
          <w:p w14:paraId="1F58D0B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0,533</w:t>
            </w:r>
          </w:p>
        </w:tc>
        <w:tc>
          <w:tcPr>
            <w:tcW w:w="682" w:type="dxa"/>
            <w:tcBorders>
              <w:top w:val="nil"/>
              <w:left w:val="nil"/>
              <w:bottom w:val="single" w:sz="4" w:space="0" w:color="auto"/>
              <w:right w:val="single" w:sz="4" w:space="0" w:color="auto"/>
            </w:tcBorders>
            <w:shd w:val="clear" w:color="auto" w:fill="auto"/>
            <w:noWrap/>
            <w:vAlign w:val="bottom"/>
            <w:hideMark/>
          </w:tcPr>
          <w:p w14:paraId="2D4BD9D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50,0</w:t>
            </w:r>
          </w:p>
        </w:tc>
        <w:tc>
          <w:tcPr>
            <w:tcW w:w="895" w:type="dxa"/>
            <w:tcBorders>
              <w:top w:val="nil"/>
              <w:left w:val="nil"/>
              <w:bottom w:val="single" w:sz="4" w:space="0" w:color="auto"/>
              <w:right w:val="single" w:sz="4" w:space="0" w:color="auto"/>
            </w:tcBorders>
            <w:shd w:val="clear" w:color="auto" w:fill="auto"/>
            <w:noWrap/>
            <w:vAlign w:val="bottom"/>
            <w:hideMark/>
          </w:tcPr>
          <w:p w14:paraId="51F0F36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40,0</w:t>
            </w:r>
          </w:p>
        </w:tc>
        <w:tc>
          <w:tcPr>
            <w:tcW w:w="851" w:type="dxa"/>
            <w:tcBorders>
              <w:top w:val="nil"/>
              <w:left w:val="nil"/>
              <w:bottom w:val="single" w:sz="4" w:space="0" w:color="auto"/>
              <w:right w:val="single" w:sz="4" w:space="0" w:color="auto"/>
            </w:tcBorders>
            <w:shd w:val="clear" w:color="auto" w:fill="auto"/>
            <w:noWrap/>
            <w:vAlign w:val="bottom"/>
            <w:hideMark/>
          </w:tcPr>
          <w:p w14:paraId="23B5CE1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0,240</w:t>
            </w:r>
          </w:p>
        </w:tc>
        <w:tc>
          <w:tcPr>
            <w:tcW w:w="850" w:type="dxa"/>
            <w:tcBorders>
              <w:top w:val="nil"/>
              <w:left w:val="nil"/>
              <w:bottom w:val="single" w:sz="4" w:space="0" w:color="auto"/>
              <w:right w:val="single" w:sz="4" w:space="0" w:color="auto"/>
            </w:tcBorders>
            <w:shd w:val="clear" w:color="auto" w:fill="auto"/>
            <w:noWrap/>
            <w:vAlign w:val="bottom"/>
            <w:hideMark/>
          </w:tcPr>
          <w:p w14:paraId="10B134B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40,0</w:t>
            </w:r>
          </w:p>
        </w:tc>
      </w:tr>
      <w:tr w:rsidR="00A876F3" w:rsidRPr="0088780C" w14:paraId="5D060526" w14:textId="77777777" w:rsidTr="007B772D">
        <w:trPr>
          <w:trHeight w:val="152"/>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677DF85"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Phyllodoce nana</w:t>
            </w:r>
            <w:r w:rsidRPr="0088780C">
              <w:rPr>
                <w:rFonts w:eastAsia="Times New Roman"/>
                <w:snapToGrid w:val="0"/>
                <w:color w:val="000000" w:themeColor="text1"/>
                <w:kern w:val="22"/>
                <w:szCs w:val="22"/>
                <w:lang w:eastAsia="ru-RU"/>
              </w:rPr>
              <w:t xml:space="preserve"> Saint-Joseph</w:t>
            </w:r>
          </w:p>
        </w:tc>
        <w:tc>
          <w:tcPr>
            <w:tcW w:w="850" w:type="dxa"/>
            <w:tcBorders>
              <w:top w:val="nil"/>
              <w:left w:val="nil"/>
              <w:bottom w:val="single" w:sz="4" w:space="0" w:color="auto"/>
              <w:right w:val="single" w:sz="4" w:space="0" w:color="auto"/>
            </w:tcBorders>
            <w:shd w:val="clear" w:color="auto" w:fill="auto"/>
            <w:noWrap/>
            <w:vAlign w:val="bottom"/>
            <w:hideMark/>
          </w:tcPr>
          <w:p w14:paraId="7FC6DD9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1116" w:type="dxa"/>
            <w:tcBorders>
              <w:top w:val="nil"/>
              <w:left w:val="nil"/>
              <w:bottom w:val="single" w:sz="4" w:space="0" w:color="auto"/>
              <w:right w:val="single" w:sz="4" w:space="0" w:color="auto"/>
            </w:tcBorders>
            <w:shd w:val="clear" w:color="auto" w:fill="auto"/>
            <w:noWrap/>
            <w:vAlign w:val="bottom"/>
            <w:hideMark/>
          </w:tcPr>
          <w:p w14:paraId="0B2FAF6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682" w:type="dxa"/>
            <w:tcBorders>
              <w:top w:val="nil"/>
              <w:left w:val="nil"/>
              <w:bottom w:val="single" w:sz="4" w:space="0" w:color="auto"/>
              <w:right w:val="single" w:sz="4" w:space="0" w:color="auto"/>
            </w:tcBorders>
            <w:shd w:val="clear" w:color="auto" w:fill="auto"/>
            <w:noWrap/>
            <w:vAlign w:val="bottom"/>
            <w:hideMark/>
          </w:tcPr>
          <w:p w14:paraId="3F68586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95" w:type="dxa"/>
            <w:tcBorders>
              <w:top w:val="nil"/>
              <w:left w:val="nil"/>
              <w:bottom w:val="single" w:sz="4" w:space="0" w:color="auto"/>
              <w:right w:val="single" w:sz="4" w:space="0" w:color="auto"/>
            </w:tcBorders>
            <w:shd w:val="clear" w:color="auto" w:fill="auto"/>
            <w:noWrap/>
            <w:vAlign w:val="bottom"/>
            <w:hideMark/>
          </w:tcPr>
          <w:p w14:paraId="2113854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w:t>
            </w:r>
          </w:p>
        </w:tc>
        <w:tc>
          <w:tcPr>
            <w:tcW w:w="851" w:type="dxa"/>
            <w:tcBorders>
              <w:top w:val="nil"/>
              <w:left w:val="nil"/>
              <w:bottom w:val="single" w:sz="4" w:space="0" w:color="auto"/>
              <w:right w:val="single" w:sz="4" w:space="0" w:color="auto"/>
            </w:tcBorders>
            <w:shd w:val="clear" w:color="auto" w:fill="auto"/>
            <w:noWrap/>
            <w:vAlign w:val="bottom"/>
            <w:hideMark/>
          </w:tcPr>
          <w:p w14:paraId="04EC372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0,010</w:t>
            </w:r>
          </w:p>
        </w:tc>
        <w:tc>
          <w:tcPr>
            <w:tcW w:w="850" w:type="dxa"/>
            <w:tcBorders>
              <w:top w:val="nil"/>
              <w:left w:val="nil"/>
              <w:bottom w:val="single" w:sz="4" w:space="0" w:color="auto"/>
              <w:right w:val="single" w:sz="4" w:space="0" w:color="auto"/>
            </w:tcBorders>
            <w:shd w:val="clear" w:color="auto" w:fill="auto"/>
            <w:noWrap/>
            <w:vAlign w:val="bottom"/>
            <w:hideMark/>
          </w:tcPr>
          <w:p w14:paraId="750BB40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53967BC9" w14:textId="77777777" w:rsidTr="007B772D">
        <w:trPr>
          <w:trHeight w:val="198"/>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B005AD8"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Eteone picta</w:t>
            </w:r>
            <w:r w:rsidRPr="0088780C">
              <w:rPr>
                <w:rFonts w:eastAsia="Times New Roman"/>
                <w:snapToGrid w:val="0"/>
                <w:color w:val="000000" w:themeColor="text1"/>
                <w:kern w:val="22"/>
                <w:szCs w:val="22"/>
                <w:lang w:eastAsia="ru-RU"/>
              </w:rPr>
              <w:t xml:space="preserve"> Quatrefages</w:t>
            </w:r>
          </w:p>
        </w:tc>
        <w:tc>
          <w:tcPr>
            <w:tcW w:w="850" w:type="dxa"/>
            <w:tcBorders>
              <w:top w:val="nil"/>
              <w:left w:val="nil"/>
              <w:bottom w:val="single" w:sz="4" w:space="0" w:color="auto"/>
              <w:right w:val="single" w:sz="4" w:space="0" w:color="auto"/>
            </w:tcBorders>
            <w:shd w:val="clear" w:color="auto" w:fill="auto"/>
            <w:noWrap/>
            <w:vAlign w:val="bottom"/>
            <w:hideMark/>
          </w:tcPr>
          <w:p w14:paraId="67A9FAB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1116" w:type="dxa"/>
            <w:tcBorders>
              <w:top w:val="nil"/>
              <w:left w:val="nil"/>
              <w:bottom w:val="single" w:sz="4" w:space="0" w:color="auto"/>
              <w:right w:val="single" w:sz="4" w:space="0" w:color="auto"/>
            </w:tcBorders>
            <w:shd w:val="clear" w:color="auto" w:fill="auto"/>
            <w:noWrap/>
            <w:vAlign w:val="bottom"/>
            <w:hideMark/>
          </w:tcPr>
          <w:p w14:paraId="7F042E0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0,050</w:t>
            </w:r>
          </w:p>
        </w:tc>
        <w:tc>
          <w:tcPr>
            <w:tcW w:w="682" w:type="dxa"/>
            <w:tcBorders>
              <w:top w:val="nil"/>
              <w:left w:val="nil"/>
              <w:bottom w:val="single" w:sz="4" w:space="0" w:color="auto"/>
              <w:right w:val="single" w:sz="4" w:space="0" w:color="auto"/>
            </w:tcBorders>
            <w:shd w:val="clear" w:color="auto" w:fill="auto"/>
            <w:noWrap/>
            <w:vAlign w:val="bottom"/>
            <w:hideMark/>
          </w:tcPr>
          <w:p w14:paraId="5E676DF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40F2238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244AA00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5DE920A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6874B8EB"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F17B50C"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Harmothoe imbricata</w:t>
            </w:r>
            <w:r w:rsidRPr="0088780C">
              <w:rPr>
                <w:rFonts w:eastAsia="Times New Roman"/>
                <w:snapToGrid w:val="0"/>
                <w:color w:val="000000" w:themeColor="text1"/>
                <w:kern w:val="22"/>
                <w:szCs w:val="22"/>
                <w:lang w:eastAsia="ru-RU"/>
              </w:rPr>
              <w:t xml:space="preserve"> (L.)</w:t>
            </w:r>
          </w:p>
        </w:tc>
        <w:tc>
          <w:tcPr>
            <w:tcW w:w="850" w:type="dxa"/>
            <w:tcBorders>
              <w:top w:val="nil"/>
              <w:left w:val="nil"/>
              <w:bottom w:val="single" w:sz="4" w:space="0" w:color="auto"/>
              <w:right w:val="single" w:sz="4" w:space="0" w:color="auto"/>
            </w:tcBorders>
            <w:shd w:val="clear" w:color="auto" w:fill="auto"/>
            <w:noWrap/>
            <w:vAlign w:val="bottom"/>
            <w:hideMark/>
          </w:tcPr>
          <w:p w14:paraId="5B895DD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150,0</w:t>
            </w:r>
          </w:p>
        </w:tc>
        <w:tc>
          <w:tcPr>
            <w:tcW w:w="1116" w:type="dxa"/>
            <w:tcBorders>
              <w:top w:val="nil"/>
              <w:left w:val="nil"/>
              <w:bottom w:val="single" w:sz="4" w:space="0" w:color="auto"/>
              <w:right w:val="single" w:sz="4" w:space="0" w:color="auto"/>
            </w:tcBorders>
            <w:shd w:val="clear" w:color="auto" w:fill="auto"/>
            <w:noWrap/>
            <w:vAlign w:val="bottom"/>
            <w:hideMark/>
          </w:tcPr>
          <w:p w14:paraId="3FE1915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0,521</w:t>
            </w:r>
          </w:p>
        </w:tc>
        <w:tc>
          <w:tcPr>
            <w:tcW w:w="682" w:type="dxa"/>
            <w:tcBorders>
              <w:top w:val="nil"/>
              <w:left w:val="nil"/>
              <w:bottom w:val="single" w:sz="4" w:space="0" w:color="auto"/>
              <w:right w:val="single" w:sz="4" w:space="0" w:color="auto"/>
            </w:tcBorders>
            <w:shd w:val="clear" w:color="auto" w:fill="auto"/>
            <w:noWrap/>
            <w:vAlign w:val="bottom"/>
            <w:hideMark/>
          </w:tcPr>
          <w:p w14:paraId="4B92869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75,0</w:t>
            </w:r>
          </w:p>
        </w:tc>
        <w:tc>
          <w:tcPr>
            <w:tcW w:w="895" w:type="dxa"/>
            <w:tcBorders>
              <w:top w:val="nil"/>
              <w:left w:val="nil"/>
              <w:bottom w:val="single" w:sz="4" w:space="0" w:color="auto"/>
              <w:right w:val="single" w:sz="4" w:space="0" w:color="auto"/>
            </w:tcBorders>
            <w:shd w:val="clear" w:color="auto" w:fill="auto"/>
            <w:noWrap/>
            <w:vAlign w:val="bottom"/>
            <w:hideMark/>
          </w:tcPr>
          <w:p w14:paraId="4F41EE4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2F5DEB3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411547E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6D78717F"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60E6F233"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Harmothoe reticulata</w:t>
            </w:r>
            <w:r w:rsidRPr="0088780C">
              <w:rPr>
                <w:rFonts w:eastAsia="Times New Roman"/>
                <w:snapToGrid w:val="0"/>
                <w:color w:val="000000" w:themeColor="text1"/>
                <w:kern w:val="22"/>
                <w:szCs w:val="22"/>
                <w:lang w:eastAsia="ru-RU"/>
              </w:rPr>
              <w:t xml:space="preserve"> Claparede</w:t>
            </w:r>
          </w:p>
        </w:tc>
        <w:tc>
          <w:tcPr>
            <w:tcW w:w="850" w:type="dxa"/>
            <w:tcBorders>
              <w:top w:val="nil"/>
              <w:left w:val="nil"/>
              <w:bottom w:val="single" w:sz="4" w:space="0" w:color="auto"/>
              <w:right w:val="single" w:sz="4" w:space="0" w:color="auto"/>
            </w:tcBorders>
            <w:shd w:val="clear" w:color="auto" w:fill="auto"/>
            <w:noWrap/>
            <w:vAlign w:val="bottom"/>
            <w:hideMark/>
          </w:tcPr>
          <w:p w14:paraId="16E67EC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58,3</w:t>
            </w:r>
          </w:p>
        </w:tc>
        <w:tc>
          <w:tcPr>
            <w:tcW w:w="1116" w:type="dxa"/>
            <w:tcBorders>
              <w:top w:val="nil"/>
              <w:left w:val="nil"/>
              <w:bottom w:val="single" w:sz="4" w:space="0" w:color="auto"/>
              <w:right w:val="single" w:sz="4" w:space="0" w:color="auto"/>
            </w:tcBorders>
            <w:shd w:val="clear" w:color="auto" w:fill="auto"/>
            <w:noWrap/>
            <w:vAlign w:val="bottom"/>
            <w:hideMark/>
          </w:tcPr>
          <w:p w14:paraId="239A292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0,054</w:t>
            </w:r>
          </w:p>
        </w:tc>
        <w:tc>
          <w:tcPr>
            <w:tcW w:w="682" w:type="dxa"/>
            <w:tcBorders>
              <w:top w:val="nil"/>
              <w:left w:val="nil"/>
              <w:bottom w:val="single" w:sz="4" w:space="0" w:color="auto"/>
              <w:right w:val="single" w:sz="4" w:space="0" w:color="auto"/>
            </w:tcBorders>
            <w:shd w:val="clear" w:color="auto" w:fill="auto"/>
            <w:noWrap/>
            <w:vAlign w:val="bottom"/>
            <w:hideMark/>
          </w:tcPr>
          <w:p w14:paraId="6C2991F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895" w:type="dxa"/>
            <w:tcBorders>
              <w:top w:val="nil"/>
              <w:left w:val="nil"/>
              <w:bottom w:val="single" w:sz="4" w:space="0" w:color="auto"/>
              <w:right w:val="single" w:sz="4" w:space="0" w:color="auto"/>
            </w:tcBorders>
            <w:shd w:val="clear" w:color="auto" w:fill="auto"/>
            <w:noWrap/>
            <w:vAlign w:val="bottom"/>
            <w:hideMark/>
          </w:tcPr>
          <w:p w14:paraId="11D2621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4F08E0D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22A6A0E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7D4775EB"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0A70754"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Glycera tridactyla</w:t>
            </w:r>
            <w:r w:rsidRPr="0088780C">
              <w:rPr>
                <w:rFonts w:eastAsia="Times New Roman"/>
                <w:snapToGrid w:val="0"/>
                <w:color w:val="000000" w:themeColor="text1"/>
                <w:kern w:val="22"/>
                <w:szCs w:val="22"/>
                <w:lang w:eastAsia="ru-RU"/>
              </w:rPr>
              <w:t xml:space="preserve"> Schmarda</w:t>
            </w:r>
          </w:p>
        </w:tc>
        <w:tc>
          <w:tcPr>
            <w:tcW w:w="850" w:type="dxa"/>
            <w:tcBorders>
              <w:top w:val="nil"/>
              <w:left w:val="nil"/>
              <w:bottom w:val="single" w:sz="4" w:space="0" w:color="auto"/>
              <w:right w:val="single" w:sz="4" w:space="0" w:color="auto"/>
            </w:tcBorders>
            <w:shd w:val="clear" w:color="auto" w:fill="auto"/>
            <w:noWrap/>
            <w:vAlign w:val="bottom"/>
            <w:hideMark/>
          </w:tcPr>
          <w:p w14:paraId="62D0F47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216,7</w:t>
            </w:r>
          </w:p>
        </w:tc>
        <w:tc>
          <w:tcPr>
            <w:tcW w:w="1116" w:type="dxa"/>
            <w:tcBorders>
              <w:top w:val="nil"/>
              <w:left w:val="nil"/>
              <w:bottom w:val="single" w:sz="4" w:space="0" w:color="auto"/>
              <w:right w:val="single" w:sz="4" w:space="0" w:color="auto"/>
            </w:tcBorders>
            <w:shd w:val="clear" w:color="auto" w:fill="auto"/>
            <w:noWrap/>
            <w:vAlign w:val="bottom"/>
            <w:hideMark/>
          </w:tcPr>
          <w:p w14:paraId="053F2FA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2,621</w:t>
            </w:r>
          </w:p>
        </w:tc>
        <w:tc>
          <w:tcPr>
            <w:tcW w:w="682" w:type="dxa"/>
            <w:tcBorders>
              <w:top w:val="nil"/>
              <w:left w:val="nil"/>
              <w:bottom w:val="single" w:sz="4" w:space="0" w:color="auto"/>
              <w:right w:val="single" w:sz="4" w:space="0" w:color="auto"/>
            </w:tcBorders>
            <w:shd w:val="clear" w:color="auto" w:fill="auto"/>
            <w:noWrap/>
            <w:vAlign w:val="bottom"/>
            <w:hideMark/>
          </w:tcPr>
          <w:p w14:paraId="6413086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91,7</w:t>
            </w:r>
          </w:p>
        </w:tc>
        <w:tc>
          <w:tcPr>
            <w:tcW w:w="895" w:type="dxa"/>
            <w:tcBorders>
              <w:top w:val="nil"/>
              <w:left w:val="nil"/>
              <w:bottom w:val="single" w:sz="4" w:space="0" w:color="auto"/>
              <w:right w:val="single" w:sz="4" w:space="0" w:color="auto"/>
            </w:tcBorders>
            <w:shd w:val="clear" w:color="auto" w:fill="auto"/>
            <w:noWrap/>
            <w:vAlign w:val="bottom"/>
            <w:hideMark/>
          </w:tcPr>
          <w:p w14:paraId="493569B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60,0</w:t>
            </w:r>
          </w:p>
        </w:tc>
        <w:tc>
          <w:tcPr>
            <w:tcW w:w="851" w:type="dxa"/>
            <w:tcBorders>
              <w:top w:val="nil"/>
              <w:left w:val="nil"/>
              <w:bottom w:val="single" w:sz="4" w:space="0" w:color="auto"/>
              <w:right w:val="single" w:sz="4" w:space="0" w:color="auto"/>
            </w:tcBorders>
            <w:shd w:val="clear" w:color="auto" w:fill="auto"/>
            <w:noWrap/>
            <w:vAlign w:val="bottom"/>
            <w:hideMark/>
          </w:tcPr>
          <w:p w14:paraId="2125BB0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0,160</w:t>
            </w:r>
          </w:p>
        </w:tc>
        <w:tc>
          <w:tcPr>
            <w:tcW w:w="850" w:type="dxa"/>
            <w:tcBorders>
              <w:top w:val="nil"/>
              <w:left w:val="nil"/>
              <w:bottom w:val="single" w:sz="4" w:space="0" w:color="auto"/>
              <w:right w:val="single" w:sz="4" w:space="0" w:color="auto"/>
            </w:tcBorders>
            <w:shd w:val="clear" w:color="auto" w:fill="auto"/>
            <w:noWrap/>
            <w:vAlign w:val="bottom"/>
            <w:hideMark/>
          </w:tcPr>
          <w:p w14:paraId="3F8570D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40,0</w:t>
            </w:r>
          </w:p>
        </w:tc>
      </w:tr>
      <w:tr w:rsidR="00A876F3" w:rsidRPr="0088780C" w14:paraId="3DF51401" w14:textId="77777777" w:rsidTr="007B772D">
        <w:trPr>
          <w:trHeight w:val="84"/>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3983BBF2"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Nereis zonata</w:t>
            </w:r>
            <w:r w:rsidRPr="0088780C">
              <w:rPr>
                <w:rFonts w:eastAsia="Times New Roman"/>
                <w:snapToGrid w:val="0"/>
                <w:color w:val="000000" w:themeColor="text1"/>
                <w:kern w:val="22"/>
                <w:szCs w:val="22"/>
                <w:lang w:eastAsia="ru-RU"/>
              </w:rPr>
              <w:t xml:space="preserve"> Malmgren</w:t>
            </w:r>
          </w:p>
        </w:tc>
        <w:tc>
          <w:tcPr>
            <w:tcW w:w="850" w:type="dxa"/>
            <w:tcBorders>
              <w:top w:val="nil"/>
              <w:left w:val="nil"/>
              <w:bottom w:val="single" w:sz="4" w:space="0" w:color="auto"/>
              <w:right w:val="single" w:sz="4" w:space="0" w:color="auto"/>
            </w:tcBorders>
            <w:shd w:val="clear" w:color="auto" w:fill="auto"/>
            <w:noWrap/>
            <w:vAlign w:val="bottom"/>
            <w:hideMark/>
          </w:tcPr>
          <w:p w14:paraId="0DCE0B4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12,5</w:t>
            </w:r>
          </w:p>
        </w:tc>
        <w:tc>
          <w:tcPr>
            <w:tcW w:w="1116" w:type="dxa"/>
            <w:tcBorders>
              <w:top w:val="nil"/>
              <w:left w:val="nil"/>
              <w:bottom w:val="single" w:sz="4" w:space="0" w:color="auto"/>
              <w:right w:val="single" w:sz="4" w:space="0" w:color="auto"/>
            </w:tcBorders>
            <w:shd w:val="clear" w:color="auto" w:fill="auto"/>
            <w:noWrap/>
            <w:vAlign w:val="bottom"/>
            <w:hideMark/>
          </w:tcPr>
          <w:p w14:paraId="34929C5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0,163</w:t>
            </w:r>
          </w:p>
        </w:tc>
        <w:tc>
          <w:tcPr>
            <w:tcW w:w="682" w:type="dxa"/>
            <w:tcBorders>
              <w:top w:val="nil"/>
              <w:left w:val="nil"/>
              <w:bottom w:val="single" w:sz="4" w:space="0" w:color="auto"/>
              <w:right w:val="single" w:sz="4" w:space="0" w:color="auto"/>
            </w:tcBorders>
            <w:shd w:val="clear" w:color="auto" w:fill="auto"/>
            <w:noWrap/>
            <w:vAlign w:val="bottom"/>
            <w:hideMark/>
          </w:tcPr>
          <w:p w14:paraId="7785C79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895" w:type="dxa"/>
            <w:tcBorders>
              <w:top w:val="nil"/>
              <w:left w:val="nil"/>
              <w:bottom w:val="single" w:sz="4" w:space="0" w:color="auto"/>
              <w:right w:val="single" w:sz="4" w:space="0" w:color="auto"/>
            </w:tcBorders>
            <w:shd w:val="clear" w:color="auto" w:fill="auto"/>
            <w:noWrap/>
            <w:vAlign w:val="bottom"/>
            <w:hideMark/>
          </w:tcPr>
          <w:p w14:paraId="6246FF5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w:t>
            </w:r>
          </w:p>
        </w:tc>
        <w:tc>
          <w:tcPr>
            <w:tcW w:w="851" w:type="dxa"/>
            <w:tcBorders>
              <w:top w:val="nil"/>
              <w:left w:val="nil"/>
              <w:bottom w:val="single" w:sz="4" w:space="0" w:color="auto"/>
              <w:right w:val="single" w:sz="4" w:space="0" w:color="auto"/>
            </w:tcBorders>
            <w:shd w:val="clear" w:color="auto" w:fill="auto"/>
            <w:noWrap/>
            <w:vAlign w:val="bottom"/>
            <w:hideMark/>
          </w:tcPr>
          <w:p w14:paraId="58BD8BE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3,430</w:t>
            </w:r>
          </w:p>
        </w:tc>
        <w:tc>
          <w:tcPr>
            <w:tcW w:w="850" w:type="dxa"/>
            <w:tcBorders>
              <w:top w:val="nil"/>
              <w:left w:val="nil"/>
              <w:bottom w:val="single" w:sz="4" w:space="0" w:color="auto"/>
              <w:right w:val="single" w:sz="4" w:space="0" w:color="auto"/>
            </w:tcBorders>
            <w:shd w:val="clear" w:color="auto" w:fill="auto"/>
            <w:noWrap/>
            <w:vAlign w:val="bottom"/>
            <w:hideMark/>
          </w:tcPr>
          <w:p w14:paraId="7AAC458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310A0E21" w14:textId="77777777" w:rsidTr="007B772D">
        <w:trPr>
          <w:trHeight w:val="130"/>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7E0D45D9"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Perinereis cultrifera</w:t>
            </w:r>
            <w:r w:rsidRPr="0088780C">
              <w:rPr>
                <w:rFonts w:eastAsia="Times New Roman"/>
                <w:snapToGrid w:val="0"/>
                <w:color w:val="000000" w:themeColor="text1"/>
                <w:kern w:val="22"/>
                <w:szCs w:val="22"/>
                <w:lang w:eastAsia="ru-RU"/>
              </w:rPr>
              <w:t xml:space="preserve"> (Grube)</w:t>
            </w:r>
          </w:p>
        </w:tc>
        <w:tc>
          <w:tcPr>
            <w:tcW w:w="850" w:type="dxa"/>
            <w:tcBorders>
              <w:top w:val="nil"/>
              <w:left w:val="nil"/>
              <w:bottom w:val="single" w:sz="4" w:space="0" w:color="auto"/>
              <w:right w:val="single" w:sz="4" w:space="0" w:color="auto"/>
            </w:tcBorders>
            <w:shd w:val="clear" w:color="auto" w:fill="auto"/>
            <w:noWrap/>
            <w:vAlign w:val="bottom"/>
            <w:hideMark/>
          </w:tcPr>
          <w:p w14:paraId="5E3D8DB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25,0</w:t>
            </w:r>
          </w:p>
        </w:tc>
        <w:tc>
          <w:tcPr>
            <w:tcW w:w="1116" w:type="dxa"/>
            <w:tcBorders>
              <w:top w:val="nil"/>
              <w:left w:val="nil"/>
              <w:bottom w:val="single" w:sz="4" w:space="0" w:color="auto"/>
              <w:right w:val="single" w:sz="4" w:space="0" w:color="auto"/>
            </w:tcBorders>
            <w:shd w:val="clear" w:color="auto" w:fill="auto"/>
            <w:noWrap/>
            <w:vAlign w:val="bottom"/>
            <w:hideMark/>
          </w:tcPr>
          <w:p w14:paraId="7A72974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3,092</w:t>
            </w:r>
          </w:p>
        </w:tc>
        <w:tc>
          <w:tcPr>
            <w:tcW w:w="682" w:type="dxa"/>
            <w:tcBorders>
              <w:top w:val="nil"/>
              <w:left w:val="nil"/>
              <w:bottom w:val="single" w:sz="4" w:space="0" w:color="auto"/>
              <w:right w:val="single" w:sz="4" w:space="0" w:color="auto"/>
            </w:tcBorders>
            <w:shd w:val="clear" w:color="auto" w:fill="auto"/>
            <w:noWrap/>
            <w:vAlign w:val="bottom"/>
            <w:hideMark/>
          </w:tcPr>
          <w:p w14:paraId="1923151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25,0</w:t>
            </w:r>
          </w:p>
        </w:tc>
        <w:tc>
          <w:tcPr>
            <w:tcW w:w="895" w:type="dxa"/>
            <w:tcBorders>
              <w:top w:val="nil"/>
              <w:left w:val="nil"/>
              <w:bottom w:val="single" w:sz="4" w:space="0" w:color="auto"/>
              <w:right w:val="single" w:sz="4" w:space="0" w:color="auto"/>
            </w:tcBorders>
            <w:shd w:val="clear" w:color="auto" w:fill="auto"/>
            <w:noWrap/>
            <w:vAlign w:val="bottom"/>
            <w:hideMark/>
          </w:tcPr>
          <w:p w14:paraId="71EC6B6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15E1C8D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11E248A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1991F864"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69CCCB32"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Nephtys hombergii</w:t>
            </w:r>
            <w:r w:rsidRPr="0088780C">
              <w:rPr>
                <w:rFonts w:eastAsia="Times New Roman"/>
                <w:snapToGrid w:val="0"/>
                <w:color w:val="000000" w:themeColor="text1"/>
                <w:kern w:val="22"/>
                <w:szCs w:val="22"/>
                <w:lang w:eastAsia="ru-RU"/>
              </w:rPr>
              <w:t xml:space="preserve"> Savigny</w:t>
            </w:r>
          </w:p>
        </w:tc>
        <w:tc>
          <w:tcPr>
            <w:tcW w:w="850" w:type="dxa"/>
            <w:tcBorders>
              <w:top w:val="nil"/>
              <w:left w:val="nil"/>
              <w:bottom w:val="single" w:sz="4" w:space="0" w:color="auto"/>
              <w:right w:val="single" w:sz="4" w:space="0" w:color="auto"/>
            </w:tcBorders>
            <w:shd w:val="clear" w:color="auto" w:fill="auto"/>
            <w:noWrap/>
            <w:vAlign w:val="bottom"/>
            <w:hideMark/>
          </w:tcPr>
          <w:p w14:paraId="709C3AB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29,2</w:t>
            </w:r>
          </w:p>
        </w:tc>
        <w:tc>
          <w:tcPr>
            <w:tcW w:w="1116" w:type="dxa"/>
            <w:tcBorders>
              <w:top w:val="nil"/>
              <w:left w:val="nil"/>
              <w:bottom w:val="single" w:sz="4" w:space="0" w:color="auto"/>
              <w:right w:val="single" w:sz="4" w:space="0" w:color="auto"/>
            </w:tcBorders>
            <w:shd w:val="clear" w:color="auto" w:fill="auto"/>
            <w:noWrap/>
            <w:vAlign w:val="bottom"/>
            <w:hideMark/>
          </w:tcPr>
          <w:p w14:paraId="3486755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1,329</w:t>
            </w:r>
          </w:p>
        </w:tc>
        <w:tc>
          <w:tcPr>
            <w:tcW w:w="682" w:type="dxa"/>
            <w:tcBorders>
              <w:top w:val="nil"/>
              <w:left w:val="nil"/>
              <w:bottom w:val="single" w:sz="4" w:space="0" w:color="auto"/>
              <w:right w:val="single" w:sz="4" w:space="0" w:color="auto"/>
            </w:tcBorders>
            <w:shd w:val="clear" w:color="auto" w:fill="auto"/>
            <w:noWrap/>
            <w:vAlign w:val="bottom"/>
            <w:hideMark/>
          </w:tcPr>
          <w:p w14:paraId="2550A79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41,7</w:t>
            </w:r>
          </w:p>
        </w:tc>
        <w:tc>
          <w:tcPr>
            <w:tcW w:w="895" w:type="dxa"/>
            <w:tcBorders>
              <w:top w:val="nil"/>
              <w:left w:val="nil"/>
              <w:bottom w:val="single" w:sz="4" w:space="0" w:color="auto"/>
              <w:right w:val="single" w:sz="4" w:space="0" w:color="auto"/>
            </w:tcBorders>
            <w:shd w:val="clear" w:color="auto" w:fill="auto"/>
            <w:noWrap/>
            <w:vAlign w:val="bottom"/>
            <w:hideMark/>
          </w:tcPr>
          <w:p w14:paraId="2239C73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240,0</w:t>
            </w:r>
          </w:p>
        </w:tc>
        <w:tc>
          <w:tcPr>
            <w:tcW w:w="851" w:type="dxa"/>
            <w:tcBorders>
              <w:top w:val="nil"/>
              <w:left w:val="nil"/>
              <w:bottom w:val="single" w:sz="4" w:space="0" w:color="auto"/>
              <w:right w:val="single" w:sz="4" w:space="0" w:color="auto"/>
            </w:tcBorders>
            <w:shd w:val="clear" w:color="auto" w:fill="auto"/>
            <w:noWrap/>
            <w:vAlign w:val="bottom"/>
            <w:hideMark/>
          </w:tcPr>
          <w:p w14:paraId="1D9C326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9,250</w:t>
            </w:r>
          </w:p>
        </w:tc>
        <w:tc>
          <w:tcPr>
            <w:tcW w:w="850" w:type="dxa"/>
            <w:tcBorders>
              <w:top w:val="nil"/>
              <w:left w:val="nil"/>
              <w:bottom w:val="single" w:sz="4" w:space="0" w:color="auto"/>
              <w:right w:val="single" w:sz="4" w:space="0" w:color="auto"/>
            </w:tcBorders>
            <w:shd w:val="clear" w:color="auto" w:fill="auto"/>
            <w:noWrap/>
            <w:vAlign w:val="bottom"/>
            <w:hideMark/>
          </w:tcPr>
          <w:p w14:paraId="0C46F78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100,0</w:t>
            </w:r>
          </w:p>
        </w:tc>
      </w:tr>
      <w:tr w:rsidR="00A876F3" w:rsidRPr="0088780C" w14:paraId="52B28F00"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FF2D6B8" w14:textId="77777777" w:rsidR="00A876F3" w:rsidRPr="0088780C" w:rsidRDefault="00A876F3" w:rsidP="001013AF">
            <w:pPr>
              <w:suppressLineNumbers/>
              <w:suppressAutoHyphens/>
              <w:kinsoku w:val="0"/>
              <w:overflowPunct w:val="0"/>
              <w:autoSpaceDE w:val="0"/>
              <w:autoSpaceDN w:val="0"/>
              <w:jc w:val="left"/>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Staurocephalus kefersteini </w:t>
            </w:r>
            <w:r w:rsidRPr="0088780C">
              <w:rPr>
                <w:rFonts w:eastAsia="Times New Roman"/>
                <w:snapToGrid w:val="0"/>
                <w:color w:val="000000" w:themeColor="text1"/>
                <w:kern w:val="22"/>
                <w:szCs w:val="22"/>
                <w:lang w:eastAsia="ru-RU"/>
              </w:rPr>
              <w:t>McIntosh</w:t>
            </w:r>
          </w:p>
        </w:tc>
        <w:tc>
          <w:tcPr>
            <w:tcW w:w="850" w:type="dxa"/>
            <w:tcBorders>
              <w:top w:val="nil"/>
              <w:left w:val="nil"/>
              <w:bottom w:val="single" w:sz="4" w:space="0" w:color="auto"/>
              <w:right w:val="single" w:sz="4" w:space="0" w:color="auto"/>
            </w:tcBorders>
            <w:shd w:val="clear" w:color="auto" w:fill="auto"/>
            <w:noWrap/>
            <w:vAlign w:val="bottom"/>
            <w:hideMark/>
          </w:tcPr>
          <w:p w14:paraId="722401C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1116" w:type="dxa"/>
            <w:tcBorders>
              <w:top w:val="nil"/>
              <w:left w:val="nil"/>
              <w:bottom w:val="single" w:sz="4" w:space="0" w:color="auto"/>
              <w:right w:val="single" w:sz="4" w:space="0" w:color="auto"/>
            </w:tcBorders>
            <w:shd w:val="clear" w:color="auto" w:fill="auto"/>
            <w:noWrap/>
            <w:vAlign w:val="bottom"/>
            <w:hideMark/>
          </w:tcPr>
          <w:p w14:paraId="6A64D3D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0,013</w:t>
            </w:r>
          </w:p>
        </w:tc>
        <w:tc>
          <w:tcPr>
            <w:tcW w:w="682" w:type="dxa"/>
            <w:tcBorders>
              <w:top w:val="nil"/>
              <w:left w:val="nil"/>
              <w:bottom w:val="single" w:sz="4" w:space="0" w:color="auto"/>
              <w:right w:val="single" w:sz="4" w:space="0" w:color="auto"/>
            </w:tcBorders>
            <w:shd w:val="clear" w:color="auto" w:fill="auto"/>
            <w:noWrap/>
            <w:vAlign w:val="bottom"/>
            <w:hideMark/>
          </w:tcPr>
          <w:p w14:paraId="39206AF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895" w:type="dxa"/>
            <w:tcBorders>
              <w:top w:val="nil"/>
              <w:left w:val="nil"/>
              <w:bottom w:val="single" w:sz="4" w:space="0" w:color="auto"/>
              <w:right w:val="single" w:sz="4" w:space="0" w:color="auto"/>
            </w:tcBorders>
            <w:shd w:val="clear" w:color="auto" w:fill="auto"/>
            <w:noWrap/>
            <w:vAlign w:val="bottom"/>
            <w:hideMark/>
          </w:tcPr>
          <w:p w14:paraId="2BB4BA4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4F5C391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20074A1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594DC4AA"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2724DEC0"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Nerinides tridentata</w:t>
            </w:r>
            <w:r w:rsidRPr="0088780C">
              <w:rPr>
                <w:rFonts w:eastAsia="Times New Roman"/>
                <w:snapToGrid w:val="0"/>
                <w:color w:val="000000" w:themeColor="text1"/>
                <w:kern w:val="22"/>
                <w:szCs w:val="22"/>
                <w:lang w:eastAsia="ru-RU"/>
              </w:rPr>
              <w:t xml:space="preserve"> Southern</w:t>
            </w:r>
          </w:p>
        </w:tc>
        <w:tc>
          <w:tcPr>
            <w:tcW w:w="850" w:type="dxa"/>
            <w:tcBorders>
              <w:top w:val="nil"/>
              <w:left w:val="nil"/>
              <w:bottom w:val="single" w:sz="4" w:space="0" w:color="auto"/>
              <w:right w:val="single" w:sz="4" w:space="0" w:color="auto"/>
            </w:tcBorders>
            <w:shd w:val="clear" w:color="auto" w:fill="auto"/>
            <w:noWrap/>
            <w:vAlign w:val="bottom"/>
            <w:hideMark/>
          </w:tcPr>
          <w:p w14:paraId="4C8226D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25,0</w:t>
            </w:r>
          </w:p>
        </w:tc>
        <w:tc>
          <w:tcPr>
            <w:tcW w:w="1116" w:type="dxa"/>
            <w:tcBorders>
              <w:top w:val="nil"/>
              <w:left w:val="nil"/>
              <w:bottom w:val="single" w:sz="4" w:space="0" w:color="auto"/>
              <w:right w:val="single" w:sz="4" w:space="0" w:color="auto"/>
            </w:tcBorders>
            <w:shd w:val="clear" w:color="auto" w:fill="auto"/>
            <w:noWrap/>
            <w:vAlign w:val="bottom"/>
            <w:hideMark/>
          </w:tcPr>
          <w:p w14:paraId="3819F88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0,467</w:t>
            </w:r>
          </w:p>
        </w:tc>
        <w:tc>
          <w:tcPr>
            <w:tcW w:w="682" w:type="dxa"/>
            <w:tcBorders>
              <w:top w:val="nil"/>
              <w:left w:val="nil"/>
              <w:bottom w:val="single" w:sz="4" w:space="0" w:color="auto"/>
              <w:right w:val="single" w:sz="4" w:space="0" w:color="auto"/>
            </w:tcBorders>
            <w:shd w:val="clear" w:color="auto" w:fill="auto"/>
            <w:noWrap/>
            <w:vAlign w:val="bottom"/>
            <w:hideMark/>
          </w:tcPr>
          <w:p w14:paraId="5761144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33,3</w:t>
            </w:r>
          </w:p>
        </w:tc>
        <w:tc>
          <w:tcPr>
            <w:tcW w:w="895" w:type="dxa"/>
            <w:tcBorders>
              <w:top w:val="nil"/>
              <w:left w:val="nil"/>
              <w:bottom w:val="single" w:sz="4" w:space="0" w:color="auto"/>
              <w:right w:val="single" w:sz="4" w:space="0" w:color="auto"/>
            </w:tcBorders>
            <w:shd w:val="clear" w:color="auto" w:fill="auto"/>
            <w:noWrap/>
            <w:vAlign w:val="bottom"/>
            <w:hideMark/>
          </w:tcPr>
          <w:p w14:paraId="42531C6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40,0</w:t>
            </w:r>
          </w:p>
        </w:tc>
        <w:tc>
          <w:tcPr>
            <w:tcW w:w="851" w:type="dxa"/>
            <w:tcBorders>
              <w:top w:val="nil"/>
              <w:left w:val="nil"/>
              <w:bottom w:val="single" w:sz="4" w:space="0" w:color="auto"/>
              <w:right w:val="single" w:sz="4" w:space="0" w:color="auto"/>
            </w:tcBorders>
            <w:shd w:val="clear" w:color="auto" w:fill="auto"/>
            <w:noWrap/>
            <w:vAlign w:val="bottom"/>
            <w:hideMark/>
          </w:tcPr>
          <w:p w14:paraId="0975F2B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1,090</w:t>
            </w:r>
          </w:p>
        </w:tc>
        <w:tc>
          <w:tcPr>
            <w:tcW w:w="850" w:type="dxa"/>
            <w:tcBorders>
              <w:top w:val="nil"/>
              <w:left w:val="nil"/>
              <w:bottom w:val="single" w:sz="4" w:space="0" w:color="auto"/>
              <w:right w:val="single" w:sz="4" w:space="0" w:color="auto"/>
            </w:tcBorders>
            <w:shd w:val="clear" w:color="auto" w:fill="auto"/>
            <w:noWrap/>
            <w:vAlign w:val="bottom"/>
            <w:hideMark/>
          </w:tcPr>
          <w:p w14:paraId="0CEC1E2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5F120D30"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177E8953"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Spio filicornis </w:t>
            </w:r>
            <w:r w:rsidRPr="0088780C">
              <w:rPr>
                <w:rFonts w:eastAsia="Times New Roman"/>
                <w:snapToGrid w:val="0"/>
                <w:color w:val="000000" w:themeColor="text1"/>
                <w:kern w:val="22"/>
                <w:szCs w:val="22"/>
                <w:lang w:eastAsia="ru-RU"/>
              </w:rPr>
              <w:t>(O.F.Muller)</w:t>
            </w:r>
          </w:p>
        </w:tc>
        <w:tc>
          <w:tcPr>
            <w:tcW w:w="850" w:type="dxa"/>
            <w:tcBorders>
              <w:top w:val="nil"/>
              <w:left w:val="nil"/>
              <w:bottom w:val="single" w:sz="4" w:space="0" w:color="auto"/>
              <w:right w:val="single" w:sz="4" w:space="0" w:color="auto"/>
            </w:tcBorders>
            <w:shd w:val="clear" w:color="auto" w:fill="auto"/>
            <w:noWrap/>
            <w:vAlign w:val="bottom"/>
            <w:hideMark/>
          </w:tcPr>
          <w:p w14:paraId="6C66E74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4,2</w:t>
            </w:r>
          </w:p>
        </w:tc>
        <w:tc>
          <w:tcPr>
            <w:tcW w:w="1116" w:type="dxa"/>
            <w:tcBorders>
              <w:top w:val="nil"/>
              <w:left w:val="nil"/>
              <w:bottom w:val="single" w:sz="4" w:space="0" w:color="auto"/>
              <w:right w:val="single" w:sz="4" w:space="0" w:color="auto"/>
            </w:tcBorders>
            <w:shd w:val="clear" w:color="auto" w:fill="auto"/>
            <w:noWrap/>
            <w:vAlign w:val="bottom"/>
            <w:hideMark/>
          </w:tcPr>
          <w:p w14:paraId="42C37C7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0,004</w:t>
            </w:r>
          </w:p>
        </w:tc>
        <w:tc>
          <w:tcPr>
            <w:tcW w:w="682" w:type="dxa"/>
            <w:tcBorders>
              <w:top w:val="nil"/>
              <w:left w:val="nil"/>
              <w:bottom w:val="single" w:sz="4" w:space="0" w:color="auto"/>
              <w:right w:val="single" w:sz="4" w:space="0" w:color="auto"/>
            </w:tcBorders>
            <w:shd w:val="clear" w:color="auto" w:fill="auto"/>
            <w:noWrap/>
            <w:vAlign w:val="bottom"/>
            <w:hideMark/>
          </w:tcPr>
          <w:p w14:paraId="608B9E4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6742EB1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w:t>
            </w:r>
          </w:p>
        </w:tc>
        <w:tc>
          <w:tcPr>
            <w:tcW w:w="851" w:type="dxa"/>
            <w:tcBorders>
              <w:top w:val="nil"/>
              <w:left w:val="nil"/>
              <w:bottom w:val="single" w:sz="4" w:space="0" w:color="auto"/>
              <w:right w:val="single" w:sz="4" w:space="0" w:color="auto"/>
            </w:tcBorders>
            <w:shd w:val="clear" w:color="auto" w:fill="auto"/>
            <w:noWrap/>
            <w:vAlign w:val="bottom"/>
            <w:hideMark/>
          </w:tcPr>
          <w:p w14:paraId="0D41DC8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0,010</w:t>
            </w:r>
          </w:p>
        </w:tc>
        <w:tc>
          <w:tcPr>
            <w:tcW w:w="850" w:type="dxa"/>
            <w:tcBorders>
              <w:top w:val="nil"/>
              <w:left w:val="nil"/>
              <w:bottom w:val="single" w:sz="4" w:space="0" w:color="auto"/>
              <w:right w:val="single" w:sz="4" w:space="0" w:color="auto"/>
            </w:tcBorders>
            <w:shd w:val="clear" w:color="auto" w:fill="auto"/>
            <w:noWrap/>
            <w:vAlign w:val="bottom"/>
            <w:hideMark/>
          </w:tcPr>
          <w:p w14:paraId="32B4D9B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747524B5"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5290C8FF"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Prionospio cirrifera </w:t>
            </w:r>
            <w:r w:rsidRPr="0088780C">
              <w:rPr>
                <w:rFonts w:eastAsia="Times New Roman"/>
                <w:snapToGrid w:val="0"/>
                <w:color w:val="000000" w:themeColor="text1"/>
                <w:kern w:val="22"/>
                <w:szCs w:val="22"/>
                <w:lang w:eastAsia="ru-RU"/>
              </w:rPr>
              <w:t xml:space="preserve">Wiren </w:t>
            </w:r>
          </w:p>
        </w:tc>
        <w:tc>
          <w:tcPr>
            <w:tcW w:w="850" w:type="dxa"/>
            <w:tcBorders>
              <w:top w:val="nil"/>
              <w:left w:val="nil"/>
              <w:bottom w:val="single" w:sz="4" w:space="0" w:color="auto"/>
              <w:right w:val="single" w:sz="4" w:space="0" w:color="auto"/>
            </w:tcBorders>
            <w:shd w:val="clear" w:color="auto" w:fill="auto"/>
            <w:noWrap/>
            <w:vAlign w:val="bottom"/>
            <w:hideMark/>
          </w:tcPr>
          <w:p w14:paraId="177BC15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20,8</w:t>
            </w:r>
          </w:p>
        </w:tc>
        <w:tc>
          <w:tcPr>
            <w:tcW w:w="1116" w:type="dxa"/>
            <w:tcBorders>
              <w:top w:val="nil"/>
              <w:left w:val="nil"/>
              <w:bottom w:val="single" w:sz="4" w:space="0" w:color="auto"/>
              <w:right w:val="single" w:sz="4" w:space="0" w:color="auto"/>
            </w:tcBorders>
            <w:shd w:val="clear" w:color="auto" w:fill="auto"/>
            <w:noWrap/>
            <w:vAlign w:val="bottom"/>
            <w:hideMark/>
          </w:tcPr>
          <w:p w14:paraId="01B422B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0,025</w:t>
            </w:r>
          </w:p>
        </w:tc>
        <w:tc>
          <w:tcPr>
            <w:tcW w:w="682" w:type="dxa"/>
            <w:tcBorders>
              <w:top w:val="nil"/>
              <w:left w:val="nil"/>
              <w:bottom w:val="single" w:sz="4" w:space="0" w:color="auto"/>
              <w:right w:val="single" w:sz="4" w:space="0" w:color="auto"/>
            </w:tcBorders>
            <w:shd w:val="clear" w:color="auto" w:fill="auto"/>
            <w:noWrap/>
            <w:vAlign w:val="bottom"/>
            <w:hideMark/>
          </w:tcPr>
          <w:p w14:paraId="76A545C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895" w:type="dxa"/>
            <w:tcBorders>
              <w:top w:val="nil"/>
              <w:left w:val="nil"/>
              <w:bottom w:val="single" w:sz="4" w:space="0" w:color="auto"/>
              <w:right w:val="single" w:sz="4" w:space="0" w:color="auto"/>
            </w:tcBorders>
            <w:shd w:val="clear" w:color="auto" w:fill="auto"/>
            <w:noWrap/>
            <w:vAlign w:val="bottom"/>
            <w:hideMark/>
          </w:tcPr>
          <w:p w14:paraId="3D721DE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5DF25CE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35E3851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0BACE646"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D0E28CB"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Heteromastus filiformis</w:t>
            </w:r>
            <w:r w:rsidRPr="0088780C">
              <w:rPr>
                <w:rFonts w:eastAsia="Times New Roman"/>
                <w:snapToGrid w:val="0"/>
                <w:color w:val="000000" w:themeColor="text1"/>
                <w:kern w:val="22"/>
                <w:szCs w:val="22"/>
                <w:lang w:eastAsia="ru-RU"/>
              </w:rPr>
              <w:t xml:space="preserve"> Claparede</w:t>
            </w:r>
          </w:p>
        </w:tc>
        <w:tc>
          <w:tcPr>
            <w:tcW w:w="850" w:type="dxa"/>
            <w:tcBorders>
              <w:top w:val="nil"/>
              <w:left w:val="nil"/>
              <w:bottom w:val="single" w:sz="4" w:space="0" w:color="auto"/>
              <w:right w:val="single" w:sz="4" w:space="0" w:color="auto"/>
            </w:tcBorders>
            <w:shd w:val="clear" w:color="auto" w:fill="auto"/>
            <w:noWrap/>
            <w:vAlign w:val="bottom"/>
            <w:hideMark/>
          </w:tcPr>
          <w:p w14:paraId="333FC31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79,2</w:t>
            </w:r>
          </w:p>
        </w:tc>
        <w:tc>
          <w:tcPr>
            <w:tcW w:w="1116" w:type="dxa"/>
            <w:tcBorders>
              <w:top w:val="nil"/>
              <w:left w:val="nil"/>
              <w:bottom w:val="single" w:sz="4" w:space="0" w:color="auto"/>
              <w:right w:val="single" w:sz="4" w:space="0" w:color="auto"/>
            </w:tcBorders>
            <w:shd w:val="clear" w:color="auto" w:fill="auto"/>
            <w:noWrap/>
            <w:vAlign w:val="bottom"/>
            <w:hideMark/>
          </w:tcPr>
          <w:p w14:paraId="302C574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0,117</w:t>
            </w:r>
          </w:p>
        </w:tc>
        <w:tc>
          <w:tcPr>
            <w:tcW w:w="682" w:type="dxa"/>
            <w:tcBorders>
              <w:top w:val="nil"/>
              <w:left w:val="nil"/>
              <w:bottom w:val="single" w:sz="4" w:space="0" w:color="auto"/>
              <w:right w:val="single" w:sz="4" w:space="0" w:color="auto"/>
            </w:tcBorders>
            <w:shd w:val="clear" w:color="auto" w:fill="auto"/>
            <w:noWrap/>
            <w:vAlign w:val="bottom"/>
            <w:hideMark/>
          </w:tcPr>
          <w:p w14:paraId="301CCCF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5BEF932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50,0</w:t>
            </w:r>
          </w:p>
        </w:tc>
        <w:tc>
          <w:tcPr>
            <w:tcW w:w="851" w:type="dxa"/>
            <w:tcBorders>
              <w:top w:val="nil"/>
              <w:left w:val="nil"/>
              <w:bottom w:val="single" w:sz="4" w:space="0" w:color="auto"/>
              <w:right w:val="single" w:sz="4" w:space="0" w:color="auto"/>
            </w:tcBorders>
            <w:shd w:val="clear" w:color="auto" w:fill="auto"/>
            <w:noWrap/>
            <w:vAlign w:val="bottom"/>
            <w:hideMark/>
          </w:tcPr>
          <w:p w14:paraId="10ECB88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0,150</w:t>
            </w:r>
          </w:p>
        </w:tc>
        <w:tc>
          <w:tcPr>
            <w:tcW w:w="850" w:type="dxa"/>
            <w:tcBorders>
              <w:top w:val="nil"/>
              <w:left w:val="nil"/>
              <w:bottom w:val="single" w:sz="4" w:space="0" w:color="auto"/>
              <w:right w:val="single" w:sz="4" w:space="0" w:color="auto"/>
            </w:tcBorders>
            <w:shd w:val="clear" w:color="auto" w:fill="auto"/>
            <w:noWrap/>
            <w:vAlign w:val="bottom"/>
            <w:hideMark/>
          </w:tcPr>
          <w:p w14:paraId="646ED9F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40,0</w:t>
            </w:r>
          </w:p>
        </w:tc>
      </w:tr>
      <w:tr w:rsidR="00A876F3" w:rsidRPr="0088780C" w14:paraId="5C59E907"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30AC37B"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Capitella capitata</w:t>
            </w:r>
            <w:r w:rsidRPr="0088780C">
              <w:rPr>
                <w:rFonts w:eastAsia="Times New Roman"/>
                <w:snapToGrid w:val="0"/>
                <w:color w:val="000000" w:themeColor="text1"/>
                <w:kern w:val="22"/>
                <w:szCs w:val="22"/>
                <w:lang w:eastAsia="ru-RU"/>
              </w:rPr>
              <w:t xml:space="preserve"> (Fabricius)</w:t>
            </w:r>
          </w:p>
        </w:tc>
        <w:tc>
          <w:tcPr>
            <w:tcW w:w="850" w:type="dxa"/>
            <w:tcBorders>
              <w:top w:val="nil"/>
              <w:left w:val="nil"/>
              <w:bottom w:val="single" w:sz="4" w:space="0" w:color="auto"/>
              <w:right w:val="single" w:sz="4" w:space="0" w:color="auto"/>
            </w:tcBorders>
            <w:shd w:val="clear" w:color="auto" w:fill="auto"/>
            <w:noWrap/>
            <w:vAlign w:val="bottom"/>
            <w:hideMark/>
          </w:tcPr>
          <w:p w14:paraId="4EF9F41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1116" w:type="dxa"/>
            <w:tcBorders>
              <w:top w:val="nil"/>
              <w:left w:val="nil"/>
              <w:bottom w:val="single" w:sz="4" w:space="0" w:color="auto"/>
              <w:right w:val="single" w:sz="4" w:space="0" w:color="auto"/>
            </w:tcBorders>
            <w:shd w:val="clear" w:color="auto" w:fill="auto"/>
            <w:noWrap/>
            <w:vAlign w:val="bottom"/>
            <w:hideMark/>
          </w:tcPr>
          <w:p w14:paraId="6614F45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0,008</w:t>
            </w:r>
          </w:p>
        </w:tc>
        <w:tc>
          <w:tcPr>
            <w:tcW w:w="682" w:type="dxa"/>
            <w:tcBorders>
              <w:top w:val="nil"/>
              <w:left w:val="nil"/>
              <w:bottom w:val="single" w:sz="4" w:space="0" w:color="auto"/>
              <w:right w:val="single" w:sz="4" w:space="0" w:color="auto"/>
            </w:tcBorders>
            <w:shd w:val="clear" w:color="auto" w:fill="auto"/>
            <w:noWrap/>
            <w:vAlign w:val="bottom"/>
            <w:hideMark/>
          </w:tcPr>
          <w:p w14:paraId="4CEF698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895" w:type="dxa"/>
            <w:tcBorders>
              <w:top w:val="nil"/>
              <w:left w:val="nil"/>
              <w:bottom w:val="single" w:sz="4" w:space="0" w:color="auto"/>
              <w:right w:val="single" w:sz="4" w:space="0" w:color="auto"/>
            </w:tcBorders>
            <w:shd w:val="clear" w:color="auto" w:fill="auto"/>
            <w:noWrap/>
            <w:vAlign w:val="bottom"/>
            <w:hideMark/>
          </w:tcPr>
          <w:p w14:paraId="17AF4BE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3AFFFF8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09FA249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2393864B"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04D9248"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Leiochone clypeata</w:t>
            </w:r>
            <w:r w:rsidRPr="0088780C">
              <w:rPr>
                <w:rFonts w:eastAsia="Times New Roman"/>
                <w:snapToGrid w:val="0"/>
                <w:color w:val="000000" w:themeColor="text1"/>
                <w:kern w:val="22"/>
                <w:szCs w:val="22"/>
                <w:lang w:eastAsia="ru-RU"/>
              </w:rPr>
              <w:t xml:space="preserve"> Saint-Joseph</w:t>
            </w:r>
          </w:p>
        </w:tc>
        <w:tc>
          <w:tcPr>
            <w:tcW w:w="850" w:type="dxa"/>
            <w:tcBorders>
              <w:top w:val="nil"/>
              <w:left w:val="nil"/>
              <w:bottom w:val="single" w:sz="4" w:space="0" w:color="auto"/>
              <w:right w:val="single" w:sz="4" w:space="0" w:color="auto"/>
            </w:tcBorders>
            <w:shd w:val="clear" w:color="auto" w:fill="auto"/>
            <w:noWrap/>
            <w:vAlign w:val="bottom"/>
            <w:hideMark/>
          </w:tcPr>
          <w:p w14:paraId="3AF1746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108,3</w:t>
            </w:r>
          </w:p>
        </w:tc>
        <w:tc>
          <w:tcPr>
            <w:tcW w:w="1116" w:type="dxa"/>
            <w:tcBorders>
              <w:top w:val="nil"/>
              <w:left w:val="nil"/>
              <w:bottom w:val="single" w:sz="4" w:space="0" w:color="auto"/>
              <w:right w:val="single" w:sz="4" w:space="0" w:color="auto"/>
            </w:tcBorders>
            <w:shd w:val="clear" w:color="auto" w:fill="auto"/>
            <w:noWrap/>
            <w:vAlign w:val="bottom"/>
            <w:hideMark/>
          </w:tcPr>
          <w:p w14:paraId="5C0A64C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3,513</w:t>
            </w:r>
          </w:p>
        </w:tc>
        <w:tc>
          <w:tcPr>
            <w:tcW w:w="682" w:type="dxa"/>
            <w:tcBorders>
              <w:top w:val="nil"/>
              <w:left w:val="nil"/>
              <w:bottom w:val="single" w:sz="4" w:space="0" w:color="auto"/>
              <w:right w:val="single" w:sz="4" w:space="0" w:color="auto"/>
            </w:tcBorders>
            <w:shd w:val="clear" w:color="auto" w:fill="auto"/>
            <w:noWrap/>
            <w:vAlign w:val="bottom"/>
            <w:hideMark/>
          </w:tcPr>
          <w:p w14:paraId="15C8658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41,7</w:t>
            </w:r>
          </w:p>
        </w:tc>
        <w:tc>
          <w:tcPr>
            <w:tcW w:w="895" w:type="dxa"/>
            <w:tcBorders>
              <w:top w:val="nil"/>
              <w:left w:val="nil"/>
              <w:bottom w:val="single" w:sz="4" w:space="0" w:color="auto"/>
              <w:right w:val="single" w:sz="4" w:space="0" w:color="auto"/>
            </w:tcBorders>
            <w:shd w:val="clear" w:color="auto" w:fill="auto"/>
            <w:noWrap/>
            <w:vAlign w:val="bottom"/>
            <w:hideMark/>
          </w:tcPr>
          <w:p w14:paraId="43ECD4D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510,0</w:t>
            </w:r>
          </w:p>
        </w:tc>
        <w:tc>
          <w:tcPr>
            <w:tcW w:w="851" w:type="dxa"/>
            <w:tcBorders>
              <w:top w:val="nil"/>
              <w:left w:val="nil"/>
              <w:bottom w:val="single" w:sz="4" w:space="0" w:color="auto"/>
              <w:right w:val="single" w:sz="4" w:space="0" w:color="auto"/>
            </w:tcBorders>
            <w:shd w:val="clear" w:color="auto" w:fill="auto"/>
            <w:noWrap/>
            <w:vAlign w:val="bottom"/>
            <w:hideMark/>
          </w:tcPr>
          <w:p w14:paraId="6FAD6D2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28,450</w:t>
            </w:r>
          </w:p>
        </w:tc>
        <w:tc>
          <w:tcPr>
            <w:tcW w:w="850" w:type="dxa"/>
            <w:tcBorders>
              <w:top w:val="nil"/>
              <w:left w:val="nil"/>
              <w:bottom w:val="single" w:sz="4" w:space="0" w:color="auto"/>
              <w:right w:val="single" w:sz="4" w:space="0" w:color="auto"/>
            </w:tcBorders>
            <w:shd w:val="clear" w:color="auto" w:fill="auto"/>
            <w:noWrap/>
            <w:vAlign w:val="bottom"/>
            <w:hideMark/>
          </w:tcPr>
          <w:p w14:paraId="6B4079F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80,0</w:t>
            </w:r>
          </w:p>
        </w:tc>
      </w:tr>
      <w:tr w:rsidR="00A876F3" w:rsidRPr="0088780C" w14:paraId="541540FA" w14:textId="77777777" w:rsidTr="007B772D">
        <w:trPr>
          <w:trHeight w:val="104"/>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6D93C070"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Pectinaria koreni </w:t>
            </w:r>
            <w:r w:rsidRPr="0088780C">
              <w:rPr>
                <w:rFonts w:eastAsia="Times New Roman"/>
                <w:snapToGrid w:val="0"/>
                <w:color w:val="000000" w:themeColor="text1"/>
                <w:kern w:val="22"/>
                <w:szCs w:val="22"/>
                <w:lang w:eastAsia="ru-RU"/>
              </w:rPr>
              <w:t>Malmgren</w:t>
            </w:r>
          </w:p>
        </w:tc>
        <w:tc>
          <w:tcPr>
            <w:tcW w:w="850" w:type="dxa"/>
            <w:tcBorders>
              <w:top w:val="nil"/>
              <w:left w:val="nil"/>
              <w:bottom w:val="single" w:sz="4" w:space="0" w:color="auto"/>
              <w:right w:val="single" w:sz="4" w:space="0" w:color="auto"/>
            </w:tcBorders>
            <w:shd w:val="clear" w:color="auto" w:fill="auto"/>
            <w:noWrap/>
            <w:vAlign w:val="bottom"/>
            <w:hideMark/>
          </w:tcPr>
          <w:p w14:paraId="584A76A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37,5</w:t>
            </w:r>
          </w:p>
        </w:tc>
        <w:tc>
          <w:tcPr>
            <w:tcW w:w="1116" w:type="dxa"/>
            <w:tcBorders>
              <w:top w:val="nil"/>
              <w:left w:val="nil"/>
              <w:bottom w:val="single" w:sz="4" w:space="0" w:color="auto"/>
              <w:right w:val="single" w:sz="4" w:space="0" w:color="auto"/>
            </w:tcBorders>
            <w:shd w:val="clear" w:color="auto" w:fill="auto"/>
            <w:noWrap/>
            <w:vAlign w:val="bottom"/>
            <w:hideMark/>
          </w:tcPr>
          <w:p w14:paraId="3BB7E3E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11,513</w:t>
            </w:r>
          </w:p>
        </w:tc>
        <w:tc>
          <w:tcPr>
            <w:tcW w:w="682" w:type="dxa"/>
            <w:tcBorders>
              <w:top w:val="nil"/>
              <w:left w:val="nil"/>
              <w:bottom w:val="single" w:sz="4" w:space="0" w:color="auto"/>
              <w:right w:val="single" w:sz="4" w:space="0" w:color="auto"/>
            </w:tcBorders>
            <w:shd w:val="clear" w:color="auto" w:fill="auto"/>
            <w:noWrap/>
            <w:vAlign w:val="bottom"/>
            <w:hideMark/>
          </w:tcPr>
          <w:p w14:paraId="18AFD87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41,7</w:t>
            </w:r>
          </w:p>
        </w:tc>
        <w:tc>
          <w:tcPr>
            <w:tcW w:w="895" w:type="dxa"/>
            <w:tcBorders>
              <w:top w:val="nil"/>
              <w:left w:val="nil"/>
              <w:bottom w:val="single" w:sz="4" w:space="0" w:color="auto"/>
              <w:right w:val="single" w:sz="4" w:space="0" w:color="auto"/>
            </w:tcBorders>
            <w:shd w:val="clear" w:color="auto" w:fill="auto"/>
            <w:noWrap/>
            <w:vAlign w:val="bottom"/>
            <w:hideMark/>
          </w:tcPr>
          <w:p w14:paraId="2D0FE6C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w:t>
            </w:r>
          </w:p>
        </w:tc>
        <w:tc>
          <w:tcPr>
            <w:tcW w:w="851" w:type="dxa"/>
            <w:tcBorders>
              <w:top w:val="nil"/>
              <w:left w:val="nil"/>
              <w:bottom w:val="single" w:sz="4" w:space="0" w:color="auto"/>
              <w:right w:val="single" w:sz="4" w:space="0" w:color="auto"/>
            </w:tcBorders>
            <w:shd w:val="clear" w:color="auto" w:fill="auto"/>
            <w:noWrap/>
            <w:vAlign w:val="bottom"/>
            <w:hideMark/>
          </w:tcPr>
          <w:p w14:paraId="56155E2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0,100</w:t>
            </w:r>
          </w:p>
        </w:tc>
        <w:tc>
          <w:tcPr>
            <w:tcW w:w="850" w:type="dxa"/>
            <w:tcBorders>
              <w:top w:val="nil"/>
              <w:left w:val="nil"/>
              <w:bottom w:val="single" w:sz="4" w:space="0" w:color="auto"/>
              <w:right w:val="single" w:sz="4" w:space="0" w:color="auto"/>
            </w:tcBorders>
            <w:shd w:val="clear" w:color="auto" w:fill="auto"/>
            <w:noWrap/>
            <w:vAlign w:val="bottom"/>
            <w:hideMark/>
          </w:tcPr>
          <w:p w14:paraId="0CCA9DD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51D1931A"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E6A9FCB"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Melinna palmata</w:t>
            </w:r>
            <w:r w:rsidRPr="0088780C">
              <w:rPr>
                <w:rFonts w:eastAsia="Times New Roman"/>
                <w:snapToGrid w:val="0"/>
                <w:color w:val="000000" w:themeColor="text1"/>
                <w:kern w:val="22"/>
                <w:szCs w:val="22"/>
                <w:lang w:eastAsia="ru-RU"/>
              </w:rPr>
              <w:t xml:space="preserve"> Grube</w:t>
            </w:r>
          </w:p>
        </w:tc>
        <w:tc>
          <w:tcPr>
            <w:tcW w:w="850" w:type="dxa"/>
            <w:tcBorders>
              <w:top w:val="nil"/>
              <w:left w:val="nil"/>
              <w:bottom w:val="single" w:sz="4" w:space="0" w:color="auto"/>
              <w:right w:val="single" w:sz="4" w:space="0" w:color="auto"/>
            </w:tcBorders>
            <w:shd w:val="clear" w:color="auto" w:fill="auto"/>
            <w:noWrap/>
            <w:vAlign w:val="bottom"/>
            <w:hideMark/>
          </w:tcPr>
          <w:p w14:paraId="6B811AF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266,7</w:t>
            </w:r>
          </w:p>
        </w:tc>
        <w:tc>
          <w:tcPr>
            <w:tcW w:w="1116" w:type="dxa"/>
            <w:tcBorders>
              <w:top w:val="nil"/>
              <w:left w:val="nil"/>
              <w:bottom w:val="single" w:sz="4" w:space="0" w:color="auto"/>
              <w:right w:val="single" w:sz="4" w:space="0" w:color="auto"/>
            </w:tcBorders>
            <w:shd w:val="clear" w:color="auto" w:fill="auto"/>
            <w:noWrap/>
            <w:vAlign w:val="bottom"/>
            <w:hideMark/>
          </w:tcPr>
          <w:p w14:paraId="52F3747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7,429</w:t>
            </w:r>
          </w:p>
        </w:tc>
        <w:tc>
          <w:tcPr>
            <w:tcW w:w="682" w:type="dxa"/>
            <w:tcBorders>
              <w:top w:val="nil"/>
              <w:left w:val="nil"/>
              <w:bottom w:val="single" w:sz="4" w:space="0" w:color="auto"/>
              <w:right w:val="single" w:sz="4" w:space="0" w:color="auto"/>
            </w:tcBorders>
            <w:shd w:val="clear" w:color="auto" w:fill="auto"/>
            <w:noWrap/>
            <w:vAlign w:val="bottom"/>
            <w:hideMark/>
          </w:tcPr>
          <w:p w14:paraId="60C85FE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25,0</w:t>
            </w:r>
          </w:p>
        </w:tc>
        <w:tc>
          <w:tcPr>
            <w:tcW w:w="895" w:type="dxa"/>
            <w:tcBorders>
              <w:top w:val="nil"/>
              <w:left w:val="nil"/>
              <w:bottom w:val="single" w:sz="4" w:space="0" w:color="auto"/>
              <w:right w:val="single" w:sz="4" w:space="0" w:color="auto"/>
            </w:tcBorders>
            <w:shd w:val="clear" w:color="auto" w:fill="auto"/>
            <w:noWrap/>
            <w:vAlign w:val="bottom"/>
            <w:hideMark/>
          </w:tcPr>
          <w:p w14:paraId="0215381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c>
          <w:tcPr>
            <w:tcW w:w="851" w:type="dxa"/>
            <w:tcBorders>
              <w:top w:val="nil"/>
              <w:left w:val="nil"/>
              <w:bottom w:val="single" w:sz="4" w:space="0" w:color="auto"/>
              <w:right w:val="single" w:sz="4" w:space="0" w:color="auto"/>
            </w:tcBorders>
            <w:shd w:val="clear" w:color="auto" w:fill="auto"/>
            <w:noWrap/>
            <w:vAlign w:val="bottom"/>
            <w:hideMark/>
          </w:tcPr>
          <w:p w14:paraId="0315327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0,730</w:t>
            </w:r>
          </w:p>
        </w:tc>
        <w:tc>
          <w:tcPr>
            <w:tcW w:w="850" w:type="dxa"/>
            <w:tcBorders>
              <w:top w:val="nil"/>
              <w:left w:val="nil"/>
              <w:bottom w:val="single" w:sz="4" w:space="0" w:color="auto"/>
              <w:right w:val="single" w:sz="4" w:space="0" w:color="auto"/>
            </w:tcBorders>
            <w:shd w:val="clear" w:color="auto" w:fill="auto"/>
            <w:noWrap/>
            <w:vAlign w:val="bottom"/>
            <w:hideMark/>
          </w:tcPr>
          <w:p w14:paraId="5F3D682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3530ACFC"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70053711" w14:textId="77777777" w:rsidR="00A876F3" w:rsidRPr="0088780C" w:rsidRDefault="00A876F3" w:rsidP="001013AF">
            <w:pPr>
              <w:suppressLineNumbers/>
              <w:suppressAutoHyphens/>
              <w:kinsoku w:val="0"/>
              <w:overflowPunct w:val="0"/>
              <w:autoSpaceDE w:val="0"/>
              <w:autoSpaceDN w:val="0"/>
              <w:rPr>
                <w:rFonts w:eastAsia="Times New Roman"/>
                <w:i/>
                <w:iCs/>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Polycirrus sp.</w:t>
            </w:r>
          </w:p>
        </w:tc>
        <w:tc>
          <w:tcPr>
            <w:tcW w:w="850" w:type="dxa"/>
            <w:tcBorders>
              <w:top w:val="nil"/>
              <w:left w:val="nil"/>
              <w:bottom w:val="single" w:sz="4" w:space="0" w:color="auto"/>
              <w:right w:val="single" w:sz="4" w:space="0" w:color="auto"/>
            </w:tcBorders>
            <w:shd w:val="clear" w:color="auto" w:fill="auto"/>
            <w:noWrap/>
            <w:vAlign w:val="bottom"/>
            <w:hideMark/>
          </w:tcPr>
          <w:p w14:paraId="131E733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4,2</w:t>
            </w:r>
          </w:p>
        </w:tc>
        <w:tc>
          <w:tcPr>
            <w:tcW w:w="1116" w:type="dxa"/>
            <w:tcBorders>
              <w:top w:val="nil"/>
              <w:left w:val="nil"/>
              <w:bottom w:val="single" w:sz="4" w:space="0" w:color="auto"/>
              <w:right w:val="single" w:sz="4" w:space="0" w:color="auto"/>
            </w:tcBorders>
            <w:shd w:val="clear" w:color="auto" w:fill="auto"/>
            <w:noWrap/>
            <w:vAlign w:val="bottom"/>
            <w:hideMark/>
          </w:tcPr>
          <w:p w14:paraId="123728D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0,054</w:t>
            </w:r>
          </w:p>
        </w:tc>
        <w:tc>
          <w:tcPr>
            <w:tcW w:w="682" w:type="dxa"/>
            <w:tcBorders>
              <w:top w:val="nil"/>
              <w:left w:val="nil"/>
              <w:bottom w:val="single" w:sz="4" w:space="0" w:color="auto"/>
              <w:right w:val="single" w:sz="4" w:space="0" w:color="auto"/>
            </w:tcBorders>
            <w:shd w:val="clear" w:color="auto" w:fill="auto"/>
            <w:noWrap/>
            <w:vAlign w:val="bottom"/>
            <w:hideMark/>
          </w:tcPr>
          <w:p w14:paraId="6926F02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15D935B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48EF2E0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1AC5E6B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51686662" w14:textId="77777777" w:rsidTr="007B772D">
        <w:trPr>
          <w:trHeight w:val="86"/>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2769035C"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Amphitrite gracilis </w:t>
            </w:r>
            <w:r w:rsidRPr="0088780C">
              <w:rPr>
                <w:rFonts w:eastAsia="Times New Roman"/>
                <w:snapToGrid w:val="0"/>
                <w:color w:val="000000" w:themeColor="text1"/>
                <w:kern w:val="22"/>
                <w:szCs w:val="22"/>
                <w:lang w:eastAsia="ru-RU"/>
              </w:rPr>
              <w:t xml:space="preserve">(Grube) </w:t>
            </w:r>
          </w:p>
        </w:tc>
        <w:tc>
          <w:tcPr>
            <w:tcW w:w="850" w:type="dxa"/>
            <w:tcBorders>
              <w:top w:val="nil"/>
              <w:left w:val="nil"/>
              <w:bottom w:val="single" w:sz="4" w:space="0" w:color="auto"/>
              <w:right w:val="single" w:sz="4" w:space="0" w:color="auto"/>
            </w:tcBorders>
            <w:shd w:val="clear" w:color="auto" w:fill="auto"/>
            <w:noWrap/>
            <w:vAlign w:val="bottom"/>
            <w:hideMark/>
          </w:tcPr>
          <w:p w14:paraId="02B2A2A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4,2</w:t>
            </w:r>
          </w:p>
        </w:tc>
        <w:tc>
          <w:tcPr>
            <w:tcW w:w="1116" w:type="dxa"/>
            <w:tcBorders>
              <w:top w:val="nil"/>
              <w:left w:val="nil"/>
              <w:bottom w:val="single" w:sz="4" w:space="0" w:color="auto"/>
              <w:right w:val="single" w:sz="4" w:space="0" w:color="auto"/>
            </w:tcBorders>
            <w:shd w:val="clear" w:color="auto" w:fill="auto"/>
            <w:noWrap/>
            <w:vAlign w:val="bottom"/>
            <w:hideMark/>
          </w:tcPr>
          <w:p w14:paraId="1A16F6C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0,050</w:t>
            </w:r>
          </w:p>
        </w:tc>
        <w:tc>
          <w:tcPr>
            <w:tcW w:w="682" w:type="dxa"/>
            <w:tcBorders>
              <w:top w:val="nil"/>
              <w:left w:val="nil"/>
              <w:bottom w:val="single" w:sz="4" w:space="0" w:color="auto"/>
              <w:right w:val="single" w:sz="4" w:space="0" w:color="auto"/>
            </w:tcBorders>
            <w:shd w:val="clear" w:color="auto" w:fill="auto"/>
            <w:noWrap/>
            <w:vAlign w:val="bottom"/>
            <w:hideMark/>
          </w:tcPr>
          <w:p w14:paraId="7E04F6E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1F819E0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4A98CB7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62C241E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21F94F73"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2D2CA168"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Oligochaeta g. sp.</w:t>
            </w:r>
          </w:p>
        </w:tc>
        <w:tc>
          <w:tcPr>
            <w:tcW w:w="850" w:type="dxa"/>
            <w:tcBorders>
              <w:top w:val="nil"/>
              <w:left w:val="nil"/>
              <w:bottom w:val="single" w:sz="4" w:space="0" w:color="auto"/>
              <w:right w:val="single" w:sz="4" w:space="0" w:color="auto"/>
            </w:tcBorders>
            <w:shd w:val="clear" w:color="auto" w:fill="auto"/>
            <w:noWrap/>
            <w:vAlign w:val="bottom"/>
            <w:hideMark/>
          </w:tcPr>
          <w:p w14:paraId="2438EA8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50,0</w:t>
            </w:r>
          </w:p>
        </w:tc>
        <w:tc>
          <w:tcPr>
            <w:tcW w:w="1116" w:type="dxa"/>
            <w:tcBorders>
              <w:top w:val="nil"/>
              <w:left w:val="nil"/>
              <w:bottom w:val="single" w:sz="4" w:space="0" w:color="auto"/>
              <w:right w:val="single" w:sz="4" w:space="0" w:color="auto"/>
            </w:tcBorders>
            <w:shd w:val="clear" w:color="auto" w:fill="auto"/>
            <w:noWrap/>
            <w:vAlign w:val="bottom"/>
            <w:hideMark/>
          </w:tcPr>
          <w:p w14:paraId="3689E50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0,021</w:t>
            </w:r>
          </w:p>
        </w:tc>
        <w:tc>
          <w:tcPr>
            <w:tcW w:w="682" w:type="dxa"/>
            <w:tcBorders>
              <w:top w:val="nil"/>
              <w:left w:val="nil"/>
              <w:bottom w:val="single" w:sz="4" w:space="0" w:color="auto"/>
              <w:right w:val="single" w:sz="4" w:space="0" w:color="auto"/>
            </w:tcBorders>
            <w:shd w:val="clear" w:color="auto" w:fill="auto"/>
            <w:noWrap/>
            <w:vAlign w:val="bottom"/>
            <w:hideMark/>
          </w:tcPr>
          <w:p w14:paraId="632523C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25,0</w:t>
            </w:r>
          </w:p>
        </w:tc>
        <w:tc>
          <w:tcPr>
            <w:tcW w:w="895" w:type="dxa"/>
            <w:tcBorders>
              <w:top w:val="nil"/>
              <w:left w:val="nil"/>
              <w:bottom w:val="single" w:sz="4" w:space="0" w:color="auto"/>
              <w:right w:val="single" w:sz="4" w:space="0" w:color="auto"/>
            </w:tcBorders>
            <w:shd w:val="clear" w:color="auto" w:fill="auto"/>
            <w:noWrap/>
            <w:vAlign w:val="bottom"/>
            <w:hideMark/>
          </w:tcPr>
          <w:p w14:paraId="22DA4D0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2BC9E72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7BB676D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5995C598"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7469BDAD"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Tentaculata</w:t>
            </w:r>
          </w:p>
        </w:tc>
        <w:tc>
          <w:tcPr>
            <w:tcW w:w="850" w:type="dxa"/>
            <w:tcBorders>
              <w:top w:val="nil"/>
              <w:left w:val="nil"/>
              <w:bottom w:val="single" w:sz="4" w:space="0" w:color="auto"/>
              <w:right w:val="single" w:sz="4" w:space="0" w:color="auto"/>
            </w:tcBorders>
            <w:shd w:val="clear" w:color="auto" w:fill="auto"/>
            <w:noWrap/>
            <w:vAlign w:val="bottom"/>
            <w:hideMark/>
          </w:tcPr>
          <w:p w14:paraId="179E79F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1116" w:type="dxa"/>
            <w:tcBorders>
              <w:top w:val="nil"/>
              <w:left w:val="nil"/>
              <w:bottom w:val="single" w:sz="4" w:space="0" w:color="auto"/>
              <w:right w:val="single" w:sz="4" w:space="0" w:color="auto"/>
            </w:tcBorders>
            <w:shd w:val="clear" w:color="auto" w:fill="auto"/>
            <w:noWrap/>
            <w:vAlign w:val="bottom"/>
            <w:hideMark/>
          </w:tcPr>
          <w:p w14:paraId="35B952E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682" w:type="dxa"/>
            <w:tcBorders>
              <w:top w:val="nil"/>
              <w:left w:val="nil"/>
              <w:bottom w:val="single" w:sz="4" w:space="0" w:color="auto"/>
              <w:right w:val="single" w:sz="4" w:space="0" w:color="auto"/>
            </w:tcBorders>
            <w:shd w:val="clear" w:color="auto" w:fill="auto"/>
            <w:noWrap/>
            <w:vAlign w:val="bottom"/>
            <w:hideMark/>
          </w:tcPr>
          <w:p w14:paraId="21ADD91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95" w:type="dxa"/>
            <w:tcBorders>
              <w:top w:val="nil"/>
              <w:left w:val="nil"/>
              <w:bottom w:val="single" w:sz="4" w:space="0" w:color="auto"/>
              <w:right w:val="single" w:sz="4" w:space="0" w:color="auto"/>
            </w:tcBorders>
            <w:shd w:val="clear" w:color="auto" w:fill="auto"/>
            <w:noWrap/>
            <w:vAlign w:val="bottom"/>
            <w:hideMark/>
          </w:tcPr>
          <w:p w14:paraId="256DD5D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1" w:type="dxa"/>
            <w:tcBorders>
              <w:top w:val="nil"/>
              <w:left w:val="nil"/>
              <w:bottom w:val="single" w:sz="4" w:space="0" w:color="auto"/>
              <w:right w:val="single" w:sz="4" w:space="0" w:color="auto"/>
            </w:tcBorders>
            <w:shd w:val="clear" w:color="auto" w:fill="auto"/>
            <w:noWrap/>
            <w:vAlign w:val="bottom"/>
            <w:hideMark/>
          </w:tcPr>
          <w:p w14:paraId="01B08EF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0" w:type="dxa"/>
            <w:tcBorders>
              <w:top w:val="nil"/>
              <w:left w:val="nil"/>
              <w:bottom w:val="single" w:sz="4" w:space="0" w:color="auto"/>
              <w:right w:val="single" w:sz="4" w:space="0" w:color="auto"/>
            </w:tcBorders>
            <w:shd w:val="clear" w:color="auto" w:fill="auto"/>
            <w:noWrap/>
            <w:vAlign w:val="bottom"/>
            <w:hideMark/>
          </w:tcPr>
          <w:p w14:paraId="6D68691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r>
      <w:tr w:rsidR="00A876F3" w:rsidRPr="0088780C" w14:paraId="13B834CD"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61CA4862"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Phoronis euxinicola </w:t>
            </w:r>
            <w:r w:rsidRPr="0088780C">
              <w:rPr>
                <w:rFonts w:eastAsia="Times New Roman"/>
                <w:snapToGrid w:val="0"/>
                <w:color w:val="000000" w:themeColor="text1"/>
                <w:kern w:val="22"/>
                <w:szCs w:val="22"/>
                <w:lang w:eastAsia="ru-RU"/>
              </w:rPr>
              <w:t>Saint-Long.</w:t>
            </w:r>
          </w:p>
        </w:tc>
        <w:tc>
          <w:tcPr>
            <w:tcW w:w="850" w:type="dxa"/>
            <w:tcBorders>
              <w:top w:val="nil"/>
              <w:left w:val="nil"/>
              <w:bottom w:val="single" w:sz="4" w:space="0" w:color="auto"/>
              <w:right w:val="single" w:sz="4" w:space="0" w:color="auto"/>
            </w:tcBorders>
            <w:shd w:val="clear" w:color="auto" w:fill="auto"/>
            <w:noWrap/>
            <w:vAlign w:val="bottom"/>
            <w:hideMark/>
          </w:tcPr>
          <w:p w14:paraId="2847D49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112,5</w:t>
            </w:r>
          </w:p>
        </w:tc>
        <w:tc>
          <w:tcPr>
            <w:tcW w:w="1116" w:type="dxa"/>
            <w:tcBorders>
              <w:top w:val="nil"/>
              <w:left w:val="nil"/>
              <w:bottom w:val="single" w:sz="4" w:space="0" w:color="auto"/>
              <w:right w:val="single" w:sz="4" w:space="0" w:color="auto"/>
            </w:tcBorders>
            <w:shd w:val="clear" w:color="auto" w:fill="auto"/>
            <w:noWrap/>
            <w:vAlign w:val="bottom"/>
            <w:hideMark/>
          </w:tcPr>
          <w:p w14:paraId="66B3311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0,213</w:t>
            </w:r>
          </w:p>
        </w:tc>
        <w:tc>
          <w:tcPr>
            <w:tcW w:w="682" w:type="dxa"/>
            <w:tcBorders>
              <w:top w:val="nil"/>
              <w:left w:val="nil"/>
              <w:bottom w:val="single" w:sz="4" w:space="0" w:color="auto"/>
              <w:right w:val="single" w:sz="4" w:space="0" w:color="auto"/>
            </w:tcBorders>
            <w:shd w:val="clear" w:color="auto" w:fill="auto"/>
            <w:noWrap/>
            <w:vAlign w:val="bottom"/>
            <w:hideMark/>
          </w:tcPr>
          <w:p w14:paraId="036E4A5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33,3</w:t>
            </w:r>
          </w:p>
        </w:tc>
        <w:tc>
          <w:tcPr>
            <w:tcW w:w="895" w:type="dxa"/>
            <w:tcBorders>
              <w:top w:val="nil"/>
              <w:left w:val="nil"/>
              <w:bottom w:val="single" w:sz="4" w:space="0" w:color="auto"/>
              <w:right w:val="single" w:sz="4" w:space="0" w:color="auto"/>
            </w:tcBorders>
            <w:shd w:val="clear" w:color="auto" w:fill="auto"/>
            <w:noWrap/>
            <w:vAlign w:val="bottom"/>
            <w:hideMark/>
          </w:tcPr>
          <w:p w14:paraId="3925E9E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7E8B330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3D30C9B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276F74FA"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1CCE477C"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Mollusca</w:t>
            </w:r>
          </w:p>
        </w:tc>
        <w:tc>
          <w:tcPr>
            <w:tcW w:w="850" w:type="dxa"/>
            <w:tcBorders>
              <w:top w:val="nil"/>
              <w:left w:val="nil"/>
              <w:bottom w:val="single" w:sz="4" w:space="0" w:color="auto"/>
              <w:right w:val="single" w:sz="4" w:space="0" w:color="auto"/>
            </w:tcBorders>
            <w:shd w:val="clear" w:color="auto" w:fill="auto"/>
            <w:noWrap/>
            <w:vAlign w:val="bottom"/>
            <w:hideMark/>
          </w:tcPr>
          <w:p w14:paraId="30991D9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1116" w:type="dxa"/>
            <w:tcBorders>
              <w:top w:val="nil"/>
              <w:left w:val="nil"/>
              <w:bottom w:val="single" w:sz="4" w:space="0" w:color="auto"/>
              <w:right w:val="single" w:sz="4" w:space="0" w:color="auto"/>
            </w:tcBorders>
            <w:shd w:val="clear" w:color="auto" w:fill="auto"/>
            <w:noWrap/>
            <w:vAlign w:val="bottom"/>
            <w:hideMark/>
          </w:tcPr>
          <w:p w14:paraId="7D0FFC0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682" w:type="dxa"/>
            <w:tcBorders>
              <w:top w:val="nil"/>
              <w:left w:val="nil"/>
              <w:bottom w:val="single" w:sz="4" w:space="0" w:color="auto"/>
              <w:right w:val="single" w:sz="4" w:space="0" w:color="auto"/>
            </w:tcBorders>
            <w:shd w:val="clear" w:color="auto" w:fill="auto"/>
            <w:noWrap/>
            <w:vAlign w:val="bottom"/>
            <w:hideMark/>
          </w:tcPr>
          <w:p w14:paraId="69443C6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95" w:type="dxa"/>
            <w:tcBorders>
              <w:top w:val="nil"/>
              <w:left w:val="nil"/>
              <w:bottom w:val="single" w:sz="4" w:space="0" w:color="auto"/>
              <w:right w:val="single" w:sz="4" w:space="0" w:color="auto"/>
            </w:tcBorders>
            <w:shd w:val="clear" w:color="auto" w:fill="auto"/>
            <w:noWrap/>
            <w:vAlign w:val="bottom"/>
            <w:hideMark/>
          </w:tcPr>
          <w:p w14:paraId="79CF487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1" w:type="dxa"/>
            <w:tcBorders>
              <w:top w:val="nil"/>
              <w:left w:val="nil"/>
              <w:bottom w:val="single" w:sz="4" w:space="0" w:color="auto"/>
              <w:right w:val="single" w:sz="4" w:space="0" w:color="auto"/>
            </w:tcBorders>
            <w:shd w:val="clear" w:color="auto" w:fill="auto"/>
            <w:noWrap/>
            <w:vAlign w:val="bottom"/>
            <w:hideMark/>
          </w:tcPr>
          <w:p w14:paraId="201BC46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0" w:type="dxa"/>
            <w:tcBorders>
              <w:top w:val="nil"/>
              <w:left w:val="nil"/>
              <w:bottom w:val="single" w:sz="4" w:space="0" w:color="auto"/>
              <w:right w:val="single" w:sz="4" w:space="0" w:color="auto"/>
            </w:tcBorders>
            <w:shd w:val="clear" w:color="auto" w:fill="auto"/>
            <w:noWrap/>
            <w:vAlign w:val="bottom"/>
            <w:hideMark/>
          </w:tcPr>
          <w:p w14:paraId="644ADF9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r>
      <w:tr w:rsidR="00A876F3" w:rsidRPr="0088780C" w14:paraId="3348FDDD"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79E7503E"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Lepidochitona cinerea</w:t>
            </w:r>
            <w:r w:rsidRPr="0088780C">
              <w:rPr>
                <w:rFonts w:eastAsia="Times New Roman"/>
                <w:snapToGrid w:val="0"/>
                <w:color w:val="000000" w:themeColor="text1"/>
                <w:kern w:val="22"/>
                <w:szCs w:val="22"/>
                <w:lang w:eastAsia="ru-RU"/>
              </w:rPr>
              <w:t xml:space="preserve"> (L.)</w:t>
            </w:r>
          </w:p>
        </w:tc>
        <w:tc>
          <w:tcPr>
            <w:tcW w:w="850" w:type="dxa"/>
            <w:tcBorders>
              <w:top w:val="nil"/>
              <w:left w:val="nil"/>
              <w:bottom w:val="single" w:sz="4" w:space="0" w:color="auto"/>
              <w:right w:val="single" w:sz="4" w:space="0" w:color="auto"/>
            </w:tcBorders>
            <w:shd w:val="clear" w:color="auto" w:fill="auto"/>
            <w:noWrap/>
            <w:vAlign w:val="bottom"/>
            <w:hideMark/>
          </w:tcPr>
          <w:p w14:paraId="39FE47E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33,3</w:t>
            </w:r>
          </w:p>
        </w:tc>
        <w:tc>
          <w:tcPr>
            <w:tcW w:w="1116" w:type="dxa"/>
            <w:tcBorders>
              <w:top w:val="nil"/>
              <w:left w:val="nil"/>
              <w:bottom w:val="single" w:sz="4" w:space="0" w:color="auto"/>
              <w:right w:val="single" w:sz="4" w:space="0" w:color="auto"/>
            </w:tcBorders>
            <w:shd w:val="clear" w:color="auto" w:fill="auto"/>
            <w:noWrap/>
            <w:vAlign w:val="bottom"/>
            <w:hideMark/>
          </w:tcPr>
          <w:p w14:paraId="6B19E3B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0,179</w:t>
            </w:r>
          </w:p>
        </w:tc>
        <w:tc>
          <w:tcPr>
            <w:tcW w:w="682" w:type="dxa"/>
            <w:tcBorders>
              <w:top w:val="nil"/>
              <w:left w:val="nil"/>
              <w:bottom w:val="single" w:sz="4" w:space="0" w:color="auto"/>
              <w:right w:val="single" w:sz="4" w:space="0" w:color="auto"/>
            </w:tcBorders>
            <w:shd w:val="clear" w:color="auto" w:fill="auto"/>
            <w:noWrap/>
            <w:vAlign w:val="bottom"/>
            <w:hideMark/>
          </w:tcPr>
          <w:p w14:paraId="5B41485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895" w:type="dxa"/>
            <w:tcBorders>
              <w:top w:val="nil"/>
              <w:left w:val="nil"/>
              <w:bottom w:val="single" w:sz="4" w:space="0" w:color="auto"/>
              <w:right w:val="single" w:sz="4" w:space="0" w:color="auto"/>
            </w:tcBorders>
            <w:shd w:val="clear" w:color="auto" w:fill="auto"/>
            <w:noWrap/>
            <w:vAlign w:val="bottom"/>
            <w:hideMark/>
          </w:tcPr>
          <w:p w14:paraId="7281AE7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740FCCA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1D2BC59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2BF261D3"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123FDB5C"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Rissoa splendida</w:t>
            </w:r>
            <w:r w:rsidRPr="0088780C">
              <w:rPr>
                <w:rFonts w:eastAsia="Times New Roman"/>
                <w:snapToGrid w:val="0"/>
                <w:color w:val="000000" w:themeColor="text1"/>
                <w:kern w:val="22"/>
                <w:szCs w:val="22"/>
                <w:lang w:eastAsia="ru-RU"/>
              </w:rPr>
              <w:t xml:space="preserve"> Eichwald</w:t>
            </w:r>
          </w:p>
        </w:tc>
        <w:tc>
          <w:tcPr>
            <w:tcW w:w="850" w:type="dxa"/>
            <w:tcBorders>
              <w:top w:val="nil"/>
              <w:left w:val="nil"/>
              <w:bottom w:val="single" w:sz="4" w:space="0" w:color="auto"/>
              <w:right w:val="single" w:sz="4" w:space="0" w:color="auto"/>
            </w:tcBorders>
            <w:shd w:val="clear" w:color="auto" w:fill="auto"/>
            <w:noWrap/>
            <w:vAlign w:val="bottom"/>
            <w:hideMark/>
          </w:tcPr>
          <w:p w14:paraId="36CF044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4,2</w:t>
            </w:r>
          </w:p>
        </w:tc>
        <w:tc>
          <w:tcPr>
            <w:tcW w:w="1116" w:type="dxa"/>
            <w:tcBorders>
              <w:top w:val="nil"/>
              <w:left w:val="nil"/>
              <w:bottom w:val="single" w:sz="4" w:space="0" w:color="auto"/>
              <w:right w:val="single" w:sz="4" w:space="0" w:color="auto"/>
            </w:tcBorders>
            <w:shd w:val="clear" w:color="auto" w:fill="auto"/>
            <w:noWrap/>
            <w:vAlign w:val="bottom"/>
            <w:hideMark/>
          </w:tcPr>
          <w:p w14:paraId="3EE3156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0,267</w:t>
            </w:r>
          </w:p>
        </w:tc>
        <w:tc>
          <w:tcPr>
            <w:tcW w:w="682" w:type="dxa"/>
            <w:tcBorders>
              <w:top w:val="nil"/>
              <w:left w:val="nil"/>
              <w:bottom w:val="single" w:sz="4" w:space="0" w:color="auto"/>
              <w:right w:val="single" w:sz="4" w:space="0" w:color="auto"/>
            </w:tcBorders>
            <w:shd w:val="clear" w:color="auto" w:fill="auto"/>
            <w:noWrap/>
            <w:vAlign w:val="bottom"/>
            <w:hideMark/>
          </w:tcPr>
          <w:p w14:paraId="28B9819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6FAE326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08D0BFD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4B5C388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179357BD"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C9FA503"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Hydrobia acuta </w:t>
            </w:r>
            <w:r w:rsidRPr="0088780C">
              <w:rPr>
                <w:rFonts w:eastAsia="Times New Roman"/>
                <w:snapToGrid w:val="0"/>
                <w:color w:val="000000" w:themeColor="text1"/>
                <w:kern w:val="22"/>
                <w:szCs w:val="22"/>
                <w:lang w:eastAsia="ru-RU"/>
              </w:rPr>
              <w:t>(Draparnaud)</w:t>
            </w:r>
          </w:p>
        </w:tc>
        <w:tc>
          <w:tcPr>
            <w:tcW w:w="850" w:type="dxa"/>
            <w:tcBorders>
              <w:top w:val="nil"/>
              <w:left w:val="nil"/>
              <w:bottom w:val="single" w:sz="4" w:space="0" w:color="auto"/>
              <w:right w:val="single" w:sz="4" w:space="0" w:color="auto"/>
            </w:tcBorders>
            <w:shd w:val="clear" w:color="auto" w:fill="auto"/>
            <w:noWrap/>
            <w:vAlign w:val="bottom"/>
            <w:hideMark/>
          </w:tcPr>
          <w:p w14:paraId="638A10E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75,0</w:t>
            </w:r>
          </w:p>
        </w:tc>
        <w:tc>
          <w:tcPr>
            <w:tcW w:w="1116" w:type="dxa"/>
            <w:tcBorders>
              <w:top w:val="nil"/>
              <w:left w:val="nil"/>
              <w:bottom w:val="single" w:sz="4" w:space="0" w:color="auto"/>
              <w:right w:val="single" w:sz="4" w:space="0" w:color="auto"/>
            </w:tcBorders>
            <w:shd w:val="clear" w:color="auto" w:fill="auto"/>
            <w:noWrap/>
            <w:vAlign w:val="bottom"/>
            <w:hideMark/>
          </w:tcPr>
          <w:p w14:paraId="42B712D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0,142</w:t>
            </w:r>
          </w:p>
        </w:tc>
        <w:tc>
          <w:tcPr>
            <w:tcW w:w="682" w:type="dxa"/>
            <w:tcBorders>
              <w:top w:val="nil"/>
              <w:left w:val="nil"/>
              <w:bottom w:val="single" w:sz="4" w:space="0" w:color="auto"/>
              <w:right w:val="single" w:sz="4" w:space="0" w:color="auto"/>
            </w:tcBorders>
            <w:shd w:val="clear" w:color="auto" w:fill="auto"/>
            <w:noWrap/>
            <w:vAlign w:val="bottom"/>
            <w:hideMark/>
          </w:tcPr>
          <w:p w14:paraId="045B4A7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895" w:type="dxa"/>
            <w:tcBorders>
              <w:top w:val="nil"/>
              <w:left w:val="nil"/>
              <w:bottom w:val="single" w:sz="4" w:space="0" w:color="auto"/>
              <w:right w:val="single" w:sz="4" w:space="0" w:color="auto"/>
            </w:tcBorders>
            <w:shd w:val="clear" w:color="auto" w:fill="auto"/>
            <w:noWrap/>
            <w:vAlign w:val="bottom"/>
            <w:hideMark/>
          </w:tcPr>
          <w:p w14:paraId="3D44176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7842033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1782FF9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2D660B82"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A999D05"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Bittium reticulatum</w:t>
            </w:r>
            <w:r w:rsidRPr="0088780C">
              <w:rPr>
                <w:rFonts w:eastAsia="Times New Roman"/>
                <w:snapToGrid w:val="0"/>
                <w:color w:val="000000" w:themeColor="text1"/>
                <w:kern w:val="22"/>
                <w:szCs w:val="22"/>
                <w:lang w:eastAsia="ru-RU"/>
              </w:rPr>
              <w:t xml:space="preserve"> (Costa)</w:t>
            </w:r>
          </w:p>
        </w:tc>
        <w:tc>
          <w:tcPr>
            <w:tcW w:w="850" w:type="dxa"/>
            <w:tcBorders>
              <w:top w:val="nil"/>
              <w:left w:val="nil"/>
              <w:bottom w:val="single" w:sz="4" w:space="0" w:color="auto"/>
              <w:right w:val="single" w:sz="4" w:space="0" w:color="auto"/>
            </w:tcBorders>
            <w:shd w:val="clear" w:color="auto" w:fill="auto"/>
            <w:noWrap/>
            <w:vAlign w:val="bottom"/>
            <w:hideMark/>
          </w:tcPr>
          <w:p w14:paraId="4229748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112,5</w:t>
            </w:r>
          </w:p>
        </w:tc>
        <w:tc>
          <w:tcPr>
            <w:tcW w:w="1116" w:type="dxa"/>
            <w:tcBorders>
              <w:top w:val="nil"/>
              <w:left w:val="nil"/>
              <w:bottom w:val="single" w:sz="4" w:space="0" w:color="auto"/>
              <w:right w:val="single" w:sz="4" w:space="0" w:color="auto"/>
            </w:tcBorders>
            <w:shd w:val="clear" w:color="auto" w:fill="auto"/>
            <w:noWrap/>
            <w:vAlign w:val="bottom"/>
            <w:hideMark/>
          </w:tcPr>
          <w:p w14:paraId="4B67285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4,383</w:t>
            </w:r>
          </w:p>
        </w:tc>
        <w:tc>
          <w:tcPr>
            <w:tcW w:w="682" w:type="dxa"/>
            <w:tcBorders>
              <w:top w:val="nil"/>
              <w:left w:val="nil"/>
              <w:bottom w:val="single" w:sz="4" w:space="0" w:color="auto"/>
              <w:right w:val="single" w:sz="4" w:space="0" w:color="auto"/>
            </w:tcBorders>
            <w:shd w:val="clear" w:color="auto" w:fill="auto"/>
            <w:noWrap/>
            <w:vAlign w:val="bottom"/>
            <w:hideMark/>
          </w:tcPr>
          <w:p w14:paraId="4F847E2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58,3</w:t>
            </w:r>
          </w:p>
        </w:tc>
        <w:tc>
          <w:tcPr>
            <w:tcW w:w="895" w:type="dxa"/>
            <w:tcBorders>
              <w:top w:val="nil"/>
              <w:left w:val="nil"/>
              <w:bottom w:val="single" w:sz="4" w:space="0" w:color="auto"/>
              <w:right w:val="single" w:sz="4" w:space="0" w:color="auto"/>
            </w:tcBorders>
            <w:shd w:val="clear" w:color="auto" w:fill="auto"/>
            <w:noWrap/>
            <w:vAlign w:val="bottom"/>
            <w:hideMark/>
          </w:tcPr>
          <w:p w14:paraId="28E7ABF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5ABD768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3179EC2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24612D75" w14:textId="77777777" w:rsidTr="007B772D">
        <w:trPr>
          <w:trHeight w:val="118"/>
          <w:jc w:val="center"/>
        </w:trPr>
        <w:tc>
          <w:tcPr>
            <w:tcW w:w="3374" w:type="dxa"/>
            <w:tcBorders>
              <w:top w:val="nil"/>
              <w:left w:val="single" w:sz="4" w:space="0" w:color="auto"/>
              <w:bottom w:val="single" w:sz="4" w:space="0" w:color="auto"/>
              <w:right w:val="single" w:sz="4" w:space="0" w:color="auto"/>
            </w:tcBorders>
            <w:shd w:val="clear" w:color="auto" w:fill="auto"/>
            <w:noWrap/>
            <w:hideMark/>
          </w:tcPr>
          <w:p w14:paraId="3ED4448E"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i/>
                <w:snapToGrid w:val="0"/>
                <w:color w:val="000000" w:themeColor="text1"/>
                <w:kern w:val="22"/>
                <w:szCs w:val="22"/>
              </w:rPr>
              <w:t>Retusa truncatella</w:t>
            </w:r>
            <w:r w:rsidRPr="0088780C">
              <w:rPr>
                <w:snapToGrid w:val="0"/>
                <w:color w:val="000000" w:themeColor="text1"/>
                <w:kern w:val="22"/>
                <w:szCs w:val="22"/>
              </w:rPr>
              <w:t xml:space="preserve"> (Locard)</w:t>
            </w:r>
          </w:p>
        </w:tc>
        <w:tc>
          <w:tcPr>
            <w:tcW w:w="850" w:type="dxa"/>
            <w:tcBorders>
              <w:top w:val="nil"/>
              <w:left w:val="nil"/>
              <w:bottom w:val="single" w:sz="4" w:space="0" w:color="auto"/>
              <w:right w:val="single" w:sz="4" w:space="0" w:color="auto"/>
            </w:tcBorders>
            <w:shd w:val="clear" w:color="auto" w:fill="auto"/>
            <w:noWrap/>
          </w:tcPr>
          <w:p w14:paraId="7056DC9E"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4,2</w:t>
            </w:r>
          </w:p>
        </w:tc>
        <w:tc>
          <w:tcPr>
            <w:tcW w:w="1116" w:type="dxa"/>
            <w:tcBorders>
              <w:top w:val="nil"/>
              <w:left w:val="nil"/>
              <w:bottom w:val="single" w:sz="4" w:space="0" w:color="auto"/>
              <w:right w:val="single" w:sz="4" w:space="0" w:color="auto"/>
            </w:tcBorders>
            <w:shd w:val="clear" w:color="auto" w:fill="auto"/>
            <w:noWrap/>
          </w:tcPr>
          <w:p w14:paraId="4F5A7BDB"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0,108</w:t>
            </w:r>
          </w:p>
        </w:tc>
        <w:tc>
          <w:tcPr>
            <w:tcW w:w="682" w:type="dxa"/>
            <w:tcBorders>
              <w:top w:val="nil"/>
              <w:left w:val="nil"/>
              <w:bottom w:val="single" w:sz="4" w:space="0" w:color="auto"/>
              <w:right w:val="single" w:sz="4" w:space="0" w:color="auto"/>
            </w:tcBorders>
            <w:shd w:val="clear" w:color="auto" w:fill="auto"/>
            <w:noWrap/>
          </w:tcPr>
          <w:p w14:paraId="5D4E4E1C"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8,3</w:t>
            </w:r>
          </w:p>
        </w:tc>
        <w:tc>
          <w:tcPr>
            <w:tcW w:w="895" w:type="dxa"/>
            <w:tcBorders>
              <w:top w:val="nil"/>
              <w:left w:val="nil"/>
              <w:bottom w:val="single" w:sz="4" w:space="0" w:color="auto"/>
              <w:right w:val="single" w:sz="4" w:space="0" w:color="auto"/>
            </w:tcBorders>
            <w:shd w:val="clear" w:color="auto" w:fill="auto"/>
            <w:noWrap/>
          </w:tcPr>
          <w:p w14:paraId="201761F0"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c>
          <w:tcPr>
            <w:tcW w:w="851" w:type="dxa"/>
            <w:tcBorders>
              <w:top w:val="nil"/>
              <w:left w:val="nil"/>
              <w:bottom w:val="single" w:sz="4" w:space="0" w:color="auto"/>
              <w:right w:val="single" w:sz="4" w:space="0" w:color="auto"/>
            </w:tcBorders>
            <w:shd w:val="clear" w:color="auto" w:fill="auto"/>
            <w:noWrap/>
          </w:tcPr>
          <w:p w14:paraId="3C14FEE4"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c>
          <w:tcPr>
            <w:tcW w:w="850" w:type="dxa"/>
            <w:tcBorders>
              <w:top w:val="nil"/>
              <w:left w:val="nil"/>
              <w:bottom w:val="single" w:sz="4" w:space="0" w:color="auto"/>
              <w:right w:val="single" w:sz="4" w:space="0" w:color="auto"/>
            </w:tcBorders>
            <w:shd w:val="clear" w:color="auto" w:fill="auto"/>
            <w:noWrap/>
          </w:tcPr>
          <w:p w14:paraId="0C834E58"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r>
      <w:tr w:rsidR="00A876F3" w:rsidRPr="0088780C" w14:paraId="643A7577" w14:textId="77777777" w:rsidTr="007B772D">
        <w:trPr>
          <w:trHeight w:val="105"/>
          <w:jc w:val="center"/>
        </w:trPr>
        <w:tc>
          <w:tcPr>
            <w:tcW w:w="3374" w:type="dxa"/>
            <w:tcBorders>
              <w:top w:val="single" w:sz="4" w:space="0" w:color="auto"/>
              <w:left w:val="single" w:sz="4" w:space="0" w:color="auto"/>
              <w:bottom w:val="single" w:sz="4" w:space="0" w:color="auto"/>
              <w:right w:val="single" w:sz="4" w:space="0" w:color="auto"/>
            </w:tcBorders>
            <w:shd w:val="clear" w:color="auto" w:fill="auto"/>
            <w:noWrap/>
          </w:tcPr>
          <w:p w14:paraId="3F19B0C7"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i/>
                <w:snapToGrid w:val="0"/>
                <w:color w:val="000000" w:themeColor="text1"/>
                <w:kern w:val="22"/>
                <w:szCs w:val="22"/>
              </w:rPr>
              <w:t>Cylichnina strigella</w:t>
            </w:r>
            <w:r w:rsidRPr="0088780C">
              <w:rPr>
                <w:snapToGrid w:val="0"/>
                <w:color w:val="000000" w:themeColor="text1"/>
                <w:kern w:val="22"/>
                <w:szCs w:val="22"/>
              </w:rPr>
              <w:t xml:space="preserve"> (Loven)</w:t>
            </w:r>
          </w:p>
        </w:tc>
        <w:tc>
          <w:tcPr>
            <w:tcW w:w="850" w:type="dxa"/>
            <w:tcBorders>
              <w:top w:val="single" w:sz="4" w:space="0" w:color="auto"/>
              <w:left w:val="nil"/>
              <w:bottom w:val="single" w:sz="4" w:space="0" w:color="auto"/>
              <w:right w:val="single" w:sz="4" w:space="0" w:color="auto"/>
            </w:tcBorders>
            <w:shd w:val="clear" w:color="auto" w:fill="auto"/>
            <w:noWrap/>
          </w:tcPr>
          <w:p w14:paraId="579FA2E0"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c>
          <w:tcPr>
            <w:tcW w:w="1116" w:type="dxa"/>
            <w:tcBorders>
              <w:top w:val="single" w:sz="4" w:space="0" w:color="auto"/>
              <w:left w:val="nil"/>
              <w:bottom w:val="single" w:sz="4" w:space="0" w:color="auto"/>
              <w:right w:val="single" w:sz="4" w:space="0" w:color="auto"/>
            </w:tcBorders>
            <w:shd w:val="clear" w:color="auto" w:fill="auto"/>
            <w:noWrap/>
          </w:tcPr>
          <w:p w14:paraId="22384A63"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c>
          <w:tcPr>
            <w:tcW w:w="682" w:type="dxa"/>
            <w:tcBorders>
              <w:top w:val="single" w:sz="4" w:space="0" w:color="auto"/>
              <w:left w:val="nil"/>
              <w:bottom w:val="single" w:sz="4" w:space="0" w:color="auto"/>
              <w:right w:val="single" w:sz="4" w:space="0" w:color="auto"/>
            </w:tcBorders>
            <w:shd w:val="clear" w:color="auto" w:fill="auto"/>
            <w:noWrap/>
          </w:tcPr>
          <w:p w14:paraId="648A77BA"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c>
          <w:tcPr>
            <w:tcW w:w="895" w:type="dxa"/>
            <w:tcBorders>
              <w:top w:val="single" w:sz="4" w:space="0" w:color="auto"/>
              <w:left w:val="nil"/>
              <w:bottom w:val="single" w:sz="4" w:space="0" w:color="auto"/>
              <w:right w:val="single" w:sz="4" w:space="0" w:color="auto"/>
            </w:tcBorders>
            <w:shd w:val="clear" w:color="auto" w:fill="auto"/>
            <w:noWrap/>
          </w:tcPr>
          <w:p w14:paraId="2F200A84"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10,0</w:t>
            </w:r>
          </w:p>
        </w:tc>
        <w:tc>
          <w:tcPr>
            <w:tcW w:w="851" w:type="dxa"/>
            <w:tcBorders>
              <w:top w:val="single" w:sz="4" w:space="0" w:color="auto"/>
              <w:left w:val="nil"/>
              <w:bottom w:val="single" w:sz="4" w:space="0" w:color="auto"/>
              <w:right w:val="single" w:sz="4" w:space="0" w:color="auto"/>
            </w:tcBorders>
            <w:shd w:val="clear" w:color="auto" w:fill="auto"/>
            <w:noWrap/>
          </w:tcPr>
          <w:p w14:paraId="7B402BA9"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0,120</w:t>
            </w:r>
          </w:p>
        </w:tc>
        <w:tc>
          <w:tcPr>
            <w:tcW w:w="850" w:type="dxa"/>
            <w:tcBorders>
              <w:top w:val="single" w:sz="4" w:space="0" w:color="auto"/>
              <w:left w:val="nil"/>
              <w:bottom w:val="single" w:sz="4" w:space="0" w:color="auto"/>
              <w:right w:val="single" w:sz="4" w:space="0" w:color="auto"/>
            </w:tcBorders>
            <w:shd w:val="clear" w:color="auto" w:fill="auto"/>
            <w:noWrap/>
          </w:tcPr>
          <w:p w14:paraId="67D7FE0F"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20,0</w:t>
            </w:r>
          </w:p>
        </w:tc>
      </w:tr>
      <w:tr w:rsidR="00A876F3" w:rsidRPr="0088780C" w14:paraId="794AD61E" w14:textId="77777777" w:rsidTr="007B772D">
        <w:trPr>
          <w:trHeight w:val="135"/>
          <w:jc w:val="center"/>
        </w:trPr>
        <w:tc>
          <w:tcPr>
            <w:tcW w:w="3374" w:type="dxa"/>
            <w:tcBorders>
              <w:top w:val="single" w:sz="4" w:space="0" w:color="auto"/>
              <w:left w:val="single" w:sz="4" w:space="0" w:color="auto"/>
              <w:bottom w:val="single" w:sz="4" w:space="0" w:color="auto"/>
              <w:right w:val="single" w:sz="4" w:space="0" w:color="auto"/>
            </w:tcBorders>
            <w:shd w:val="clear" w:color="auto" w:fill="auto"/>
            <w:noWrap/>
          </w:tcPr>
          <w:p w14:paraId="31B94547"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i/>
                <w:snapToGrid w:val="0"/>
                <w:color w:val="000000" w:themeColor="text1"/>
                <w:kern w:val="22"/>
                <w:szCs w:val="22"/>
              </w:rPr>
              <w:t>Mytilaster lineatus</w:t>
            </w:r>
            <w:r w:rsidRPr="0088780C">
              <w:rPr>
                <w:snapToGrid w:val="0"/>
                <w:color w:val="000000" w:themeColor="text1"/>
                <w:kern w:val="22"/>
                <w:szCs w:val="22"/>
              </w:rPr>
              <w:t xml:space="preserve"> (Gmelin)</w:t>
            </w:r>
          </w:p>
        </w:tc>
        <w:tc>
          <w:tcPr>
            <w:tcW w:w="850" w:type="dxa"/>
            <w:tcBorders>
              <w:top w:val="single" w:sz="4" w:space="0" w:color="auto"/>
              <w:left w:val="nil"/>
              <w:bottom w:val="single" w:sz="4" w:space="0" w:color="auto"/>
              <w:right w:val="single" w:sz="4" w:space="0" w:color="auto"/>
            </w:tcBorders>
            <w:shd w:val="clear" w:color="auto" w:fill="auto"/>
            <w:noWrap/>
          </w:tcPr>
          <w:p w14:paraId="2BA36F9D"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1862,5</w:t>
            </w:r>
          </w:p>
        </w:tc>
        <w:tc>
          <w:tcPr>
            <w:tcW w:w="1116" w:type="dxa"/>
            <w:tcBorders>
              <w:top w:val="single" w:sz="4" w:space="0" w:color="auto"/>
              <w:left w:val="nil"/>
              <w:bottom w:val="single" w:sz="4" w:space="0" w:color="auto"/>
              <w:right w:val="single" w:sz="4" w:space="0" w:color="auto"/>
            </w:tcBorders>
            <w:shd w:val="clear" w:color="auto" w:fill="auto"/>
            <w:noWrap/>
          </w:tcPr>
          <w:p w14:paraId="37FDA411"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192,763</w:t>
            </w:r>
          </w:p>
        </w:tc>
        <w:tc>
          <w:tcPr>
            <w:tcW w:w="682" w:type="dxa"/>
            <w:tcBorders>
              <w:top w:val="single" w:sz="4" w:space="0" w:color="auto"/>
              <w:left w:val="nil"/>
              <w:bottom w:val="single" w:sz="4" w:space="0" w:color="auto"/>
              <w:right w:val="single" w:sz="4" w:space="0" w:color="auto"/>
            </w:tcBorders>
            <w:shd w:val="clear" w:color="auto" w:fill="auto"/>
            <w:noWrap/>
          </w:tcPr>
          <w:p w14:paraId="188BE556"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91,7</w:t>
            </w:r>
          </w:p>
        </w:tc>
        <w:tc>
          <w:tcPr>
            <w:tcW w:w="895" w:type="dxa"/>
            <w:tcBorders>
              <w:top w:val="single" w:sz="4" w:space="0" w:color="auto"/>
              <w:left w:val="nil"/>
              <w:bottom w:val="single" w:sz="4" w:space="0" w:color="auto"/>
              <w:right w:val="single" w:sz="4" w:space="0" w:color="auto"/>
            </w:tcBorders>
            <w:shd w:val="clear" w:color="auto" w:fill="auto"/>
            <w:noWrap/>
          </w:tcPr>
          <w:p w14:paraId="49E9E0D2"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190,0</w:t>
            </w:r>
          </w:p>
        </w:tc>
        <w:tc>
          <w:tcPr>
            <w:tcW w:w="851" w:type="dxa"/>
            <w:tcBorders>
              <w:top w:val="single" w:sz="4" w:space="0" w:color="auto"/>
              <w:left w:val="nil"/>
              <w:bottom w:val="single" w:sz="4" w:space="0" w:color="auto"/>
              <w:right w:val="single" w:sz="4" w:space="0" w:color="auto"/>
            </w:tcBorders>
            <w:shd w:val="clear" w:color="auto" w:fill="auto"/>
            <w:noWrap/>
          </w:tcPr>
          <w:p w14:paraId="2C62A431"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17,600</w:t>
            </w:r>
          </w:p>
        </w:tc>
        <w:tc>
          <w:tcPr>
            <w:tcW w:w="850" w:type="dxa"/>
            <w:tcBorders>
              <w:top w:val="single" w:sz="4" w:space="0" w:color="auto"/>
              <w:left w:val="nil"/>
              <w:bottom w:val="single" w:sz="4" w:space="0" w:color="auto"/>
              <w:right w:val="single" w:sz="4" w:space="0" w:color="auto"/>
            </w:tcBorders>
            <w:shd w:val="clear" w:color="auto" w:fill="auto"/>
            <w:noWrap/>
          </w:tcPr>
          <w:p w14:paraId="5F41C5B7"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80,0</w:t>
            </w:r>
          </w:p>
        </w:tc>
      </w:tr>
      <w:tr w:rsidR="00A876F3" w:rsidRPr="0088780C" w14:paraId="15A6828B" w14:textId="77777777" w:rsidTr="007B772D">
        <w:trPr>
          <w:trHeight w:val="88"/>
          <w:jc w:val="center"/>
        </w:trPr>
        <w:tc>
          <w:tcPr>
            <w:tcW w:w="3374" w:type="dxa"/>
            <w:tcBorders>
              <w:top w:val="single" w:sz="4" w:space="0" w:color="auto"/>
              <w:left w:val="single" w:sz="4" w:space="0" w:color="auto"/>
              <w:bottom w:val="single" w:sz="4" w:space="0" w:color="auto"/>
              <w:right w:val="single" w:sz="4" w:space="0" w:color="auto"/>
            </w:tcBorders>
            <w:shd w:val="clear" w:color="auto" w:fill="auto"/>
            <w:noWrap/>
          </w:tcPr>
          <w:p w14:paraId="47053888"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i/>
                <w:snapToGrid w:val="0"/>
                <w:color w:val="000000" w:themeColor="text1"/>
                <w:kern w:val="22"/>
                <w:szCs w:val="22"/>
              </w:rPr>
              <w:t>Lucinella divaricata</w:t>
            </w:r>
            <w:r w:rsidRPr="0088780C">
              <w:rPr>
                <w:snapToGrid w:val="0"/>
                <w:color w:val="000000" w:themeColor="text1"/>
                <w:kern w:val="22"/>
                <w:szCs w:val="22"/>
              </w:rPr>
              <w:t xml:space="preserve"> (L.)</w:t>
            </w:r>
          </w:p>
        </w:tc>
        <w:tc>
          <w:tcPr>
            <w:tcW w:w="850" w:type="dxa"/>
            <w:tcBorders>
              <w:top w:val="single" w:sz="4" w:space="0" w:color="auto"/>
              <w:left w:val="nil"/>
              <w:bottom w:val="single" w:sz="4" w:space="0" w:color="auto"/>
              <w:right w:val="single" w:sz="4" w:space="0" w:color="auto"/>
            </w:tcBorders>
            <w:shd w:val="clear" w:color="auto" w:fill="auto"/>
            <w:noWrap/>
          </w:tcPr>
          <w:p w14:paraId="2E568828"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8,3</w:t>
            </w:r>
          </w:p>
        </w:tc>
        <w:tc>
          <w:tcPr>
            <w:tcW w:w="1116" w:type="dxa"/>
            <w:tcBorders>
              <w:top w:val="single" w:sz="4" w:space="0" w:color="auto"/>
              <w:left w:val="nil"/>
              <w:bottom w:val="single" w:sz="4" w:space="0" w:color="auto"/>
              <w:right w:val="single" w:sz="4" w:space="0" w:color="auto"/>
            </w:tcBorders>
            <w:shd w:val="clear" w:color="auto" w:fill="auto"/>
            <w:noWrap/>
          </w:tcPr>
          <w:p w14:paraId="48B23CB3"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0,225</w:t>
            </w:r>
          </w:p>
        </w:tc>
        <w:tc>
          <w:tcPr>
            <w:tcW w:w="682" w:type="dxa"/>
            <w:tcBorders>
              <w:top w:val="single" w:sz="4" w:space="0" w:color="auto"/>
              <w:left w:val="nil"/>
              <w:bottom w:val="single" w:sz="4" w:space="0" w:color="auto"/>
              <w:right w:val="single" w:sz="4" w:space="0" w:color="auto"/>
            </w:tcBorders>
            <w:shd w:val="clear" w:color="auto" w:fill="auto"/>
            <w:noWrap/>
          </w:tcPr>
          <w:p w14:paraId="78CF7484"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8,3</w:t>
            </w:r>
          </w:p>
        </w:tc>
        <w:tc>
          <w:tcPr>
            <w:tcW w:w="895" w:type="dxa"/>
            <w:tcBorders>
              <w:top w:val="single" w:sz="4" w:space="0" w:color="auto"/>
              <w:left w:val="nil"/>
              <w:bottom w:val="single" w:sz="4" w:space="0" w:color="auto"/>
              <w:right w:val="single" w:sz="4" w:space="0" w:color="auto"/>
            </w:tcBorders>
            <w:shd w:val="clear" w:color="auto" w:fill="auto"/>
            <w:noWrap/>
          </w:tcPr>
          <w:p w14:paraId="49B5F5D2"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c>
          <w:tcPr>
            <w:tcW w:w="851" w:type="dxa"/>
            <w:tcBorders>
              <w:top w:val="single" w:sz="4" w:space="0" w:color="auto"/>
              <w:left w:val="nil"/>
              <w:bottom w:val="single" w:sz="4" w:space="0" w:color="auto"/>
              <w:right w:val="single" w:sz="4" w:space="0" w:color="auto"/>
            </w:tcBorders>
            <w:shd w:val="clear" w:color="auto" w:fill="auto"/>
            <w:noWrap/>
          </w:tcPr>
          <w:p w14:paraId="64A45B85"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c>
          <w:tcPr>
            <w:tcW w:w="850" w:type="dxa"/>
            <w:tcBorders>
              <w:top w:val="single" w:sz="4" w:space="0" w:color="auto"/>
              <w:left w:val="nil"/>
              <w:bottom w:val="single" w:sz="4" w:space="0" w:color="auto"/>
              <w:right w:val="single" w:sz="4" w:space="0" w:color="auto"/>
            </w:tcBorders>
            <w:shd w:val="clear" w:color="auto" w:fill="auto"/>
            <w:noWrap/>
          </w:tcPr>
          <w:p w14:paraId="1057DC2E"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r>
      <w:tr w:rsidR="00A876F3" w:rsidRPr="0088780C" w14:paraId="3800B299" w14:textId="77777777" w:rsidTr="007B772D">
        <w:trPr>
          <w:trHeight w:val="118"/>
          <w:jc w:val="center"/>
        </w:trPr>
        <w:tc>
          <w:tcPr>
            <w:tcW w:w="3374" w:type="dxa"/>
            <w:tcBorders>
              <w:top w:val="single" w:sz="4" w:space="0" w:color="auto"/>
              <w:left w:val="single" w:sz="4" w:space="0" w:color="auto"/>
              <w:bottom w:val="single" w:sz="4" w:space="0" w:color="auto"/>
              <w:right w:val="single" w:sz="4" w:space="0" w:color="auto"/>
            </w:tcBorders>
            <w:shd w:val="clear" w:color="auto" w:fill="auto"/>
            <w:noWrap/>
          </w:tcPr>
          <w:p w14:paraId="2FEAB9F5"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i/>
                <w:snapToGrid w:val="0"/>
                <w:color w:val="000000" w:themeColor="text1"/>
                <w:kern w:val="22"/>
                <w:szCs w:val="22"/>
              </w:rPr>
              <w:t>Loripes lucinalis</w:t>
            </w:r>
            <w:r w:rsidRPr="0088780C">
              <w:rPr>
                <w:snapToGrid w:val="0"/>
                <w:color w:val="000000" w:themeColor="text1"/>
                <w:kern w:val="22"/>
                <w:szCs w:val="22"/>
              </w:rPr>
              <w:t xml:space="preserve"> (Lamarck)</w:t>
            </w:r>
          </w:p>
        </w:tc>
        <w:tc>
          <w:tcPr>
            <w:tcW w:w="850" w:type="dxa"/>
            <w:tcBorders>
              <w:top w:val="single" w:sz="4" w:space="0" w:color="auto"/>
              <w:left w:val="nil"/>
              <w:bottom w:val="single" w:sz="4" w:space="0" w:color="auto"/>
              <w:right w:val="single" w:sz="4" w:space="0" w:color="auto"/>
            </w:tcBorders>
            <w:shd w:val="clear" w:color="auto" w:fill="auto"/>
            <w:noWrap/>
          </w:tcPr>
          <w:p w14:paraId="5AECACF7"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504,2</w:t>
            </w:r>
          </w:p>
        </w:tc>
        <w:tc>
          <w:tcPr>
            <w:tcW w:w="1116" w:type="dxa"/>
            <w:tcBorders>
              <w:top w:val="single" w:sz="4" w:space="0" w:color="auto"/>
              <w:left w:val="nil"/>
              <w:bottom w:val="single" w:sz="4" w:space="0" w:color="auto"/>
              <w:right w:val="single" w:sz="4" w:space="0" w:color="auto"/>
            </w:tcBorders>
            <w:shd w:val="clear" w:color="auto" w:fill="auto"/>
            <w:noWrap/>
          </w:tcPr>
          <w:p w14:paraId="44B46C14"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91,225</w:t>
            </w:r>
          </w:p>
        </w:tc>
        <w:tc>
          <w:tcPr>
            <w:tcW w:w="682" w:type="dxa"/>
            <w:tcBorders>
              <w:top w:val="single" w:sz="4" w:space="0" w:color="auto"/>
              <w:left w:val="nil"/>
              <w:bottom w:val="single" w:sz="4" w:space="0" w:color="auto"/>
              <w:right w:val="single" w:sz="4" w:space="0" w:color="auto"/>
            </w:tcBorders>
            <w:shd w:val="clear" w:color="auto" w:fill="auto"/>
            <w:noWrap/>
          </w:tcPr>
          <w:p w14:paraId="58A307C4"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91,7</w:t>
            </w:r>
          </w:p>
        </w:tc>
        <w:tc>
          <w:tcPr>
            <w:tcW w:w="895" w:type="dxa"/>
            <w:tcBorders>
              <w:top w:val="single" w:sz="4" w:space="0" w:color="auto"/>
              <w:left w:val="nil"/>
              <w:bottom w:val="single" w:sz="4" w:space="0" w:color="auto"/>
              <w:right w:val="single" w:sz="4" w:space="0" w:color="auto"/>
            </w:tcBorders>
            <w:shd w:val="clear" w:color="auto" w:fill="auto"/>
            <w:noWrap/>
          </w:tcPr>
          <w:p w14:paraId="016DD581"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620,0</w:t>
            </w:r>
          </w:p>
        </w:tc>
        <w:tc>
          <w:tcPr>
            <w:tcW w:w="851" w:type="dxa"/>
            <w:tcBorders>
              <w:top w:val="single" w:sz="4" w:space="0" w:color="auto"/>
              <w:left w:val="nil"/>
              <w:bottom w:val="single" w:sz="4" w:space="0" w:color="auto"/>
              <w:right w:val="single" w:sz="4" w:space="0" w:color="auto"/>
            </w:tcBorders>
            <w:shd w:val="clear" w:color="auto" w:fill="auto"/>
            <w:noWrap/>
          </w:tcPr>
          <w:p w14:paraId="6DA46D88"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42,360</w:t>
            </w:r>
          </w:p>
        </w:tc>
        <w:tc>
          <w:tcPr>
            <w:tcW w:w="850" w:type="dxa"/>
            <w:tcBorders>
              <w:top w:val="single" w:sz="4" w:space="0" w:color="auto"/>
              <w:left w:val="nil"/>
              <w:bottom w:val="single" w:sz="4" w:space="0" w:color="auto"/>
              <w:right w:val="single" w:sz="4" w:space="0" w:color="auto"/>
            </w:tcBorders>
            <w:shd w:val="clear" w:color="auto" w:fill="auto"/>
            <w:noWrap/>
          </w:tcPr>
          <w:p w14:paraId="580AF909"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80,0</w:t>
            </w:r>
          </w:p>
        </w:tc>
      </w:tr>
      <w:tr w:rsidR="00A876F3" w:rsidRPr="0088780C" w14:paraId="39629D83" w14:textId="77777777" w:rsidTr="007B772D">
        <w:trPr>
          <w:trHeight w:val="118"/>
          <w:jc w:val="center"/>
        </w:trPr>
        <w:tc>
          <w:tcPr>
            <w:tcW w:w="3374" w:type="dxa"/>
            <w:tcBorders>
              <w:top w:val="single" w:sz="4" w:space="0" w:color="auto"/>
              <w:left w:val="single" w:sz="4" w:space="0" w:color="auto"/>
              <w:bottom w:val="single" w:sz="4" w:space="0" w:color="auto"/>
              <w:right w:val="single" w:sz="4" w:space="0" w:color="auto"/>
            </w:tcBorders>
            <w:shd w:val="clear" w:color="auto" w:fill="auto"/>
            <w:noWrap/>
          </w:tcPr>
          <w:p w14:paraId="0DD079BE"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i/>
                <w:snapToGrid w:val="0"/>
                <w:color w:val="000000" w:themeColor="text1"/>
                <w:kern w:val="22"/>
                <w:szCs w:val="22"/>
              </w:rPr>
              <w:t>Mysella bidentata</w:t>
            </w:r>
            <w:r w:rsidRPr="0088780C">
              <w:rPr>
                <w:snapToGrid w:val="0"/>
                <w:color w:val="000000" w:themeColor="text1"/>
                <w:kern w:val="22"/>
                <w:szCs w:val="22"/>
              </w:rPr>
              <w:t xml:space="preserve"> (Montagu)</w:t>
            </w:r>
          </w:p>
        </w:tc>
        <w:tc>
          <w:tcPr>
            <w:tcW w:w="850" w:type="dxa"/>
            <w:tcBorders>
              <w:top w:val="single" w:sz="4" w:space="0" w:color="auto"/>
              <w:left w:val="nil"/>
              <w:bottom w:val="single" w:sz="4" w:space="0" w:color="auto"/>
              <w:right w:val="single" w:sz="4" w:space="0" w:color="auto"/>
            </w:tcBorders>
            <w:shd w:val="clear" w:color="auto" w:fill="auto"/>
            <w:noWrap/>
          </w:tcPr>
          <w:p w14:paraId="11DB1F8E"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12,5</w:t>
            </w:r>
          </w:p>
        </w:tc>
        <w:tc>
          <w:tcPr>
            <w:tcW w:w="1116" w:type="dxa"/>
            <w:tcBorders>
              <w:top w:val="single" w:sz="4" w:space="0" w:color="auto"/>
              <w:left w:val="nil"/>
              <w:bottom w:val="single" w:sz="4" w:space="0" w:color="auto"/>
              <w:right w:val="single" w:sz="4" w:space="0" w:color="auto"/>
            </w:tcBorders>
            <w:shd w:val="clear" w:color="auto" w:fill="auto"/>
            <w:noWrap/>
          </w:tcPr>
          <w:p w14:paraId="1E564089"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0,042</w:t>
            </w:r>
          </w:p>
        </w:tc>
        <w:tc>
          <w:tcPr>
            <w:tcW w:w="682" w:type="dxa"/>
            <w:tcBorders>
              <w:top w:val="single" w:sz="4" w:space="0" w:color="auto"/>
              <w:left w:val="nil"/>
              <w:bottom w:val="single" w:sz="4" w:space="0" w:color="auto"/>
              <w:right w:val="single" w:sz="4" w:space="0" w:color="auto"/>
            </w:tcBorders>
            <w:shd w:val="clear" w:color="auto" w:fill="auto"/>
            <w:noWrap/>
          </w:tcPr>
          <w:p w14:paraId="6DF69937"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8,3</w:t>
            </w:r>
          </w:p>
        </w:tc>
        <w:tc>
          <w:tcPr>
            <w:tcW w:w="895" w:type="dxa"/>
            <w:tcBorders>
              <w:top w:val="single" w:sz="4" w:space="0" w:color="auto"/>
              <w:left w:val="nil"/>
              <w:bottom w:val="single" w:sz="4" w:space="0" w:color="auto"/>
              <w:right w:val="single" w:sz="4" w:space="0" w:color="auto"/>
            </w:tcBorders>
            <w:shd w:val="clear" w:color="auto" w:fill="auto"/>
            <w:noWrap/>
          </w:tcPr>
          <w:p w14:paraId="2860BDD4"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c>
          <w:tcPr>
            <w:tcW w:w="851" w:type="dxa"/>
            <w:tcBorders>
              <w:top w:val="single" w:sz="4" w:space="0" w:color="auto"/>
              <w:left w:val="nil"/>
              <w:bottom w:val="single" w:sz="4" w:space="0" w:color="auto"/>
              <w:right w:val="single" w:sz="4" w:space="0" w:color="auto"/>
            </w:tcBorders>
            <w:shd w:val="clear" w:color="auto" w:fill="auto"/>
            <w:noWrap/>
          </w:tcPr>
          <w:p w14:paraId="225F48C2"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c>
          <w:tcPr>
            <w:tcW w:w="850" w:type="dxa"/>
            <w:tcBorders>
              <w:top w:val="single" w:sz="4" w:space="0" w:color="auto"/>
              <w:left w:val="nil"/>
              <w:bottom w:val="single" w:sz="4" w:space="0" w:color="auto"/>
              <w:right w:val="single" w:sz="4" w:space="0" w:color="auto"/>
            </w:tcBorders>
            <w:shd w:val="clear" w:color="auto" w:fill="auto"/>
            <w:noWrap/>
          </w:tcPr>
          <w:p w14:paraId="3C76ECAE"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w:t>
            </w:r>
          </w:p>
        </w:tc>
      </w:tr>
      <w:tr w:rsidR="00A876F3" w:rsidRPr="0088780C" w14:paraId="77A920EF" w14:textId="77777777" w:rsidTr="007B772D">
        <w:trPr>
          <w:trHeight w:val="118"/>
          <w:jc w:val="center"/>
        </w:trPr>
        <w:tc>
          <w:tcPr>
            <w:tcW w:w="3374" w:type="dxa"/>
            <w:tcBorders>
              <w:top w:val="single" w:sz="4" w:space="0" w:color="auto"/>
              <w:left w:val="single" w:sz="4" w:space="0" w:color="auto"/>
              <w:bottom w:val="single" w:sz="4" w:space="0" w:color="auto"/>
              <w:right w:val="single" w:sz="4" w:space="0" w:color="auto"/>
            </w:tcBorders>
            <w:shd w:val="clear" w:color="auto" w:fill="auto"/>
            <w:noWrap/>
          </w:tcPr>
          <w:p w14:paraId="17417D50"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i/>
                <w:snapToGrid w:val="0"/>
                <w:color w:val="000000" w:themeColor="text1"/>
                <w:kern w:val="22"/>
                <w:szCs w:val="22"/>
              </w:rPr>
              <w:t>Cerastoderma glaucum</w:t>
            </w:r>
            <w:r w:rsidRPr="0088780C">
              <w:rPr>
                <w:snapToGrid w:val="0"/>
                <w:color w:val="000000" w:themeColor="text1"/>
                <w:kern w:val="22"/>
                <w:szCs w:val="22"/>
              </w:rPr>
              <w:t xml:space="preserve"> Poiret</w:t>
            </w:r>
          </w:p>
        </w:tc>
        <w:tc>
          <w:tcPr>
            <w:tcW w:w="850" w:type="dxa"/>
            <w:tcBorders>
              <w:top w:val="single" w:sz="4" w:space="0" w:color="auto"/>
              <w:left w:val="nil"/>
              <w:bottom w:val="single" w:sz="4" w:space="0" w:color="auto"/>
              <w:right w:val="single" w:sz="4" w:space="0" w:color="auto"/>
            </w:tcBorders>
            <w:shd w:val="clear" w:color="auto" w:fill="auto"/>
            <w:noWrap/>
          </w:tcPr>
          <w:p w14:paraId="46712DEB"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25,0</w:t>
            </w:r>
          </w:p>
        </w:tc>
        <w:tc>
          <w:tcPr>
            <w:tcW w:w="1116" w:type="dxa"/>
            <w:tcBorders>
              <w:top w:val="single" w:sz="4" w:space="0" w:color="auto"/>
              <w:left w:val="nil"/>
              <w:bottom w:val="single" w:sz="4" w:space="0" w:color="auto"/>
              <w:right w:val="single" w:sz="4" w:space="0" w:color="auto"/>
            </w:tcBorders>
            <w:shd w:val="clear" w:color="auto" w:fill="auto"/>
            <w:noWrap/>
          </w:tcPr>
          <w:p w14:paraId="7EFB71A0"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20,608</w:t>
            </w:r>
          </w:p>
        </w:tc>
        <w:tc>
          <w:tcPr>
            <w:tcW w:w="682" w:type="dxa"/>
            <w:tcBorders>
              <w:top w:val="single" w:sz="4" w:space="0" w:color="auto"/>
              <w:left w:val="nil"/>
              <w:bottom w:val="single" w:sz="4" w:space="0" w:color="auto"/>
              <w:right w:val="single" w:sz="4" w:space="0" w:color="auto"/>
            </w:tcBorders>
            <w:shd w:val="clear" w:color="auto" w:fill="auto"/>
            <w:noWrap/>
          </w:tcPr>
          <w:p w14:paraId="0F42FE7D"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33,3</w:t>
            </w:r>
          </w:p>
        </w:tc>
        <w:tc>
          <w:tcPr>
            <w:tcW w:w="895" w:type="dxa"/>
            <w:tcBorders>
              <w:top w:val="single" w:sz="4" w:space="0" w:color="auto"/>
              <w:left w:val="nil"/>
              <w:bottom w:val="single" w:sz="4" w:space="0" w:color="auto"/>
              <w:right w:val="single" w:sz="4" w:space="0" w:color="auto"/>
            </w:tcBorders>
            <w:shd w:val="clear" w:color="auto" w:fill="auto"/>
            <w:noWrap/>
          </w:tcPr>
          <w:p w14:paraId="1829C287"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10,0</w:t>
            </w:r>
          </w:p>
        </w:tc>
        <w:tc>
          <w:tcPr>
            <w:tcW w:w="851" w:type="dxa"/>
            <w:tcBorders>
              <w:top w:val="single" w:sz="4" w:space="0" w:color="auto"/>
              <w:left w:val="nil"/>
              <w:bottom w:val="single" w:sz="4" w:space="0" w:color="auto"/>
              <w:right w:val="single" w:sz="4" w:space="0" w:color="auto"/>
            </w:tcBorders>
            <w:shd w:val="clear" w:color="auto" w:fill="auto"/>
            <w:noWrap/>
          </w:tcPr>
          <w:p w14:paraId="1518629A"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6,800</w:t>
            </w:r>
          </w:p>
        </w:tc>
        <w:tc>
          <w:tcPr>
            <w:tcW w:w="850" w:type="dxa"/>
            <w:tcBorders>
              <w:top w:val="single" w:sz="4" w:space="0" w:color="auto"/>
              <w:left w:val="nil"/>
              <w:bottom w:val="single" w:sz="4" w:space="0" w:color="auto"/>
              <w:right w:val="single" w:sz="4" w:space="0" w:color="auto"/>
            </w:tcBorders>
            <w:shd w:val="clear" w:color="auto" w:fill="auto"/>
            <w:noWrap/>
          </w:tcPr>
          <w:p w14:paraId="638B7234" w14:textId="77777777" w:rsidR="00A876F3" w:rsidRPr="0088780C" w:rsidRDefault="00A876F3" w:rsidP="001013AF">
            <w:pPr>
              <w:suppressLineNumbers/>
              <w:suppressAutoHyphens/>
              <w:kinsoku w:val="0"/>
              <w:overflowPunct w:val="0"/>
              <w:autoSpaceDE w:val="0"/>
              <w:autoSpaceDN w:val="0"/>
              <w:jc w:val="right"/>
              <w:rPr>
                <w:snapToGrid w:val="0"/>
                <w:color w:val="000000" w:themeColor="text1"/>
                <w:kern w:val="22"/>
                <w:szCs w:val="22"/>
              </w:rPr>
            </w:pPr>
            <w:r w:rsidRPr="0088780C">
              <w:rPr>
                <w:snapToGrid w:val="0"/>
                <w:color w:val="000000" w:themeColor="text1"/>
                <w:kern w:val="22"/>
                <w:szCs w:val="22"/>
              </w:rPr>
              <w:t>20,0</w:t>
            </w:r>
          </w:p>
        </w:tc>
      </w:tr>
      <w:tr w:rsidR="00A876F3" w:rsidRPr="0088780C" w14:paraId="3310B10F" w14:textId="77777777" w:rsidTr="007B772D">
        <w:trPr>
          <w:trHeight w:val="300"/>
          <w:jc w:val="center"/>
        </w:trPr>
        <w:tc>
          <w:tcPr>
            <w:tcW w:w="337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616E2E" w14:textId="77777777" w:rsidR="00A876F3" w:rsidRPr="0088780C" w:rsidRDefault="00A876F3" w:rsidP="001013AF">
            <w:pPr>
              <w:suppressLineNumbers/>
              <w:suppressAutoHyphens/>
              <w:kinsoku w:val="0"/>
              <w:overflowPunct w:val="0"/>
              <w:autoSpaceDE w:val="0"/>
              <w:autoSpaceDN w:val="0"/>
              <w:jc w:val="left"/>
              <w:rPr>
                <w:rFonts w:eastAsia="Times New Roman"/>
                <w:i/>
                <w:iCs/>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Cerastoderma lamarcki lamarcki</w:t>
            </w:r>
            <w:r w:rsidRPr="0088780C">
              <w:rPr>
                <w:rFonts w:eastAsia="Times New Roman"/>
                <w:snapToGrid w:val="0"/>
                <w:color w:val="000000" w:themeColor="text1"/>
                <w:kern w:val="22"/>
                <w:szCs w:val="22"/>
                <w:lang w:eastAsia="ru-RU"/>
              </w:rPr>
              <w:t xml:space="preserve"> (Reeve)</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6ACCB03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4,2</w:t>
            </w: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49909E6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28,333</w:t>
            </w:r>
          </w:p>
        </w:tc>
        <w:tc>
          <w:tcPr>
            <w:tcW w:w="682" w:type="dxa"/>
            <w:tcBorders>
              <w:top w:val="single" w:sz="4" w:space="0" w:color="auto"/>
              <w:left w:val="nil"/>
              <w:bottom w:val="single" w:sz="4" w:space="0" w:color="auto"/>
              <w:right w:val="single" w:sz="4" w:space="0" w:color="auto"/>
            </w:tcBorders>
            <w:shd w:val="clear" w:color="auto" w:fill="auto"/>
            <w:noWrap/>
            <w:vAlign w:val="center"/>
          </w:tcPr>
          <w:p w14:paraId="4C196AE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single" w:sz="4" w:space="0" w:color="auto"/>
              <w:left w:val="nil"/>
              <w:bottom w:val="single" w:sz="4" w:space="0" w:color="auto"/>
              <w:right w:val="single" w:sz="4" w:space="0" w:color="auto"/>
            </w:tcBorders>
            <w:shd w:val="clear" w:color="auto" w:fill="auto"/>
            <w:noWrap/>
            <w:vAlign w:val="bottom"/>
          </w:tcPr>
          <w:p w14:paraId="0627BE9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single" w:sz="4" w:space="0" w:color="auto"/>
              <w:left w:val="nil"/>
              <w:bottom w:val="single" w:sz="4" w:space="0" w:color="auto"/>
              <w:right w:val="single" w:sz="4" w:space="0" w:color="auto"/>
            </w:tcBorders>
            <w:shd w:val="clear" w:color="auto" w:fill="auto"/>
            <w:noWrap/>
            <w:vAlign w:val="bottom"/>
          </w:tcPr>
          <w:p w14:paraId="3DC7A56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2F217EF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42987DD9" w14:textId="77777777" w:rsidTr="007B772D">
        <w:trPr>
          <w:trHeight w:val="166"/>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2265526F" w14:textId="77777777" w:rsidR="00A876F3" w:rsidRPr="0088780C" w:rsidRDefault="00A876F3" w:rsidP="001013AF">
            <w:pPr>
              <w:suppressLineNumbers/>
              <w:suppressAutoHyphens/>
              <w:kinsoku w:val="0"/>
              <w:overflowPunct w:val="0"/>
              <w:autoSpaceDE w:val="0"/>
              <w:autoSpaceDN w:val="0"/>
              <w:rPr>
                <w:rFonts w:eastAsia="Times New Roman"/>
                <w:i/>
                <w:iCs/>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Parvicardium exigium </w:t>
            </w:r>
            <w:r w:rsidRPr="0088780C">
              <w:rPr>
                <w:rFonts w:eastAsia="Times New Roman"/>
                <w:snapToGrid w:val="0"/>
                <w:color w:val="000000" w:themeColor="text1"/>
                <w:kern w:val="22"/>
                <w:szCs w:val="22"/>
                <w:lang w:eastAsia="ru-RU"/>
              </w:rPr>
              <w:t>(Gmelin)</w:t>
            </w:r>
          </w:p>
        </w:tc>
        <w:tc>
          <w:tcPr>
            <w:tcW w:w="850" w:type="dxa"/>
            <w:tcBorders>
              <w:top w:val="nil"/>
              <w:left w:val="nil"/>
              <w:bottom w:val="single" w:sz="4" w:space="0" w:color="auto"/>
              <w:right w:val="single" w:sz="4" w:space="0" w:color="auto"/>
            </w:tcBorders>
            <w:shd w:val="clear" w:color="auto" w:fill="auto"/>
            <w:noWrap/>
            <w:vAlign w:val="bottom"/>
            <w:hideMark/>
          </w:tcPr>
          <w:p w14:paraId="241838D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120,8</w:t>
            </w:r>
          </w:p>
        </w:tc>
        <w:tc>
          <w:tcPr>
            <w:tcW w:w="1116" w:type="dxa"/>
            <w:tcBorders>
              <w:top w:val="nil"/>
              <w:left w:val="nil"/>
              <w:bottom w:val="single" w:sz="4" w:space="0" w:color="auto"/>
              <w:right w:val="single" w:sz="4" w:space="0" w:color="auto"/>
            </w:tcBorders>
            <w:shd w:val="clear" w:color="auto" w:fill="auto"/>
            <w:noWrap/>
            <w:vAlign w:val="bottom"/>
            <w:hideMark/>
          </w:tcPr>
          <w:p w14:paraId="5048E1F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14,292</w:t>
            </w:r>
          </w:p>
        </w:tc>
        <w:tc>
          <w:tcPr>
            <w:tcW w:w="682" w:type="dxa"/>
            <w:tcBorders>
              <w:top w:val="nil"/>
              <w:left w:val="nil"/>
              <w:bottom w:val="single" w:sz="4" w:space="0" w:color="auto"/>
              <w:right w:val="single" w:sz="4" w:space="0" w:color="auto"/>
            </w:tcBorders>
            <w:shd w:val="clear" w:color="auto" w:fill="auto"/>
            <w:noWrap/>
            <w:vAlign w:val="bottom"/>
            <w:hideMark/>
          </w:tcPr>
          <w:p w14:paraId="1711055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66,7</w:t>
            </w:r>
          </w:p>
        </w:tc>
        <w:tc>
          <w:tcPr>
            <w:tcW w:w="895" w:type="dxa"/>
            <w:tcBorders>
              <w:top w:val="nil"/>
              <w:left w:val="nil"/>
              <w:bottom w:val="single" w:sz="4" w:space="0" w:color="auto"/>
              <w:right w:val="single" w:sz="4" w:space="0" w:color="auto"/>
            </w:tcBorders>
            <w:shd w:val="clear" w:color="auto" w:fill="auto"/>
            <w:noWrap/>
            <w:vAlign w:val="bottom"/>
            <w:hideMark/>
          </w:tcPr>
          <w:p w14:paraId="0305A65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60,0</w:t>
            </w:r>
          </w:p>
        </w:tc>
        <w:tc>
          <w:tcPr>
            <w:tcW w:w="851" w:type="dxa"/>
            <w:tcBorders>
              <w:top w:val="nil"/>
              <w:left w:val="nil"/>
              <w:bottom w:val="single" w:sz="4" w:space="0" w:color="auto"/>
              <w:right w:val="single" w:sz="4" w:space="0" w:color="auto"/>
            </w:tcBorders>
            <w:shd w:val="clear" w:color="auto" w:fill="auto"/>
            <w:noWrap/>
            <w:vAlign w:val="bottom"/>
            <w:hideMark/>
          </w:tcPr>
          <w:p w14:paraId="0ACABD4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6,660</w:t>
            </w:r>
          </w:p>
        </w:tc>
        <w:tc>
          <w:tcPr>
            <w:tcW w:w="850" w:type="dxa"/>
            <w:tcBorders>
              <w:top w:val="nil"/>
              <w:left w:val="nil"/>
              <w:bottom w:val="single" w:sz="4" w:space="0" w:color="auto"/>
              <w:right w:val="single" w:sz="4" w:space="0" w:color="auto"/>
            </w:tcBorders>
            <w:shd w:val="clear" w:color="auto" w:fill="auto"/>
            <w:noWrap/>
            <w:vAlign w:val="bottom"/>
            <w:hideMark/>
          </w:tcPr>
          <w:p w14:paraId="1ECD3C8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80,0</w:t>
            </w:r>
          </w:p>
        </w:tc>
      </w:tr>
      <w:tr w:rsidR="00A876F3" w:rsidRPr="0088780C" w14:paraId="124D940B" w14:textId="77777777" w:rsidTr="007B772D">
        <w:trPr>
          <w:trHeight w:val="166"/>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6F20C4DC" w14:textId="77777777" w:rsidR="00A876F3" w:rsidRPr="0088780C" w:rsidRDefault="00A876F3" w:rsidP="001013AF">
            <w:pPr>
              <w:suppressLineNumbers/>
              <w:suppressAutoHyphens/>
              <w:kinsoku w:val="0"/>
              <w:overflowPunct w:val="0"/>
              <w:autoSpaceDE w:val="0"/>
              <w:autoSpaceDN w:val="0"/>
              <w:rPr>
                <w:rFonts w:eastAsia="Times New Roman"/>
                <w:i/>
                <w:iCs/>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Irus irus</w:t>
            </w:r>
            <w:r w:rsidRPr="0088780C">
              <w:rPr>
                <w:rFonts w:eastAsia="Times New Roman"/>
                <w:snapToGrid w:val="0"/>
                <w:color w:val="000000" w:themeColor="text1"/>
                <w:kern w:val="22"/>
                <w:szCs w:val="22"/>
                <w:lang w:eastAsia="ru-RU"/>
              </w:rPr>
              <w:t xml:space="preserve"> (L.)</w:t>
            </w:r>
          </w:p>
        </w:tc>
        <w:tc>
          <w:tcPr>
            <w:tcW w:w="850" w:type="dxa"/>
            <w:tcBorders>
              <w:top w:val="nil"/>
              <w:left w:val="nil"/>
              <w:bottom w:val="single" w:sz="4" w:space="0" w:color="auto"/>
              <w:right w:val="single" w:sz="4" w:space="0" w:color="auto"/>
            </w:tcBorders>
            <w:shd w:val="clear" w:color="auto" w:fill="auto"/>
            <w:noWrap/>
            <w:vAlign w:val="bottom"/>
            <w:hideMark/>
          </w:tcPr>
          <w:p w14:paraId="572D17F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183,3</w:t>
            </w:r>
          </w:p>
        </w:tc>
        <w:tc>
          <w:tcPr>
            <w:tcW w:w="1116" w:type="dxa"/>
            <w:tcBorders>
              <w:top w:val="nil"/>
              <w:left w:val="nil"/>
              <w:bottom w:val="single" w:sz="4" w:space="0" w:color="auto"/>
              <w:right w:val="single" w:sz="4" w:space="0" w:color="auto"/>
            </w:tcBorders>
            <w:shd w:val="clear" w:color="auto" w:fill="auto"/>
            <w:noWrap/>
            <w:vAlign w:val="bottom"/>
            <w:hideMark/>
          </w:tcPr>
          <w:p w14:paraId="77FD5C3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380,850</w:t>
            </w:r>
          </w:p>
        </w:tc>
        <w:tc>
          <w:tcPr>
            <w:tcW w:w="682" w:type="dxa"/>
            <w:tcBorders>
              <w:top w:val="nil"/>
              <w:left w:val="nil"/>
              <w:bottom w:val="single" w:sz="4" w:space="0" w:color="auto"/>
              <w:right w:val="single" w:sz="4" w:space="0" w:color="auto"/>
            </w:tcBorders>
            <w:shd w:val="clear" w:color="auto" w:fill="auto"/>
            <w:noWrap/>
            <w:vAlign w:val="bottom"/>
            <w:hideMark/>
          </w:tcPr>
          <w:p w14:paraId="4DC84D2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41,7</w:t>
            </w:r>
          </w:p>
        </w:tc>
        <w:tc>
          <w:tcPr>
            <w:tcW w:w="895" w:type="dxa"/>
            <w:tcBorders>
              <w:top w:val="nil"/>
              <w:left w:val="nil"/>
              <w:bottom w:val="single" w:sz="4" w:space="0" w:color="auto"/>
              <w:right w:val="single" w:sz="4" w:space="0" w:color="auto"/>
            </w:tcBorders>
            <w:shd w:val="clear" w:color="auto" w:fill="auto"/>
            <w:noWrap/>
            <w:vAlign w:val="bottom"/>
            <w:hideMark/>
          </w:tcPr>
          <w:p w14:paraId="1844A59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1C9246B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32AF835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64817189" w14:textId="77777777" w:rsidTr="007B772D">
        <w:trPr>
          <w:trHeight w:val="166"/>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53526C3"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Polititapes aurea</w:t>
            </w:r>
            <w:r w:rsidRPr="0088780C">
              <w:rPr>
                <w:rFonts w:eastAsia="Times New Roman"/>
                <w:snapToGrid w:val="0"/>
                <w:color w:val="000000" w:themeColor="text1"/>
                <w:kern w:val="22"/>
                <w:szCs w:val="22"/>
                <w:lang w:eastAsia="ru-RU"/>
              </w:rPr>
              <w:t xml:space="preserve"> (Gmelin)</w:t>
            </w:r>
          </w:p>
        </w:tc>
        <w:tc>
          <w:tcPr>
            <w:tcW w:w="850" w:type="dxa"/>
            <w:tcBorders>
              <w:top w:val="nil"/>
              <w:left w:val="nil"/>
              <w:bottom w:val="single" w:sz="4" w:space="0" w:color="auto"/>
              <w:right w:val="single" w:sz="4" w:space="0" w:color="auto"/>
            </w:tcBorders>
            <w:shd w:val="clear" w:color="auto" w:fill="auto"/>
            <w:noWrap/>
            <w:vAlign w:val="bottom"/>
            <w:hideMark/>
          </w:tcPr>
          <w:p w14:paraId="231CEC9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12,5</w:t>
            </w:r>
          </w:p>
        </w:tc>
        <w:tc>
          <w:tcPr>
            <w:tcW w:w="1116" w:type="dxa"/>
            <w:tcBorders>
              <w:top w:val="nil"/>
              <w:left w:val="nil"/>
              <w:bottom w:val="single" w:sz="4" w:space="0" w:color="auto"/>
              <w:right w:val="single" w:sz="4" w:space="0" w:color="auto"/>
            </w:tcBorders>
            <w:shd w:val="clear" w:color="auto" w:fill="auto"/>
            <w:noWrap/>
            <w:vAlign w:val="bottom"/>
            <w:hideMark/>
          </w:tcPr>
          <w:p w14:paraId="27AD505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18,100</w:t>
            </w:r>
          </w:p>
        </w:tc>
        <w:tc>
          <w:tcPr>
            <w:tcW w:w="682" w:type="dxa"/>
            <w:tcBorders>
              <w:top w:val="nil"/>
              <w:left w:val="nil"/>
              <w:bottom w:val="single" w:sz="4" w:space="0" w:color="auto"/>
              <w:right w:val="single" w:sz="4" w:space="0" w:color="auto"/>
            </w:tcBorders>
            <w:shd w:val="clear" w:color="auto" w:fill="auto"/>
            <w:noWrap/>
            <w:vAlign w:val="bottom"/>
            <w:hideMark/>
          </w:tcPr>
          <w:p w14:paraId="3EEF301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79155F3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43F3826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6FDF4C5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3D9CC1D3" w14:textId="77777777" w:rsidTr="007B772D">
        <w:trPr>
          <w:trHeight w:val="70"/>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54ED8862"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Abra ovata</w:t>
            </w:r>
            <w:r w:rsidRPr="0088780C">
              <w:rPr>
                <w:rFonts w:eastAsia="Times New Roman"/>
                <w:snapToGrid w:val="0"/>
                <w:color w:val="000000" w:themeColor="text1"/>
                <w:kern w:val="22"/>
                <w:szCs w:val="22"/>
                <w:lang w:eastAsia="ru-RU"/>
              </w:rPr>
              <w:t xml:space="preserve"> (Philippi)</w:t>
            </w:r>
          </w:p>
        </w:tc>
        <w:tc>
          <w:tcPr>
            <w:tcW w:w="850" w:type="dxa"/>
            <w:tcBorders>
              <w:top w:val="nil"/>
              <w:left w:val="nil"/>
              <w:bottom w:val="single" w:sz="4" w:space="0" w:color="auto"/>
              <w:right w:val="single" w:sz="4" w:space="0" w:color="auto"/>
            </w:tcBorders>
            <w:shd w:val="clear" w:color="auto" w:fill="auto"/>
            <w:noWrap/>
            <w:vAlign w:val="bottom"/>
            <w:hideMark/>
          </w:tcPr>
          <w:p w14:paraId="3795FBD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1116" w:type="dxa"/>
            <w:tcBorders>
              <w:top w:val="nil"/>
              <w:left w:val="nil"/>
              <w:bottom w:val="single" w:sz="4" w:space="0" w:color="auto"/>
              <w:right w:val="single" w:sz="4" w:space="0" w:color="auto"/>
            </w:tcBorders>
            <w:shd w:val="clear" w:color="auto" w:fill="auto"/>
            <w:noWrap/>
            <w:vAlign w:val="bottom"/>
            <w:hideMark/>
          </w:tcPr>
          <w:p w14:paraId="0FEBDBC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0,063</w:t>
            </w:r>
          </w:p>
        </w:tc>
        <w:tc>
          <w:tcPr>
            <w:tcW w:w="682" w:type="dxa"/>
            <w:tcBorders>
              <w:top w:val="nil"/>
              <w:left w:val="nil"/>
              <w:bottom w:val="single" w:sz="4" w:space="0" w:color="auto"/>
              <w:right w:val="single" w:sz="4" w:space="0" w:color="auto"/>
            </w:tcBorders>
            <w:shd w:val="clear" w:color="auto" w:fill="auto"/>
            <w:noWrap/>
            <w:vAlign w:val="bottom"/>
            <w:hideMark/>
          </w:tcPr>
          <w:p w14:paraId="665A0A6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274DC6F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6DD7D33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0BCFCA9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6E6C7C38" w14:textId="77777777" w:rsidTr="007B772D">
        <w:trPr>
          <w:trHeight w:val="102"/>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1C49EDC"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Gastrana fragilis</w:t>
            </w:r>
            <w:r w:rsidRPr="0088780C">
              <w:rPr>
                <w:rFonts w:eastAsia="Times New Roman"/>
                <w:snapToGrid w:val="0"/>
                <w:color w:val="000000" w:themeColor="text1"/>
                <w:kern w:val="22"/>
                <w:szCs w:val="22"/>
                <w:lang w:eastAsia="ru-RU"/>
              </w:rPr>
              <w:t xml:space="preserve"> (L.)</w:t>
            </w:r>
          </w:p>
        </w:tc>
        <w:tc>
          <w:tcPr>
            <w:tcW w:w="850" w:type="dxa"/>
            <w:tcBorders>
              <w:top w:val="nil"/>
              <w:left w:val="nil"/>
              <w:bottom w:val="single" w:sz="4" w:space="0" w:color="auto"/>
              <w:right w:val="single" w:sz="4" w:space="0" w:color="auto"/>
            </w:tcBorders>
            <w:shd w:val="clear" w:color="auto" w:fill="auto"/>
            <w:noWrap/>
            <w:vAlign w:val="bottom"/>
            <w:hideMark/>
          </w:tcPr>
          <w:p w14:paraId="2F0F244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87,5</w:t>
            </w:r>
          </w:p>
        </w:tc>
        <w:tc>
          <w:tcPr>
            <w:tcW w:w="1116" w:type="dxa"/>
            <w:tcBorders>
              <w:top w:val="nil"/>
              <w:left w:val="nil"/>
              <w:bottom w:val="single" w:sz="4" w:space="0" w:color="auto"/>
              <w:right w:val="single" w:sz="4" w:space="0" w:color="auto"/>
            </w:tcBorders>
            <w:shd w:val="clear" w:color="auto" w:fill="auto"/>
            <w:noWrap/>
            <w:vAlign w:val="bottom"/>
            <w:hideMark/>
          </w:tcPr>
          <w:p w14:paraId="72EFA72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111,183</w:t>
            </w:r>
          </w:p>
        </w:tc>
        <w:tc>
          <w:tcPr>
            <w:tcW w:w="682" w:type="dxa"/>
            <w:tcBorders>
              <w:top w:val="nil"/>
              <w:left w:val="nil"/>
              <w:bottom w:val="single" w:sz="4" w:space="0" w:color="auto"/>
              <w:right w:val="single" w:sz="4" w:space="0" w:color="auto"/>
            </w:tcBorders>
            <w:shd w:val="clear" w:color="auto" w:fill="auto"/>
            <w:noWrap/>
            <w:vAlign w:val="bottom"/>
            <w:hideMark/>
          </w:tcPr>
          <w:p w14:paraId="6EEBC06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33,3</w:t>
            </w:r>
          </w:p>
        </w:tc>
        <w:tc>
          <w:tcPr>
            <w:tcW w:w="895" w:type="dxa"/>
            <w:tcBorders>
              <w:top w:val="nil"/>
              <w:left w:val="nil"/>
              <w:bottom w:val="single" w:sz="4" w:space="0" w:color="auto"/>
              <w:right w:val="single" w:sz="4" w:space="0" w:color="auto"/>
            </w:tcBorders>
            <w:shd w:val="clear" w:color="auto" w:fill="auto"/>
            <w:noWrap/>
            <w:vAlign w:val="bottom"/>
            <w:hideMark/>
          </w:tcPr>
          <w:p w14:paraId="654135C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11B86DE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6B5D1E9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1595932C"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52E6750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Fabulina fabula </w:t>
            </w:r>
            <w:r w:rsidRPr="0088780C">
              <w:rPr>
                <w:rFonts w:eastAsia="Times New Roman"/>
                <w:snapToGrid w:val="0"/>
                <w:color w:val="000000" w:themeColor="text1"/>
                <w:kern w:val="22"/>
                <w:szCs w:val="22"/>
                <w:lang w:eastAsia="ru-RU"/>
              </w:rPr>
              <w:t>(Gronovius)</w:t>
            </w:r>
          </w:p>
        </w:tc>
        <w:tc>
          <w:tcPr>
            <w:tcW w:w="850" w:type="dxa"/>
            <w:tcBorders>
              <w:top w:val="nil"/>
              <w:left w:val="nil"/>
              <w:bottom w:val="single" w:sz="4" w:space="0" w:color="auto"/>
              <w:right w:val="single" w:sz="4" w:space="0" w:color="auto"/>
            </w:tcBorders>
            <w:shd w:val="clear" w:color="auto" w:fill="auto"/>
            <w:noWrap/>
            <w:vAlign w:val="bottom"/>
            <w:hideMark/>
          </w:tcPr>
          <w:p w14:paraId="6E24F4D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75,0</w:t>
            </w:r>
          </w:p>
        </w:tc>
        <w:tc>
          <w:tcPr>
            <w:tcW w:w="1116" w:type="dxa"/>
            <w:tcBorders>
              <w:top w:val="nil"/>
              <w:left w:val="nil"/>
              <w:bottom w:val="single" w:sz="4" w:space="0" w:color="auto"/>
              <w:right w:val="single" w:sz="4" w:space="0" w:color="auto"/>
            </w:tcBorders>
            <w:shd w:val="clear" w:color="auto" w:fill="auto"/>
            <w:noWrap/>
            <w:vAlign w:val="bottom"/>
            <w:hideMark/>
          </w:tcPr>
          <w:p w14:paraId="1AD1F81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9,129</w:t>
            </w:r>
          </w:p>
        </w:tc>
        <w:tc>
          <w:tcPr>
            <w:tcW w:w="682" w:type="dxa"/>
            <w:tcBorders>
              <w:top w:val="nil"/>
              <w:left w:val="nil"/>
              <w:bottom w:val="single" w:sz="4" w:space="0" w:color="auto"/>
              <w:right w:val="single" w:sz="4" w:space="0" w:color="auto"/>
            </w:tcBorders>
            <w:shd w:val="clear" w:color="auto" w:fill="auto"/>
            <w:noWrap/>
            <w:vAlign w:val="bottom"/>
            <w:hideMark/>
          </w:tcPr>
          <w:p w14:paraId="0428048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25,0</w:t>
            </w:r>
          </w:p>
        </w:tc>
        <w:tc>
          <w:tcPr>
            <w:tcW w:w="895" w:type="dxa"/>
            <w:tcBorders>
              <w:top w:val="nil"/>
              <w:left w:val="nil"/>
              <w:bottom w:val="single" w:sz="4" w:space="0" w:color="auto"/>
              <w:right w:val="single" w:sz="4" w:space="0" w:color="auto"/>
            </w:tcBorders>
            <w:shd w:val="clear" w:color="auto" w:fill="auto"/>
            <w:noWrap/>
            <w:vAlign w:val="bottom"/>
            <w:hideMark/>
          </w:tcPr>
          <w:p w14:paraId="0E430F1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3DA6502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305DB28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4544F930"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263BBB14"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Crustacea</w:t>
            </w:r>
          </w:p>
        </w:tc>
        <w:tc>
          <w:tcPr>
            <w:tcW w:w="850" w:type="dxa"/>
            <w:tcBorders>
              <w:top w:val="nil"/>
              <w:left w:val="nil"/>
              <w:bottom w:val="single" w:sz="4" w:space="0" w:color="auto"/>
              <w:right w:val="single" w:sz="4" w:space="0" w:color="auto"/>
            </w:tcBorders>
            <w:shd w:val="clear" w:color="auto" w:fill="auto"/>
            <w:noWrap/>
            <w:vAlign w:val="bottom"/>
            <w:hideMark/>
          </w:tcPr>
          <w:p w14:paraId="5C84BBA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1116" w:type="dxa"/>
            <w:tcBorders>
              <w:top w:val="nil"/>
              <w:left w:val="nil"/>
              <w:bottom w:val="single" w:sz="4" w:space="0" w:color="auto"/>
              <w:right w:val="single" w:sz="4" w:space="0" w:color="auto"/>
            </w:tcBorders>
            <w:shd w:val="clear" w:color="auto" w:fill="auto"/>
            <w:noWrap/>
            <w:vAlign w:val="bottom"/>
            <w:hideMark/>
          </w:tcPr>
          <w:p w14:paraId="6B205AF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682" w:type="dxa"/>
            <w:tcBorders>
              <w:top w:val="nil"/>
              <w:left w:val="nil"/>
              <w:bottom w:val="single" w:sz="4" w:space="0" w:color="auto"/>
              <w:right w:val="single" w:sz="4" w:space="0" w:color="auto"/>
            </w:tcBorders>
            <w:shd w:val="clear" w:color="auto" w:fill="auto"/>
            <w:noWrap/>
            <w:vAlign w:val="bottom"/>
            <w:hideMark/>
          </w:tcPr>
          <w:p w14:paraId="534DEF3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95" w:type="dxa"/>
            <w:tcBorders>
              <w:top w:val="nil"/>
              <w:left w:val="nil"/>
              <w:bottom w:val="single" w:sz="4" w:space="0" w:color="auto"/>
              <w:right w:val="single" w:sz="4" w:space="0" w:color="auto"/>
            </w:tcBorders>
            <w:shd w:val="clear" w:color="auto" w:fill="auto"/>
            <w:noWrap/>
            <w:vAlign w:val="bottom"/>
            <w:hideMark/>
          </w:tcPr>
          <w:p w14:paraId="6FDF3A8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1" w:type="dxa"/>
            <w:tcBorders>
              <w:top w:val="nil"/>
              <w:left w:val="nil"/>
              <w:bottom w:val="single" w:sz="4" w:space="0" w:color="auto"/>
              <w:right w:val="single" w:sz="4" w:space="0" w:color="auto"/>
            </w:tcBorders>
            <w:shd w:val="clear" w:color="auto" w:fill="auto"/>
            <w:noWrap/>
            <w:vAlign w:val="bottom"/>
            <w:hideMark/>
          </w:tcPr>
          <w:p w14:paraId="61D5C25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0" w:type="dxa"/>
            <w:tcBorders>
              <w:top w:val="nil"/>
              <w:left w:val="nil"/>
              <w:bottom w:val="single" w:sz="4" w:space="0" w:color="auto"/>
              <w:right w:val="single" w:sz="4" w:space="0" w:color="auto"/>
            </w:tcBorders>
            <w:shd w:val="clear" w:color="auto" w:fill="auto"/>
            <w:noWrap/>
            <w:vAlign w:val="bottom"/>
            <w:hideMark/>
          </w:tcPr>
          <w:p w14:paraId="608E119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r>
      <w:tr w:rsidR="00A876F3" w:rsidRPr="0088780C" w14:paraId="6CF512A8"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218768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Balanus improvisus</w:t>
            </w:r>
            <w:r w:rsidRPr="0088780C">
              <w:rPr>
                <w:rFonts w:eastAsia="Times New Roman"/>
                <w:snapToGrid w:val="0"/>
                <w:color w:val="000000" w:themeColor="text1"/>
                <w:kern w:val="22"/>
                <w:szCs w:val="22"/>
                <w:lang w:eastAsia="ru-RU"/>
              </w:rPr>
              <w:t xml:space="preserve"> Darwin</w:t>
            </w:r>
          </w:p>
        </w:tc>
        <w:tc>
          <w:tcPr>
            <w:tcW w:w="850" w:type="dxa"/>
            <w:tcBorders>
              <w:top w:val="nil"/>
              <w:left w:val="nil"/>
              <w:bottom w:val="single" w:sz="4" w:space="0" w:color="auto"/>
              <w:right w:val="single" w:sz="4" w:space="0" w:color="auto"/>
            </w:tcBorders>
            <w:shd w:val="clear" w:color="auto" w:fill="auto"/>
            <w:noWrap/>
            <w:vAlign w:val="bottom"/>
            <w:hideMark/>
          </w:tcPr>
          <w:p w14:paraId="7F88464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66,7</w:t>
            </w:r>
          </w:p>
        </w:tc>
        <w:tc>
          <w:tcPr>
            <w:tcW w:w="1116" w:type="dxa"/>
            <w:tcBorders>
              <w:top w:val="nil"/>
              <w:left w:val="nil"/>
              <w:bottom w:val="single" w:sz="4" w:space="0" w:color="auto"/>
              <w:right w:val="single" w:sz="4" w:space="0" w:color="auto"/>
            </w:tcBorders>
            <w:shd w:val="clear" w:color="auto" w:fill="auto"/>
            <w:noWrap/>
            <w:vAlign w:val="bottom"/>
            <w:hideMark/>
          </w:tcPr>
          <w:p w14:paraId="29FCE9D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1,575</w:t>
            </w:r>
          </w:p>
        </w:tc>
        <w:tc>
          <w:tcPr>
            <w:tcW w:w="682" w:type="dxa"/>
            <w:tcBorders>
              <w:top w:val="nil"/>
              <w:left w:val="nil"/>
              <w:bottom w:val="single" w:sz="4" w:space="0" w:color="auto"/>
              <w:right w:val="single" w:sz="4" w:space="0" w:color="auto"/>
            </w:tcBorders>
            <w:shd w:val="clear" w:color="auto" w:fill="auto"/>
            <w:noWrap/>
            <w:vAlign w:val="bottom"/>
            <w:hideMark/>
          </w:tcPr>
          <w:p w14:paraId="66A391A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41,7</w:t>
            </w:r>
          </w:p>
        </w:tc>
        <w:tc>
          <w:tcPr>
            <w:tcW w:w="895" w:type="dxa"/>
            <w:tcBorders>
              <w:top w:val="nil"/>
              <w:left w:val="nil"/>
              <w:bottom w:val="single" w:sz="4" w:space="0" w:color="auto"/>
              <w:right w:val="single" w:sz="4" w:space="0" w:color="auto"/>
            </w:tcBorders>
            <w:shd w:val="clear" w:color="auto" w:fill="auto"/>
            <w:noWrap/>
            <w:vAlign w:val="bottom"/>
            <w:hideMark/>
          </w:tcPr>
          <w:p w14:paraId="2C16B3F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7E03DD5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754ED95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3B8E7610" w14:textId="77777777" w:rsidTr="007B772D">
        <w:trPr>
          <w:trHeight w:val="97"/>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10D9A375"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Brachinotus sexdentatus </w:t>
            </w:r>
            <w:r w:rsidRPr="0088780C">
              <w:rPr>
                <w:rFonts w:eastAsia="Times New Roman"/>
                <w:snapToGrid w:val="0"/>
                <w:color w:val="000000" w:themeColor="text1"/>
                <w:kern w:val="22"/>
                <w:szCs w:val="22"/>
                <w:lang w:eastAsia="ru-RU"/>
              </w:rPr>
              <w:t>Risso</w:t>
            </w:r>
          </w:p>
        </w:tc>
        <w:tc>
          <w:tcPr>
            <w:tcW w:w="850" w:type="dxa"/>
            <w:tcBorders>
              <w:top w:val="nil"/>
              <w:left w:val="nil"/>
              <w:bottom w:val="single" w:sz="4" w:space="0" w:color="auto"/>
              <w:right w:val="single" w:sz="4" w:space="0" w:color="auto"/>
            </w:tcBorders>
            <w:shd w:val="clear" w:color="auto" w:fill="auto"/>
            <w:noWrap/>
            <w:vAlign w:val="bottom"/>
            <w:hideMark/>
          </w:tcPr>
          <w:p w14:paraId="08606CB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1116" w:type="dxa"/>
            <w:tcBorders>
              <w:top w:val="nil"/>
              <w:left w:val="nil"/>
              <w:bottom w:val="single" w:sz="4" w:space="0" w:color="auto"/>
              <w:right w:val="single" w:sz="4" w:space="0" w:color="auto"/>
            </w:tcBorders>
            <w:shd w:val="clear" w:color="auto" w:fill="auto"/>
            <w:noWrap/>
            <w:vAlign w:val="bottom"/>
            <w:hideMark/>
          </w:tcPr>
          <w:p w14:paraId="763663B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13,917</w:t>
            </w:r>
          </w:p>
        </w:tc>
        <w:tc>
          <w:tcPr>
            <w:tcW w:w="682" w:type="dxa"/>
            <w:tcBorders>
              <w:top w:val="nil"/>
              <w:left w:val="nil"/>
              <w:bottom w:val="single" w:sz="4" w:space="0" w:color="auto"/>
              <w:right w:val="single" w:sz="4" w:space="0" w:color="auto"/>
            </w:tcBorders>
            <w:shd w:val="clear" w:color="auto" w:fill="auto"/>
            <w:noWrap/>
            <w:vAlign w:val="bottom"/>
            <w:hideMark/>
          </w:tcPr>
          <w:p w14:paraId="1F9C642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25,0</w:t>
            </w:r>
          </w:p>
        </w:tc>
        <w:tc>
          <w:tcPr>
            <w:tcW w:w="895" w:type="dxa"/>
            <w:tcBorders>
              <w:top w:val="nil"/>
              <w:left w:val="nil"/>
              <w:bottom w:val="single" w:sz="4" w:space="0" w:color="auto"/>
              <w:right w:val="single" w:sz="4" w:space="0" w:color="auto"/>
            </w:tcBorders>
            <w:shd w:val="clear" w:color="auto" w:fill="auto"/>
            <w:noWrap/>
            <w:vAlign w:val="bottom"/>
            <w:hideMark/>
          </w:tcPr>
          <w:p w14:paraId="4DBA418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7D715F7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0169312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68661731" w14:textId="77777777" w:rsidTr="007B772D">
        <w:trPr>
          <w:trHeight w:val="144"/>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63540AB2" w14:textId="77777777" w:rsidR="00A876F3" w:rsidRPr="0088780C" w:rsidRDefault="00A876F3" w:rsidP="001013AF">
            <w:pPr>
              <w:suppressLineNumbers/>
              <w:suppressAutoHyphens/>
              <w:kinsoku w:val="0"/>
              <w:overflowPunct w:val="0"/>
              <w:autoSpaceDE w:val="0"/>
              <w:autoSpaceDN w:val="0"/>
              <w:jc w:val="left"/>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Gastrosaccus sanctus</w:t>
            </w:r>
            <w:r w:rsidRPr="0088780C">
              <w:rPr>
                <w:rFonts w:eastAsia="Times New Roman"/>
                <w:snapToGrid w:val="0"/>
                <w:color w:val="000000" w:themeColor="text1"/>
                <w:kern w:val="22"/>
                <w:szCs w:val="22"/>
                <w:lang w:eastAsia="ru-RU"/>
              </w:rPr>
              <w:t xml:space="preserve"> (Van Beneden)</w:t>
            </w:r>
          </w:p>
        </w:tc>
        <w:tc>
          <w:tcPr>
            <w:tcW w:w="850" w:type="dxa"/>
            <w:tcBorders>
              <w:top w:val="nil"/>
              <w:left w:val="nil"/>
              <w:bottom w:val="single" w:sz="4" w:space="0" w:color="auto"/>
              <w:right w:val="single" w:sz="4" w:space="0" w:color="auto"/>
            </w:tcBorders>
            <w:shd w:val="clear" w:color="auto" w:fill="auto"/>
            <w:noWrap/>
            <w:vAlign w:val="bottom"/>
            <w:hideMark/>
          </w:tcPr>
          <w:p w14:paraId="2A2B2D8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1116" w:type="dxa"/>
            <w:tcBorders>
              <w:top w:val="nil"/>
              <w:left w:val="nil"/>
              <w:bottom w:val="single" w:sz="4" w:space="0" w:color="auto"/>
              <w:right w:val="single" w:sz="4" w:space="0" w:color="auto"/>
            </w:tcBorders>
            <w:shd w:val="clear" w:color="auto" w:fill="auto"/>
            <w:noWrap/>
            <w:vAlign w:val="bottom"/>
            <w:hideMark/>
          </w:tcPr>
          <w:p w14:paraId="557E45D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682" w:type="dxa"/>
            <w:tcBorders>
              <w:top w:val="nil"/>
              <w:left w:val="nil"/>
              <w:bottom w:val="single" w:sz="4" w:space="0" w:color="auto"/>
              <w:right w:val="single" w:sz="4" w:space="0" w:color="auto"/>
            </w:tcBorders>
            <w:shd w:val="clear" w:color="auto" w:fill="auto"/>
            <w:noWrap/>
            <w:vAlign w:val="bottom"/>
            <w:hideMark/>
          </w:tcPr>
          <w:p w14:paraId="684B4DD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95" w:type="dxa"/>
            <w:tcBorders>
              <w:top w:val="nil"/>
              <w:left w:val="nil"/>
              <w:bottom w:val="single" w:sz="4" w:space="0" w:color="auto"/>
              <w:right w:val="single" w:sz="4" w:space="0" w:color="auto"/>
            </w:tcBorders>
            <w:shd w:val="clear" w:color="auto" w:fill="auto"/>
            <w:noWrap/>
            <w:vAlign w:val="center"/>
            <w:hideMark/>
          </w:tcPr>
          <w:p w14:paraId="2BF5CBB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w:t>
            </w:r>
          </w:p>
        </w:tc>
        <w:tc>
          <w:tcPr>
            <w:tcW w:w="851" w:type="dxa"/>
            <w:tcBorders>
              <w:top w:val="nil"/>
              <w:left w:val="nil"/>
              <w:bottom w:val="single" w:sz="4" w:space="0" w:color="auto"/>
              <w:right w:val="single" w:sz="4" w:space="0" w:color="auto"/>
            </w:tcBorders>
            <w:shd w:val="clear" w:color="auto" w:fill="auto"/>
            <w:noWrap/>
            <w:vAlign w:val="center"/>
            <w:hideMark/>
          </w:tcPr>
          <w:p w14:paraId="0F94A4B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0,040</w:t>
            </w:r>
          </w:p>
        </w:tc>
        <w:tc>
          <w:tcPr>
            <w:tcW w:w="850" w:type="dxa"/>
            <w:tcBorders>
              <w:top w:val="nil"/>
              <w:left w:val="nil"/>
              <w:bottom w:val="single" w:sz="4" w:space="0" w:color="auto"/>
              <w:right w:val="single" w:sz="4" w:space="0" w:color="auto"/>
            </w:tcBorders>
            <w:shd w:val="clear" w:color="auto" w:fill="auto"/>
            <w:noWrap/>
            <w:vAlign w:val="center"/>
            <w:hideMark/>
          </w:tcPr>
          <w:p w14:paraId="5480B32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2097DDCC"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2F9490D6"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Iphinoe maeotica</w:t>
            </w:r>
            <w:r w:rsidRPr="0088780C">
              <w:rPr>
                <w:rFonts w:eastAsia="Times New Roman"/>
                <w:snapToGrid w:val="0"/>
                <w:color w:val="000000" w:themeColor="text1"/>
                <w:kern w:val="22"/>
                <w:szCs w:val="22"/>
                <w:lang w:eastAsia="ru-RU"/>
              </w:rPr>
              <w:t xml:space="preserve"> (Sowinskyi)</w:t>
            </w:r>
          </w:p>
        </w:tc>
        <w:tc>
          <w:tcPr>
            <w:tcW w:w="850" w:type="dxa"/>
            <w:tcBorders>
              <w:top w:val="nil"/>
              <w:left w:val="nil"/>
              <w:bottom w:val="single" w:sz="4" w:space="0" w:color="auto"/>
              <w:right w:val="single" w:sz="4" w:space="0" w:color="auto"/>
            </w:tcBorders>
            <w:shd w:val="clear" w:color="auto" w:fill="auto"/>
            <w:noWrap/>
            <w:vAlign w:val="bottom"/>
            <w:hideMark/>
          </w:tcPr>
          <w:p w14:paraId="71853A0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20,8</w:t>
            </w:r>
          </w:p>
        </w:tc>
        <w:tc>
          <w:tcPr>
            <w:tcW w:w="1116" w:type="dxa"/>
            <w:tcBorders>
              <w:top w:val="nil"/>
              <w:left w:val="nil"/>
              <w:bottom w:val="single" w:sz="4" w:space="0" w:color="auto"/>
              <w:right w:val="single" w:sz="4" w:space="0" w:color="auto"/>
            </w:tcBorders>
            <w:shd w:val="clear" w:color="auto" w:fill="auto"/>
            <w:noWrap/>
            <w:vAlign w:val="bottom"/>
            <w:hideMark/>
          </w:tcPr>
          <w:p w14:paraId="1F0F378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0,017</w:t>
            </w:r>
          </w:p>
        </w:tc>
        <w:tc>
          <w:tcPr>
            <w:tcW w:w="682" w:type="dxa"/>
            <w:tcBorders>
              <w:top w:val="nil"/>
              <w:left w:val="nil"/>
              <w:bottom w:val="single" w:sz="4" w:space="0" w:color="auto"/>
              <w:right w:val="single" w:sz="4" w:space="0" w:color="auto"/>
            </w:tcBorders>
            <w:shd w:val="clear" w:color="auto" w:fill="auto"/>
            <w:noWrap/>
            <w:vAlign w:val="bottom"/>
            <w:hideMark/>
          </w:tcPr>
          <w:p w14:paraId="25D1A63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25,0</w:t>
            </w:r>
          </w:p>
        </w:tc>
        <w:tc>
          <w:tcPr>
            <w:tcW w:w="895" w:type="dxa"/>
            <w:tcBorders>
              <w:top w:val="nil"/>
              <w:left w:val="nil"/>
              <w:bottom w:val="single" w:sz="4" w:space="0" w:color="auto"/>
              <w:right w:val="single" w:sz="4" w:space="0" w:color="auto"/>
            </w:tcBorders>
            <w:shd w:val="clear" w:color="auto" w:fill="auto"/>
            <w:noWrap/>
            <w:vAlign w:val="bottom"/>
            <w:hideMark/>
          </w:tcPr>
          <w:p w14:paraId="76E3191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0147A57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34A45D3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712535CA" w14:textId="77777777" w:rsidTr="007B772D">
        <w:trPr>
          <w:trHeight w:val="80"/>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7D24948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Iphinoe tenella </w:t>
            </w:r>
            <w:r w:rsidRPr="0088780C">
              <w:rPr>
                <w:rFonts w:eastAsia="Times New Roman"/>
                <w:snapToGrid w:val="0"/>
                <w:color w:val="000000" w:themeColor="text1"/>
                <w:kern w:val="22"/>
                <w:szCs w:val="22"/>
                <w:lang w:eastAsia="ru-RU"/>
              </w:rPr>
              <w:t>G.O.Sars</w:t>
            </w:r>
          </w:p>
        </w:tc>
        <w:tc>
          <w:tcPr>
            <w:tcW w:w="850" w:type="dxa"/>
            <w:tcBorders>
              <w:top w:val="nil"/>
              <w:left w:val="nil"/>
              <w:bottom w:val="single" w:sz="4" w:space="0" w:color="auto"/>
              <w:right w:val="single" w:sz="4" w:space="0" w:color="auto"/>
            </w:tcBorders>
            <w:shd w:val="clear" w:color="auto" w:fill="auto"/>
            <w:noWrap/>
            <w:vAlign w:val="bottom"/>
            <w:hideMark/>
          </w:tcPr>
          <w:p w14:paraId="7F6367E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58,3</w:t>
            </w:r>
          </w:p>
        </w:tc>
        <w:tc>
          <w:tcPr>
            <w:tcW w:w="1116" w:type="dxa"/>
            <w:tcBorders>
              <w:top w:val="nil"/>
              <w:left w:val="nil"/>
              <w:bottom w:val="single" w:sz="4" w:space="0" w:color="auto"/>
              <w:right w:val="single" w:sz="4" w:space="0" w:color="auto"/>
            </w:tcBorders>
            <w:shd w:val="clear" w:color="auto" w:fill="auto"/>
            <w:noWrap/>
            <w:vAlign w:val="bottom"/>
            <w:hideMark/>
          </w:tcPr>
          <w:p w14:paraId="239520F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0,046</w:t>
            </w:r>
          </w:p>
        </w:tc>
        <w:tc>
          <w:tcPr>
            <w:tcW w:w="682" w:type="dxa"/>
            <w:tcBorders>
              <w:top w:val="nil"/>
              <w:left w:val="nil"/>
              <w:bottom w:val="single" w:sz="4" w:space="0" w:color="auto"/>
              <w:right w:val="single" w:sz="4" w:space="0" w:color="auto"/>
            </w:tcBorders>
            <w:shd w:val="clear" w:color="auto" w:fill="auto"/>
            <w:noWrap/>
            <w:vAlign w:val="bottom"/>
            <w:hideMark/>
          </w:tcPr>
          <w:p w14:paraId="2B1F8CA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50,0</w:t>
            </w:r>
          </w:p>
        </w:tc>
        <w:tc>
          <w:tcPr>
            <w:tcW w:w="895" w:type="dxa"/>
            <w:tcBorders>
              <w:top w:val="nil"/>
              <w:left w:val="nil"/>
              <w:bottom w:val="single" w:sz="4" w:space="0" w:color="auto"/>
              <w:right w:val="single" w:sz="4" w:space="0" w:color="auto"/>
            </w:tcBorders>
            <w:shd w:val="clear" w:color="auto" w:fill="auto"/>
            <w:noWrap/>
            <w:vAlign w:val="bottom"/>
            <w:hideMark/>
          </w:tcPr>
          <w:p w14:paraId="746407C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60,0</w:t>
            </w:r>
          </w:p>
        </w:tc>
        <w:tc>
          <w:tcPr>
            <w:tcW w:w="851" w:type="dxa"/>
            <w:tcBorders>
              <w:top w:val="nil"/>
              <w:left w:val="nil"/>
              <w:bottom w:val="single" w:sz="4" w:space="0" w:color="auto"/>
              <w:right w:val="single" w:sz="4" w:space="0" w:color="auto"/>
            </w:tcBorders>
            <w:shd w:val="clear" w:color="auto" w:fill="auto"/>
            <w:noWrap/>
            <w:vAlign w:val="bottom"/>
            <w:hideMark/>
          </w:tcPr>
          <w:p w14:paraId="3C8C76E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0,070</w:t>
            </w:r>
          </w:p>
        </w:tc>
        <w:tc>
          <w:tcPr>
            <w:tcW w:w="850" w:type="dxa"/>
            <w:tcBorders>
              <w:top w:val="nil"/>
              <w:left w:val="nil"/>
              <w:bottom w:val="single" w:sz="4" w:space="0" w:color="auto"/>
              <w:right w:val="single" w:sz="4" w:space="0" w:color="auto"/>
            </w:tcBorders>
            <w:shd w:val="clear" w:color="auto" w:fill="auto"/>
            <w:noWrap/>
            <w:vAlign w:val="bottom"/>
            <w:hideMark/>
          </w:tcPr>
          <w:p w14:paraId="73BB3D2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w:t>
            </w:r>
          </w:p>
        </w:tc>
      </w:tr>
      <w:tr w:rsidR="00A876F3" w:rsidRPr="0088780C" w14:paraId="2261FA79" w14:textId="77777777" w:rsidTr="007B772D">
        <w:trPr>
          <w:trHeight w:val="126"/>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3B8D6AB6"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Sphaeroma pulchellum</w:t>
            </w:r>
            <w:r w:rsidRPr="0088780C">
              <w:rPr>
                <w:rFonts w:eastAsia="Times New Roman"/>
                <w:snapToGrid w:val="0"/>
                <w:color w:val="000000" w:themeColor="text1"/>
                <w:kern w:val="22"/>
                <w:szCs w:val="22"/>
                <w:lang w:eastAsia="ru-RU"/>
              </w:rPr>
              <w:t xml:space="preserve"> (Colosi)</w:t>
            </w:r>
          </w:p>
        </w:tc>
        <w:tc>
          <w:tcPr>
            <w:tcW w:w="850" w:type="dxa"/>
            <w:tcBorders>
              <w:top w:val="nil"/>
              <w:left w:val="nil"/>
              <w:bottom w:val="single" w:sz="4" w:space="0" w:color="auto"/>
              <w:right w:val="single" w:sz="4" w:space="0" w:color="auto"/>
            </w:tcBorders>
            <w:shd w:val="clear" w:color="auto" w:fill="auto"/>
            <w:noWrap/>
            <w:vAlign w:val="bottom"/>
            <w:hideMark/>
          </w:tcPr>
          <w:p w14:paraId="3B43AA5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125,0</w:t>
            </w:r>
          </w:p>
        </w:tc>
        <w:tc>
          <w:tcPr>
            <w:tcW w:w="1116" w:type="dxa"/>
            <w:tcBorders>
              <w:top w:val="nil"/>
              <w:left w:val="nil"/>
              <w:bottom w:val="single" w:sz="4" w:space="0" w:color="auto"/>
              <w:right w:val="single" w:sz="4" w:space="0" w:color="auto"/>
            </w:tcBorders>
            <w:shd w:val="clear" w:color="auto" w:fill="auto"/>
            <w:noWrap/>
            <w:vAlign w:val="bottom"/>
            <w:hideMark/>
          </w:tcPr>
          <w:p w14:paraId="2DEAF73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1,017</w:t>
            </w:r>
          </w:p>
        </w:tc>
        <w:tc>
          <w:tcPr>
            <w:tcW w:w="682" w:type="dxa"/>
            <w:tcBorders>
              <w:top w:val="nil"/>
              <w:left w:val="nil"/>
              <w:bottom w:val="single" w:sz="4" w:space="0" w:color="auto"/>
              <w:right w:val="single" w:sz="4" w:space="0" w:color="auto"/>
            </w:tcBorders>
            <w:shd w:val="clear" w:color="auto" w:fill="auto"/>
            <w:noWrap/>
            <w:vAlign w:val="bottom"/>
            <w:hideMark/>
          </w:tcPr>
          <w:p w14:paraId="2A19EAF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41,7</w:t>
            </w:r>
          </w:p>
        </w:tc>
        <w:tc>
          <w:tcPr>
            <w:tcW w:w="895" w:type="dxa"/>
            <w:tcBorders>
              <w:top w:val="nil"/>
              <w:left w:val="nil"/>
              <w:bottom w:val="single" w:sz="4" w:space="0" w:color="auto"/>
              <w:right w:val="single" w:sz="4" w:space="0" w:color="auto"/>
            </w:tcBorders>
            <w:shd w:val="clear" w:color="auto" w:fill="auto"/>
            <w:noWrap/>
            <w:vAlign w:val="bottom"/>
            <w:hideMark/>
          </w:tcPr>
          <w:p w14:paraId="3F58E41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40,0</w:t>
            </w:r>
          </w:p>
        </w:tc>
        <w:tc>
          <w:tcPr>
            <w:tcW w:w="851" w:type="dxa"/>
            <w:tcBorders>
              <w:top w:val="nil"/>
              <w:left w:val="nil"/>
              <w:bottom w:val="single" w:sz="4" w:space="0" w:color="auto"/>
              <w:right w:val="single" w:sz="4" w:space="0" w:color="auto"/>
            </w:tcBorders>
            <w:shd w:val="clear" w:color="auto" w:fill="auto"/>
            <w:noWrap/>
            <w:vAlign w:val="bottom"/>
            <w:hideMark/>
          </w:tcPr>
          <w:p w14:paraId="5033540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1,100</w:t>
            </w:r>
          </w:p>
        </w:tc>
        <w:tc>
          <w:tcPr>
            <w:tcW w:w="850" w:type="dxa"/>
            <w:tcBorders>
              <w:top w:val="nil"/>
              <w:left w:val="nil"/>
              <w:bottom w:val="single" w:sz="4" w:space="0" w:color="auto"/>
              <w:right w:val="single" w:sz="4" w:space="0" w:color="auto"/>
            </w:tcBorders>
            <w:shd w:val="clear" w:color="auto" w:fill="auto"/>
            <w:noWrap/>
            <w:vAlign w:val="bottom"/>
            <w:hideMark/>
          </w:tcPr>
          <w:p w14:paraId="5C2C165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40,0</w:t>
            </w:r>
          </w:p>
        </w:tc>
      </w:tr>
      <w:tr w:rsidR="00A876F3" w:rsidRPr="0088780C" w14:paraId="1EF3DDCD" w14:textId="77777777" w:rsidTr="007B772D">
        <w:trPr>
          <w:trHeight w:val="171"/>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23D2B8E5"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Idotea baltica basteri </w:t>
            </w:r>
            <w:r w:rsidRPr="0088780C">
              <w:rPr>
                <w:rFonts w:eastAsia="Times New Roman"/>
                <w:snapToGrid w:val="0"/>
                <w:color w:val="000000" w:themeColor="text1"/>
                <w:kern w:val="22"/>
                <w:szCs w:val="22"/>
                <w:lang w:eastAsia="ru-RU"/>
              </w:rPr>
              <w:t>Audouin</w:t>
            </w:r>
          </w:p>
        </w:tc>
        <w:tc>
          <w:tcPr>
            <w:tcW w:w="850" w:type="dxa"/>
            <w:tcBorders>
              <w:top w:val="nil"/>
              <w:left w:val="nil"/>
              <w:bottom w:val="single" w:sz="4" w:space="0" w:color="auto"/>
              <w:right w:val="single" w:sz="4" w:space="0" w:color="auto"/>
            </w:tcBorders>
            <w:shd w:val="clear" w:color="auto" w:fill="auto"/>
            <w:noWrap/>
            <w:vAlign w:val="bottom"/>
            <w:hideMark/>
          </w:tcPr>
          <w:p w14:paraId="660BE0D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237,5</w:t>
            </w:r>
          </w:p>
        </w:tc>
        <w:tc>
          <w:tcPr>
            <w:tcW w:w="1116" w:type="dxa"/>
            <w:tcBorders>
              <w:top w:val="nil"/>
              <w:left w:val="nil"/>
              <w:bottom w:val="single" w:sz="4" w:space="0" w:color="auto"/>
              <w:right w:val="single" w:sz="4" w:space="0" w:color="auto"/>
            </w:tcBorders>
            <w:shd w:val="clear" w:color="auto" w:fill="auto"/>
            <w:noWrap/>
            <w:vAlign w:val="bottom"/>
            <w:hideMark/>
          </w:tcPr>
          <w:p w14:paraId="70BE568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1,400</w:t>
            </w:r>
          </w:p>
        </w:tc>
        <w:tc>
          <w:tcPr>
            <w:tcW w:w="682" w:type="dxa"/>
            <w:tcBorders>
              <w:top w:val="nil"/>
              <w:left w:val="nil"/>
              <w:bottom w:val="single" w:sz="4" w:space="0" w:color="auto"/>
              <w:right w:val="single" w:sz="4" w:space="0" w:color="auto"/>
            </w:tcBorders>
            <w:shd w:val="clear" w:color="auto" w:fill="auto"/>
            <w:noWrap/>
            <w:vAlign w:val="bottom"/>
            <w:hideMark/>
          </w:tcPr>
          <w:p w14:paraId="510B380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58,3</w:t>
            </w:r>
          </w:p>
        </w:tc>
        <w:tc>
          <w:tcPr>
            <w:tcW w:w="895" w:type="dxa"/>
            <w:tcBorders>
              <w:top w:val="nil"/>
              <w:left w:val="nil"/>
              <w:bottom w:val="single" w:sz="4" w:space="0" w:color="auto"/>
              <w:right w:val="single" w:sz="4" w:space="0" w:color="auto"/>
            </w:tcBorders>
            <w:shd w:val="clear" w:color="auto" w:fill="auto"/>
            <w:noWrap/>
            <w:vAlign w:val="bottom"/>
            <w:hideMark/>
          </w:tcPr>
          <w:p w14:paraId="3670AE5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50,0</w:t>
            </w:r>
          </w:p>
        </w:tc>
        <w:tc>
          <w:tcPr>
            <w:tcW w:w="851" w:type="dxa"/>
            <w:tcBorders>
              <w:top w:val="nil"/>
              <w:left w:val="nil"/>
              <w:bottom w:val="single" w:sz="4" w:space="0" w:color="auto"/>
              <w:right w:val="single" w:sz="4" w:space="0" w:color="auto"/>
            </w:tcBorders>
            <w:shd w:val="clear" w:color="auto" w:fill="auto"/>
            <w:noWrap/>
            <w:vAlign w:val="bottom"/>
            <w:hideMark/>
          </w:tcPr>
          <w:p w14:paraId="1BDE3FD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0,240</w:t>
            </w:r>
          </w:p>
        </w:tc>
        <w:tc>
          <w:tcPr>
            <w:tcW w:w="850" w:type="dxa"/>
            <w:tcBorders>
              <w:top w:val="nil"/>
              <w:left w:val="nil"/>
              <w:bottom w:val="single" w:sz="4" w:space="0" w:color="auto"/>
              <w:right w:val="single" w:sz="4" w:space="0" w:color="auto"/>
            </w:tcBorders>
            <w:shd w:val="clear" w:color="auto" w:fill="auto"/>
            <w:noWrap/>
            <w:vAlign w:val="bottom"/>
            <w:hideMark/>
          </w:tcPr>
          <w:p w14:paraId="3843DFF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60,0</w:t>
            </w:r>
          </w:p>
        </w:tc>
      </w:tr>
      <w:tr w:rsidR="00A876F3" w:rsidRPr="0088780C" w14:paraId="6CD39A21"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C90B780"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Synisoma capito </w:t>
            </w:r>
            <w:r w:rsidRPr="0088780C">
              <w:rPr>
                <w:rFonts w:eastAsia="Times New Roman"/>
                <w:snapToGrid w:val="0"/>
                <w:color w:val="000000" w:themeColor="text1"/>
                <w:kern w:val="22"/>
                <w:szCs w:val="22"/>
                <w:lang w:eastAsia="ru-RU"/>
              </w:rPr>
              <w:t>(Rathke)</w:t>
            </w:r>
          </w:p>
        </w:tc>
        <w:tc>
          <w:tcPr>
            <w:tcW w:w="850" w:type="dxa"/>
            <w:tcBorders>
              <w:top w:val="nil"/>
              <w:left w:val="nil"/>
              <w:bottom w:val="single" w:sz="4" w:space="0" w:color="auto"/>
              <w:right w:val="single" w:sz="4" w:space="0" w:color="auto"/>
            </w:tcBorders>
            <w:shd w:val="clear" w:color="auto" w:fill="auto"/>
            <w:noWrap/>
            <w:vAlign w:val="bottom"/>
            <w:hideMark/>
          </w:tcPr>
          <w:p w14:paraId="26DC5B8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29,2</w:t>
            </w:r>
          </w:p>
        </w:tc>
        <w:tc>
          <w:tcPr>
            <w:tcW w:w="1116" w:type="dxa"/>
            <w:tcBorders>
              <w:top w:val="nil"/>
              <w:left w:val="nil"/>
              <w:bottom w:val="single" w:sz="4" w:space="0" w:color="auto"/>
              <w:right w:val="single" w:sz="4" w:space="0" w:color="auto"/>
            </w:tcBorders>
            <w:shd w:val="clear" w:color="auto" w:fill="auto"/>
            <w:noWrap/>
            <w:vAlign w:val="bottom"/>
            <w:hideMark/>
          </w:tcPr>
          <w:p w14:paraId="6EB116F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0,917</w:t>
            </w:r>
          </w:p>
        </w:tc>
        <w:tc>
          <w:tcPr>
            <w:tcW w:w="682" w:type="dxa"/>
            <w:tcBorders>
              <w:top w:val="nil"/>
              <w:left w:val="nil"/>
              <w:bottom w:val="single" w:sz="4" w:space="0" w:color="auto"/>
              <w:right w:val="single" w:sz="4" w:space="0" w:color="auto"/>
            </w:tcBorders>
            <w:shd w:val="clear" w:color="auto" w:fill="auto"/>
            <w:noWrap/>
            <w:vAlign w:val="bottom"/>
            <w:hideMark/>
          </w:tcPr>
          <w:p w14:paraId="1ACA433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895" w:type="dxa"/>
            <w:tcBorders>
              <w:top w:val="nil"/>
              <w:left w:val="nil"/>
              <w:bottom w:val="single" w:sz="4" w:space="0" w:color="auto"/>
              <w:right w:val="single" w:sz="4" w:space="0" w:color="auto"/>
            </w:tcBorders>
            <w:shd w:val="clear" w:color="auto" w:fill="auto"/>
            <w:noWrap/>
            <w:vAlign w:val="bottom"/>
            <w:hideMark/>
          </w:tcPr>
          <w:p w14:paraId="5C8268C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w:t>
            </w:r>
          </w:p>
        </w:tc>
        <w:tc>
          <w:tcPr>
            <w:tcW w:w="851" w:type="dxa"/>
            <w:tcBorders>
              <w:top w:val="nil"/>
              <w:left w:val="nil"/>
              <w:bottom w:val="single" w:sz="4" w:space="0" w:color="auto"/>
              <w:right w:val="single" w:sz="4" w:space="0" w:color="auto"/>
            </w:tcBorders>
            <w:shd w:val="clear" w:color="auto" w:fill="auto"/>
            <w:noWrap/>
            <w:vAlign w:val="bottom"/>
            <w:hideMark/>
          </w:tcPr>
          <w:p w14:paraId="11FA908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0,180</w:t>
            </w:r>
          </w:p>
        </w:tc>
        <w:tc>
          <w:tcPr>
            <w:tcW w:w="850" w:type="dxa"/>
            <w:tcBorders>
              <w:top w:val="nil"/>
              <w:left w:val="nil"/>
              <w:bottom w:val="single" w:sz="4" w:space="0" w:color="auto"/>
              <w:right w:val="single" w:sz="4" w:space="0" w:color="auto"/>
            </w:tcBorders>
            <w:shd w:val="clear" w:color="auto" w:fill="auto"/>
            <w:noWrap/>
            <w:vAlign w:val="bottom"/>
            <w:hideMark/>
          </w:tcPr>
          <w:p w14:paraId="54877D0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3EE2B844" w14:textId="77777777" w:rsidTr="007B772D">
        <w:trPr>
          <w:trHeight w:val="122"/>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CCCCD1E"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Ampelisca diadema </w:t>
            </w:r>
            <w:r w:rsidRPr="0088780C">
              <w:rPr>
                <w:rFonts w:eastAsia="Times New Roman"/>
                <w:snapToGrid w:val="0"/>
                <w:color w:val="000000" w:themeColor="text1"/>
                <w:kern w:val="22"/>
                <w:szCs w:val="22"/>
                <w:lang w:eastAsia="ru-RU"/>
              </w:rPr>
              <w:t>A.Costa</w:t>
            </w:r>
          </w:p>
        </w:tc>
        <w:tc>
          <w:tcPr>
            <w:tcW w:w="850" w:type="dxa"/>
            <w:tcBorders>
              <w:top w:val="nil"/>
              <w:left w:val="nil"/>
              <w:bottom w:val="single" w:sz="4" w:space="0" w:color="auto"/>
              <w:right w:val="single" w:sz="4" w:space="0" w:color="auto"/>
            </w:tcBorders>
            <w:shd w:val="clear" w:color="auto" w:fill="auto"/>
            <w:noWrap/>
            <w:vAlign w:val="bottom"/>
            <w:hideMark/>
          </w:tcPr>
          <w:p w14:paraId="27E5A56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1579,2</w:t>
            </w:r>
          </w:p>
        </w:tc>
        <w:tc>
          <w:tcPr>
            <w:tcW w:w="1116" w:type="dxa"/>
            <w:tcBorders>
              <w:top w:val="nil"/>
              <w:left w:val="nil"/>
              <w:bottom w:val="single" w:sz="4" w:space="0" w:color="auto"/>
              <w:right w:val="single" w:sz="4" w:space="0" w:color="auto"/>
            </w:tcBorders>
            <w:shd w:val="clear" w:color="auto" w:fill="auto"/>
            <w:noWrap/>
            <w:vAlign w:val="bottom"/>
            <w:hideMark/>
          </w:tcPr>
          <w:p w14:paraId="30065DE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3,317</w:t>
            </w:r>
          </w:p>
        </w:tc>
        <w:tc>
          <w:tcPr>
            <w:tcW w:w="682" w:type="dxa"/>
            <w:tcBorders>
              <w:top w:val="nil"/>
              <w:left w:val="nil"/>
              <w:bottom w:val="single" w:sz="4" w:space="0" w:color="auto"/>
              <w:right w:val="single" w:sz="4" w:space="0" w:color="auto"/>
            </w:tcBorders>
            <w:shd w:val="clear" w:color="auto" w:fill="auto"/>
            <w:noWrap/>
            <w:vAlign w:val="bottom"/>
            <w:hideMark/>
          </w:tcPr>
          <w:p w14:paraId="7F4CE3F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91,7</w:t>
            </w:r>
          </w:p>
        </w:tc>
        <w:tc>
          <w:tcPr>
            <w:tcW w:w="895" w:type="dxa"/>
            <w:tcBorders>
              <w:top w:val="nil"/>
              <w:left w:val="nil"/>
              <w:bottom w:val="single" w:sz="4" w:space="0" w:color="auto"/>
              <w:right w:val="single" w:sz="4" w:space="0" w:color="auto"/>
            </w:tcBorders>
            <w:shd w:val="clear" w:color="auto" w:fill="auto"/>
            <w:noWrap/>
            <w:vAlign w:val="bottom"/>
            <w:hideMark/>
          </w:tcPr>
          <w:p w14:paraId="43D3844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2970,0</w:t>
            </w:r>
          </w:p>
        </w:tc>
        <w:tc>
          <w:tcPr>
            <w:tcW w:w="851" w:type="dxa"/>
            <w:tcBorders>
              <w:top w:val="nil"/>
              <w:left w:val="nil"/>
              <w:bottom w:val="single" w:sz="4" w:space="0" w:color="auto"/>
              <w:right w:val="single" w:sz="4" w:space="0" w:color="auto"/>
            </w:tcBorders>
            <w:shd w:val="clear" w:color="auto" w:fill="auto"/>
            <w:noWrap/>
            <w:vAlign w:val="bottom"/>
            <w:hideMark/>
          </w:tcPr>
          <w:p w14:paraId="24858A8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4,950</w:t>
            </w:r>
          </w:p>
        </w:tc>
        <w:tc>
          <w:tcPr>
            <w:tcW w:w="850" w:type="dxa"/>
            <w:tcBorders>
              <w:top w:val="nil"/>
              <w:left w:val="nil"/>
              <w:bottom w:val="single" w:sz="4" w:space="0" w:color="auto"/>
              <w:right w:val="single" w:sz="4" w:space="0" w:color="auto"/>
            </w:tcBorders>
            <w:shd w:val="clear" w:color="auto" w:fill="auto"/>
            <w:noWrap/>
            <w:vAlign w:val="bottom"/>
            <w:hideMark/>
          </w:tcPr>
          <w:p w14:paraId="3221345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80,0</w:t>
            </w:r>
          </w:p>
        </w:tc>
      </w:tr>
      <w:tr w:rsidR="00A876F3" w:rsidRPr="0088780C" w14:paraId="7D406D7D" w14:textId="77777777" w:rsidTr="007B772D">
        <w:trPr>
          <w:trHeight w:val="168"/>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1AC3D26F" w14:textId="77777777" w:rsidR="00A876F3" w:rsidRPr="0088780C" w:rsidRDefault="00A876F3" w:rsidP="001013AF">
            <w:pPr>
              <w:suppressLineNumbers/>
              <w:suppressAutoHyphens/>
              <w:kinsoku w:val="0"/>
              <w:overflowPunct w:val="0"/>
              <w:autoSpaceDE w:val="0"/>
              <w:autoSpaceDN w:val="0"/>
              <w:jc w:val="left"/>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Perioculoides longimanus</w:t>
            </w:r>
            <w:r w:rsidRPr="0088780C">
              <w:rPr>
                <w:rFonts w:eastAsia="Times New Roman"/>
                <w:snapToGrid w:val="0"/>
                <w:color w:val="000000" w:themeColor="text1"/>
                <w:kern w:val="22"/>
                <w:szCs w:val="22"/>
                <w:lang w:eastAsia="ru-RU"/>
              </w:rPr>
              <w:t xml:space="preserve"> (Bate et Westwood)</w:t>
            </w:r>
          </w:p>
        </w:tc>
        <w:tc>
          <w:tcPr>
            <w:tcW w:w="850" w:type="dxa"/>
            <w:tcBorders>
              <w:top w:val="nil"/>
              <w:left w:val="nil"/>
              <w:bottom w:val="single" w:sz="4" w:space="0" w:color="auto"/>
              <w:right w:val="single" w:sz="4" w:space="0" w:color="auto"/>
            </w:tcBorders>
            <w:shd w:val="clear" w:color="auto" w:fill="auto"/>
            <w:noWrap/>
            <w:vAlign w:val="center"/>
            <w:hideMark/>
          </w:tcPr>
          <w:p w14:paraId="656CBBF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4,2</w:t>
            </w:r>
          </w:p>
        </w:tc>
        <w:tc>
          <w:tcPr>
            <w:tcW w:w="1116" w:type="dxa"/>
            <w:tcBorders>
              <w:top w:val="nil"/>
              <w:left w:val="nil"/>
              <w:bottom w:val="single" w:sz="4" w:space="0" w:color="auto"/>
              <w:right w:val="single" w:sz="4" w:space="0" w:color="auto"/>
            </w:tcBorders>
            <w:shd w:val="clear" w:color="auto" w:fill="auto"/>
            <w:noWrap/>
            <w:vAlign w:val="center"/>
            <w:hideMark/>
          </w:tcPr>
          <w:p w14:paraId="17741C8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0,008</w:t>
            </w:r>
          </w:p>
        </w:tc>
        <w:tc>
          <w:tcPr>
            <w:tcW w:w="682" w:type="dxa"/>
            <w:tcBorders>
              <w:top w:val="nil"/>
              <w:left w:val="nil"/>
              <w:bottom w:val="single" w:sz="4" w:space="0" w:color="auto"/>
              <w:right w:val="single" w:sz="4" w:space="0" w:color="auto"/>
            </w:tcBorders>
            <w:shd w:val="clear" w:color="auto" w:fill="auto"/>
            <w:noWrap/>
            <w:vAlign w:val="center"/>
            <w:hideMark/>
          </w:tcPr>
          <w:p w14:paraId="5C76E4B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center"/>
            <w:hideMark/>
          </w:tcPr>
          <w:p w14:paraId="58314ED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w:t>
            </w:r>
          </w:p>
        </w:tc>
        <w:tc>
          <w:tcPr>
            <w:tcW w:w="851" w:type="dxa"/>
            <w:tcBorders>
              <w:top w:val="nil"/>
              <w:left w:val="nil"/>
              <w:bottom w:val="single" w:sz="4" w:space="0" w:color="auto"/>
              <w:right w:val="single" w:sz="4" w:space="0" w:color="auto"/>
            </w:tcBorders>
            <w:shd w:val="clear" w:color="auto" w:fill="auto"/>
            <w:noWrap/>
            <w:vAlign w:val="center"/>
            <w:hideMark/>
          </w:tcPr>
          <w:p w14:paraId="76AA92C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0,010</w:t>
            </w:r>
          </w:p>
        </w:tc>
        <w:tc>
          <w:tcPr>
            <w:tcW w:w="850" w:type="dxa"/>
            <w:tcBorders>
              <w:top w:val="nil"/>
              <w:left w:val="nil"/>
              <w:bottom w:val="single" w:sz="4" w:space="0" w:color="auto"/>
              <w:right w:val="single" w:sz="4" w:space="0" w:color="auto"/>
            </w:tcBorders>
            <w:shd w:val="clear" w:color="auto" w:fill="auto"/>
            <w:noWrap/>
            <w:vAlign w:val="center"/>
            <w:hideMark/>
          </w:tcPr>
          <w:p w14:paraId="08CEB69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3C80CE83"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2BB5470D"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Gammarus aequicauda</w:t>
            </w:r>
            <w:r w:rsidRPr="0088780C">
              <w:rPr>
                <w:rFonts w:eastAsia="Times New Roman"/>
                <w:snapToGrid w:val="0"/>
                <w:color w:val="000000" w:themeColor="text1"/>
                <w:kern w:val="22"/>
                <w:szCs w:val="22"/>
                <w:lang w:eastAsia="ru-RU"/>
              </w:rPr>
              <w:t xml:space="preserve"> Mart.</w:t>
            </w:r>
          </w:p>
        </w:tc>
        <w:tc>
          <w:tcPr>
            <w:tcW w:w="850" w:type="dxa"/>
            <w:tcBorders>
              <w:top w:val="nil"/>
              <w:left w:val="nil"/>
              <w:bottom w:val="single" w:sz="4" w:space="0" w:color="auto"/>
              <w:right w:val="single" w:sz="4" w:space="0" w:color="auto"/>
            </w:tcBorders>
            <w:shd w:val="clear" w:color="auto" w:fill="auto"/>
            <w:noWrap/>
            <w:vAlign w:val="bottom"/>
            <w:hideMark/>
          </w:tcPr>
          <w:p w14:paraId="6473944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1116" w:type="dxa"/>
            <w:tcBorders>
              <w:top w:val="nil"/>
              <w:left w:val="nil"/>
              <w:bottom w:val="single" w:sz="4" w:space="0" w:color="auto"/>
              <w:right w:val="single" w:sz="4" w:space="0" w:color="auto"/>
            </w:tcBorders>
            <w:shd w:val="clear" w:color="auto" w:fill="auto"/>
            <w:noWrap/>
            <w:vAlign w:val="bottom"/>
            <w:hideMark/>
          </w:tcPr>
          <w:p w14:paraId="410BC6A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0,308</w:t>
            </w:r>
          </w:p>
        </w:tc>
        <w:tc>
          <w:tcPr>
            <w:tcW w:w="682" w:type="dxa"/>
            <w:tcBorders>
              <w:top w:val="nil"/>
              <w:left w:val="nil"/>
              <w:bottom w:val="single" w:sz="4" w:space="0" w:color="auto"/>
              <w:right w:val="single" w:sz="4" w:space="0" w:color="auto"/>
            </w:tcBorders>
            <w:shd w:val="clear" w:color="auto" w:fill="auto"/>
            <w:noWrap/>
            <w:vAlign w:val="bottom"/>
            <w:hideMark/>
          </w:tcPr>
          <w:p w14:paraId="7BD1A9B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25,0</w:t>
            </w:r>
          </w:p>
        </w:tc>
        <w:tc>
          <w:tcPr>
            <w:tcW w:w="895" w:type="dxa"/>
            <w:tcBorders>
              <w:top w:val="nil"/>
              <w:left w:val="nil"/>
              <w:bottom w:val="single" w:sz="4" w:space="0" w:color="auto"/>
              <w:right w:val="single" w:sz="4" w:space="0" w:color="auto"/>
            </w:tcBorders>
            <w:shd w:val="clear" w:color="auto" w:fill="auto"/>
            <w:noWrap/>
            <w:vAlign w:val="bottom"/>
            <w:hideMark/>
          </w:tcPr>
          <w:p w14:paraId="3569E87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c>
          <w:tcPr>
            <w:tcW w:w="851" w:type="dxa"/>
            <w:tcBorders>
              <w:top w:val="nil"/>
              <w:left w:val="nil"/>
              <w:bottom w:val="single" w:sz="4" w:space="0" w:color="auto"/>
              <w:right w:val="single" w:sz="4" w:space="0" w:color="auto"/>
            </w:tcBorders>
            <w:shd w:val="clear" w:color="auto" w:fill="auto"/>
            <w:noWrap/>
            <w:vAlign w:val="bottom"/>
            <w:hideMark/>
          </w:tcPr>
          <w:p w14:paraId="3B08F70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0,380</w:t>
            </w:r>
          </w:p>
        </w:tc>
        <w:tc>
          <w:tcPr>
            <w:tcW w:w="850" w:type="dxa"/>
            <w:tcBorders>
              <w:top w:val="nil"/>
              <w:left w:val="nil"/>
              <w:bottom w:val="single" w:sz="4" w:space="0" w:color="auto"/>
              <w:right w:val="single" w:sz="4" w:space="0" w:color="auto"/>
            </w:tcBorders>
            <w:shd w:val="clear" w:color="auto" w:fill="auto"/>
            <w:noWrap/>
            <w:vAlign w:val="bottom"/>
            <w:hideMark/>
          </w:tcPr>
          <w:p w14:paraId="61F9856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40,0</w:t>
            </w:r>
          </w:p>
        </w:tc>
      </w:tr>
      <w:tr w:rsidR="00A876F3" w:rsidRPr="0088780C" w14:paraId="39DC1E4B" w14:textId="77777777" w:rsidTr="007B772D">
        <w:trPr>
          <w:trHeight w:val="150"/>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347F539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Melita palmata </w:t>
            </w:r>
            <w:r w:rsidRPr="0088780C">
              <w:rPr>
                <w:rFonts w:eastAsia="Times New Roman"/>
                <w:snapToGrid w:val="0"/>
                <w:color w:val="000000" w:themeColor="text1"/>
                <w:kern w:val="22"/>
                <w:szCs w:val="22"/>
                <w:lang w:eastAsia="ru-RU"/>
              </w:rPr>
              <w:t>(Montagu)</w:t>
            </w:r>
          </w:p>
        </w:tc>
        <w:tc>
          <w:tcPr>
            <w:tcW w:w="850" w:type="dxa"/>
            <w:tcBorders>
              <w:top w:val="nil"/>
              <w:left w:val="nil"/>
              <w:bottom w:val="single" w:sz="4" w:space="0" w:color="auto"/>
              <w:right w:val="single" w:sz="4" w:space="0" w:color="auto"/>
            </w:tcBorders>
            <w:shd w:val="clear" w:color="auto" w:fill="auto"/>
            <w:noWrap/>
            <w:vAlign w:val="bottom"/>
            <w:hideMark/>
          </w:tcPr>
          <w:p w14:paraId="13B716E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41,7</w:t>
            </w:r>
          </w:p>
        </w:tc>
        <w:tc>
          <w:tcPr>
            <w:tcW w:w="1116" w:type="dxa"/>
            <w:tcBorders>
              <w:top w:val="nil"/>
              <w:left w:val="nil"/>
              <w:bottom w:val="single" w:sz="4" w:space="0" w:color="auto"/>
              <w:right w:val="single" w:sz="4" w:space="0" w:color="auto"/>
            </w:tcBorders>
            <w:shd w:val="clear" w:color="auto" w:fill="auto"/>
            <w:noWrap/>
            <w:vAlign w:val="bottom"/>
            <w:hideMark/>
          </w:tcPr>
          <w:p w14:paraId="71F5B11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0,083</w:t>
            </w:r>
          </w:p>
        </w:tc>
        <w:tc>
          <w:tcPr>
            <w:tcW w:w="682" w:type="dxa"/>
            <w:tcBorders>
              <w:top w:val="nil"/>
              <w:left w:val="nil"/>
              <w:bottom w:val="single" w:sz="4" w:space="0" w:color="auto"/>
              <w:right w:val="single" w:sz="4" w:space="0" w:color="auto"/>
            </w:tcBorders>
            <w:shd w:val="clear" w:color="auto" w:fill="auto"/>
            <w:noWrap/>
            <w:vAlign w:val="center"/>
            <w:hideMark/>
          </w:tcPr>
          <w:p w14:paraId="7996D8A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2B01714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7163941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14346A3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47D10C42"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C82FA50"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Dexamine spinosa</w:t>
            </w:r>
            <w:r w:rsidRPr="0088780C">
              <w:rPr>
                <w:rFonts w:eastAsia="Times New Roman"/>
                <w:snapToGrid w:val="0"/>
                <w:color w:val="000000" w:themeColor="text1"/>
                <w:kern w:val="22"/>
                <w:szCs w:val="22"/>
                <w:lang w:eastAsia="ru-RU"/>
              </w:rPr>
              <w:t xml:space="preserve"> (Montagu)</w:t>
            </w:r>
          </w:p>
        </w:tc>
        <w:tc>
          <w:tcPr>
            <w:tcW w:w="850" w:type="dxa"/>
            <w:tcBorders>
              <w:top w:val="nil"/>
              <w:left w:val="nil"/>
              <w:bottom w:val="single" w:sz="4" w:space="0" w:color="auto"/>
              <w:right w:val="single" w:sz="4" w:space="0" w:color="auto"/>
            </w:tcBorders>
            <w:shd w:val="clear" w:color="auto" w:fill="auto"/>
            <w:noWrap/>
            <w:vAlign w:val="bottom"/>
            <w:hideMark/>
          </w:tcPr>
          <w:p w14:paraId="57C9AB7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1116" w:type="dxa"/>
            <w:tcBorders>
              <w:top w:val="nil"/>
              <w:left w:val="nil"/>
              <w:bottom w:val="single" w:sz="4" w:space="0" w:color="auto"/>
              <w:right w:val="single" w:sz="4" w:space="0" w:color="auto"/>
            </w:tcBorders>
            <w:shd w:val="clear" w:color="auto" w:fill="auto"/>
            <w:noWrap/>
            <w:vAlign w:val="bottom"/>
            <w:hideMark/>
          </w:tcPr>
          <w:p w14:paraId="6EC3333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0,017</w:t>
            </w:r>
          </w:p>
        </w:tc>
        <w:tc>
          <w:tcPr>
            <w:tcW w:w="682" w:type="dxa"/>
            <w:tcBorders>
              <w:top w:val="nil"/>
              <w:left w:val="nil"/>
              <w:bottom w:val="single" w:sz="4" w:space="0" w:color="auto"/>
              <w:right w:val="single" w:sz="4" w:space="0" w:color="auto"/>
            </w:tcBorders>
            <w:shd w:val="clear" w:color="auto" w:fill="auto"/>
            <w:noWrap/>
            <w:vAlign w:val="center"/>
            <w:hideMark/>
          </w:tcPr>
          <w:p w14:paraId="518FC58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1399A71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08AB9EB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3AF4439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4B3D56FC" w14:textId="77777777" w:rsidTr="007B772D">
        <w:trPr>
          <w:trHeight w:val="114"/>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39D0201C"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Orchestia montagui </w:t>
            </w:r>
            <w:r w:rsidRPr="0088780C">
              <w:rPr>
                <w:rFonts w:eastAsia="Times New Roman"/>
                <w:snapToGrid w:val="0"/>
                <w:color w:val="000000" w:themeColor="text1"/>
                <w:kern w:val="22"/>
                <w:szCs w:val="22"/>
                <w:lang w:eastAsia="ru-RU"/>
              </w:rPr>
              <w:t>Audouin</w:t>
            </w:r>
          </w:p>
        </w:tc>
        <w:tc>
          <w:tcPr>
            <w:tcW w:w="850" w:type="dxa"/>
            <w:tcBorders>
              <w:top w:val="nil"/>
              <w:left w:val="nil"/>
              <w:bottom w:val="single" w:sz="4" w:space="0" w:color="auto"/>
              <w:right w:val="single" w:sz="4" w:space="0" w:color="auto"/>
            </w:tcBorders>
            <w:shd w:val="clear" w:color="auto" w:fill="auto"/>
            <w:noWrap/>
            <w:vAlign w:val="bottom"/>
            <w:hideMark/>
          </w:tcPr>
          <w:p w14:paraId="006CADBD"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1116" w:type="dxa"/>
            <w:tcBorders>
              <w:top w:val="nil"/>
              <w:left w:val="nil"/>
              <w:bottom w:val="single" w:sz="4" w:space="0" w:color="auto"/>
              <w:right w:val="single" w:sz="4" w:space="0" w:color="auto"/>
            </w:tcBorders>
            <w:shd w:val="clear" w:color="auto" w:fill="auto"/>
            <w:noWrap/>
            <w:vAlign w:val="bottom"/>
            <w:hideMark/>
          </w:tcPr>
          <w:p w14:paraId="6451DDC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0,029</w:t>
            </w:r>
          </w:p>
        </w:tc>
        <w:tc>
          <w:tcPr>
            <w:tcW w:w="682" w:type="dxa"/>
            <w:tcBorders>
              <w:top w:val="nil"/>
              <w:left w:val="nil"/>
              <w:bottom w:val="single" w:sz="4" w:space="0" w:color="auto"/>
              <w:right w:val="single" w:sz="4" w:space="0" w:color="auto"/>
            </w:tcBorders>
            <w:shd w:val="clear" w:color="auto" w:fill="auto"/>
            <w:noWrap/>
            <w:vAlign w:val="bottom"/>
            <w:hideMark/>
          </w:tcPr>
          <w:p w14:paraId="33B655B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895" w:type="dxa"/>
            <w:tcBorders>
              <w:top w:val="nil"/>
              <w:left w:val="nil"/>
              <w:bottom w:val="single" w:sz="4" w:space="0" w:color="auto"/>
              <w:right w:val="single" w:sz="4" w:space="0" w:color="auto"/>
            </w:tcBorders>
            <w:shd w:val="clear" w:color="auto" w:fill="auto"/>
            <w:noWrap/>
            <w:vAlign w:val="bottom"/>
            <w:hideMark/>
          </w:tcPr>
          <w:p w14:paraId="75032FC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164D17D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2698B3F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17126988" w14:textId="77777777" w:rsidTr="007B772D">
        <w:trPr>
          <w:trHeight w:val="14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B3EE13C" w14:textId="77777777" w:rsidR="00A876F3" w:rsidRPr="0088780C" w:rsidRDefault="00A876F3" w:rsidP="001013AF">
            <w:pPr>
              <w:suppressLineNumbers/>
              <w:suppressAutoHyphens/>
              <w:kinsoku w:val="0"/>
              <w:overflowPunct w:val="0"/>
              <w:autoSpaceDE w:val="0"/>
              <w:autoSpaceDN w:val="0"/>
              <w:jc w:val="left"/>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Microdeutopus gryllotalpa</w:t>
            </w:r>
            <w:r w:rsidRPr="0088780C">
              <w:rPr>
                <w:rFonts w:eastAsia="Times New Roman"/>
                <w:snapToGrid w:val="0"/>
                <w:color w:val="000000" w:themeColor="text1"/>
                <w:kern w:val="22"/>
                <w:szCs w:val="22"/>
                <w:lang w:eastAsia="ru-RU"/>
              </w:rPr>
              <w:t xml:space="preserve"> A. Costa</w:t>
            </w:r>
          </w:p>
        </w:tc>
        <w:tc>
          <w:tcPr>
            <w:tcW w:w="850" w:type="dxa"/>
            <w:tcBorders>
              <w:top w:val="nil"/>
              <w:left w:val="nil"/>
              <w:bottom w:val="single" w:sz="4" w:space="0" w:color="auto"/>
              <w:right w:val="single" w:sz="4" w:space="0" w:color="auto"/>
            </w:tcBorders>
            <w:shd w:val="clear" w:color="auto" w:fill="auto"/>
            <w:noWrap/>
            <w:vAlign w:val="bottom"/>
            <w:hideMark/>
          </w:tcPr>
          <w:p w14:paraId="06536C8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558,3</w:t>
            </w:r>
          </w:p>
        </w:tc>
        <w:tc>
          <w:tcPr>
            <w:tcW w:w="1116" w:type="dxa"/>
            <w:tcBorders>
              <w:top w:val="nil"/>
              <w:left w:val="nil"/>
              <w:bottom w:val="single" w:sz="4" w:space="0" w:color="auto"/>
              <w:right w:val="single" w:sz="4" w:space="0" w:color="auto"/>
            </w:tcBorders>
            <w:shd w:val="clear" w:color="auto" w:fill="auto"/>
            <w:noWrap/>
            <w:vAlign w:val="bottom"/>
            <w:hideMark/>
          </w:tcPr>
          <w:p w14:paraId="4978281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0,471</w:t>
            </w:r>
          </w:p>
        </w:tc>
        <w:tc>
          <w:tcPr>
            <w:tcW w:w="682" w:type="dxa"/>
            <w:tcBorders>
              <w:top w:val="nil"/>
              <w:left w:val="nil"/>
              <w:bottom w:val="single" w:sz="4" w:space="0" w:color="auto"/>
              <w:right w:val="single" w:sz="4" w:space="0" w:color="auto"/>
            </w:tcBorders>
            <w:shd w:val="clear" w:color="auto" w:fill="auto"/>
            <w:noWrap/>
            <w:vAlign w:val="bottom"/>
            <w:hideMark/>
          </w:tcPr>
          <w:p w14:paraId="21A64C5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50,0</w:t>
            </w:r>
          </w:p>
        </w:tc>
        <w:tc>
          <w:tcPr>
            <w:tcW w:w="895" w:type="dxa"/>
            <w:tcBorders>
              <w:top w:val="nil"/>
              <w:left w:val="nil"/>
              <w:bottom w:val="single" w:sz="4" w:space="0" w:color="auto"/>
              <w:right w:val="single" w:sz="4" w:space="0" w:color="auto"/>
            </w:tcBorders>
            <w:shd w:val="clear" w:color="auto" w:fill="auto"/>
            <w:noWrap/>
            <w:vAlign w:val="bottom"/>
            <w:hideMark/>
          </w:tcPr>
          <w:p w14:paraId="03CBDE4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290,0</w:t>
            </w:r>
          </w:p>
        </w:tc>
        <w:tc>
          <w:tcPr>
            <w:tcW w:w="851" w:type="dxa"/>
            <w:tcBorders>
              <w:top w:val="nil"/>
              <w:left w:val="nil"/>
              <w:bottom w:val="single" w:sz="4" w:space="0" w:color="auto"/>
              <w:right w:val="single" w:sz="4" w:space="0" w:color="auto"/>
            </w:tcBorders>
            <w:shd w:val="clear" w:color="auto" w:fill="auto"/>
            <w:noWrap/>
            <w:vAlign w:val="bottom"/>
            <w:hideMark/>
          </w:tcPr>
          <w:p w14:paraId="3F1C265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0,300</w:t>
            </w:r>
          </w:p>
        </w:tc>
        <w:tc>
          <w:tcPr>
            <w:tcW w:w="850" w:type="dxa"/>
            <w:tcBorders>
              <w:top w:val="nil"/>
              <w:left w:val="nil"/>
              <w:bottom w:val="single" w:sz="4" w:space="0" w:color="auto"/>
              <w:right w:val="single" w:sz="4" w:space="0" w:color="auto"/>
            </w:tcBorders>
            <w:shd w:val="clear" w:color="auto" w:fill="auto"/>
            <w:noWrap/>
            <w:vAlign w:val="bottom"/>
            <w:hideMark/>
          </w:tcPr>
          <w:p w14:paraId="35F870F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80,0</w:t>
            </w:r>
          </w:p>
        </w:tc>
      </w:tr>
      <w:tr w:rsidR="00A876F3" w:rsidRPr="0088780C" w14:paraId="3E000FDC"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386749EB"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Microprotopus minutus</w:t>
            </w:r>
            <w:r w:rsidRPr="0088780C">
              <w:rPr>
                <w:rFonts w:eastAsia="Times New Roman"/>
                <w:snapToGrid w:val="0"/>
                <w:color w:val="000000" w:themeColor="text1"/>
                <w:kern w:val="22"/>
                <w:szCs w:val="22"/>
                <w:lang w:eastAsia="ru-RU"/>
              </w:rPr>
              <w:t xml:space="preserve"> Sowinskyi</w:t>
            </w:r>
          </w:p>
        </w:tc>
        <w:tc>
          <w:tcPr>
            <w:tcW w:w="850" w:type="dxa"/>
            <w:tcBorders>
              <w:top w:val="nil"/>
              <w:left w:val="nil"/>
              <w:bottom w:val="single" w:sz="4" w:space="0" w:color="auto"/>
              <w:right w:val="single" w:sz="4" w:space="0" w:color="auto"/>
            </w:tcBorders>
            <w:shd w:val="clear" w:color="auto" w:fill="auto"/>
            <w:noWrap/>
            <w:vAlign w:val="bottom"/>
            <w:hideMark/>
          </w:tcPr>
          <w:p w14:paraId="6D8B891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4,2</w:t>
            </w:r>
          </w:p>
        </w:tc>
        <w:tc>
          <w:tcPr>
            <w:tcW w:w="1116" w:type="dxa"/>
            <w:tcBorders>
              <w:top w:val="nil"/>
              <w:left w:val="nil"/>
              <w:bottom w:val="single" w:sz="4" w:space="0" w:color="auto"/>
              <w:right w:val="single" w:sz="4" w:space="0" w:color="auto"/>
            </w:tcBorders>
            <w:shd w:val="clear" w:color="auto" w:fill="auto"/>
            <w:noWrap/>
            <w:vAlign w:val="bottom"/>
            <w:hideMark/>
          </w:tcPr>
          <w:p w14:paraId="1D175DE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0,004</w:t>
            </w:r>
          </w:p>
        </w:tc>
        <w:tc>
          <w:tcPr>
            <w:tcW w:w="682" w:type="dxa"/>
            <w:tcBorders>
              <w:top w:val="nil"/>
              <w:left w:val="nil"/>
              <w:bottom w:val="single" w:sz="4" w:space="0" w:color="auto"/>
              <w:right w:val="single" w:sz="4" w:space="0" w:color="auto"/>
            </w:tcBorders>
            <w:shd w:val="clear" w:color="auto" w:fill="auto"/>
            <w:noWrap/>
            <w:vAlign w:val="center"/>
            <w:hideMark/>
          </w:tcPr>
          <w:p w14:paraId="247AF87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1C9B670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10CCDB1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1DFE409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07D60B9A" w14:textId="77777777" w:rsidTr="007B772D">
        <w:trPr>
          <w:trHeight w:val="96"/>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236D3733"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Amphithoe vaillanti </w:t>
            </w:r>
            <w:r w:rsidRPr="0088780C">
              <w:rPr>
                <w:rFonts w:eastAsia="Times New Roman"/>
                <w:snapToGrid w:val="0"/>
                <w:color w:val="000000" w:themeColor="text1"/>
                <w:kern w:val="22"/>
                <w:szCs w:val="22"/>
                <w:lang w:eastAsia="ru-RU"/>
              </w:rPr>
              <w:t>Lucas</w:t>
            </w:r>
          </w:p>
        </w:tc>
        <w:tc>
          <w:tcPr>
            <w:tcW w:w="850" w:type="dxa"/>
            <w:tcBorders>
              <w:top w:val="nil"/>
              <w:left w:val="nil"/>
              <w:bottom w:val="single" w:sz="4" w:space="0" w:color="auto"/>
              <w:right w:val="single" w:sz="4" w:space="0" w:color="auto"/>
            </w:tcBorders>
            <w:shd w:val="clear" w:color="auto" w:fill="auto"/>
            <w:noWrap/>
            <w:vAlign w:val="bottom"/>
            <w:hideMark/>
          </w:tcPr>
          <w:p w14:paraId="2FEB75E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1116" w:type="dxa"/>
            <w:tcBorders>
              <w:top w:val="nil"/>
              <w:left w:val="nil"/>
              <w:bottom w:val="single" w:sz="4" w:space="0" w:color="auto"/>
              <w:right w:val="single" w:sz="4" w:space="0" w:color="auto"/>
            </w:tcBorders>
            <w:shd w:val="clear" w:color="auto" w:fill="auto"/>
            <w:noWrap/>
            <w:vAlign w:val="bottom"/>
            <w:hideMark/>
          </w:tcPr>
          <w:p w14:paraId="7717A2C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0,042</w:t>
            </w:r>
          </w:p>
        </w:tc>
        <w:tc>
          <w:tcPr>
            <w:tcW w:w="682" w:type="dxa"/>
            <w:tcBorders>
              <w:top w:val="nil"/>
              <w:left w:val="nil"/>
              <w:bottom w:val="single" w:sz="4" w:space="0" w:color="auto"/>
              <w:right w:val="single" w:sz="4" w:space="0" w:color="auto"/>
            </w:tcBorders>
            <w:shd w:val="clear" w:color="auto" w:fill="auto"/>
            <w:noWrap/>
            <w:vAlign w:val="bottom"/>
            <w:hideMark/>
          </w:tcPr>
          <w:p w14:paraId="60CC36B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16,7</w:t>
            </w:r>
          </w:p>
        </w:tc>
        <w:tc>
          <w:tcPr>
            <w:tcW w:w="895" w:type="dxa"/>
            <w:tcBorders>
              <w:top w:val="nil"/>
              <w:left w:val="nil"/>
              <w:bottom w:val="single" w:sz="4" w:space="0" w:color="auto"/>
              <w:right w:val="single" w:sz="4" w:space="0" w:color="auto"/>
            </w:tcBorders>
            <w:shd w:val="clear" w:color="auto" w:fill="auto"/>
            <w:noWrap/>
            <w:vAlign w:val="bottom"/>
            <w:hideMark/>
          </w:tcPr>
          <w:p w14:paraId="155BA13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50,0</w:t>
            </w:r>
          </w:p>
        </w:tc>
        <w:tc>
          <w:tcPr>
            <w:tcW w:w="851" w:type="dxa"/>
            <w:tcBorders>
              <w:top w:val="nil"/>
              <w:left w:val="nil"/>
              <w:bottom w:val="single" w:sz="4" w:space="0" w:color="auto"/>
              <w:right w:val="single" w:sz="4" w:space="0" w:color="auto"/>
            </w:tcBorders>
            <w:shd w:val="clear" w:color="auto" w:fill="auto"/>
            <w:noWrap/>
            <w:vAlign w:val="bottom"/>
            <w:hideMark/>
          </w:tcPr>
          <w:p w14:paraId="7743635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0,180</w:t>
            </w:r>
          </w:p>
        </w:tc>
        <w:tc>
          <w:tcPr>
            <w:tcW w:w="850" w:type="dxa"/>
            <w:tcBorders>
              <w:top w:val="nil"/>
              <w:left w:val="nil"/>
              <w:bottom w:val="single" w:sz="4" w:space="0" w:color="auto"/>
              <w:right w:val="single" w:sz="4" w:space="0" w:color="auto"/>
            </w:tcBorders>
            <w:shd w:val="clear" w:color="auto" w:fill="auto"/>
            <w:noWrap/>
            <w:vAlign w:val="bottom"/>
            <w:hideMark/>
          </w:tcPr>
          <w:p w14:paraId="6F46BD3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40,0</w:t>
            </w:r>
          </w:p>
        </w:tc>
      </w:tr>
      <w:tr w:rsidR="00A876F3" w:rsidRPr="0088780C" w14:paraId="7263BFA6" w14:textId="77777777" w:rsidTr="007B772D">
        <w:trPr>
          <w:trHeight w:val="128"/>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3987C8F8" w14:textId="77777777" w:rsidR="00A876F3" w:rsidRPr="0088780C" w:rsidRDefault="00A876F3" w:rsidP="001013AF">
            <w:pPr>
              <w:suppressLineNumbers/>
              <w:suppressAutoHyphens/>
              <w:kinsoku w:val="0"/>
              <w:overflowPunct w:val="0"/>
              <w:autoSpaceDE w:val="0"/>
              <w:autoSpaceDN w:val="0"/>
              <w:jc w:val="left"/>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 xml:space="preserve">Erichthonius difformis </w:t>
            </w:r>
            <w:r w:rsidRPr="0088780C">
              <w:rPr>
                <w:rFonts w:eastAsia="Times New Roman"/>
                <w:snapToGrid w:val="0"/>
                <w:color w:val="000000" w:themeColor="text1"/>
                <w:kern w:val="22"/>
                <w:szCs w:val="22"/>
                <w:lang w:eastAsia="ru-RU"/>
              </w:rPr>
              <w:t>M. – Edwards</w:t>
            </w:r>
          </w:p>
        </w:tc>
        <w:tc>
          <w:tcPr>
            <w:tcW w:w="850" w:type="dxa"/>
            <w:tcBorders>
              <w:top w:val="nil"/>
              <w:left w:val="nil"/>
              <w:bottom w:val="single" w:sz="4" w:space="0" w:color="auto"/>
              <w:right w:val="single" w:sz="4" w:space="0" w:color="auto"/>
            </w:tcBorders>
            <w:shd w:val="clear" w:color="auto" w:fill="auto"/>
            <w:noWrap/>
            <w:vAlign w:val="bottom"/>
            <w:hideMark/>
          </w:tcPr>
          <w:p w14:paraId="2935AA8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95,8</w:t>
            </w:r>
          </w:p>
        </w:tc>
        <w:tc>
          <w:tcPr>
            <w:tcW w:w="1116" w:type="dxa"/>
            <w:tcBorders>
              <w:top w:val="nil"/>
              <w:left w:val="nil"/>
              <w:bottom w:val="single" w:sz="4" w:space="0" w:color="auto"/>
              <w:right w:val="single" w:sz="4" w:space="0" w:color="auto"/>
            </w:tcBorders>
            <w:shd w:val="clear" w:color="auto" w:fill="auto"/>
            <w:noWrap/>
            <w:vAlign w:val="bottom"/>
            <w:hideMark/>
          </w:tcPr>
          <w:p w14:paraId="0ADB23F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0,046</w:t>
            </w:r>
          </w:p>
        </w:tc>
        <w:tc>
          <w:tcPr>
            <w:tcW w:w="682" w:type="dxa"/>
            <w:tcBorders>
              <w:top w:val="nil"/>
              <w:left w:val="nil"/>
              <w:bottom w:val="single" w:sz="4" w:space="0" w:color="auto"/>
              <w:right w:val="single" w:sz="4" w:space="0" w:color="auto"/>
            </w:tcBorders>
            <w:shd w:val="clear" w:color="auto" w:fill="auto"/>
            <w:noWrap/>
            <w:vAlign w:val="bottom"/>
            <w:hideMark/>
          </w:tcPr>
          <w:p w14:paraId="13FF229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33,3</w:t>
            </w:r>
          </w:p>
        </w:tc>
        <w:tc>
          <w:tcPr>
            <w:tcW w:w="895" w:type="dxa"/>
            <w:tcBorders>
              <w:top w:val="nil"/>
              <w:left w:val="nil"/>
              <w:bottom w:val="single" w:sz="4" w:space="0" w:color="auto"/>
              <w:right w:val="single" w:sz="4" w:space="0" w:color="auto"/>
            </w:tcBorders>
            <w:shd w:val="clear" w:color="auto" w:fill="auto"/>
            <w:noWrap/>
            <w:vAlign w:val="bottom"/>
            <w:hideMark/>
          </w:tcPr>
          <w:p w14:paraId="3DDF5B6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30,0</w:t>
            </w:r>
          </w:p>
        </w:tc>
        <w:tc>
          <w:tcPr>
            <w:tcW w:w="851" w:type="dxa"/>
            <w:tcBorders>
              <w:top w:val="nil"/>
              <w:left w:val="nil"/>
              <w:bottom w:val="single" w:sz="4" w:space="0" w:color="auto"/>
              <w:right w:val="single" w:sz="4" w:space="0" w:color="auto"/>
            </w:tcBorders>
            <w:shd w:val="clear" w:color="auto" w:fill="auto"/>
            <w:noWrap/>
            <w:vAlign w:val="bottom"/>
            <w:hideMark/>
          </w:tcPr>
          <w:p w14:paraId="3CC2D9CF"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0,030</w:t>
            </w:r>
          </w:p>
        </w:tc>
        <w:tc>
          <w:tcPr>
            <w:tcW w:w="850" w:type="dxa"/>
            <w:tcBorders>
              <w:top w:val="nil"/>
              <w:left w:val="nil"/>
              <w:bottom w:val="single" w:sz="4" w:space="0" w:color="auto"/>
              <w:right w:val="single" w:sz="4" w:space="0" w:color="auto"/>
            </w:tcBorders>
            <w:shd w:val="clear" w:color="auto" w:fill="auto"/>
            <w:noWrap/>
            <w:vAlign w:val="bottom"/>
            <w:hideMark/>
          </w:tcPr>
          <w:p w14:paraId="1A2AAE0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40,0</w:t>
            </w:r>
          </w:p>
        </w:tc>
      </w:tr>
      <w:tr w:rsidR="00A876F3" w:rsidRPr="0088780C" w14:paraId="5C974A96"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77BC3378"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Corophium bonelli</w:t>
            </w:r>
            <w:r w:rsidRPr="0088780C">
              <w:rPr>
                <w:rFonts w:eastAsia="Times New Roman"/>
                <w:snapToGrid w:val="0"/>
                <w:color w:val="000000" w:themeColor="text1"/>
                <w:kern w:val="22"/>
                <w:szCs w:val="22"/>
                <w:lang w:eastAsia="ru-RU"/>
              </w:rPr>
              <w:t xml:space="preserve"> (M. – Edwards)</w:t>
            </w:r>
          </w:p>
        </w:tc>
        <w:tc>
          <w:tcPr>
            <w:tcW w:w="850" w:type="dxa"/>
            <w:tcBorders>
              <w:top w:val="nil"/>
              <w:left w:val="nil"/>
              <w:bottom w:val="single" w:sz="4" w:space="0" w:color="auto"/>
              <w:right w:val="single" w:sz="4" w:space="0" w:color="auto"/>
            </w:tcBorders>
            <w:shd w:val="clear" w:color="auto" w:fill="auto"/>
            <w:noWrap/>
            <w:vAlign w:val="bottom"/>
            <w:hideMark/>
          </w:tcPr>
          <w:p w14:paraId="0A0F7FA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100,0</w:t>
            </w:r>
          </w:p>
        </w:tc>
        <w:tc>
          <w:tcPr>
            <w:tcW w:w="1116" w:type="dxa"/>
            <w:tcBorders>
              <w:top w:val="nil"/>
              <w:left w:val="nil"/>
              <w:bottom w:val="single" w:sz="4" w:space="0" w:color="auto"/>
              <w:right w:val="single" w:sz="4" w:space="0" w:color="auto"/>
            </w:tcBorders>
            <w:shd w:val="clear" w:color="auto" w:fill="auto"/>
            <w:noWrap/>
            <w:vAlign w:val="bottom"/>
            <w:hideMark/>
          </w:tcPr>
          <w:p w14:paraId="0FA0E34B"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0,079</w:t>
            </w:r>
          </w:p>
        </w:tc>
        <w:tc>
          <w:tcPr>
            <w:tcW w:w="682" w:type="dxa"/>
            <w:tcBorders>
              <w:top w:val="nil"/>
              <w:left w:val="nil"/>
              <w:bottom w:val="single" w:sz="4" w:space="0" w:color="auto"/>
              <w:right w:val="single" w:sz="4" w:space="0" w:color="auto"/>
            </w:tcBorders>
            <w:shd w:val="clear" w:color="auto" w:fill="auto"/>
            <w:noWrap/>
            <w:vAlign w:val="bottom"/>
            <w:hideMark/>
          </w:tcPr>
          <w:p w14:paraId="2A3C5B8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33,3</w:t>
            </w:r>
          </w:p>
        </w:tc>
        <w:tc>
          <w:tcPr>
            <w:tcW w:w="895" w:type="dxa"/>
            <w:tcBorders>
              <w:top w:val="nil"/>
              <w:left w:val="nil"/>
              <w:bottom w:val="single" w:sz="4" w:space="0" w:color="auto"/>
              <w:right w:val="single" w:sz="4" w:space="0" w:color="auto"/>
            </w:tcBorders>
            <w:shd w:val="clear" w:color="auto" w:fill="auto"/>
            <w:noWrap/>
            <w:vAlign w:val="bottom"/>
            <w:hideMark/>
          </w:tcPr>
          <w:p w14:paraId="688F6AF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c>
          <w:tcPr>
            <w:tcW w:w="851" w:type="dxa"/>
            <w:tcBorders>
              <w:top w:val="nil"/>
              <w:left w:val="nil"/>
              <w:bottom w:val="single" w:sz="4" w:space="0" w:color="auto"/>
              <w:right w:val="single" w:sz="4" w:space="0" w:color="auto"/>
            </w:tcBorders>
            <w:shd w:val="clear" w:color="auto" w:fill="auto"/>
            <w:noWrap/>
            <w:vAlign w:val="bottom"/>
            <w:hideMark/>
          </w:tcPr>
          <w:p w14:paraId="610725F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0,040</w:t>
            </w:r>
          </w:p>
        </w:tc>
        <w:tc>
          <w:tcPr>
            <w:tcW w:w="850" w:type="dxa"/>
            <w:tcBorders>
              <w:top w:val="nil"/>
              <w:left w:val="nil"/>
              <w:bottom w:val="single" w:sz="4" w:space="0" w:color="auto"/>
              <w:right w:val="single" w:sz="4" w:space="0" w:color="auto"/>
            </w:tcBorders>
            <w:shd w:val="clear" w:color="auto" w:fill="auto"/>
            <w:noWrap/>
            <w:vAlign w:val="bottom"/>
            <w:hideMark/>
          </w:tcPr>
          <w:p w14:paraId="6A47B92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03D2B600"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33153D87"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Tunicata</w:t>
            </w:r>
          </w:p>
        </w:tc>
        <w:tc>
          <w:tcPr>
            <w:tcW w:w="850" w:type="dxa"/>
            <w:tcBorders>
              <w:top w:val="nil"/>
              <w:left w:val="nil"/>
              <w:bottom w:val="single" w:sz="4" w:space="0" w:color="auto"/>
              <w:right w:val="single" w:sz="4" w:space="0" w:color="auto"/>
            </w:tcBorders>
            <w:shd w:val="clear" w:color="auto" w:fill="auto"/>
            <w:noWrap/>
            <w:vAlign w:val="bottom"/>
            <w:hideMark/>
          </w:tcPr>
          <w:p w14:paraId="50E6202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1116" w:type="dxa"/>
            <w:tcBorders>
              <w:top w:val="nil"/>
              <w:left w:val="nil"/>
              <w:bottom w:val="single" w:sz="4" w:space="0" w:color="auto"/>
              <w:right w:val="single" w:sz="4" w:space="0" w:color="auto"/>
            </w:tcBorders>
            <w:shd w:val="clear" w:color="auto" w:fill="auto"/>
            <w:noWrap/>
            <w:vAlign w:val="bottom"/>
            <w:hideMark/>
          </w:tcPr>
          <w:p w14:paraId="276BAC1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682" w:type="dxa"/>
            <w:tcBorders>
              <w:top w:val="nil"/>
              <w:left w:val="nil"/>
              <w:bottom w:val="single" w:sz="4" w:space="0" w:color="auto"/>
              <w:right w:val="single" w:sz="4" w:space="0" w:color="auto"/>
            </w:tcBorders>
            <w:shd w:val="clear" w:color="auto" w:fill="auto"/>
            <w:noWrap/>
            <w:vAlign w:val="bottom"/>
            <w:hideMark/>
          </w:tcPr>
          <w:p w14:paraId="68B6C6B9"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95" w:type="dxa"/>
            <w:tcBorders>
              <w:top w:val="nil"/>
              <w:left w:val="nil"/>
              <w:bottom w:val="single" w:sz="4" w:space="0" w:color="auto"/>
              <w:right w:val="single" w:sz="4" w:space="0" w:color="auto"/>
            </w:tcBorders>
            <w:shd w:val="clear" w:color="auto" w:fill="auto"/>
            <w:noWrap/>
            <w:vAlign w:val="bottom"/>
            <w:hideMark/>
          </w:tcPr>
          <w:p w14:paraId="46F2A08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1" w:type="dxa"/>
            <w:tcBorders>
              <w:top w:val="nil"/>
              <w:left w:val="nil"/>
              <w:bottom w:val="single" w:sz="4" w:space="0" w:color="auto"/>
              <w:right w:val="single" w:sz="4" w:space="0" w:color="auto"/>
            </w:tcBorders>
            <w:shd w:val="clear" w:color="auto" w:fill="auto"/>
            <w:noWrap/>
            <w:vAlign w:val="bottom"/>
            <w:hideMark/>
          </w:tcPr>
          <w:p w14:paraId="6504C4B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0" w:type="dxa"/>
            <w:tcBorders>
              <w:top w:val="nil"/>
              <w:left w:val="nil"/>
              <w:bottom w:val="single" w:sz="4" w:space="0" w:color="auto"/>
              <w:right w:val="single" w:sz="4" w:space="0" w:color="auto"/>
            </w:tcBorders>
            <w:shd w:val="clear" w:color="auto" w:fill="auto"/>
            <w:noWrap/>
            <w:vAlign w:val="bottom"/>
            <w:hideMark/>
          </w:tcPr>
          <w:p w14:paraId="02FB756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r>
      <w:tr w:rsidR="00A876F3" w:rsidRPr="0088780C" w14:paraId="45416584" w14:textId="77777777" w:rsidTr="007B772D">
        <w:trPr>
          <w:trHeight w:val="91"/>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459CD47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Botryllus schlosseri</w:t>
            </w:r>
            <w:r w:rsidRPr="0088780C">
              <w:rPr>
                <w:rFonts w:eastAsia="Times New Roman"/>
                <w:snapToGrid w:val="0"/>
                <w:color w:val="000000" w:themeColor="text1"/>
                <w:kern w:val="22"/>
                <w:szCs w:val="22"/>
                <w:lang w:eastAsia="ru-RU"/>
              </w:rPr>
              <w:t xml:space="preserve"> (Pallas)</w:t>
            </w:r>
          </w:p>
        </w:tc>
        <w:tc>
          <w:tcPr>
            <w:tcW w:w="850" w:type="dxa"/>
            <w:tcBorders>
              <w:top w:val="nil"/>
              <w:left w:val="nil"/>
              <w:bottom w:val="single" w:sz="4" w:space="0" w:color="auto"/>
              <w:right w:val="single" w:sz="4" w:space="0" w:color="auto"/>
            </w:tcBorders>
            <w:shd w:val="clear" w:color="auto" w:fill="auto"/>
            <w:noWrap/>
            <w:vAlign w:val="bottom"/>
            <w:hideMark/>
          </w:tcPr>
          <w:p w14:paraId="2C9018D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1116" w:type="dxa"/>
            <w:tcBorders>
              <w:top w:val="nil"/>
              <w:left w:val="nil"/>
              <w:bottom w:val="single" w:sz="4" w:space="0" w:color="auto"/>
              <w:right w:val="single" w:sz="4" w:space="0" w:color="auto"/>
            </w:tcBorders>
            <w:shd w:val="clear" w:color="auto" w:fill="auto"/>
            <w:noWrap/>
            <w:vAlign w:val="bottom"/>
            <w:hideMark/>
          </w:tcPr>
          <w:p w14:paraId="2F14BF9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0,333</w:t>
            </w:r>
          </w:p>
        </w:tc>
        <w:tc>
          <w:tcPr>
            <w:tcW w:w="682" w:type="dxa"/>
            <w:tcBorders>
              <w:top w:val="nil"/>
              <w:left w:val="nil"/>
              <w:bottom w:val="single" w:sz="4" w:space="0" w:color="auto"/>
              <w:right w:val="single" w:sz="4" w:space="0" w:color="auto"/>
            </w:tcBorders>
            <w:shd w:val="clear" w:color="auto" w:fill="auto"/>
            <w:noWrap/>
            <w:vAlign w:val="center"/>
            <w:hideMark/>
          </w:tcPr>
          <w:p w14:paraId="4A06465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6DC54C9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45177C7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310FC69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48E4C562" w14:textId="77777777" w:rsidTr="007B772D">
        <w:trPr>
          <w:trHeight w:val="124"/>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78E065AC"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iCs/>
                <w:snapToGrid w:val="0"/>
                <w:color w:val="000000" w:themeColor="text1"/>
                <w:kern w:val="22"/>
                <w:szCs w:val="22"/>
                <w:lang w:eastAsia="ru-RU"/>
              </w:rPr>
              <w:t>Molgula euprocta</w:t>
            </w:r>
            <w:r w:rsidRPr="0088780C">
              <w:rPr>
                <w:rFonts w:eastAsia="Times New Roman"/>
                <w:snapToGrid w:val="0"/>
                <w:color w:val="000000" w:themeColor="text1"/>
                <w:kern w:val="22"/>
                <w:szCs w:val="22"/>
                <w:lang w:eastAsia="ru-RU"/>
              </w:rPr>
              <w:t xml:space="preserve"> Drasche</w:t>
            </w:r>
          </w:p>
        </w:tc>
        <w:tc>
          <w:tcPr>
            <w:tcW w:w="850" w:type="dxa"/>
            <w:tcBorders>
              <w:top w:val="nil"/>
              <w:left w:val="nil"/>
              <w:bottom w:val="single" w:sz="4" w:space="0" w:color="auto"/>
              <w:right w:val="single" w:sz="4" w:space="0" w:color="auto"/>
            </w:tcBorders>
            <w:shd w:val="clear" w:color="auto" w:fill="auto"/>
            <w:noWrap/>
            <w:vAlign w:val="bottom"/>
            <w:hideMark/>
          </w:tcPr>
          <w:p w14:paraId="53A966D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20,8</w:t>
            </w:r>
          </w:p>
        </w:tc>
        <w:tc>
          <w:tcPr>
            <w:tcW w:w="1116" w:type="dxa"/>
            <w:tcBorders>
              <w:top w:val="nil"/>
              <w:left w:val="nil"/>
              <w:bottom w:val="single" w:sz="4" w:space="0" w:color="auto"/>
              <w:right w:val="single" w:sz="4" w:space="0" w:color="auto"/>
            </w:tcBorders>
            <w:shd w:val="clear" w:color="auto" w:fill="auto"/>
            <w:noWrap/>
            <w:vAlign w:val="bottom"/>
            <w:hideMark/>
          </w:tcPr>
          <w:p w14:paraId="24DAA9D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61,750</w:t>
            </w:r>
          </w:p>
        </w:tc>
        <w:tc>
          <w:tcPr>
            <w:tcW w:w="682" w:type="dxa"/>
            <w:tcBorders>
              <w:top w:val="nil"/>
              <w:left w:val="nil"/>
              <w:bottom w:val="single" w:sz="4" w:space="0" w:color="auto"/>
              <w:right w:val="single" w:sz="4" w:space="0" w:color="auto"/>
            </w:tcBorders>
            <w:shd w:val="clear" w:color="auto" w:fill="auto"/>
            <w:noWrap/>
            <w:vAlign w:val="bottom"/>
            <w:hideMark/>
          </w:tcPr>
          <w:p w14:paraId="73B3246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33,3</w:t>
            </w:r>
          </w:p>
        </w:tc>
        <w:tc>
          <w:tcPr>
            <w:tcW w:w="895" w:type="dxa"/>
            <w:tcBorders>
              <w:top w:val="nil"/>
              <w:left w:val="nil"/>
              <w:bottom w:val="single" w:sz="4" w:space="0" w:color="auto"/>
              <w:right w:val="single" w:sz="4" w:space="0" w:color="auto"/>
            </w:tcBorders>
            <w:shd w:val="clear" w:color="auto" w:fill="auto"/>
            <w:noWrap/>
            <w:vAlign w:val="bottom"/>
            <w:hideMark/>
          </w:tcPr>
          <w:p w14:paraId="3A88683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40,0</w:t>
            </w:r>
          </w:p>
        </w:tc>
        <w:tc>
          <w:tcPr>
            <w:tcW w:w="851" w:type="dxa"/>
            <w:tcBorders>
              <w:top w:val="nil"/>
              <w:left w:val="nil"/>
              <w:bottom w:val="single" w:sz="4" w:space="0" w:color="auto"/>
              <w:right w:val="single" w:sz="4" w:space="0" w:color="auto"/>
            </w:tcBorders>
            <w:shd w:val="clear" w:color="auto" w:fill="auto"/>
            <w:noWrap/>
            <w:vAlign w:val="bottom"/>
            <w:hideMark/>
          </w:tcPr>
          <w:p w14:paraId="1E122BD8"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32,220</w:t>
            </w:r>
          </w:p>
        </w:tc>
        <w:tc>
          <w:tcPr>
            <w:tcW w:w="850" w:type="dxa"/>
            <w:tcBorders>
              <w:top w:val="nil"/>
              <w:left w:val="nil"/>
              <w:bottom w:val="single" w:sz="4" w:space="0" w:color="auto"/>
              <w:right w:val="single" w:sz="4" w:space="0" w:color="auto"/>
            </w:tcBorders>
            <w:shd w:val="clear" w:color="auto" w:fill="auto"/>
            <w:noWrap/>
            <w:vAlign w:val="bottom"/>
            <w:hideMark/>
          </w:tcPr>
          <w:p w14:paraId="3A28C39A"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20,0</w:t>
            </w:r>
          </w:p>
        </w:tc>
      </w:tr>
      <w:tr w:rsidR="00A876F3" w:rsidRPr="0088780C" w14:paraId="4FBC4D37"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B7523A9"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Times New Roman"/>
                <w:b/>
                <w:snapToGrid w:val="0"/>
                <w:color w:val="000000" w:themeColor="text1"/>
                <w:kern w:val="22"/>
                <w:szCs w:val="22"/>
                <w:lang w:eastAsia="ru-RU"/>
              </w:rPr>
              <w:t>Insecta, larvae</w:t>
            </w:r>
          </w:p>
        </w:tc>
        <w:tc>
          <w:tcPr>
            <w:tcW w:w="850" w:type="dxa"/>
            <w:tcBorders>
              <w:top w:val="nil"/>
              <w:left w:val="nil"/>
              <w:bottom w:val="single" w:sz="4" w:space="0" w:color="auto"/>
              <w:right w:val="single" w:sz="4" w:space="0" w:color="auto"/>
            </w:tcBorders>
            <w:shd w:val="clear" w:color="auto" w:fill="auto"/>
            <w:noWrap/>
            <w:vAlign w:val="bottom"/>
            <w:hideMark/>
          </w:tcPr>
          <w:p w14:paraId="27E5C2D1"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1116" w:type="dxa"/>
            <w:tcBorders>
              <w:top w:val="nil"/>
              <w:left w:val="nil"/>
              <w:bottom w:val="single" w:sz="4" w:space="0" w:color="auto"/>
              <w:right w:val="single" w:sz="4" w:space="0" w:color="auto"/>
            </w:tcBorders>
            <w:shd w:val="clear" w:color="auto" w:fill="auto"/>
            <w:noWrap/>
            <w:vAlign w:val="bottom"/>
            <w:hideMark/>
          </w:tcPr>
          <w:p w14:paraId="346F9D2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682" w:type="dxa"/>
            <w:tcBorders>
              <w:top w:val="nil"/>
              <w:left w:val="nil"/>
              <w:bottom w:val="single" w:sz="4" w:space="0" w:color="auto"/>
              <w:right w:val="single" w:sz="4" w:space="0" w:color="auto"/>
            </w:tcBorders>
            <w:shd w:val="clear" w:color="auto" w:fill="auto"/>
            <w:noWrap/>
            <w:vAlign w:val="bottom"/>
            <w:hideMark/>
          </w:tcPr>
          <w:p w14:paraId="38EC90C0"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95" w:type="dxa"/>
            <w:tcBorders>
              <w:top w:val="nil"/>
              <w:left w:val="nil"/>
              <w:bottom w:val="single" w:sz="4" w:space="0" w:color="auto"/>
              <w:right w:val="single" w:sz="4" w:space="0" w:color="auto"/>
            </w:tcBorders>
            <w:shd w:val="clear" w:color="auto" w:fill="auto"/>
            <w:noWrap/>
            <w:vAlign w:val="bottom"/>
            <w:hideMark/>
          </w:tcPr>
          <w:p w14:paraId="6679D65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1" w:type="dxa"/>
            <w:tcBorders>
              <w:top w:val="nil"/>
              <w:left w:val="nil"/>
              <w:bottom w:val="single" w:sz="4" w:space="0" w:color="auto"/>
              <w:right w:val="single" w:sz="4" w:space="0" w:color="auto"/>
            </w:tcBorders>
            <w:shd w:val="clear" w:color="auto" w:fill="auto"/>
            <w:noWrap/>
            <w:vAlign w:val="bottom"/>
            <w:hideMark/>
          </w:tcPr>
          <w:p w14:paraId="6B20911C"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c>
          <w:tcPr>
            <w:tcW w:w="850" w:type="dxa"/>
            <w:tcBorders>
              <w:top w:val="nil"/>
              <w:left w:val="nil"/>
              <w:bottom w:val="single" w:sz="4" w:space="0" w:color="auto"/>
              <w:right w:val="single" w:sz="4" w:space="0" w:color="auto"/>
            </w:tcBorders>
            <w:shd w:val="clear" w:color="auto" w:fill="auto"/>
            <w:noWrap/>
            <w:vAlign w:val="bottom"/>
            <w:hideMark/>
          </w:tcPr>
          <w:p w14:paraId="5B6BC047"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p>
        </w:tc>
      </w:tr>
      <w:tr w:rsidR="00A876F3" w:rsidRPr="0088780C" w14:paraId="3E3AED42" w14:textId="77777777" w:rsidTr="007B772D">
        <w:trPr>
          <w:trHeight w:val="65"/>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05EB26A1"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i/>
                <w:snapToGrid w:val="0"/>
                <w:color w:val="000000" w:themeColor="text1"/>
                <w:kern w:val="22"/>
                <w:szCs w:val="22"/>
                <w:lang w:eastAsia="ru-RU"/>
              </w:rPr>
              <w:t>Chironomus</w:t>
            </w:r>
            <w:r w:rsidRPr="0088780C">
              <w:rPr>
                <w:rFonts w:eastAsia="Times New Roman"/>
                <w:snapToGrid w:val="0"/>
                <w:color w:val="000000" w:themeColor="text1"/>
                <w:kern w:val="22"/>
                <w:szCs w:val="22"/>
                <w:lang w:eastAsia="ru-RU"/>
              </w:rPr>
              <w:t xml:space="preserve"> sp.</w:t>
            </w:r>
          </w:p>
        </w:tc>
        <w:tc>
          <w:tcPr>
            <w:tcW w:w="850" w:type="dxa"/>
            <w:tcBorders>
              <w:top w:val="nil"/>
              <w:left w:val="nil"/>
              <w:bottom w:val="single" w:sz="4" w:space="0" w:color="auto"/>
              <w:right w:val="single" w:sz="4" w:space="0" w:color="auto"/>
            </w:tcBorders>
            <w:shd w:val="clear" w:color="auto" w:fill="auto"/>
            <w:noWrap/>
            <w:vAlign w:val="bottom"/>
            <w:hideMark/>
          </w:tcPr>
          <w:p w14:paraId="29359454"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4,2</w:t>
            </w:r>
          </w:p>
        </w:tc>
        <w:tc>
          <w:tcPr>
            <w:tcW w:w="1116" w:type="dxa"/>
            <w:tcBorders>
              <w:top w:val="nil"/>
              <w:left w:val="nil"/>
              <w:bottom w:val="single" w:sz="4" w:space="0" w:color="auto"/>
              <w:right w:val="single" w:sz="4" w:space="0" w:color="auto"/>
            </w:tcBorders>
            <w:shd w:val="clear" w:color="auto" w:fill="auto"/>
            <w:noWrap/>
            <w:vAlign w:val="bottom"/>
            <w:hideMark/>
          </w:tcPr>
          <w:p w14:paraId="078829F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0,025</w:t>
            </w:r>
          </w:p>
        </w:tc>
        <w:tc>
          <w:tcPr>
            <w:tcW w:w="682" w:type="dxa"/>
            <w:tcBorders>
              <w:top w:val="nil"/>
              <w:left w:val="nil"/>
              <w:bottom w:val="single" w:sz="4" w:space="0" w:color="auto"/>
              <w:right w:val="single" w:sz="4" w:space="0" w:color="auto"/>
            </w:tcBorders>
            <w:shd w:val="clear" w:color="auto" w:fill="auto"/>
            <w:noWrap/>
            <w:vAlign w:val="center"/>
            <w:hideMark/>
          </w:tcPr>
          <w:p w14:paraId="0DBDCAB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8,3</w:t>
            </w:r>
          </w:p>
        </w:tc>
        <w:tc>
          <w:tcPr>
            <w:tcW w:w="895" w:type="dxa"/>
            <w:tcBorders>
              <w:top w:val="nil"/>
              <w:left w:val="nil"/>
              <w:bottom w:val="single" w:sz="4" w:space="0" w:color="auto"/>
              <w:right w:val="single" w:sz="4" w:space="0" w:color="auto"/>
            </w:tcBorders>
            <w:shd w:val="clear" w:color="auto" w:fill="auto"/>
            <w:noWrap/>
            <w:vAlign w:val="bottom"/>
            <w:hideMark/>
          </w:tcPr>
          <w:p w14:paraId="45165885"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1" w:type="dxa"/>
            <w:tcBorders>
              <w:top w:val="nil"/>
              <w:left w:val="nil"/>
              <w:bottom w:val="single" w:sz="4" w:space="0" w:color="auto"/>
              <w:right w:val="single" w:sz="4" w:space="0" w:color="auto"/>
            </w:tcBorders>
            <w:shd w:val="clear" w:color="auto" w:fill="auto"/>
            <w:noWrap/>
            <w:vAlign w:val="bottom"/>
            <w:hideMark/>
          </w:tcPr>
          <w:p w14:paraId="054ECD32"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3B22B9B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w:t>
            </w:r>
          </w:p>
        </w:tc>
      </w:tr>
      <w:tr w:rsidR="00A876F3" w:rsidRPr="0088780C" w14:paraId="6E03AC96" w14:textId="77777777" w:rsidTr="007B772D">
        <w:trPr>
          <w:trHeight w:val="74"/>
          <w:jc w:val="center"/>
        </w:trPr>
        <w:tc>
          <w:tcPr>
            <w:tcW w:w="3374" w:type="dxa"/>
            <w:tcBorders>
              <w:top w:val="nil"/>
              <w:left w:val="single" w:sz="4" w:space="0" w:color="auto"/>
              <w:bottom w:val="single" w:sz="4" w:space="0" w:color="auto"/>
              <w:right w:val="single" w:sz="4" w:space="0" w:color="auto"/>
            </w:tcBorders>
            <w:shd w:val="clear" w:color="auto" w:fill="auto"/>
            <w:noWrap/>
            <w:vAlign w:val="bottom"/>
            <w:hideMark/>
          </w:tcPr>
          <w:p w14:paraId="75ACBFA9" w14:textId="77777777" w:rsidR="00A876F3" w:rsidRPr="0088780C" w:rsidRDefault="00A876F3" w:rsidP="001013AF">
            <w:pPr>
              <w:suppressLineNumbers/>
              <w:suppressAutoHyphens/>
              <w:kinsoku w:val="0"/>
              <w:overflowPunct w:val="0"/>
              <w:autoSpaceDE w:val="0"/>
              <w:autoSpaceDN w:val="0"/>
              <w:jc w:val="center"/>
              <w:rPr>
                <w:rFonts w:eastAsia="Times New Roman"/>
                <w:bCs/>
                <w:snapToGrid w:val="0"/>
                <w:color w:val="000000" w:themeColor="text1"/>
                <w:kern w:val="22"/>
                <w:szCs w:val="22"/>
                <w:lang w:eastAsia="ru-RU"/>
              </w:rPr>
            </w:pPr>
            <w:r w:rsidRPr="0088780C">
              <w:rPr>
                <w:rFonts w:eastAsia="Times New Roman"/>
                <w:bCs/>
                <w:snapToGrid w:val="0"/>
                <w:color w:val="000000" w:themeColor="text1"/>
                <w:kern w:val="22"/>
                <w:szCs w:val="22"/>
                <w:lang w:eastAsia="ru-RU"/>
              </w:rPr>
              <w:t>Total</w:t>
            </w:r>
          </w:p>
        </w:tc>
        <w:tc>
          <w:tcPr>
            <w:tcW w:w="850" w:type="dxa"/>
            <w:tcBorders>
              <w:top w:val="nil"/>
              <w:left w:val="nil"/>
              <w:bottom w:val="single" w:sz="4" w:space="0" w:color="auto"/>
              <w:right w:val="single" w:sz="4" w:space="0" w:color="auto"/>
            </w:tcBorders>
            <w:shd w:val="clear" w:color="auto" w:fill="auto"/>
            <w:noWrap/>
            <w:vAlign w:val="bottom"/>
            <w:hideMark/>
          </w:tcPr>
          <w:p w14:paraId="7F41A98E"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7758,3</w:t>
            </w:r>
          </w:p>
        </w:tc>
        <w:tc>
          <w:tcPr>
            <w:tcW w:w="1116" w:type="dxa"/>
            <w:tcBorders>
              <w:top w:val="nil"/>
              <w:left w:val="nil"/>
              <w:bottom w:val="single" w:sz="4" w:space="0" w:color="auto"/>
              <w:right w:val="single" w:sz="4" w:space="0" w:color="auto"/>
            </w:tcBorders>
            <w:shd w:val="clear" w:color="auto" w:fill="auto"/>
            <w:noWrap/>
            <w:vAlign w:val="bottom"/>
            <w:hideMark/>
          </w:tcPr>
          <w:p w14:paraId="1512B3D6"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1009,796</w:t>
            </w:r>
          </w:p>
        </w:tc>
        <w:tc>
          <w:tcPr>
            <w:tcW w:w="682" w:type="dxa"/>
            <w:tcBorders>
              <w:top w:val="nil"/>
              <w:left w:val="nil"/>
              <w:bottom w:val="single" w:sz="4" w:space="0" w:color="auto"/>
              <w:right w:val="single" w:sz="4" w:space="0" w:color="auto"/>
            </w:tcBorders>
            <w:shd w:val="clear" w:color="auto" w:fill="auto"/>
            <w:noWrap/>
            <w:vAlign w:val="bottom"/>
            <w:hideMark/>
          </w:tcPr>
          <w:p w14:paraId="0989C6F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 </w:t>
            </w:r>
          </w:p>
        </w:tc>
        <w:tc>
          <w:tcPr>
            <w:tcW w:w="895" w:type="dxa"/>
            <w:tcBorders>
              <w:top w:val="nil"/>
              <w:left w:val="nil"/>
              <w:bottom w:val="single" w:sz="4" w:space="0" w:color="auto"/>
              <w:right w:val="single" w:sz="4" w:space="0" w:color="auto"/>
            </w:tcBorders>
            <w:shd w:val="clear" w:color="auto" w:fill="auto"/>
            <w:noWrap/>
            <w:vAlign w:val="bottom"/>
            <w:hideMark/>
          </w:tcPr>
          <w:p w14:paraId="05A31B13" w14:textId="77777777" w:rsidR="00A876F3" w:rsidRPr="0088780C" w:rsidRDefault="00A876F3" w:rsidP="001013AF">
            <w:pPr>
              <w:suppressLineNumbers/>
              <w:suppressAutoHyphens/>
              <w:kinsoku w:val="0"/>
              <w:overflowPunct w:val="0"/>
              <w:autoSpaceDE w:val="0"/>
              <w:autoSpaceDN w:val="0"/>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5510,0</w:t>
            </w:r>
          </w:p>
        </w:tc>
        <w:tc>
          <w:tcPr>
            <w:tcW w:w="851" w:type="dxa"/>
            <w:tcBorders>
              <w:top w:val="nil"/>
              <w:left w:val="nil"/>
              <w:bottom w:val="single" w:sz="4" w:space="0" w:color="auto"/>
              <w:right w:val="single" w:sz="4" w:space="0" w:color="auto"/>
            </w:tcBorders>
            <w:shd w:val="clear" w:color="auto" w:fill="auto"/>
            <w:noWrap/>
            <w:vAlign w:val="bottom"/>
            <w:hideMark/>
          </w:tcPr>
          <w:p w14:paraId="5D52487F" w14:textId="77777777" w:rsidR="00A876F3" w:rsidRPr="0088780C" w:rsidRDefault="00A876F3" w:rsidP="001013AF">
            <w:pPr>
              <w:suppressLineNumbers/>
              <w:suppressAutoHyphens/>
              <w:kinsoku w:val="0"/>
              <w:overflowPunct w:val="0"/>
              <w:autoSpaceDE w:val="0"/>
              <w:autoSpaceDN w:val="0"/>
              <w:ind w:right="-113"/>
              <w:jc w:val="right"/>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159,060</w:t>
            </w:r>
          </w:p>
        </w:tc>
        <w:tc>
          <w:tcPr>
            <w:tcW w:w="850" w:type="dxa"/>
            <w:tcBorders>
              <w:top w:val="nil"/>
              <w:left w:val="nil"/>
              <w:bottom w:val="single" w:sz="4" w:space="0" w:color="auto"/>
              <w:right w:val="single" w:sz="4" w:space="0" w:color="auto"/>
            </w:tcBorders>
            <w:shd w:val="clear" w:color="auto" w:fill="auto"/>
            <w:noWrap/>
            <w:vAlign w:val="bottom"/>
            <w:hideMark/>
          </w:tcPr>
          <w:p w14:paraId="38B40A80"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r w:rsidRPr="0088780C">
              <w:rPr>
                <w:rFonts w:eastAsia="Times New Roman"/>
                <w:snapToGrid w:val="0"/>
                <w:color w:val="000000" w:themeColor="text1"/>
                <w:kern w:val="22"/>
                <w:szCs w:val="22"/>
                <w:lang w:eastAsia="ru-RU"/>
              </w:rPr>
              <w:t> </w:t>
            </w:r>
          </w:p>
        </w:tc>
      </w:tr>
    </w:tbl>
    <w:p w14:paraId="1E00D966"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21A0EEE8" w14:textId="77777777" w:rsidR="00A876F3" w:rsidRPr="0088780C" w:rsidRDefault="00A876F3" w:rsidP="001013AF">
      <w:pPr>
        <w:pStyle w:val="CommentText"/>
        <w:suppressLineNumbers/>
        <w:suppressAutoHyphens/>
        <w:kinsoku w:val="0"/>
        <w:overflowPunct w:val="0"/>
        <w:autoSpaceDE w:val="0"/>
        <w:autoSpaceDN w:val="0"/>
        <w:rPr>
          <w:b/>
          <w:bCs/>
          <w:snapToGrid w:val="0"/>
          <w:kern w:val="22"/>
          <w:szCs w:val="22"/>
        </w:rPr>
      </w:pPr>
      <w:r w:rsidRPr="0088780C">
        <w:rPr>
          <w:b/>
          <w:bCs/>
          <w:snapToGrid w:val="0"/>
          <w:color w:val="000000" w:themeColor="text1"/>
          <w:kern w:val="22"/>
          <w:szCs w:val="22"/>
        </w:rPr>
        <w:t xml:space="preserve">Table 4. </w:t>
      </w:r>
      <w:r w:rsidRPr="0088780C">
        <w:rPr>
          <w:rFonts w:eastAsia="Calibri"/>
          <w:b/>
          <w:bCs/>
          <w:snapToGrid w:val="0"/>
          <w:color w:val="000000" w:themeColor="text1"/>
          <w:kern w:val="22"/>
          <w:szCs w:val="22"/>
          <w:lang w:eastAsia="ru-RU"/>
        </w:rPr>
        <w:t xml:space="preserve">Comparative characteristic of marine species in the Black Sea (BS) and Yagorlytsky Bay (YB) </w:t>
      </w:r>
      <w:r w:rsidRPr="0088780C">
        <w:rPr>
          <w:b/>
          <w:bCs/>
          <w:snapToGrid w:val="0"/>
          <w:kern w:val="22"/>
          <w:szCs w:val="22"/>
        </w:rPr>
        <w:t xml:space="preserve">(Zaitsev and Mamaev, 1997; Minicheva et al., 2014; </w:t>
      </w:r>
      <w:r w:rsidRPr="0088780C">
        <w:rPr>
          <w:b/>
          <w:bCs/>
          <w:snapToGrid w:val="0"/>
          <w:color w:val="000000" w:themeColor="text1"/>
          <w:kern w:val="22"/>
          <w:szCs w:val="22"/>
        </w:rPr>
        <w:t xml:space="preserve">Sinegub, 2006; </w:t>
      </w:r>
      <w:r w:rsidRPr="0088780C">
        <w:rPr>
          <w:rFonts w:eastAsia="MS Mincho"/>
          <w:b/>
          <w:bCs/>
          <w:snapToGrid w:val="0"/>
          <w:color w:val="000000" w:themeColor="text1"/>
          <w:kern w:val="22"/>
          <w:szCs w:val="22"/>
        </w:rPr>
        <w:t>Tkachenko, 2012</w:t>
      </w:r>
      <w:r w:rsidRPr="0088780C">
        <w:rPr>
          <w:rFonts w:eastAsia="MS Mincho"/>
          <w:b/>
          <w:bCs/>
          <w:snapToGrid w:val="0"/>
          <w:kern w:val="22"/>
          <w:szCs w:val="22"/>
        </w:rPr>
        <w:t>b</w:t>
      </w:r>
      <w:r w:rsidRPr="0088780C">
        <w:rPr>
          <w:b/>
          <w:bCs/>
          <w:snapToGrid w:val="0"/>
          <w:kern w:val="22"/>
          <w:szCs w:val="22"/>
        </w:rPr>
        <w:t>)</w:t>
      </w:r>
    </w:p>
    <w:tbl>
      <w:tblPr>
        <w:tblW w:w="7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74"/>
        <w:gridCol w:w="874"/>
        <w:gridCol w:w="874"/>
        <w:gridCol w:w="874"/>
        <w:gridCol w:w="874"/>
        <w:gridCol w:w="874"/>
      </w:tblGrid>
      <w:tr w:rsidR="00A876F3" w:rsidRPr="0088780C" w14:paraId="2436DF61" w14:textId="77777777" w:rsidTr="006972AD">
        <w:trPr>
          <w:jc w:val="center"/>
        </w:trPr>
        <w:tc>
          <w:tcPr>
            <w:tcW w:w="1985" w:type="dxa"/>
            <w:vMerge w:val="restart"/>
          </w:tcPr>
          <w:p w14:paraId="35F9ED62" w14:textId="77777777" w:rsidR="00A876F3" w:rsidRPr="0088780C" w:rsidRDefault="00A876F3" w:rsidP="001013AF">
            <w:pPr>
              <w:suppressLineNumbers/>
              <w:suppressAutoHyphens/>
              <w:kinsoku w:val="0"/>
              <w:overflowPunct w:val="0"/>
              <w:autoSpaceDE w:val="0"/>
              <w:autoSpaceDN w:val="0"/>
              <w:jc w:val="center"/>
              <w:rPr>
                <w:b/>
                <w:snapToGrid w:val="0"/>
                <w:color w:val="000000" w:themeColor="text1"/>
                <w:kern w:val="22"/>
                <w:szCs w:val="22"/>
              </w:rPr>
            </w:pPr>
            <w:r w:rsidRPr="0088780C">
              <w:rPr>
                <w:b/>
                <w:snapToGrid w:val="0"/>
                <w:color w:val="000000" w:themeColor="text1"/>
                <w:kern w:val="22"/>
                <w:szCs w:val="22"/>
              </w:rPr>
              <w:t>Organism</w:t>
            </w:r>
          </w:p>
        </w:tc>
        <w:tc>
          <w:tcPr>
            <w:tcW w:w="2622" w:type="dxa"/>
            <w:gridSpan w:val="3"/>
          </w:tcPr>
          <w:p w14:paraId="50149DCB" w14:textId="77777777" w:rsidR="00A876F3" w:rsidRPr="0088780C" w:rsidRDefault="00A876F3" w:rsidP="001013AF">
            <w:pPr>
              <w:suppressLineNumbers/>
              <w:suppressAutoHyphens/>
              <w:kinsoku w:val="0"/>
              <w:overflowPunct w:val="0"/>
              <w:autoSpaceDE w:val="0"/>
              <w:autoSpaceDN w:val="0"/>
              <w:jc w:val="center"/>
              <w:rPr>
                <w:b/>
                <w:snapToGrid w:val="0"/>
                <w:color w:val="000000" w:themeColor="text1"/>
                <w:kern w:val="22"/>
                <w:szCs w:val="22"/>
              </w:rPr>
            </w:pPr>
            <w:r w:rsidRPr="0088780C">
              <w:rPr>
                <w:b/>
                <w:snapToGrid w:val="0"/>
                <w:color w:val="000000" w:themeColor="text1"/>
                <w:kern w:val="22"/>
                <w:szCs w:val="22"/>
              </w:rPr>
              <w:t>Total number</w:t>
            </w:r>
          </w:p>
        </w:tc>
        <w:tc>
          <w:tcPr>
            <w:tcW w:w="2622" w:type="dxa"/>
            <w:gridSpan w:val="3"/>
          </w:tcPr>
          <w:p w14:paraId="41F662BE" w14:textId="77777777" w:rsidR="00A876F3" w:rsidRPr="0088780C" w:rsidRDefault="00A876F3" w:rsidP="001013AF">
            <w:pPr>
              <w:suppressLineNumbers/>
              <w:suppressAutoHyphens/>
              <w:kinsoku w:val="0"/>
              <w:overflowPunct w:val="0"/>
              <w:autoSpaceDE w:val="0"/>
              <w:autoSpaceDN w:val="0"/>
              <w:jc w:val="center"/>
              <w:rPr>
                <w:b/>
                <w:snapToGrid w:val="0"/>
                <w:color w:val="000000" w:themeColor="text1"/>
                <w:kern w:val="22"/>
                <w:szCs w:val="22"/>
              </w:rPr>
            </w:pPr>
            <w:r w:rsidRPr="0088780C">
              <w:rPr>
                <w:b/>
                <w:snapToGrid w:val="0"/>
                <w:color w:val="000000" w:themeColor="text1"/>
                <w:kern w:val="22"/>
                <w:szCs w:val="22"/>
              </w:rPr>
              <w:t>Red Data Book</w:t>
            </w:r>
          </w:p>
        </w:tc>
      </w:tr>
      <w:tr w:rsidR="00A876F3" w:rsidRPr="0088780C" w14:paraId="06F67FC1" w14:textId="77777777" w:rsidTr="006972AD">
        <w:trPr>
          <w:jc w:val="center"/>
        </w:trPr>
        <w:tc>
          <w:tcPr>
            <w:tcW w:w="1985" w:type="dxa"/>
            <w:vMerge/>
          </w:tcPr>
          <w:p w14:paraId="6824433C" w14:textId="77777777"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p>
        </w:tc>
        <w:tc>
          <w:tcPr>
            <w:tcW w:w="874" w:type="dxa"/>
          </w:tcPr>
          <w:p w14:paraId="52343B13" w14:textId="12EBE31D"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r w:rsidRPr="0088780C">
              <w:rPr>
                <w:snapToGrid w:val="0"/>
                <w:color w:val="000000" w:themeColor="text1"/>
                <w:kern w:val="22"/>
                <w:szCs w:val="22"/>
              </w:rPr>
              <w:t>BS</w:t>
            </w:r>
          </w:p>
        </w:tc>
        <w:tc>
          <w:tcPr>
            <w:tcW w:w="874" w:type="dxa"/>
          </w:tcPr>
          <w:p w14:paraId="38CB1F6B" w14:textId="564BC1D7"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r w:rsidRPr="0088780C">
              <w:rPr>
                <w:snapToGrid w:val="0"/>
                <w:color w:val="000000" w:themeColor="text1"/>
                <w:kern w:val="22"/>
                <w:szCs w:val="22"/>
              </w:rPr>
              <w:t>YB</w:t>
            </w:r>
          </w:p>
        </w:tc>
        <w:tc>
          <w:tcPr>
            <w:tcW w:w="874" w:type="dxa"/>
          </w:tcPr>
          <w:p w14:paraId="63812BB4" w14:textId="59474900"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r w:rsidRPr="0088780C">
              <w:rPr>
                <w:snapToGrid w:val="0"/>
                <w:color w:val="000000" w:themeColor="text1"/>
                <w:kern w:val="22"/>
                <w:szCs w:val="22"/>
              </w:rPr>
              <w:t>%</w:t>
            </w:r>
          </w:p>
        </w:tc>
        <w:tc>
          <w:tcPr>
            <w:tcW w:w="874" w:type="dxa"/>
          </w:tcPr>
          <w:p w14:paraId="6D767E71" w14:textId="1206D3A7"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r w:rsidRPr="0088780C">
              <w:rPr>
                <w:snapToGrid w:val="0"/>
                <w:color w:val="000000" w:themeColor="text1"/>
                <w:kern w:val="22"/>
                <w:szCs w:val="22"/>
              </w:rPr>
              <w:t>BS</w:t>
            </w:r>
          </w:p>
        </w:tc>
        <w:tc>
          <w:tcPr>
            <w:tcW w:w="874" w:type="dxa"/>
          </w:tcPr>
          <w:p w14:paraId="75DD9E06" w14:textId="5EE237B8"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r w:rsidRPr="0088780C">
              <w:rPr>
                <w:snapToGrid w:val="0"/>
                <w:color w:val="000000" w:themeColor="text1"/>
                <w:kern w:val="22"/>
                <w:szCs w:val="22"/>
              </w:rPr>
              <w:t>YB</w:t>
            </w:r>
          </w:p>
        </w:tc>
        <w:tc>
          <w:tcPr>
            <w:tcW w:w="874" w:type="dxa"/>
          </w:tcPr>
          <w:p w14:paraId="52043873" w14:textId="4559CCAC" w:rsidR="00A876F3" w:rsidRPr="0088780C" w:rsidRDefault="00A876F3" w:rsidP="001013AF">
            <w:pPr>
              <w:suppressLineNumbers/>
              <w:suppressAutoHyphens/>
              <w:kinsoku w:val="0"/>
              <w:overflowPunct w:val="0"/>
              <w:autoSpaceDE w:val="0"/>
              <w:autoSpaceDN w:val="0"/>
              <w:jc w:val="center"/>
              <w:rPr>
                <w:snapToGrid w:val="0"/>
                <w:color w:val="000000" w:themeColor="text1"/>
                <w:kern w:val="22"/>
                <w:szCs w:val="22"/>
              </w:rPr>
            </w:pPr>
            <w:r w:rsidRPr="0088780C">
              <w:rPr>
                <w:snapToGrid w:val="0"/>
                <w:color w:val="000000" w:themeColor="text1"/>
                <w:kern w:val="22"/>
                <w:szCs w:val="22"/>
              </w:rPr>
              <w:t>%</w:t>
            </w:r>
          </w:p>
        </w:tc>
      </w:tr>
      <w:tr w:rsidR="00A876F3" w:rsidRPr="0088780C" w14:paraId="01423FDF" w14:textId="77777777" w:rsidTr="006972AD">
        <w:trPr>
          <w:jc w:val="center"/>
        </w:trPr>
        <w:tc>
          <w:tcPr>
            <w:tcW w:w="1985" w:type="dxa"/>
          </w:tcPr>
          <w:p w14:paraId="398FB8C6"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Macrophytes</w:t>
            </w:r>
          </w:p>
        </w:tc>
        <w:tc>
          <w:tcPr>
            <w:tcW w:w="874" w:type="dxa"/>
          </w:tcPr>
          <w:p w14:paraId="59B05D78"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332</w:t>
            </w:r>
          </w:p>
        </w:tc>
        <w:tc>
          <w:tcPr>
            <w:tcW w:w="874" w:type="dxa"/>
          </w:tcPr>
          <w:p w14:paraId="5DFEA0C1"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27</w:t>
            </w:r>
          </w:p>
        </w:tc>
        <w:tc>
          <w:tcPr>
            <w:tcW w:w="874" w:type="dxa"/>
          </w:tcPr>
          <w:p w14:paraId="0C69F5FE"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8</w:t>
            </w:r>
          </w:p>
        </w:tc>
        <w:tc>
          <w:tcPr>
            <w:tcW w:w="874" w:type="dxa"/>
          </w:tcPr>
          <w:p w14:paraId="580EB7A3"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6</w:t>
            </w:r>
          </w:p>
        </w:tc>
        <w:tc>
          <w:tcPr>
            <w:tcW w:w="874" w:type="dxa"/>
          </w:tcPr>
          <w:p w14:paraId="47A7C20E"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2</w:t>
            </w:r>
          </w:p>
        </w:tc>
        <w:tc>
          <w:tcPr>
            <w:tcW w:w="874" w:type="dxa"/>
          </w:tcPr>
          <w:p w14:paraId="09CC64C3"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33</w:t>
            </w:r>
          </w:p>
        </w:tc>
      </w:tr>
      <w:tr w:rsidR="00A876F3" w:rsidRPr="0088780C" w14:paraId="6B599327" w14:textId="77777777" w:rsidTr="006972AD">
        <w:trPr>
          <w:jc w:val="center"/>
        </w:trPr>
        <w:tc>
          <w:tcPr>
            <w:tcW w:w="1985" w:type="dxa"/>
          </w:tcPr>
          <w:p w14:paraId="6598F5DF"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Invertebrates</w:t>
            </w:r>
          </w:p>
        </w:tc>
        <w:tc>
          <w:tcPr>
            <w:tcW w:w="874" w:type="dxa"/>
          </w:tcPr>
          <w:p w14:paraId="381D5E21"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2000</w:t>
            </w:r>
          </w:p>
        </w:tc>
        <w:tc>
          <w:tcPr>
            <w:tcW w:w="874" w:type="dxa"/>
          </w:tcPr>
          <w:p w14:paraId="59B0EF6E"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104</w:t>
            </w:r>
          </w:p>
        </w:tc>
        <w:tc>
          <w:tcPr>
            <w:tcW w:w="874" w:type="dxa"/>
          </w:tcPr>
          <w:p w14:paraId="73DE27D3"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5</w:t>
            </w:r>
          </w:p>
        </w:tc>
        <w:tc>
          <w:tcPr>
            <w:tcW w:w="874" w:type="dxa"/>
          </w:tcPr>
          <w:p w14:paraId="2CAAB3D4"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45</w:t>
            </w:r>
          </w:p>
        </w:tc>
        <w:tc>
          <w:tcPr>
            <w:tcW w:w="874" w:type="dxa"/>
          </w:tcPr>
          <w:p w14:paraId="2BC18E54"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3</w:t>
            </w:r>
          </w:p>
        </w:tc>
        <w:tc>
          <w:tcPr>
            <w:tcW w:w="874" w:type="dxa"/>
          </w:tcPr>
          <w:p w14:paraId="3B7DFCD7"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7</w:t>
            </w:r>
          </w:p>
        </w:tc>
      </w:tr>
      <w:tr w:rsidR="00A876F3" w:rsidRPr="0088780C" w14:paraId="07B5870C" w14:textId="77777777" w:rsidTr="006972AD">
        <w:trPr>
          <w:jc w:val="center"/>
        </w:trPr>
        <w:tc>
          <w:tcPr>
            <w:tcW w:w="1985" w:type="dxa"/>
          </w:tcPr>
          <w:p w14:paraId="666F3135"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Fish</w:t>
            </w:r>
          </w:p>
        </w:tc>
        <w:tc>
          <w:tcPr>
            <w:tcW w:w="874" w:type="dxa"/>
          </w:tcPr>
          <w:p w14:paraId="52BFA9C6"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180</w:t>
            </w:r>
          </w:p>
        </w:tc>
        <w:tc>
          <w:tcPr>
            <w:tcW w:w="874" w:type="dxa"/>
          </w:tcPr>
          <w:p w14:paraId="1DE103DF"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88</w:t>
            </w:r>
          </w:p>
        </w:tc>
        <w:tc>
          <w:tcPr>
            <w:tcW w:w="874" w:type="dxa"/>
          </w:tcPr>
          <w:p w14:paraId="5C5E4DEA"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49</w:t>
            </w:r>
          </w:p>
        </w:tc>
        <w:tc>
          <w:tcPr>
            <w:tcW w:w="874" w:type="dxa"/>
          </w:tcPr>
          <w:p w14:paraId="28DFE3EC"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43</w:t>
            </w:r>
          </w:p>
        </w:tc>
        <w:tc>
          <w:tcPr>
            <w:tcW w:w="874" w:type="dxa"/>
          </w:tcPr>
          <w:p w14:paraId="3037AD60"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24</w:t>
            </w:r>
          </w:p>
        </w:tc>
        <w:tc>
          <w:tcPr>
            <w:tcW w:w="874" w:type="dxa"/>
          </w:tcPr>
          <w:p w14:paraId="63031124"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56</w:t>
            </w:r>
          </w:p>
        </w:tc>
      </w:tr>
      <w:tr w:rsidR="00A876F3" w:rsidRPr="0088780C" w14:paraId="4741DE08" w14:textId="77777777" w:rsidTr="006972AD">
        <w:trPr>
          <w:jc w:val="center"/>
        </w:trPr>
        <w:tc>
          <w:tcPr>
            <w:tcW w:w="1985" w:type="dxa"/>
          </w:tcPr>
          <w:p w14:paraId="5A0A793A"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r w:rsidRPr="0088780C">
              <w:rPr>
                <w:snapToGrid w:val="0"/>
                <w:color w:val="000000" w:themeColor="text1"/>
                <w:kern w:val="22"/>
                <w:szCs w:val="22"/>
              </w:rPr>
              <w:t>TOTAL</w:t>
            </w:r>
          </w:p>
        </w:tc>
        <w:tc>
          <w:tcPr>
            <w:tcW w:w="874" w:type="dxa"/>
          </w:tcPr>
          <w:p w14:paraId="5ED983CE"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2612</w:t>
            </w:r>
          </w:p>
        </w:tc>
        <w:tc>
          <w:tcPr>
            <w:tcW w:w="874" w:type="dxa"/>
          </w:tcPr>
          <w:p w14:paraId="59A25897"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219</w:t>
            </w:r>
          </w:p>
        </w:tc>
        <w:tc>
          <w:tcPr>
            <w:tcW w:w="874" w:type="dxa"/>
          </w:tcPr>
          <w:p w14:paraId="442D8221" w14:textId="77777777" w:rsidR="00A876F3" w:rsidRPr="0088780C" w:rsidRDefault="00A876F3" w:rsidP="001013AF">
            <w:pPr>
              <w:suppressLineNumbers/>
              <w:suppressAutoHyphens/>
              <w:kinsoku w:val="0"/>
              <w:overflowPunct w:val="0"/>
              <w:autoSpaceDE w:val="0"/>
              <w:autoSpaceDN w:val="0"/>
              <w:ind w:right="-26"/>
              <w:jc w:val="right"/>
              <w:rPr>
                <w:b/>
                <w:snapToGrid w:val="0"/>
                <w:color w:val="000000" w:themeColor="text1"/>
                <w:kern w:val="22"/>
                <w:szCs w:val="22"/>
              </w:rPr>
            </w:pPr>
            <w:r w:rsidRPr="0088780C">
              <w:rPr>
                <w:b/>
                <w:snapToGrid w:val="0"/>
                <w:color w:val="000000" w:themeColor="text1"/>
                <w:kern w:val="22"/>
                <w:szCs w:val="22"/>
              </w:rPr>
              <w:t>9</w:t>
            </w:r>
          </w:p>
        </w:tc>
        <w:tc>
          <w:tcPr>
            <w:tcW w:w="874" w:type="dxa"/>
          </w:tcPr>
          <w:p w14:paraId="20E60DB2"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94</w:t>
            </w:r>
          </w:p>
        </w:tc>
        <w:tc>
          <w:tcPr>
            <w:tcW w:w="874" w:type="dxa"/>
          </w:tcPr>
          <w:p w14:paraId="34A83A1C" w14:textId="77777777" w:rsidR="00A876F3" w:rsidRPr="0088780C" w:rsidRDefault="00A876F3" w:rsidP="001013AF">
            <w:pPr>
              <w:suppressLineNumbers/>
              <w:suppressAutoHyphens/>
              <w:kinsoku w:val="0"/>
              <w:overflowPunct w:val="0"/>
              <w:autoSpaceDE w:val="0"/>
              <w:autoSpaceDN w:val="0"/>
              <w:ind w:right="-26"/>
              <w:jc w:val="right"/>
              <w:rPr>
                <w:snapToGrid w:val="0"/>
                <w:color w:val="000000" w:themeColor="text1"/>
                <w:kern w:val="22"/>
                <w:szCs w:val="22"/>
              </w:rPr>
            </w:pPr>
            <w:r w:rsidRPr="0088780C">
              <w:rPr>
                <w:snapToGrid w:val="0"/>
                <w:color w:val="000000" w:themeColor="text1"/>
                <w:kern w:val="22"/>
                <w:szCs w:val="22"/>
              </w:rPr>
              <w:t>29</w:t>
            </w:r>
          </w:p>
        </w:tc>
        <w:tc>
          <w:tcPr>
            <w:tcW w:w="874" w:type="dxa"/>
          </w:tcPr>
          <w:p w14:paraId="34CA12D9" w14:textId="77777777" w:rsidR="00A876F3" w:rsidRPr="0088780C" w:rsidRDefault="00A876F3" w:rsidP="001013AF">
            <w:pPr>
              <w:suppressLineNumbers/>
              <w:suppressAutoHyphens/>
              <w:kinsoku w:val="0"/>
              <w:overflowPunct w:val="0"/>
              <w:autoSpaceDE w:val="0"/>
              <w:autoSpaceDN w:val="0"/>
              <w:ind w:right="-26"/>
              <w:jc w:val="right"/>
              <w:rPr>
                <w:b/>
                <w:snapToGrid w:val="0"/>
                <w:color w:val="000000" w:themeColor="text1"/>
                <w:kern w:val="22"/>
                <w:szCs w:val="22"/>
              </w:rPr>
            </w:pPr>
            <w:r w:rsidRPr="0088780C">
              <w:rPr>
                <w:b/>
                <w:snapToGrid w:val="0"/>
                <w:color w:val="000000" w:themeColor="text1"/>
                <w:kern w:val="22"/>
                <w:szCs w:val="22"/>
              </w:rPr>
              <w:t>31</w:t>
            </w:r>
          </w:p>
        </w:tc>
      </w:tr>
    </w:tbl>
    <w:p w14:paraId="44EFB285"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3AA07B72" w14:textId="1AA075F8" w:rsidR="00A876F3" w:rsidRPr="0088780C" w:rsidRDefault="00A876F3" w:rsidP="001013AF">
      <w:pPr>
        <w:pStyle w:val="CommentText"/>
        <w:keepNext/>
        <w:suppressLineNumbers/>
        <w:suppressAutoHyphens/>
        <w:kinsoku w:val="0"/>
        <w:overflowPunct w:val="0"/>
        <w:autoSpaceDE w:val="0"/>
        <w:autoSpaceDN w:val="0"/>
        <w:rPr>
          <w:b/>
          <w:bCs/>
          <w:snapToGrid w:val="0"/>
          <w:kern w:val="22"/>
          <w:szCs w:val="22"/>
        </w:rPr>
      </w:pPr>
      <w:r w:rsidRPr="0088780C">
        <w:rPr>
          <w:b/>
          <w:bCs/>
          <w:snapToGrid w:val="0"/>
          <w:color w:val="000000" w:themeColor="text1"/>
          <w:kern w:val="22"/>
          <w:szCs w:val="22"/>
        </w:rPr>
        <w:t>Table 5.</w:t>
      </w:r>
      <w:r w:rsidRPr="0088780C">
        <w:rPr>
          <w:b/>
          <w:bCs/>
          <w:i/>
          <w:snapToGrid w:val="0"/>
          <w:color w:val="000000" w:themeColor="text1"/>
          <w:kern w:val="22"/>
          <w:szCs w:val="22"/>
        </w:rPr>
        <w:t xml:space="preserve"> </w:t>
      </w:r>
      <w:r w:rsidRPr="0088780C">
        <w:rPr>
          <w:b/>
          <w:bCs/>
          <w:snapToGrid w:val="0"/>
          <w:color w:val="000000" w:themeColor="text1"/>
          <w:kern w:val="22"/>
          <w:szCs w:val="22"/>
        </w:rPr>
        <w:t xml:space="preserve">Assessment of the </w:t>
      </w:r>
      <w:r w:rsidRPr="0088780C">
        <w:rPr>
          <w:rFonts w:eastAsia="Calibri"/>
          <w:b/>
          <w:bCs/>
          <w:snapToGrid w:val="0"/>
          <w:color w:val="000000" w:themeColor="text1"/>
          <w:kern w:val="22"/>
          <w:szCs w:val="22"/>
          <w:lang w:eastAsia="ru-RU"/>
        </w:rPr>
        <w:t>Nature Resistance Index</w:t>
      </w:r>
      <w:r w:rsidRPr="0088780C">
        <w:rPr>
          <w:b/>
          <w:bCs/>
          <w:snapToGrid w:val="0"/>
          <w:color w:val="000000" w:themeColor="text1"/>
          <w:kern w:val="22"/>
          <w:szCs w:val="22"/>
        </w:rPr>
        <w:t xml:space="preserve"> (NRI) of Yagorlytsky Bay according to field research data in June 2013 </w:t>
      </w:r>
      <w:r w:rsidRPr="0088780C">
        <w:rPr>
          <w:b/>
          <w:bCs/>
          <w:snapToGrid w:val="0"/>
          <w:color w:val="000000" w:themeColor="text1"/>
          <w:kern w:val="22"/>
          <w:szCs w:val="22"/>
          <w:shd w:val="clear" w:color="auto" w:fill="FFFFFF"/>
        </w:rPr>
        <w:t>(Minicheva , Sokolov and Shvets, 2016)</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12"/>
        <w:gridCol w:w="866"/>
        <w:gridCol w:w="709"/>
        <w:gridCol w:w="709"/>
        <w:gridCol w:w="874"/>
        <w:gridCol w:w="850"/>
        <w:gridCol w:w="969"/>
        <w:gridCol w:w="709"/>
      </w:tblGrid>
      <w:tr w:rsidR="00A876F3" w:rsidRPr="0088780C" w14:paraId="03EBA528" w14:textId="77777777" w:rsidTr="006972AD">
        <w:trPr>
          <w:trHeight w:val="307"/>
          <w:jc w:val="center"/>
        </w:trPr>
        <w:tc>
          <w:tcPr>
            <w:tcW w:w="6096" w:type="dxa"/>
            <w:gridSpan w:val="4"/>
            <w:shd w:val="clear" w:color="auto" w:fill="auto"/>
            <w:tcMar>
              <w:top w:w="15" w:type="dxa"/>
              <w:left w:w="108" w:type="dxa"/>
              <w:bottom w:w="0" w:type="dxa"/>
              <w:right w:w="108" w:type="dxa"/>
            </w:tcMar>
            <w:hideMark/>
          </w:tcPr>
          <w:p w14:paraId="39ACAA2B"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Calibri"/>
                <w:b/>
                <w:bCs/>
                <w:snapToGrid w:val="0"/>
                <w:color w:val="000000" w:themeColor="text1"/>
                <w:kern w:val="22"/>
                <w:szCs w:val="22"/>
                <w:lang w:eastAsia="ru-RU"/>
              </w:rPr>
              <w:t>Morphofunctional state bottom vegetation</w:t>
            </w:r>
          </w:p>
        </w:tc>
        <w:tc>
          <w:tcPr>
            <w:tcW w:w="2693" w:type="dxa"/>
            <w:gridSpan w:val="3"/>
            <w:shd w:val="clear" w:color="auto" w:fill="auto"/>
            <w:tcMar>
              <w:top w:w="15" w:type="dxa"/>
              <w:left w:w="108" w:type="dxa"/>
              <w:bottom w:w="0" w:type="dxa"/>
              <w:right w:w="108" w:type="dxa"/>
            </w:tcMar>
            <w:hideMark/>
          </w:tcPr>
          <w:p w14:paraId="300900B9"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Calibri"/>
                <w:b/>
                <w:bCs/>
                <w:snapToGrid w:val="0"/>
                <w:color w:val="000000" w:themeColor="text1"/>
                <w:kern w:val="22"/>
                <w:szCs w:val="22"/>
                <w:lang w:eastAsia="ru-RU"/>
              </w:rPr>
              <w:t>Nature Resistance Index</w:t>
            </w:r>
          </w:p>
        </w:tc>
        <w:tc>
          <w:tcPr>
            <w:tcW w:w="709" w:type="dxa"/>
            <w:vMerge w:val="restart"/>
            <w:shd w:val="clear" w:color="auto" w:fill="auto"/>
            <w:tcMar>
              <w:top w:w="15" w:type="dxa"/>
              <w:left w:w="108" w:type="dxa"/>
              <w:bottom w:w="0" w:type="dxa"/>
              <w:right w:w="108" w:type="dxa"/>
            </w:tcMar>
            <w:hideMark/>
          </w:tcPr>
          <w:p w14:paraId="646D8F86" w14:textId="18DA7B32" w:rsidR="00A876F3" w:rsidRPr="0088780C" w:rsidRDefault="00A876F3" w:rsidP="001013AF">
            <w:pPr>
              <w:suppressLineNumbers/>
              <w:suppressAutoHyphens/>
              <w:kinsoku w:val="0"/>
              <w:overflowPunct w:val="0"/>
              <w:autoSpaceDE w:val="0"/>
              <w:autoSpaceDN w:val="0"/>
              <w:rPr>
                <w:rFonts w:eastAsia="Times New Roman"/>
                <w:b/>
                <w:snapToGrid w:val="0"/>
                <w:color w:val="000000" w:themeColor="text1"/>
                <w:kern w:val="22"/>
                <w:szCs w:val="22"/>
                <w:lang w:eastAsia="ru-RU"/>
              </w:rPr>
            </w:pPr>
          </w:p>
          <w:p w14:paraId="5A27EB1C" w14:textId="10B4E750" w:rsidR="00A876F3" w:rsidRPr="0088780C" w:rsidRDefault="00A876F3" w:rsidP="001013AF">
            <w:pPr>
              <w:suppressLineNumbers/>
              <w:suppressAutoHyphens/>
              <w:kinsoku w:val="0"/>
              <w:overflowPunct w:val="0"/>
              <w:autoSpaceDE w:val="0"/>
              <w:autoSpaceDN w:val="0"/>
              <w:rPr>
                <w:rFonts w:eastAsia="Times New Roman"/>
                <w:b/>
                <w:snapToGrid w:val="0"/>
                <w:color w:val="000000" w:themeColor="text1"/>
                <w:kern w:val="22"/>
                <w:szCs w:val="22"/>
                <w:lang w:eastAsia="ru-RU"/>
              </w:rPr>
            </w:pPr>
          </w:p>
          <w:p w14:paraId="0F13C14F" w14:textId="2288D1E9" w:rsidR="00A876F3" w:rsidRPr="0088780C" w:rsidRDefault="00A876F3" w:rsidP="001013AF">
            <w:pPr>
              <w:suppressLineNumbers/>
              <w:suppressAutoHyphens/>
              <w:kinsoku w:val="0"/>
              <w:overflowPunct w:val="0"/>
              <w:autoSpaceDE w:val="0"/>
              <w:autoSpaceDN w:val="0"/>
              <w:rPr>
                <w:rFonts w:eastAsia="Times New Roman"/>
                <w:b/>
                <w:snapToGrid w:val="0"/>
                <w:color w:val="000000" w:themeColor="text1"/>
                <w:kern w:val="22"/>
                <w:szCs w:val="22"/>
                <w:lang w:eastAsia="ru-RU"/>
              </w:rPr>
            </w:pPr>
            <w:r w:rsidRPr="0088780C">
              <w:rPr>
                <w:rFonts w:eastAsia="Calibri"/>
                <w:b/>
                <w:bCs/>
                <w:snapToGrid w:val="0"/>
                <w:color w:val="000000" w:themeColor="text1"/>
                <w:kern w:val="22"/>
                <w:szCs w:val="22"/>
                <w:lang w:eastAsia="ru-RU"/>
              </w:rPr>
              <w:t>AFI</w:t>
            </w:r>
          </w:p>
        </w:tc>
      </w:tr>
      <w:tr w:rsidR="00A876F3" w:rsidRPr="0088780C" w14:paraId="4F6B5B7A" w14:textId="77777777" w:rsidTr="006972AD">
        <w:trPr>
          <w:trHeight w:val="538"/>
          <w:jc w:val="center"/>
        </w:trPr>
        <w:tc>
          <w:tcPr>
            <w:tcW w:w="3812" w:type="dxa"/>
            <w:shd w:val="clear" w:color="auto" w:fill="auto"/>
            <w:tcMar>
              <w:top w:w="15" w:type="dxa"/>
              <w:left w:w="108" w:type="dxa"/>
              <w:bottom w:w="0" w:type="dxa"/>
              <w:right w:w="108" w:type="dxa"/>
            </w:tcMar>
            <w:hideMark/>
          </w:tcPr>
          <w:p w14:paraId="022B9E84" w14:textId="3214EB2E"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p>
          <w:p w14:paraId="5E6CDD28"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Calibri"/>
                <w:b/>
                <w:bCs/>
                <w:snapToGrid w:val="0"/>
                <w:color w:val="000000" w:themeColor="text1"/>
                <w:kern w:val="22"/>
                <w:szCs w:val="22"/>
                <w:lang w:eastAsia="ru-RU"/>
              </w:rPr>
              <w:t>EEI</w:t>
            </w:r>
          </w:p>
        </w:tc>
        <w:tc>
          <w:tcPr>
            <w:tcW w:w="866" w:type="dxa"/>
            <w:shd w:val="clear" w:color="auto" w:fill="auto"/>
            <w:tcMar>
              <w:top w:w="15" w:type="dxa"/>
              <w:left w:w="108" w:type="dxa"/>
              <w:bottom w:w="0" w:type="dxa"/>
              <w:right w:w="108" w:type="dxa"/>
            </w:tcMar>
            <w:hideMark/>
          </w:tcPr>
          <w:p w14:paraId="116D3203"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Calibri"/>
                <w:b/>
                <w:bCs/>
                <w:snapToGrid w:val="0"/>
                <w:color w:val="000000" w:themeColor="text1"/>
                <w:kern w:val="22"/>
                <w:szCs w:val="22"/>
                <w:lang w:eastAsia="ru-RU"/>
              </w:rPr>
              <w:t>Value EEI</w:t>
            </w:r>
          </w:p>
        </w:tc>
        <w:tc>
          <w:tcPr>
            <w:tcW w:w="709" w:type="dxa"/>
            <w:shd w:val="clear" w:color="auto" w:fill="auto"/>
            <w:tcMar>
              <w:top w:w="15" w:type="dxa"/>
              <w:left w:w="108" w:type="dxa"/>
              <w:bottom w:w="0" w:type="dxa"/>
              <w:right w:w="108" w:type="dxa"/>
            </w:tcMar>
            <w:hideMark/>
          </w:tcPr>
          <w:p w14:paraId="2524457A" w14:textId="75E9A0D9"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p>
          <w:p w14:paraId="7B8A2F7C"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Calibri"/>
                <w:b/>
                <w:bCs/>
                <w:snapToGrid w:val="0"/>
                <w:color w:val="000000" w:themeColor="text1"/>
                <w:kern w:val="22"/>
                <w:szCs w:val="22"/>
                <w:lang w:eastAsia="ru-RU"/>
              </w:rPr>
              <w:t>EOR</w:t>
            </w:r>
          </w:p>
        </w:tc>
        <w:tc>
          <w:tcPr>
            <w:tcW w:w="709" w:type="dxa"/>
            <w:shd w:val="clear" w:color="auto" w:fill="auto"/>
            <w:tcMar>
              <w:top w:w="15" w:type="dxa"/>
              <w:left w:w="108" w:type="dxa"/>
              <w:bottom w:w="0" w:type="dxa"/>
              <w:right w:w="108" w:type="dxa"/>
            </w:tcMar>
            <w:hideMark/>
          </w:tcPr>
          <w:p w14:paraId="7F4CA3E6" w14:textId="1ECC906E"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p>
          <w:p w14:paraId="3A38B880"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Calibri"/>
                <w:b/>
                <w:bCs/>
                <w:snapToGrid w:val="0"/>
                <w:color w:val="000000" w:themeColor="text1"/>
                <w:kern w:val="22"/>
                <w:szCs w:val="22"/>
                <w:lang w:eastAsia="ru-RU"/>
              </w:rPr>
              <w:t>ESC</w:t>
            </w:r>
          </w:p>
        </w:tc>
        <w:tc>
          <w:tcPr>
            <w:tcW w:w="874" w:type="dxa"/>
            <w:shd w:val="clear" w:color="auto" w:fill="auto"/>
            <w:tcMar>
              <w:top w:w="15" w:type="dxa"/>
              <w:left w:w="108" w:type="dxa"/>
              <w:bottom w:w="0" w:type="dxa"/>
              <w:right w:w="108" w:type="dxa"/>
            </w:tcMar>
            <w:hideMark/>
          </w:tcPr>
          <w:p w14:paraId="2D0AC96A" w14:textId="28CD9F82"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p>
          <w:p w14:paraId="11DDA2DB"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Calibri"/>
                <w:b/>
                <w:bCs/>
                <w:snapToGrid w:val="0"/>
                <w:color w:val="000000" w:themeColor="text1"/>
                <w:kern w:val="22"/>
                <w:szCs w:val="22"/>
                <w:lang w:eastAsia="ru-RU"/>
              </w:rPr>
              <w:t>NRI</w:t>
            </w:r>
          </w:p>
        </w:tc>
        <w:tc>
          <w:tcPr>
            <w:tcW w:w="850" w:type="dxa"/>
            <w:shd w:val="clear" w:color="auto" w:fill="auto"/>
            <w:tcMar>
              <w:top w:w="15" w:type="dxa"/>
              <w:left w:w="108" w:type="dxa"/>
              <w:bottom w:w="0" w:type="dxa"/>
              <w:right w:w="108" w:type="dxa"/>
            </w:tcMar>
            <w:hideMark/>
          </w:tcPr>
          <w:p w14:paraId="7EBD59A3" w14:textId="736D0601"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p>
          <w:p w14:paraId="4124B741"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Calibri"/>
                <w:b/>
                <w:bCs/>
                <w:snapToGrid w:val="0"/>
                <w:color w:val="000000" w:themeColor="text1"/>
                <w:kern w:val="22"/>
                <w:szCs w:val="22"/>
                <w:lang w:eastAsia="ru-RU"/>
              </w:rPr>
              <w:t>EOR</w:t>
            </w:r>
          </w:p>
        </w:tc>
        <w:tc>
          <w:tcPr>
            <w:tcW w:w="969" w:type="dxa"/>
            <w:shd w:val="clear" w:color="auto" w:fill="auto"/>
            <w:tcMar>
              <w:top w:w="15" w:type="dxa"/>
              <w:left w:w="108" w:type="dxa"/>
              <w:bottom w:w="0" w:type="dxa"/>
              <w:right w:w="108" w:type="dxa"/>
            </w:tcMar>
            <w:hideMark/>
          </w:tcPr>
          <w:p w14:paraId="389707F7" w14:textId="388C5504"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p>
          <w:p w14:paraId="15194FEC" w14:textId="77777777" w:rsidR="00A876F3" w:rsidRPr="0088780C" w:rsidRDefault="00A876F3" w:rsidP="001013AF">
            <w:pPr>
              <w:suppressLineNumbers/>
              <w:suppressAutoHyphens/>
              <w:kinsoku w:val="0"/>
              <w:overflowPunct w:val="0"/>
              <w:autoSpaceDE w:val="0"/>
              <w:autoSpaceDN w:val="0"/>
              <w:jc w:val="center"/>
              <w:rPr>
                <w:rFonts w:eastAsia="Times New Roman"/>
                <w:b/>
                <w:snapToGrid w:val="0"/>
                <w:color w:val="000000" w:themeColor="text1"/>
                <w:kern w:val="22"/>
                <w:szCs w:val="22"/>
                <w:lang w:eastAsia="ru-RU"/>
              </w:rPr>
            </w:pPr>
            <w:r w:rsidRPr="0088780C">
              <w:rPr>
                <w:rFonts w:eastAsia="Calibri"/>
                <w:b/>
                <w:bCs/>
                <w:snapToGrid w:val="0"/>
                <w:color w:val="000000" w:themeColor="text1"/>
                <w:kern w:val="22"/>
                <w:szCs w:val="22"/>
                <w:lang w:eastAsia="ru-RU"/>
              </w:rPr>
              <w:t>ESC</w:t>
            </w:r>
          </w:p>
        </w:tc>
        <w:tc>
          <w:tcPr>
            <w:tcW w:w="709" w:type="dxa"/>
            <w:vMerge/>
            <w:shd w:val="clear" w:color="auto" w:fill="auto"/>
            <w:vAlign w:val="center"/>
            <w:hideMark/>
          </w:tcPr>
          <w:p w14:paraId="071BC543" w14:textId="77777777" w:rsidR="00A876F3" w:rsidRPr="0088780C" w:rsidRDefault="00A876F3" w:rsidP="001013AF">
            <w:pPr>
              <w:suppressLineNumbers/>
              <w:suppressAutoHyphens/>
              <w:kinsoku w:val="0"/>
              <w:overflowPunct w:val="0"/>
              <w:autoSpaceDE w:val="0"/>
              <w:autoSpaceDN w:val="0"/>
              <w:rPr>
                <w:rFonts w:eastAsia="Times New Roman"/>
                <w:b/>
                <w:snapToGrid w:val="0"/>
                <w:color w:val="000000" w:themeColor="text1"/>
                <w:kern w:val="22"/>
                <w:szCs w:val="22"/>
                <w:lang w:eastAsia="ru-RU"/>
              </w:rPr>
            </w:pPr>
          </w:p>
        </w:tc>
      </w:tr>
      <w:tr w:rsidR="00A876F3" w:rsidRPr="0088780C" w14:paraId="44532955" w14:textId="77777777" w:rsidTr="006972AD">
        <w:trPr>
          <w:trHeight w:val="533"/>
          <w:jc w:val="center"/>
        </w:trPr>
        <w:tc>
          <w:tcPr>
            <w:tcW w:w="3812" w:type="dxa"/>
            <w:shd w:val="clear" w:color="auto" w:fill="auto"/>
            <w:tcMar>
              <w:top w:w="15" w:type="dxa"/>
              <w:left w:w="108" w:type="dxa"/>
              <w:bottom w:w="0" w:type="dxa"/>
              <w:right w:w="108" w:type="dxa"/>
            </w:tcMar>
            <w:hideMark/>
          </w:tcPr>
          <w:p w14:paraId="64A143BD" w14:textId="77777777" w:rsidR="00A876F3" w:rsidRPr="0088780C" w:rsidRDefault="00A876F3" w:rsidP="001013AF">
            <w:pPr>
              <w:suppressLineNumbers/>
              <w:suppressAutoHyphens/>
              <w:kinsoku w:val="0"/>
              <w:overflowPunct w:val="0"/>
              <w:autoSpaceDE w:val="0"/>
              <w:autoSpaceDN w:val="0"/>
              <w:jc w:val="left"/>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Ecological activity of three dominates (S/W</w:t>
            </w:r>
            <w:r w:rsidRPr="0088780C">
              <w:rPr>
                <w:rFonts w:eastAsia="Calibri"/>
                <w:bCs/>
                <w:snapToGrid w:val="0"/>
                <w:color w:val="000000" w:themeColor="text1"/>
                <w:kern w:val="22"/>
                <w:szCs w:val="22"/>
                <w:vertAlign w:val="subscript"/>
                <w:lang w:eastAsia="ru-RU"/>
              </w:rPr>
              <w:t>3Dp</w:t>
            </w:r>
            <w:r w:rsidRPr="0088780C">
              <w:rPr>
                <w:rFonts w:eastAsia="Calibri"/>
                <w:bCs/>
                <w:snapToGrid w:val="0"/>
                <w:color w:val="000000" w:themeColor="text1"/>
                <w:kern w:val="22"/>
                <w:szCs w:val="22"/>
                <w:lang w:eastAsia="ru-RU"/>
              </w:rPr>
              <w:t>) m</w:t>
            </w:r>
            <w:r w:rsidRPr="0088780C">
              <w:rPr>
                <w:rFonts w:eastAsia="Calibri"/>
                <w:bCs/>
                <w:snapToGrid w:val="0"/>
                <w:color w:val="000000" w:themeColor="text1"/>
                <w:kern w:val="22"/>
                <w:szCs w:val="22"/>
                <w:vertAlign w:val="superscript"/>
                <w:lang w:eastAsia="ru-RU"/>
              </w:rPr>
              <w:t>2</w:t>
            </w:r>
            <w:r w:rsidRPr="0088780C">
              <w:rPr>
                <w:rFonts w:eastAsia="Calibri"/>
                <w:bCs/>
                <w:snapToGrid w:val="0"/>
                <w:color w:val="000000" w:themeColor="text1"/>
                <w:kern w:val="22"/>
                <w:szCs w:val="22"/>
                <w:lang w:eastAsia="ru-RU"/>
              </w:rPr>
              <w:t>·kg</w:t>
            </w:r>
            <w:r w:rsidRPr="0088780C">
              <w:rPr>
                <w:rFonts w:eastAsia="Calibri"/>
                <w:bCs/>
                <w:snapToGrid w:val="0"/>
                <w:color w:val="000000" w:themeColor="text1"/>
                <w:kern w:val="22"/>
                <w:szCs w:val="22"/>
                <w:vertAlign w:val="superscript"/>
                <w:lang w:eastAsia="ru-RU"/>
              </w:rPr>
              <w:t>-1</w:t>
            </w:r>
          </w:p>
        </w:tc>
        <w:tc>
          <w:tcPr>
            <w:tcW w:w="866" w:type="dxa"/>
            <w:shd w:val="clear" w:color="auto" w:fill="auto"/>
            <w:tcMar>
              <w:top w:w="15" w:type="dxa"/>
              <w:left w:w="108" w:type="dxa"/>
              <w:bottom w:w="0" w:type="dxa"/>
              <w:right w:w="108" w:type="dxa"/>
            </w:tcMar>
            <w:hideMark/>
          </w:tcPr>
          <w:p w14:paraId="19B0A37F"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287CFFF4"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12,5</w:t>
            </w:r>
          </w:p>
        </w:tc>
        <w:tc>
          <w:tcPr>
            <w:tcW w:w="709" w:type="dxa"/>
            <w:shd w:val="clear" w:color="auto" w:fill="auto"/>
            <w:tcMar>
              <w:top w:w="15" w:type="dxa"/>
              <w:left w:w="108" w:type="dxa"/>
              <w:bottom w:w="0" w:type="dxa"/>
              <w:right w:w="108" w:type="dxa"/>
            </w:tcMar>
            <w:hideMark/>
          </w:tcPr>
          <w:p w14:paraId="5E73EBAF"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202593AF"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0,89</w:t>
            </w:r>
          </w:p>
        </w:tc>
        <w:tc>
          <w:tcPr>
            <w:tcW w:w="709" w:type="dxa"/>
            <w:shd w:val="clear" w:color="auto" w:fill="auto"/>
            <w:tcMar>
              <w:top w:w="15" w:type="dxa"/>
              <w:left w:w="108" w:type="dxa"/>
              <w:bottom w:w="0" w:type="dxa"/>
              <w:right w:w="108" w:type="dxa"/>
            </w:tcMar>
            <w:hideMark/>
          </w:tcPr>
          <w:p w14:paraId="5C9F64C2"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69E94B8D"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High</w:t>
            </w:r>
          </w:p>
        </w:tc>
        <w:tc>
          <w:tcPr>
            <w:tcW w:w="874" w:type="dxa"/>
            <w:vMerge w:val="restart"/>
            <w:shd w:val="clear" w:color="auto" w:fill="auto"/>
            <w:tcMar>
              <w:top w:w="15" w:type="dxa"/>
              <w:left w:w="108" w:type="dxa"/>
              <w:bottom w:w="0" w:type="dxa"/>
              <w:right w:w="108" w:type="dxa"/>
            </w:tcMar>
            <w:hideMark/>
          </w:tcPr>
          <w:p w14:paraId="360461B3"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6124E512"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5F74C398"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1D80992E"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0,835</w:t>
            </w:r>
          </w:p>
        </w:tc>
        <w:tc>
          <w:tcPr>
            <w:tcW w:w="850" w:type="dxa"/>
            <w:vMerge w:val="restart"/>
            <w:shd w:val="clear" w:color="auto" w:fill="auto"/>
            <w:tcMar>
              <w:top w:w="15" w:type="dxa"/>
              <w:left w:w="108" w:type="dxa"/>
              <w:bottom w:w="0" w:type="dxa"/>
              <w:right w:w="108" w:type="dxa"/>
            </w:tcMar>
            <w:hideMark/>
          </w:tcPr>
          <w:p w14:paraId="69812FF5"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1C19B754"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219AC585"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4998350A"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0,98</w:t>
            </w:r>
          </w:p>
        </w:tc>
        <w:tc>
          <w:tcPr>
            <w:tcW w:w="969" w:type="dxa"/>
            <w:vMerge w:val="restart"/>
            <w:shd w:val="clear" w:color="auto" w:fill="auto"/>
            <w:tcMar>
              <w:top w:w="15" w:type="dxa"/>
              <w:left w:w="108" w:type="dxa"/>
              <w:bottom w:w="0" w:type="dxa"/>
              <w:right w:w="108" w:type="dxa"/>
            </w:tcMar>
            <w:hideMark/>
          </w:tcPr>
          <w:p w14:paraId="6F37A389"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4489B5FB"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721737B8"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7FC1905E"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High</w:t>
            </w:r>
          </w:p>
        </w:tc>
        <w:tc>
          <w:tcPr>
            <w:tcW w:w="709" w:type="dxa"/>
            <w:vMerge w:val="restart"/>
            <w:shd w:val="clear" w:color="auto" w:fill="auto"/>
            <w:tcMar>
              <w:top w:w="15" w:type="dxa"/>
              <w:left w:w="108" w:type="dxa"/>
              <w:bottom w:w="0" w:type="dxa"/>
              <w:right w:w="108" w:type="dxa"/>
            </w:tcMar>
            <w:hideMark/>
          </w:tcPr>
          <w:p w14:paraId="3FCC502C"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1C2C82BA"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729FCBC5"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7759393A"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0</w:t>
            </w:r>
          </w:p>
          <w:p w14:paraId="34F55F3B"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tc>
      </w:tr>
      <w:tr w:rsidR="00A876F3" w:rsidRPr="0088780C" w14:paraId="401BA169" w14:textId="77777777" w:rsidTr="006972AD">
        <w:trPr>
          <w:trHeight w:val="530"/>
          <w:jc w:val="center"/>
        </w:trPr>
        <w:tc>
          <w:tcPr>
            <w:tcW w:w="3812" w:type="dxa"/>
            <w:shd w:val="clear" w:color="auto" w:fill="auto"/>
            <w:tcMar>
              <w:top w:w="15" w:type="dxa"/>
              <w:left w:w="108" w:type="dxa"/>
              <w:bottom w:w="0" w:type="dxa"/>
              <w:right w:w="108" w:type="dxa"/>
            </w:tcMar>
            <w:hideMark/>
          </w:tcPr>
          <w:p w14:paraId="456585FC" w14:textId="77777777" w:rsidR="00A876F3" w:rsidRPr="0088780C" w:rsidRDefault="00A876F3" w:rsidP="001013AF">
            <w:pPr>
              <w:suppressLineNumbers/>
              <w:suppressAutoHyphens/>
              <w:kinsoku w:val="0"/>
              <w:overflowPunct w:val="0"/>
              <w:autoSpaceDE w:val="0"/>
              <w:autoSpaceDN w:val="0"/>
              <w:jc w:val="left"/>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Average ecological activity of species (S/W) m</w:t>
            </w:r>
            <w:r w:rsidRPr="0088780C">
              <w:rPr>
                <w:rFonts w:eastAsia="Calibri"/>
                <w:bCs/>
                <w:snapToGrid w:val="0"/>
                <w:color w:val="000000" w:themeColor="text1"/>
                <w:kern w:val="22"/>
                <w:szCs w:val="22"/>
                <w:vertAlign w:val="superscript"/>
                <w:lang w:eastAsia="ru-RU"/>
              </w:rPr>
              <w:t>2</w:t>
            </w:r>
            <w:r w:rsidRPr="0088780C">
              <w:rPr>
                <w:rFonts w:eastAsia="Calibri"/>
                <w:bCs/>
                <w:snapToGrid w:val="0"/>
                <w:color w:val="000000" w:themeColor="text1"/>
                <w:kern w:val="22"/>
                <w:szCs w:val="22"/>
                <w:lang w:eastAsia="ru-RU"/>
              </w:rPr>
              <w:t>·kg</w:t>
            </w:r>
            <w:r w:rsidRPr="0088780C">
              <w:rPr>
                <w:rFonts w:eastAsia="Calibri"/>
                <w:bCs/>
                <w:snapToGrid w:val="0"/>
                <w:color w:val="000000" w:themeColor="text1"/>
                <w:kern w:val="22"/>
                <w:szCs w:val="22"/>
                <w:vertAlign w:val="superscript"/>
                <w:lang w:eastAsia="ru-RU"/>
              </w:rPr>
              <w:t>-1</w:t>
            </w:r>
          </w:p>
        </w:tc>
        <w:tc>
          <w:tcPr>
            <w:tcW w:w="866" w:type="dxa"/>
            <w:shd w:val="clear" w:color="auto" w:fill="auto"/>
            <w:tcMar>
              <w:top w:w="15" w:type="dxa"/>
              <w:left w:w="108" w:type="dxa"/>
              <w:bottom w:w="0" w:type="dxa"/>
              <w:right w:w="108" w:type="dxa"/>
            </w:tcMar>
            <w:hideMark/>
          </w:tcPr>
          <w:p w14:paraId="62D1E1CC"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28D0335D"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43,3</w:t>
            </w:r>
          </w:p>
        </w:tc>
        <w:tc>
          <w:tcPr>
            <w:tcW w:w="709" w:type="dxa"/>
            <w:shd w:val="clear" w:color="auto" w:fill="auto"/>
            <w:tcMar>
              <w:top w:w="15" w:type="dxa"/>
              <w:left w:w="108" w:type="dxa"/>
              <w:bottom w:w="0" w:type="dxa"/>
              <w:right w:w="108" w:type="dxa"/>
            </w:tcMar>
            <w:hideMark/>
          </w:tcPr>
          <w:p w14:paraId="564F51F9"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3C089978"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0,96</w:t>
            </w:r>
          </w:p>
        </w:tc>
        <w:tc>
          <w:tcPr>
            <w:tcW w:w="709" w:type="dxa"/>
            <w:shd w:val="clear" w:color="auto" w:fill="auto"/>
            <w:tcMar>
              <w:top w:w="15" w:type="dxa"/>
              <w:left w:w="108" w:type="dxa"/>
              <w:bottom w:w="0" w:type="dxa"/>
              <w:right w:w="108" w:type="dxa"/>
            </w:tcMar>
            <w:hideMark/>
          </w:tcPr>
          <w:p w14:paraId="30F46C88"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p>
          <w:p w14:paraId="2BF47260"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High</w:t>
            </w:r>
          </w:p>
        </w:tc>
        <w:tc>
          <w:tcPr>
            <w:tcW w:w="874" w:type="dxa"/>
            <w:vMerge/>
            <w:vAlign w:val="center"/>
            <w:hideMark/>
          </w:tcPr>
          <w:p w14:paraId="5BD4A5F7"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tc>
        <w:tc>
          <w:tcPr>
            <w:tcW w:w="850" w:type="dxa"/>
            <w:vMerge/>
            <w:vAlign w:val="center"/>
            <w:hideMark/>
          </w:tcPr>
          <w:p w14:paraId="07EFCD73"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tc>
        <w:tc>
          <w:tcPr>
            <w:tcW w:w="969" w:type="dxa"/>
            <w:vMerge/>
            <w:vAlign w:val="center"/>
            <w:hideMark/>
          </w:tcPr>
          <w:p w14:paraId="15A96AA7"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tc>
        <w:tc>
          <w:tcPr>
            <w:tcW w:w="709" w:type="dxa"/>
            <w:vMerge/>
            <w:vAlign w:val="center"/>
            <w:hideMark/>
          </w:tcPr>
          <w:p w14:paraId="1F6D5326"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tc>
      </w:tr>
      <w:tr w:rsidR="00A876F3" w:rsidRPr="0088780C" w14:paraId="17289234" w14:textId="77777777" w:rsidTr="006972AD">
        <w:trPr>
          <w:trHeight w:val="284"/>
          <w:jc w:val="center"/>
        </w:trPr>
        <w:tc>
          <w:tcPr>
            <w:tcW w:w="3812" w:type="dxa"/>
            <w:shd w:val="clear" w:color="auto" w:fill="auto"/>
            <w:tcMar>
              <w:top w:w="15" w:type="dxa"/>
              <w:left w:w="108" w:type="dxa"/>
              <w:bottom w:w="0" w:type="dxa"/>
              <w:right w:w="108" w:type="dxa"/>
            </w:tcMar>
            <w:hideMark/>
          </w:tcPr>
          <w:p w14:paraId="7F0C135B" w14:textId="77777777" w:rsidR="00A876F3" w:rsidRPr="0088780C" w:rsidRDefault="00A876F3" w:rsidP="001013AF">
            <w:pPr>
              <w:suppressLineNumbers/>
              <w:suppressAutoHyphens/>
              <w:kinsoku w:val="0"/>
              <w:overflowPunct w:val="0"/>
              <w:autoSpaceDE w:val="0"/>
              <w:autoSpaceDN w:val="0"/>
              <w:jc w:val="left"/>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Phytocenosis surface index (SI</w:t>
            </w:r>
            <w:r w:rsidRPr="0088780C">
              <w:rPr>
                <w:rFonts w:eastAsia="Calibri"/>
                <w:bCs/>
                <w:snapToGrid w:val="0"/>
                <w:color w:val="000000" w:themeColor="text1"/>
                <w:kern w:val="22"/>
                <w:szCs w:val="22"/>
                <w:vertAlign w:val="subscript"/>
                <w:lang w:eastAsia="ru-RU"/>
              </w:rPr>
              <w:t>s</w:t>
            </w:r>
            <w:r w:rsidRPr="0088780C">
              <w:rPr>
                <w:rFonts w:eastAsia="Calibri"/>
                <w:bCs/>
                <w:snapToGrid w:val="0"/>
                <w:color w:val="000000" w:themeColor="text1"/>
                <w:kern w:val="22"/>
                <w:szCs w:val="22"/>
                <w:lang w:eastAsia="ru-RU"/>
              </w:rPr>
              <w:t>) units</w:t>
            </w:r>
          </w:p>
        </w:tc>
        <w:tc>
          <w:tcPr>
            <w:tcW w:w="866" w:type="dxa"/>
            <w:shd w:val="clear" w:color="auto" w:fill="auto"/>
            <w:tcMar>
              <w:top w:w="15" w:type="dxa"/>
              <w:left w:w="108" w:type="dxa"/>
              <w:bottom w:w="0" w:type="dxa"/>
              <w:right w:w="108" w:type="dxa"/>
            </w:tcMar>
            <w:hideMark/>
          </w:tcPr>
          <w:p w14:paraId="0D4F7E93"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5,09</w:t>
            </w:r>
          </w:p>
        </w:tc>
        <w:tc>
          <w:tcPr>
            <w:tcW w:w="709" w:type="dxa"/>
            <w:shd w:val="clear" w:color="auto" w:fill="auto"/>
            <w:tcMar>
              <w:top w:w="15" w:type="dxa"/>
              <w:left w:w="108" w:type="dxa"/>
              <w:bottom w:w="0" w:type="dxa"/>
              <w:right w:w="108" w:type="dxa"/>
            </w:tcMar>
            <w:hideMark/>
          </w:tcPr>
          <w:p w14:paraId="3DB79243"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0,97</w:t>
            </w:r>
          </w:p>
        </w:tc>
        <w:tc>
          <w:tcPr>
            <w:tcW w:w="709" w:type="dxa"/>
            <w:shd w:val="clear" w:color="auto" w:fill="auto"/>
            <w:tcMar>
              <w:top w:w="15" w:type="dxa"/>
              <w:left w:w="108" w:type="dxa"/>
              <w:bottom w:w="0" w:type="dxa"/>
              <w:right w:w="108" w:type="dxa"/>
            </w:tcMar>
            <w:hideMark/>
          </w:tcPr>
          <w:p w14:paraId="4672EB68" w14:textId="77777777" w:rsidR="00A876F3" w:rsidRPr="0088780C" w:rsidRDefault="00A876F3" w:rsidP="001013AF">
            <w:pPr>
              <w:suppressLineNumbers/>
              <w:suppressAutoHyphens/>
              <w:kinsoku w:val="0"/>
              <w:overflowPunct w:val="0"/>
              <w:autoSpaceDE w:val="0"/>
              <w:autoSpaceDN w:val="0"/>
              <w:jc w:val="center"/>
              <w:rPr>
                <w:rFonts w:eastAsia="Times New Roman"/>
                <w:snapToGrid w:val="0"/>
                <w:color w:val="000000" w:themeColor="text1"/>
                <w:kern w:val="22"/>
                <w:szCs w:val="22"/>
                <w:lang w:eastAsia="ru-RU"/>
              </w:rPr>
            </w:pPr>
            <w:r w:rsidRPr="0088780C">
              <w:rPr>
                <w:rFonts w:eastAsia="Calibri"/>
                <w:bCs/>
                <w:snapToGrid w:val="0"/>
                <w:color w:val="000000" w:themeColor="text1"/>
                <w:kern w:val="22"/>
                <w:szCs w:val="22"/>
                <w:lang w:eastAsia="ru-RU"/>
              </w:rPr>
              <w:t>High</w:t>
            </w:r>
          </w:p>
        </w:tc>
        <w:tc>
          <w:tcPr>
            <w:tcW w:w="874" w:type="dxa"/>
            <w:vMerge/>
            <w:vAlign w:val="center"/>
            <w:hideMark/>
          </w:tcPr>
          <w:p w14:paraId="41BDD12B"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tc>
        <w:tc>
          <w:tcPr>
            <w:tcW w:w="850" w:type="dxa"/>
            <w:vMerge/>
            <w:vAlign w:val="center"/>
            <w:hideMark/>
          </w:tcPr>
          <w:p w14:paraId="2A0E370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tc>
        <w:tc>
          <w:tcPr>
            <w:tcW w:w="969" w:type="dxa"/>
            <w:vMerge/>
            <w:vAlign w:val="center"/>
            <w:hideMark/>
          </w:tcPr>
          <w:p w14:paraId="7E623AFE"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tc>
        <w:tc>
          <w:tcPr>
            <w:tcW w:w="709" w:type="dxa"/>
            <w:vMerge/>
            <w:vAlign w:val="center"/>
            <w:hideMark/>
          </w:tcPr>
          <w:p w14:paraId="197E239A"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themeColor="text1"/>
                <w:kern w:val="22"/>
                <w:szCs w:val="22"/>
                <w:lang w:eastAsia="ru-RU"/>
              </w:rPr>
            </w:pPr>
          </w:p>
        </w:tc>
      </w:tr>
    </w:tbl>
    <w:p w14:paraId="0A7DA4C5" w14:textId="77777777" w:rsidR="00A876F3" w:rsidRPr="0088780C" w:rsidRDefault="00A876F3" w:rsidP="001013AF">
      <w:pPr>
        <w:suppressLineNumbers/>
        <w:suppressAutoHyphens/>
        <w:kinsoku w:val="0"/>
        <w:overflowPunct w:val="0"/>
        <w:autoSpaceDE w:val="0"/>
        <w:autoSpaceDN w:val="0"/>
        <w:rPr>
          <w:snapToGrid w:val="0"/>
          <w:color w:val="000000" w:themeColor="text1"/>
          <w:kern w:val="22"/>
          <w:szCs w:val="22"/>
        </w:rPr>
      </w:pPr>
    </w:p>
    <w:p w14:paraId="1126BECF" w14:textId="77777777" w:rsidR="00A876F3" w:rsidRPr="0088780C" w:rsidRDefault="00A876F3" w:rsidP="001013AF">
      <w:pPr>
        <w:suppressLineNumbers/>
        <w:tabs>
          <w:tab w:val="left" w:pos="1872"/>
        </w:tabs>
        <w:suppressAutoHyphens/>
        <w:kinsoku w:val="0"/>
        <w:overflowPunct w:val="0"/>
        <w:autoSpaceDE w:val="0"/>
        <w:autoSpaceDN w:val="0"/>
        <w:spacing w:after="200"/>
        <w:rPr>
          <w:snapToGrid w:val="0"/>
          <w:color w:val="000000" w:themeColor="text1"/>
          <w:kern w:val="22"/>
          <w:szCs w:val="22"/>
        </w:rPr>
      </w:pPr>
      <w:r w:rsidRPr="0088780C">
        <w:rPr>
          <w:snapToGrid w:val="0"/>
          <w:color w:val="000000" w:themeColor="text1"/>
          <w:kern w:val="22"/>
          <w:szCs w:val="22"/>
        </w:rPr>
        <w:br w:type="page"/>
      </w:r>
    </w:p>
    <w:p w14:paraId="1672C93E" w14:textId="7AA64FA5"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9: Kuban Delta</w:t>
      </w:r>
    </w:p>
    <w:p w14:paraId="4C9F124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D8D4E4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Abstract</w:t>
      </w:r>
    </w:p>
    <w:p w14:paraId="01014993"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Kuban Delta is the second-largest delta ecosystem in the Black Sea – Sea of Azov Basin (1920 km</w:t>
      </w:r>
      <w:r w:rsidRPr="0088780C">
        <w:rPr>
          <w:rFonts w:eastAsia="MS Mincho"/>
          <w:snapToGrid w:val="0"/>
          <w:kern w:val="22"/>
          <w:szCs w:val="22"/>
          <w:vertAlign w:val="superscript"/>
        </w:rPr>
        <w:t>2</w:t>
      </w:r>
      <w:r w:rsidRPr="0088780C">
        <w:rPr>
          <w:rFonts w:eastAsia="MS Mincho"/>
          <w:snapToGrid w:val="0"/>
          <w:kern w:val="22"/>
          <w:szCs w:val="22"/>
        </w:rPr>
        <w:t xml:space="preserve">). It includes more than 600 water bodies with different hydrological regimes. </w:t>
      </w:r>
      <w:r w:rsidRPr="0088780C">
        <w:rPr>
          <w:snapToGrid w:val="0"/>
          <w:kern w:val="22"/>
          <w:szCs w:val="22"/>
        </w:rPr>
        <w:t xml:space="preserve">Many waterbirds utilize the coastal wetlands and estuaries of the delta as stopover areas during spring and autumn migrations. </w:t>
      </w:r>
      <w:r w:rsidRPr="0088780C">
        <w:rPr>
          <w:rFonts w:eastAsia="MS Mincho"/>
          <w:snapToGrid w:val="0"/>
          <w:kern w:val="22"/>
          <w:szCs w:val="22"/>
        </w:rPr>
        <w:t>The area overlaps with a marine Important Bird and Biodiversity Area and is an important international wetland, designated as a Ramsar site. It is important for the vulnerable Dalmatian pelican (</w:t>
      </w:r>
      <w:r w:rsidRPr="0088780C">
        <w:rPr>
          <w:rFonts w:eastAsia="MS Mincho"/>
          <w:i/>
          <w:snapToGrid w:val="0"/>
          <w:kern w:val="22"/>
          <w:szCs w:val="22"/>
        </w:rPr>
        <w:t>Pelecanus crispus)</w:t>
      </w:r>
      <w:r w:rsidRPr="0088780C">
        <w:rPr>
          <w:rFonts w:eastAsia="MS Mincho"/>
          <w:snapToGrid w:val="0"/>
          <w:kern w:val="22"/>
          <w:szCs w:val="22"/>
        </w:rPr>
        <w:t xml:space="preserve">. </w:t>
      </w:r>
      <w:r w:rsidRPr="0088780C">
        <w:rPr>
          <w:snapToGrid w:val="0"/>
          <w:kern w:val="22"/>
          <w:szCs w:val="22"/>
        </w:rPr>
        <w:t>The Kuban Delta is undergoing continuous change under the influence of both natural and anthropogenic factors.</w:t>
      </w:r>
    </w:p>
    <w:p w14:paraId="297033F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08660F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4E43186B" w14:textId="594A5AEF"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rFonts w:eastAsia="MS Mincho"/>
          <w:snapToGrid w:val="0"/>
          <w:kern w:val="22"/>
          <w:szCs w:val="22"/>
        </w:rPr>
        <w:t>The Kuban Delta is the second-largest delta ecosystem in the Black Sea – Sea of Azov Basin (1920 km</w:t>
      </w:r>
      <w:r w:rsidRPr="0088780C">
        <w:rPr>
          <w:rFonts w:eastAsia="MS Mincho"/>
          <w:snapToGrid w:val="0"/>
          <w:kern w:val="22"/>
          <w:szCs w:val="22"/>
          <w:vertAlign w:val="superscript"/>
        </w:rPr>
        <w:t>2</w:t>
      </w:r>
      <w:r w:rsidRPr="0088780C">
        <w:rPr>
          <w:rFonts w:eastAsia="MS Mincho"/>
          <w:snapToGrid w:val="0"/>
          <w:kern w:val="22"/>
          <w:szCs w:val="22"/>
        </w:rPr>
        <w:t xml:space="preserve">). It includes more than 600 water bodies with different hydrological regimes (Krivenko, 1999). </w:t>
      </w:r>
      <w:r w:rsidRPr="0088780C">
        <w:rPr>
          <w:snapToGrid w:val="0"/>
          <w:kern w:val="22"/>
          <w:szCs w:val="22"/>
        </w:rPr>
        <w:t xml:space="preserve">Sands and shell limestone containing the remains of </w:t>
      </w:r>
      <w:r w:rsidRPr="0088780C">
        <w:rPr>
          <w:i/>
          <w:snapToGrid w:val="0"/>
          <w:kern w:val="22"/>
          <w:szCs w:val="22"/>
        </w:rPr>
        <w:t>Cerastoderma glauca</w:t>
      </w:r>
      <w:r w:rsidRPr="0088780C">
        <w:rPr>
          <w:snapToGrid w:val="0"/>
          <w:kern w:val="22"/>
          <w:szCs w:val="22"/>
        </w:rPr>
        <w:t xml:space="preserve"> shells are found in the coastal area</w:t>
      </w:r>
      <w:r w:rsidRPr="0088780C">
        <w:rPr>
          <w:rFonts w:eastAsia="MS Mincho"/>
          <w:snapToGrid w:val="0"/>
          <w:kern w:val="22"/>
          <w:szCs w:val="22"/>
        </w:rPr>
        <w:t xml:space="preserve">. </w:t>
      </w:r>
      <w:r w:rsidRPr="0088780C">
        <w:rPr>
          <w:snapToGrid w:val="0"/>
          <w:kern w:val="22"/>
          <w:szCs w:val="22"/>
        </w:rPr>
        <w:t xml:space="preserve">Many waterbirds utilize the coastal wetlands and limans of the delta as stopover areas during spring migrations. The migration starts in February-March, and the total number of migrating birds is estimated at 1.2 to 2 million individuals. </w:t>
      </w:r>
      <w:r w:rsidRPr="0088780C">
        <w:rPr>
          <w:rFonts w:eastAsia="MS Mincho"/>
          <w:snapToGrid w:val="0"/>
          <w:kern w:val="22"/>
          <w:szCs w:val="22"/>
        </w:rPr>
        <w:t>It is an important international wetland, designated as a Ramsar site. The area overlaps with a marine Important Bird and Biodiversity Area (IBA; BirdLife International 2017a), designated primarily for its importance for the vulnerable Dalmatian pelican (</w:t>
      </w:r>
      <w:r w:rsidRPr="0088780C">
        <w:rPr>
          <w:rFonts w:eastAsia="MS Mincho"/>
          <w:i/>
          <w:snapToGrid w:val="0"/>
          <w:kern w:val="22"/>
          <w:szCs w:val="22"/>
        </w:rPr>
        <w:t>Pelecanus crispus)</w:t>
      </w:r>
      <w:r w:rsidRPr="0088780C">
        <w:rPr>
          <w:rFonts w:eastAsia="MS Mincho"/>
          <w:snapToGrid w:val="0"/>
          <w:kern w:val="22"/>
          <w:szCs w:val="22"/>
        </w:rPr>
        <w:t xml:space="preserve">, and as an area of global or regional importance for six other aquatic species. </w:t>
      </w:r>
      <w:r w:rsidRPr="0088780C">
        <w:rPr>
          <w:snapToGrid w:val="0"/>
          <w:kern w:val="22"/>
          <w:szCs w:val="22"/>
        </w:rPr>
        <w:t>Flora of the delta estuary includes 103 water plant species (81 species of flowering plants, 20 species of algae, one species of ferns and one horsetail) (Shekhov, 1971). The</w:t>
      </w:r>
      <w:r w:rsidR="00800095" w:rsidRPr="0088780C">
        <w:rPr>
          <w:snapToGrid w:val="0"/>
          <w:kern w:val="22"/>
          <w:szCs w:val="22"/>
        </w:rPr>
        <w:t>re</w:t>
      </w:r>
      <w:r w:rsidRPr="0088780C">
        <w:rPr>
          <w:snapToGrid w:val="0"/>
          <w:kern w:val="22"/>
          <w:szCs w:val="22"/>
        </w:rPr>
        <w:t xml:space="preserve"> are 60 species of fish in the Kuban Delta. The bird fauna includes 192 species (Complex ecological survey…, 2014). The area of the Delta has been largely drained and converted into agricultural land during recent decades. As a result, there are two major ecosystems: (1) anthropogenic: reservoirs, rice fields, and (2) natural: a system of foredelta, salt lakes, deltaic freshwater and brackish water bodies, coastal shallows and lagoons (Krivenko, 1999). </w:t>
      </w:r>
      <w:r w:rsidRPr="0088780C">
        <w:rPr>
          <w:snapToGrid w:val="0"/>
          <w:color w:val="333333"/>
          <w:kern w:val="22"/>
          <w:szCs w:val="22"/>
          <w:shd w:val="clear" w:color="auto" w:fill="FEFEFE"/>
        </w:rPr>
        <w:t>The Kuban estuaries gradually become silted and shallow. The hydrological regime and the water balance of the Azov-Kuban estuaries currently depend mainly on the delta climate, the water content of the Kuban River, the water regime of the Azov Sea and the regulation of the water regime</w:t>
      </w:r>
      <w:r w:rsidRPr="0088780C">
        <w:rPr>
          <w:snapToGrid w:val="0"/>
          <w:kern w:val="22"/>
          <w:szCs w:val="22"/>
        </w:rPr>
        <w:t xml:space="preserve"> (Rumyantsev et. al., 2015).</w:t>
      </w:r>
    </w:p>
    <w:p w14:paraId="7F0CAED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49D470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40B9A87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area is located at </w:t>
      </w:r>
      <w:r w:rsidRPr="0088780C">
        <w:rPr>
          <w:snapToGrid w:val="0"/>
          <w:kern w:val="22"/>
          <w:szCs w:val="22"/>
        </w:rPr>
        <w:t xml:space="preserve">45°30'N 37°48'E. The southern border of the site lies along the shore of Kurchansky Liman (estuary), embraces the Kuban Delta and reaches the Sea of Azov. To the west and north, the borderline extends along the coast of the Sea of Azov and reaches the middle point of Akhtarsky Liman. </w:t>
      </w:r>
    </w:p>
    <w:p w14:paraId="2D7F979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2E68F7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32197589" w14:textId="5E9D0C7E"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Kuban Delta is the second-largest delta ecosystem in the Black Sea – Sea of Azov Basin (173000 ha) after the Danube Delta. It includes more than 600 water bodies with different hydrological regimes (Krivenko, 1999). More than half of them have a water surface measuring 50 to 500 hectares. The morphology of waterbodies is very diverse. They are connected with each other and with the Sea of Azov by narrow straights (girlos and eriks). Most water bodies have flat coasts, overgrown with hydrophilic vegetation — mostly reeds (</w:t>
      </w:r>
      <w:r w:rsidRPr="0088780C">
        <w:rPr>
          <w:rFonts w:eastAsia="MS Mincho"/>
          <w:i/>
          <w:snapToGrid w:val="0"/>
          <w:kern w:val="22"/>
          <w:szCs w:val="22"/>
        </w:rPr>
        <w:t>Phragmites</w:t>
      </w:r>
      <w:r w:rsidRPr="0088780C">
        <w:rPr>
          <w:rFonts w:eastAsia="MS Mincho"/>
          <w:snapToGrid w:val="0"/>
          <w:kern w:val="22"/>
          <w:szCs w:val="22"/>
        </w:rPr>
        <w:t xml:space="preserve"> </w:t>
      </w:r>
      <w:r w:rsidRPr="0088780C">
        <w:rPr>
          <w:rFonts w:eastAsia="MS Mincho"/>
          <w:i/>
          <w:snapToGrid w:val="0"/>
          <w:kern w:val="22"/>
          <w:szCs w:val="22"/>
        </w:rPr>
        <w:t>australis</w:t>
      </w:r>
      <w:r w:rsidRPr="0088780C">
        <w:rPr>
          <w:rFonts w:eastAsia="MS Mincho"/>
          <w:snapToGrid w:val="0"/>
          <w:kern w:val="22"/>
          <w:szCs w:val="22"/>
        </w:rPr>
        <w:t>) (</w:t>
      </w:r>
      <w:r w:rsidRPr="0088780C">
        <w:rPr>
          <w:snapToGrid w:val="0"/>
          <w:color w:val="222222"/>
          <w:kern w:val="22"/>
          <w:szCs w:val="22"/>
          <w:shd w:val="clear" w:color="auto" w:fill="FFFFFF"/>
        </w:rPr>
        <w:t xml:space="preserve">Beluchenko, 2005). </w:t>
      </w:r>
      <w:r w:rsidRPr="0088780C">
        <w:rPr>
          <w:snapToGrid w:val="0"/>
          <w:kern w:val="22"/>
          <w:szCs w:val="22"/>
        </w:rPr>
        <w:t xml:space="preserve">Sands and shell limestone containing the remains of </w:t>
      </w:r>
      <w:r w:rsidRPr="0088780C">
        <w:rPr>
          <w:i/>
          <w:snapToGrid w:val="0"/>
          <w:kern w:val="22"/>
          <w:szCs w:val="22"/>
        </w:rPr>
        <w:t>Cerastoderma glauca</w:t>
      </w:r>
      <w:r w:rsidRPr="0088780C">
        <w:rPr>
          <w:snapToGrid w:val="0"/>
          <w:kern w:val="22"/>
          <w:szCs w:val="22"/>
        </w:rPr>
        <w:t xml:space="preserve"> shells are found in the coastal area. </w:t>
      </w:r>
      <w:r w:rsidRPr="0088780C">
        <w:rPr>
          <w:rFonts w:eastAsia="MS Mincho"/>
          <w:snapToGrid w:val="0"/>
          <w:kern w:val="22"/>
          <w:szCs w:val="22"/>
        </w:rPr>
        <w:t>It is an important international wetland that has been designated a Ramsar Site (</w:t>
      </w:r>
      <w:r w:rsidRPr="0088780C">
        <w:rPr>
          <w:snapToGrid w:val="0"/>
          <w:kern w:val="22"/>
          <w:szCs w:val="22"/>
        </w:rPr>
        <w:t xml:space="preserve">Ramsar Site: 674 – Kuban Delta: Group of limans between </w:t>
      </w:r>
      <w:r w:rsidR="00C512B3" w:rsidRPr="0088780C">
        <w:rPr>
          <w:snapToGrid w:val="0"/>
          <w:kern w:val="22"/>
          <w:szCs w:val="22"/>
        </w:rPr>
        <w:t xml:space="preserve">the </w:t>
      </w:r>
      <w:r w:rsidRPr="0088780C">
        <w:rPr>
          <w:snapToGrid w:val="0"/>
          <w:kern w:val="22"/>
          <w:szCs w:val="22"/>
        </w:rPr>
        <w:t xml:space="preserve">Kuban </w:t>
      </w:r>
      <w:r w:rsidR="00C512B3" w:rsidRPr="0088780C">
        <w:rPr>
          <w:snapToGrid w:val="0"/>
          <w:kern w:val="22"/>
          <w:szCs w:val="22"/>
        </w:rPr>
        <w:t>and</w:t>
      </w:r>
      <w:r w:rsidRPr="0088780C">
        <w:rPr>
          <w:snapToGrid w:val="0"/>
          <w:kern w:val="22"/>
          <w:szCs w:val="22"/>
        </w:rPr>
        <w:t xml:space="preserve"> Protoka rivers </w:t>
      </w:r>
      <w:r w:rsidRPr="0088780C">
        <w:rPr>
          <w:rFonts w:eastAsia="MS Mincho"/>
          <w:snapToGrid w:val="0"/>
          <w:kern w:val="22"/>
          <w:szCs w:val="22"/>
        </w:rPr>
        <w:t>(Ramsar List, 2017).</w:t>
      </w:r>
    </w:p>
    <w:p w14:paraId="15BEC4F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295FF8E" w14:textId="49F5240D"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area has a mild climate influenced by two atmospheric circulation patterns: the northeastern (continental) and </w:t>
      </w:r>
      <w:r w:rsidR="00D65B3C" w:rsidRPr="0088780C">
        <w:rPr>
          <w:snapToGrid w:val="0"/>
          <w:kern w:val="22"/>
          <w:szCs w:val="22"/>
        </w:rPr>
        <w:t>south-west</w:t>
      </w:r>
      <w:r w:rsidRPr="0088780C">
        <w:rPr>
          <w:snapToGrid w:val="0"/>
          <w:kern w:val="22"/>
          <w:szCs w:val="22"/>
        </w:rPr>
        <w:t>ern (marine). The ice period lasts 30-102 days. The thickness of the ice cover reaches 50 cm in cold winters with an average of 25-30 cm (Krivenko, 1999).</w:t>
      </w:r>
    </w:p>
    <w:p w14:paraId="5F79D8A7"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079785A"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Zooplankton and phytoplankton communities in the area are productive. The biomass of zooplankton (rotifers, copepods and cladoceres) varies in time and space (0.1g / m</w:t>
      </w:r>
      <w:r w:rsidRPr="0088780C">
        <w:rPr>
          <w:snapToGrid w:val="0"/>
          <w:kern w:val="22"/>
          <w:szCs w:val="22"/>
          <w:vertAlign w:val="superscript"/>
        </w:rPr>
        <w:t>3</w:t>
      </w:r>
      <w:r w:rsidRPr="0088780C">
        <w:rPr>
          <w:snapToGrid w:val="0"/>
          <w:kern w:val="22"/>
          <w:szCs w:val="22"/>
        </w:rPr>
        <w:t xml:space="preserve"> – 9.2 g / m</w:t>
      </w:r>
      <w:r w:rsidRPr="0088780C">
        <w:rPr>
          <w:snapToGrid w:val="0"/>
          <w:kern w:val="22"/>
          <w:szCs w:val="22"/>
          <w:vertAlign w:val="superscript"/>
        </w:rPr>
        <w:t>3</w:t>
      </w:r>
      <w:r w:rsidRPr="0088780C">
        <w:rPr>
          <w:snapToGrid w:val="0"/>
          <w:kern w:val="22"/>
          <w:szCs w:val="22"/>
        </w:rPr>
        <w:t>). Phytoplankton biomass ranges from 0.2 to 100.4 g / m</w:t>
      </w:r>
      <w:r w:rsidRPr="0088780C">
        <w:rPr>
          <w:snapToGrid w:val="0"/>
          <w:kern w:val="22"/>
          <w:szCs w:val="22"/>
          <w:vertAlign w:val="superscript"/>
        </w:rPr>
        <w:t>3</w:t>
      </w:r>
      <w:r w:rsidRPr="0088780C">
        <w:rPr>
          <w:snapToGrid w:val="0"/>
          <w:kern w:val="22"/>
          <w:szCs w:val="22"/>
        </w:rPr>
        <w:t>). The transition waterbodies are more productive. The fish fauna is rather diverse, comprising 65 fish species. Of these, eight species are rare or endangered (Krivenko, 1999). Floral inventories of the Kuban Delta list more than 700 plant species. More than 100 plant species are found in the Delta limans (estuaries), including 81 species of flowering plants, 20 species of algae, one species of fern and one species of horsetail. Four groups of types and 10 phytocoenosis types of estuaries have been distinguished (Shekhov 1971).</w:t>
      </w:r>
    </w:p>
    <w:p w14:paraId="2F0AEDF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156D07A"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Many waterbirds use the coastal wetlands and limans of the delta as a stopover area during spring migration. The migration starts in February-March, and the total number of migrating birds is estimated at 1.2 to 2 million individuals. The total number of water birds migrating through the area in autumn is estimated at approximately 1.5 to 2.1 million individuals. In the years when the autumn-winter season begins with a cold spell, the birds pass through the area relatively quickly. This wetland is the breeding area for 46 water bird species, and </w:t>
      </w:r>
      <w:r w:rsidRPr="0088780C">
        <w:rPr>
          <w:snapToGrid w:val="0"/>
          <w:color w:val="333333"/>
          <w:kern w:val="22"/>
          <w:szCs w:val="22"/>
          <w:shd w:val="clear" w:color="auto" w:fill="FEFEFE"/>
        </w:rPr>
        <w:t>0,15 to 0,5 million individuals overwinter there</w:t>
      </w:r>
      <w:r w:rsidRPr="0088780C">
        <w:rPr>
          <w:snapToGrid w:val="0"/>
          <w:kern w:val="22"/>
          <w:szCs w:val="22"/>
        </w:rPr>
        <w:t xml:space="preserve"> (Krivenko, 1999).</w:t>
      </w:r>
    </w:p>
    <w:p w14:paraId="0A88AC52"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8476AA8" w14:textId="5C74DE3D"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overlaps with a marine Important Bird and Biodiversity Area (IBA; BirdLife International 2017a), designated primarily for its importance for the vulnerable Dalmatian pelican (</w:t>
      </w:r>
      <w:r w:rsidRPr="0088780C">
        <w:rPr>
          <w:rFonts w:eastAsia="MS Mincho"/>
          <w:i/>
          <w:snapToGrid w:val="0"/>
          <w:kern w:val="22"/>
          <w:szCs w:val="22"/>
        </w:rPr>
        <w:t>Pelecanus crispus)</w:t>
      </w:r>
      <w:r w:rsidRPr="0088780C">
        <w:rPr>
          <w:rFonts w:eastAsia="MS Mincho"/>
          <w:snapToGrid w:val="0"/>
          <w:kern w:val="22"/>
          <w:szCs w:val="22"/>
        </w:rPr>
        <w:t>, and as an area of global or regional importance for another six aquatic species, including the Pallas's gull (</w:t>
      </w:r>
      <w:r w:rsidRPr="0088780C">
        <w:rPr>
          <w:rFonts w:eastAsia="MS Mincho"/>
          <w:i/>
          <w:snapToGrid w:val="0"/>
          <w:kern w:val="22"/>
          <w:szCs w:val="22"/>
        </w:rPr>
        <w:t>Larus ichthyaetus)</w:t>
      </w:r>
      <w:r w:rsidRPr="0088780C">
        <w:rPr>
          <w:rFonts w:eastAsia="MS Mincho"/>
          <w:snapToGrid w:val="0"/>
          <w:kern w:val="22"/>
          <w:szCs w:val="22"/>
        </w:rPr>
        <w:t>, Caspian tern (</w:t>
      </w:r>
      <w:r w:rsidRPr="0088780C">
        <w:rPr>
          <w:rFonts w:eastAsia="MS Mincho"/>
          <w:i/>
          <w:snapToGrid w:val="0"/>
          <w:kern w:val="22"/>
          <w:szCs w:val="22"/>
        </w:rPr>
        <w:t>Hydroprogne caspia)</w:t>
      </w:r>
      <w:r w:rsidRPr="0088780C">
        <w:rPr>
          <w:rFonts w:eastAsia="MS Mincho"/>
          <w:snapToGrid w:val="0"/>
          <w:kern w:val="22"/>
          <w:szCs w:val="22"/>
        </w:rPr>
        <w:t>, whiskered tern (</w:t>
      </w:r>
      <w:r w:rsidRPr="0088780C">
        <w:rPr>
          <w:rFonts w:eastAsia="MS Mincho"/>
          <w:i/>
          <w:snapToGrid w:val="0"/>
          <w:kern w:val="22"/>
          <w:szCs w:val="22"/>
        </w:rPr>
        <w:t>Chlidonias hybrid)</w:t>
      </w:r>
      <w:r w:rsidRPr="0088780C">
        <w:rPr>
          <w:rFonts w:eastAsia="MS Mincho"/>
          <w:snapToGrid w:val="0"/>
          <w:kern w:val="22"/>
          <w:szCs w:val="22"/>
        </w:rPr>
        <w:t xml:space="preserve"> and Sandwich tern (</w:t>
      </w:r>
      <w:r w:rsidRPr="0088780C">
        <w:rPr>
          <w:rFonts w:eastAsia="MS Mincho"/>
          <w:i/>
          <w:snapToGrid w:val="0"/>
          <w:kern w:val="22"/>
          <w:szCs w:val="22"/>
        </w:rPr>
        <w:t>Thalasseus sandvicensis)</w:t>
      </w:r>
      <w:r w:rsidRPr="0088780C">
        <w:rPr>
          <w:rFonts w:eastAsia="MS Mincho"/>
          <w:snapToGrid w:val="0"/>
          <w:kern w:val="22"/>
          <w:szCs w:val="22"/>
        </w:rPr>
        <w:t xml:space="preserve">. The site holds regularly more than 30,000 waterbirds during migratory seasons </w:t>
      </w:r>
      <w:r w:rsidRPr="0088780C">
        <w:rPr>
          <w:snapToGrid w:val="0"/>
          <w:kern w:val="22"/>
          <w:szCs w:val="22"/>
        </w:rPr>
        <w:t>(BirdLife International 2017a)</w:t>
      </w:r>
      <w:r w:rsidRPr="0088780C">
        <w:rPr>
          <w:rFonts w:eastAsia="MS Mincho"/>
          <w:snapToGrid w:val="0"/>
          <w:kern w:val="22"/>
          <w:szCs w:val="22"/>
        </w:rPr>
        <w:t>.</w:t>
      </w:r>
    </w:p>
    <w:p w14:paraId="26D37098"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p>
    <w:p w14:paraId="18934E96"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r w:rsidRPr="0088780C">
        <w:rPr>
          <w:snapToGrid w:val="0"/>
          <w:kern w:val="22"/>
          <w:szCs w:val="22"/>
          <w:shd w:val="clear" w:color="auto" w:fill="FEFEFE"/>
        </w:rPr>
        <w:t xml:space="preserve">The area is one of the habitats of rare and endangered bird species listed on the </w:t>
      </w:r>
      <w:r w:rsidRPr="0088780C">
        <w:rPr>
          <w:bCs/>
          <w:snapToGrid w:val="0"/>
          <w:kern w:val="22"/>
          <w:szCs w:val="22"/>
          <w:shd w:val="clear" w:color="auto" w:fill="FFFFFF"/>
        </w:rPr>
        <w:t>IUCN Red List of Threatened Species</w:t>
      </w:r>
      <w:r w:rsidRPr="0088780C">
        <w:rPr>
          <w:snapToGrid w:val="0"/>
          <w:kern w:val="22"/>
          <w:szCs w:val="22"/>
          <w:shd w:val="clear" w:color="auto" w:fill="FEFEFE"/>
        </w:rPr>
        <w:t xml:space="preserve"> (IUCN) and </w:t>
      </w:r>
      <w:r w:rsidRPr="0088780C">
        <w:rPr>
          <w:bCs/>
          <w:i/>
          <w:iCs/>
          <w:snapToGrid w:val="0"/>
          <w:kern w:val="22"/>
          <w:szCs w:val="22"/>
          <w:shd w:val="clear" w:color="auto" w:fill="FFFFFF"/>
        </w:rPr>
        <w:t>Red Data Book of the Russian Federation</w:t>
      </w:r>
      <w:r w:rsidRPr="0088780C">
        <w:rPr>
          <w:rStyle w:val="apple-converted-space"/>
          <w:snapToGrid w:val="0"/>
          <w:kern w:val="22"/>
          <w:szCs w:val="22"/>
          <w:shd w:val="clear" w:color="auto" w:fill="FFFFFF"/>
        </w:rPr>
        <w:t> </w:t>
      </w:r>
      <w:r w:rsidRPr="0088780C">
        <w:rPr>
          <w:snapToGrid w:val="0"/>
          <w:kern w:val="22"/>
          <w:szCs w:val="22"/>
          <w:shd w:val="clear" w:color="auto" w:fill="FFFFFF"/>
        </w:rPr>
        <w:t>(</w:t>
      </w:r>
      <w:r w:rsidRPr="0088780C">
        <w:rPr>
          <w:i/>
          <w:iCs/>
          <w:snapToGrid w:val="0"/>
          <w:kern w:val="22"/>
          <w:szCs w:val="22"/>
          <w:shd w:val="clear" w:color="auto" w:fill="FFFFFF"/>
        </w:rPr>
        <w:t>RDBRF</w:t>
      </w:r>
      <w:r w:rsidRPr="0088780C">
        <w:rPr>
          <w:snapToGrid w:val="0"/>
          <w:kern w:val="22"/>
          <w:szCs w:val="22"/>
          <w:shd w:val="clear" w:color="auto" w:fill="FFFFFF"/>
        </w:rPr>
        <w:t>), including (</w:t>
      </w:r>
      <w:r w:rsidRPr="0088780C">
        <w:rPr>
          <w:snapToGrid w:val="0"/>
          <w:kern w:val="22"/>
          <w:szCs w:val="22"/>
        </w:rPr>
        <w:t>Krivenko, 1999)</w:t>
      </w:r>
      <w:r w:rsidRPr="0088780C">
        <w:rPr>
          <w:snapToGrid w:val="0"/>
          <w:kern w:val="22"/>
          <w:szCs w:val="22"/>
          <w:shd w:val="clear" w:color="auto" w:fill="FFFFFF"/>
        </w:rPr>
        <w:t>:</w:t>
      </w:r>
    </w:p>
    <w:p w14:paraId="663AA263" w14:textId="77777777" w:rsidR="00A876F3" w:rsidRPr="0088780C" w:rsidRDefault="00A876F3" w:rsidP="001013AF">
      <w:pPr>
        <w:suppressLineNumbers/>
        <w:suppressAutoHyphens/>
        <w:kinsoku w:val="0"/>
        <w:overflowPunct w:val="0"/>
        <w:autoSpaceDE w:val="0"/>
        <w:autoSpaceDN w:val="0"/>
        <w:rPr>
          <w:snapToGrid w:val="0"/>
          <w:kern w:val="22"/>
          <w:szCs w:val="22"/>
          <w:u w:val="single"/>
          <w:shd w:val="clear" w:color="auto" w:fill="FEFEFE"/>
        </w:rPr>
      </w:pPr>
      <w:r w:rsidRPr="0088780C">
        <w:rPr>
          <w:snapToGrid w:val="0"/>
          <w:kern w:val="22"/>
          <w:szCs w:val="22"/>
          <w:u w:val="single"/>
          <w:shd w:val="clear" w:color="auto" w:fill="FEFEFE"/>
        </w:rPr>
        <w:t>Nesting species</w:t>
      </w:r>
    </w:p>
    <w:p w14:paraId="72749E42"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r w:rsidRPr="0088780C">
        <w:rPr>
          <w:bCs/>
          <w:snapToGrid w:val="0"/>
          <w:kern w:val="22"/>
          <w:szCs w:val="22"/>
          <w:shd w:val="clear" w:color="auto" w:fill="FFFFFF"/>
        </w:rPr>
        <w:t>Dalmatian pelican</w:t>
      </w:r>
      <w:r w:rsidRPr="0088780C">
        <w:rPr>
          <w:snapToGrid w:val="0"/>
          <w:kern w:val="22"/>
          <w:szCs w:val="22"/>
          <w:shd w:val="clear" w:color="auto" w:fill="FEFEFE"/>
        </w:rPr>
        <w:t xml:space="preserve"> (</w:t>
      </w:r>
      <w:r w:rsidRPr="0088780C">
        <w:rPr>
          <w:i/>
          <w:snapToGrid w:val="0"/>
          <w:kern w:val="22"/>
          <w:szCs w:val="22"/>
          <w:shd w:val="clear" w:color="auto" w:fill="FEFEFE"/>
        </w:rPr>
        <w:t>Pelecanus crispus</w:t>
      </w:r>
      <w:r w:rsidRPr="0088780C">
        <w:rPr>
          <w:snapToGrid w:val="0"/>
          <w:kern w:val="22"/>
          <w:szCs w:val="22"/>
          <w:shd w:val="clear" w:color="auto" w:fill="FEFEFE"/>
        </w:rPr>
        <w:t>) (IUCN RL: VU)</w:t>
      </w:r>
    </w:p>
    <w:p w14:paraId="7EE83233"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r w:rsidRPr="0088780C">
        <w:rPr>
          <w:snapToGrid w:val="0"/>
          <w:kern w:val="22"/>
          <w:szCs w:val="22"/>
          <w:shd w:val="clear" w:color="auto" w:fill="FFFFFF"/>
        </w:rPr>
        <w:t>Eurasian spoonbill</w:t>
      </w:r>
      <w:r w:rsidRPr="0088780C">
        <w:rPr>
          <w:snapToGrid w:val="0"/>
          <w:kern w:val="22"/>
          <w:szCs w:val="22"/>
          <w:shd w:val="clear" w:color="auto" w:fill="FEFEFE"/>
        </w:rPr>
        <w:t xml:space="preserve"> (</w:t>
      </w:r>
      <w:r w:rsidRPr="0088780C">
        <w:rPr>
          <w:i/>
          <w:snapToGrid w:val="0"/>
          <w:kern w:val="22"/>
          <w:szCs w:val="22"/>
          <w:shd w:val="clear" w:color="auto" w:fill="FEFEFE"/>
        </w:rPr>
        <w:t>Platalea leucorodia</w:t>
      </w:r>
      <w:r w:rsidRPr="0088780C">
        <w:rPr>
          <w:snapToGrid w:val="0"/>
          <w:kern w:val="22"/>
          <w:szCs w:val="22"/>
          <w:shd w:val="clear" w:color="auto" w:fill="FEFEFE"/>
        </w:rPr>
        <w:t>) (</w:t>
      </w:r>
      <w:r w:rsidRPr="0088780C">
        <w:rPr>
          <w:i/>
          <w:iCs/>
          <w:snapToGrid w:val="0"/>
          <w:kern w:val="22"/>
          <w:szCs w:val="22"/>
          <w:shd w:val="clear" w:color="auto" w:fill="FFFFFF"/>
        </w:rPr>
        <w:t>RDBRF</w:t>
      </w:r>
      <w:r w:rsidRPr="0088780C">
        <w:rPr>
          <w:snapToGrid w:val="0"/>
          <w:kern w:val="22"/>
          <w:szCs w:val="22"/>
          <w:shd w:val="clear" w:color="auto" w:fill="FEFEFE"/>
        </w:rPr>
        <w:t xml:space="preserve">: 2) </w:t>
      </w:r>
    </w:p>
    <w:p w14:paraId="2CDAC1D8"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r w:rsidRPr="0088780C">
        <w:rPr>
          <w:bCs/>
          <w:snapToGrid w:val="0"/>
          <w:kern w:val="22"/>
          <w:szCs w:val="22"/>
          <w:shd w:val="clear" w:color="auto" w:fill="FFFFFF"/>
        </w:rPr>
        <w:t>Glossy ibis</w:t>
      </w:r>
      <w:r w:rsidRPr="0088780C">
        <w:rPr>
          <w:snapToGrid w:val="0"/>
          <w:kern w:val="22"/>
          <w:szCs w:val="22"/>
          <w:shd w:val="clear" w:color="auto" w:fill="FEFEFE"/>
        </w:rPr>
        <w:t xml:space="preserve"> (</w:t>
      </w:r>
      <w:r w:rsidRPr="0088780C">
        <w:rPr>
          <w:i/>
          <w:snapToGrid w:val="0"/>
          <w:kern w:val="22"/>
          <w:szCs w:val="22"/>
          <w:shd w:val="clear" w:color="auto" w:fill="FEFEFE"/>
        </w:rPr>
        <w:t>Plegadis falcinellus</w:t>
      </w:r>
      <w:r w:rsidRPr="0088780C">
        <w:rPr>
          <w:snapToGrid w:val="0"/>
          <w:kern w:val="22"/>
          <w:szCs w:val="22"/>
          <w:shd w:val="clear" w:color="auto" w:fill="FEFEFE"/>
        </w:rPr>
        <w:t>) (</w:t>
      </w:r>
      <w:r w:rsidRPr="0088780C">
        <w:rPr>
          <w:i/>
          <w:iCs/>
          <w:snapToGrid w:val="0"/>
          <w:kern w:val="22"/>
          <w:szCs w:val="22"/>
          <w:shd w:val="clear" w:color="auto" w:fill="FFFFFF"/>
        </w:rPr>
        <w:t>RDBRF</w:t>
      </w:r>
      <w:r w:rsidRPr="0088780C">
        <w:rPr>
          <w:snapToGrid w:val="0"/>
          <w:kern w:val="22"/>
          <w:szCs w:val="22"/>
          <w:shd w:val="clear" w:color="auto" w:fill="FEFEFE"/>
        </w:rPr>
        <w:t>: 3)</w:t>
      </w:r>
    </w:p>
    <w:p w14:paraId="5F4B43EC"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r w:rsidRPr="0088780C">
        <w:rPr>
          <w:snapToGrid w:val="0"/>
          <w:kern w:val="22"/>
          <w:szCs w:val="22"/>
          <w:shd w:val="clear" w:color="auto" w:fill="FFFFFF"/>
        </w:rPr>
        <w:t>C</w:t>
      </w:r>
      <w:r w:rsidRPr="0088780C">
        <w:rPr>
          <w:bCs/>
          <w:snapToGrid w:val="0"/>
          <w:kern w:val="22"/>
          <w:szCs w:val="22"/>
          <w:shd w:val="clear" w:color="auto" w:fill="FFFFFF"/>
        </w:rPr>
        <w:t>ommon stilt</w:t>
      </w:r>
      <w:r w:rsidRPr="0088780C">
        <w:rPr>
          <w:snapToGrid w:val="0"/>
          <w:kern w:val="22"/>
          <w:szCs w:val="22"/>
          <w:shd w:val="clear" w:color="auto" w:fill="FEFEFE"/>
        </w:rPr>
        <w:t xml:space="preserve"> (</w:t>
      </w:r>
      <w:r w:rsidRPr="0088780C">
        <w:rPr>
          <w:i/>
          <w:snapToGrid w:val="0"/>
          <w:kern w:val="22"/>
          <w:szCs w:val="22"/>
          <w:shd w:val="clear" w:color="auto" w:fill="FEFEFE"/>
        </w:rPr>
        <w:t>Himantopus himantopus</w:t>
      </w:r>
      <w:r w:rsidRPr="0088780C">
        <w:rPr>
          <w:snapToGrid w:val="0"/>
          <w:kern w:val="22"/>
          <w:szCs w:val="22"/>
          <w:shd w:val="clear" w:color="auto" w:fill="FEFEFE"/>
        </w:rPr>
        <w:t>) (</w:t>
      </w:r>
      <w:r w:rsidRPr="0088780C">
        <w:rPr>
          <w:i/>
          <w:iCs/>
          <w:snapToGrid w:val="0"/>
          <w:kern w:val="22"/>
          <w:szCs w:val="22"/>
          <w:shd w:val="clear" w:color="auto" w:fill="FFFFFF"/>
        </w:rPr>
        <w:t>RDBRF</w:t>
      </w:r>
      <w:r w:rsidRPr="0088780C">
        <w:rPr>
          <w:snapToGrid w:val="0"/>
          <w:kern w:val="22"/>
          <w:szCs w:val="22"/>
          <w:shd w:val="clear" w:color="auto" w:fill="FEFEFE"/>
        </w:rPr>
        <w:t>: 3)</w:t>
      </w:r>
    </w:p>
    <w:p w14:paraId="6579A75F"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r w:rsidRPr="0088780C">
        <w:rPr>
          <w:bCs/>
          <w:snapToGrid w:val="0"/>
          <w:kern w:val="22"/>
          <w:szCs w:val="22"/>
          <w:shd w:val="clear" w:color="auto" w:fill="FFFFFF"/>
        </w:rPr>
        <w:t>Pied avocet</w:t>
      </w:r>
      <w:r w:rsidRPr="0088780C">
        <w:rPr>
          <w:snapToGrid w:val="0"/>
          <w:kern w:val="22"/>
          <w:szCs w:val="22"/>
          <w:shd w:val="clear" w:color="auto" w:fill="FEFEFE"/>
        </w:rPr>
        <w:t xml:space="preserve"> (</w:t>
      </w:r>
      <w:r w:rsidRPr="0088780C">
        <w:rPr>
          <w:i/>
          <w:snapToGrid w:val="0"/>
          <w:kern w:val="22"/>
          <w:szCs w:val="22"/>
          <w:shd w:val="clear" w:color="auto" w:fill="FEFEFE"/>
        </w:rPr>
        <w:t>Recurvirostra avosetta</w:t>
      </w:r>
      <w:r w:rsidRPr="0088780C">
        <w:rPr>
          <w:snapToGrid w:val="0"/>
          <w:kern w:val="22"/>
          <w:szCs w:val="22"/>
          <w:shd w:val="clear" w:color="auto" w:fill="FEFEFE"/>
        </w:rPr>
        <w:t>) (</w:t>
      </w:r>
      <w:r w:rsidRPr="0088780C">
        <w:rPr>
          <w:i/>
          <w:iCs/>
          <w:snapToGrid w:val="0"/>
          <w:kern w:val="22"/>
          <w:szCs w:val="22"/>
          <w:shd w:val="clear" w:color="auto" w:fill="FFFFFF"/>
        </w:rPr>
        <w:t>RDBRF</w:t>
      </w:r>
      <w:r w:rsidRPr="0088780C">
        <w:rPr>
          <w:snapToGrid w:val="0"/>
          <w:kern w:val="22"/>
          <w:szCs w:val="22"/>
          <w:shd w:val="clear" w:color="auto" w:fill="FEFEFE"/>
        </w:rPr>
        <w:t>: 3)</w:t>
      </w:r>
    </w:p>
    <w:p w14:paraId="0716E445"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r w:rsidRPr="0088780C">
        <w:rPr>
          <w:bCs/>
          <w:snapToGrid w:val="0"/>
          <w:kern w:val="22"/>
          <w:szCs w:val="22"/>
          <w:shd w:val="clear" w:color="auto" w:fill="FFFFFF"/>
        </w:rPr>
        <w:t>White-headed duck</w:t>
      </w:r>
      <w:r w:rsidRPr="0088780C">
        <w:rPr>
          <w:snapToGrid w:val="0"/>
          <w:kern w:val="22"/>
          <w:szCs w:val="22"/>
          <w:shd w:val="clear" w:color="auto" w:fill="FFFFFF"/>
        </w:rPr>
        <w:t xml:space="preserve"> (</w:t>
      </w:r>
      <w:r w:rsidRPr="0088780C">
        <w:rPr>
          <w:i/>
          <w:iCs/>
          <w:snapToGrid w:val="0"/>
          <w:kern w:val="22"/>
          <w:szCs w:val="22"/>
          <w:shd w:val="clear" w:color="auto" w:fill="FFFFFF"/>
        </w:rPr>
        <w:t>Oxyura leucocephala</w:t>
      </w:r>
      <w:r w:rsidRPr="0088780C">
        <w:rPr>
          <w:snapToGrid w:val="0"/>
          <w:kern w:val="22"/>
          <w:szCs w:val="22"/>
          <w:shd w:val="clear" w:color="auto" w:fill="FFFFFF"/>
        </w:rPr>
        <w:t xml:space="preserve">) </w:t>
      </w:r>
      <w:r w:rsidRPr="0088780C">
        <w:rPr>
          <w:snapToGrid w:val="0"/>
          <w:kern w:val="22"/>
          <w:szCs w:val="22"/>
          <w:shd w:val="clear" w:color="auto" w:fill="FEFEFE"/>
        </w:rPr>
        <w:t>(IUCN RL: EN)</w:t>
      </w:r>
    </w:p>
    <w:p w14:paraId="143FEF1B"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r w:rsidRPr="0088780C">
        <w:rPr>
          <w:bCs/>
          <w:snapToGrid w:val="0"/>
          <w:kern w:val="22"/>
          <w:szCs w:val="22"/>
          <w:shd w:val="clear" w:color="auto" w:fill="FFFFFF"/>
        </w:rPr>
        <w:t>White-eyed pochard</w:t>
      </w:r>
      <w:r w:rsidRPr="0088780C">
        <w:rPr>
          <w:snapToGrid w:val="0"/>
          <w:kern w:val="22"/>
          <w:szCs w:val="22"/>
          <w:shd w:val="clear" w:color="auto" w:fill="FEFEFE"/>
        </w:rPr>
        <w:t xml:space="preserve"> (</w:t>
      </w:r>
      <w:r w:rsidRPr="0088780C">
        <w:rPr>
          <w:i/>
          <w:snapToGrid w:val="0"/>
          <w:kern w:val="22"/>
          <w:szCs w:val="22"/>
          <w:shd w:val="clear" w:color="auto" w:fill="FEFEFE"/>
        </w:rPr>
        <w:t>Aythya nyroca</w:t>
      </w:r>
      <w:r w:rsidRPr="0088780C">
        <w:rPr>
          <w:snapToGrid w:val="0"/>
          <w:kern w:val="22"/>
          <w:szCs w:val="22"/>
          <w:shd w:val="clear" w:color="auto" w:fill="FEFEFE"/>
        </w:rPr>
        <w:t>) (</w:t>
      </w:r>
      <w:r w:rsidRPr="0088780C">
        <w:rPr>
          <w:i/>
          <w:iCs/>
          <w:snapToGrid w:val="0"/>
          <w:kern w:val="22"/>
          <w:szCs w:val="22"/>
          <w:shd w:val="clear" w:color="auto" w:fill="FFFFFF"/>
        </w:rPr>
        <w:t>RDBRF</w:t>
      </w:r>
      <w:r w:rsidRPr="0088780C">
        <w:rPr>
          <w:snapToGrid w:val="0"/>
          <w:kern w:val="22"/>
          <w:szCs w:val="22"/>
          <w:shd w:val="clear" w:color="auto" w:fill="FEFEFE"/>
        </w:rPr>
        <w:t>: 2)</w:t>
      </w:r>
    </w:p>
    <w:p w14:paraId="73C48F96"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r w:rsidRPr="0088780C">
        <w:rPr>
          <w:bCs/>
          <w:snapToGrid w:val="0"/>
          <w:kern w:val="22"/>
          <w:szCs w:val="22"/>
          <w:shd w:val="clear" w:color="auto" w:fill="FFFFFF"/>
        </w:rPr>
        <w:t>Pygmy cormorant</w:t>
      </w:r>
      <w:r w:rsidRPr="0088780C">
        <w:rPr>
          <w:snapToGrid w:val="0"/>
          <w:kern w:val="22"/>
          <w:szCs w:val="22"/>
          <w:shd w:val="clear" w:color="auto" w:fill="FEFEFE"/>
        </w:rPr>
        <w:t xml:space="preserve"> (</w:t>
      </w:r>
      <w:r w:rsidRPr="0088780C">
        <w:rPr>
          <w:i/>
          <w:snapToGrid w:val="0"/>
          <w:kern w:val="22"/>
          <w:szCs w:val="22"/>
          <w:shd w:val="clear" w:color="auto" w:fill="FEFEFE"/>
        </w:rPr>
        <w:t>Phalacrocorax pygmaeus</w:t>
      </w:r>
      <w:r w:rsidRPr="0088780C">
        <w:rPr>
          <w:snapToGrid w:val="0"/>
          <w:kern w:val="22"/>
          <w:szCs w:val="22"/>
          <w:shd w:val="clear" w:color="auto" w:fill="FEFEFE"/>
        </w:rPr>
        <w:t>) (</w:t>
      </w:r>
      <w:r w:rsidRPr="0088780C">
        <w:rPr>
          <w:i/>
          <w:iCs/>
          <w:snapToGrid w:val="0"/>
          <w:kern w:val="22"/>
          <w:szCs w:val="22"/>
          <w:shd w:val="clear" w:color="auto" w:fill="FFFFFF"/>
        </w:rPr>
        <w:t>RDBRF</w:t>
      </w:r>
      <w:r w:rsidRPr="0088780C">
        <w:rPr>
          <w:snapToGrid w:val="0"/>
          <w:kern w:val="22"/>
          <w:szCs w:val="22"/>
          <w:shd w:val="clear" w:color="auto" w:fill="FEFEFE"/>
        </w:rPr>
        <w:t>: 2)</w:t>
      </w:r>
    </w:p>
    <w:p w14:paraId="56C550D9" w14:textId="77777777" w:rsidR="00A876F3" w:rsidRPr="0088780C" w:rsidRDefault="00A876F3" w:rsidP="001013AF">
      <w:pPr>
        <w:suppressLineNumbers/>
        <w:suppressAutoHyphens/>
        <w:kinsoku w:val="0"/>
        <w:overflowPunct w:val="0"/>
        <w:autoSpaceDE w:val="0"/>
        <w:autoSpaceDN w:val="0"/>
        <w:rPr>
          <w:snapToGrid w:val="0"/>
          <w:kern w:val="22"/>
          <w:szCs w:val="22"/>
          <w:u w:val="single"/>
          <w:shd w:val="clear" w:color="auto" w:fill="FEFEFE"/>
        </w:rPr>
      </w:pPr>
      <w:r w:rsidRPr="0088780C">
        <w:rPr>
          <w:snapToGrid w:val="0"/>
          <w:kern w:val="22"/>
          <w:szCs w:val="22"/>
          <w:u w:val="single"/>
          <w:shd w:val="clear" w:color="auto" w:fill="FEFEFE"/>
        </w:rPr>
        <w:t>Migrating species</w:t>
      </w:r>
    </w:p>
    <w:p w14:paraId="6ABB6946"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r w:rsidRPr="0088780C">
        <w:rPr>
          <w:rStyle w:val="apple-converted-space"/>
          <w:snapToGrid w:val="0"/>
          <w:kern w:val="22"/>
          <w:szCs w:val="22"/>
          <w:shd w:val="clear" w:color="auto" w:fill="FFFFFF"/>
        </w:rPr>
        <w:t>G</w:t>
      </w:r>
      <w:r w:rsidRPr="0088780C">
        <w:rPr>
          <w:bCs/>
          <w:snapToGrid w:val="0"/>
          <w:kern w:val="22"/>
          <w:szCs w:val="22"/>
          <w:shd w:val="clear" w:color="auto" w:fill="FFFFFF"/>
        </w:rPr>
        <w:t>reat white pelican</w:t>
      </w:r>
      <w:r w:rsidRPr="0088780C">
        <w:rPr>
          <w:snapToGrid w:val="0"/>
          <w:kern w:val="22"/>
          <w:szCs w:val="22"/>
          <w:shd w:val="clear" w:color="auto" w:fill="FEFEFE"/>
        </w:rPr>
        <w:t xml:space="preserve"> (</w:t>
      </w:r>
      <w:r w:rsidRPr="0088780C">
        <w:rPr>
          <w:i/>
          <w:snapToGrid w:val="0"/>
          <w:kern w:val="22"/>
          <w:szCs w:val="22"/>
          <w:shd w:val="clear" w:color="auto" w:fill="FEFEFE"/>
        </w:rPr>
        <w:t>Pelecanus onocrotalus</w:t>
      </w:r>
      <w:r w:rsidRPr="0088780C">
        <w:rPr>
          <w:snapToGrid w:val="0"/>
          <w:kern w:val="22"/>
          <w:szCs w:val="22"/>
          <w:shd w:val="clear" w:color="auto" w:fill="FEFEFE"/>
        </w:rPr>
        <w:t>) (</w:t>
      </w:r>
      <w:r w:rsidRPr="0088780C">
        <w:rPr>
          <w:i/>
          <w:iCs/>
          <w:snapToGrid w:val="0"/>
          <w:kern w:val="22"/>
          <w:szCs w:val="22"/>
          <w:shd w:val="clear" w:color="auto" w:fill="FFFFFF"/>
        </w:rPr>
        <w:t>RDBRF</w:t>
      </w:r>
      <w:r w:rsidRPr="0088780C">
        <w:rPr>
          <w:snapToGrid w:val="0"/>
          <w:kern w:val="22"/>
          <w:szCs w:val="22"/>
          <w:shd w:val="clear" w:color="auto" w:fill="FEFEFE"/>
        </w:rPr>
        <w:t>: 1)</w:t>
      </w:r>
    </w:p>
    <w:p w14:paraId="32C29778" w14:textId="77777777" w:rsidR="00A876F3" w:rsidRPr="0088780C" w:rsidRDefault="00A876F3" w:rsidP="001013AF">
      <w:pPr>
        <w:suppressLineNumbers/>
        <w:suppressAutoHyphens/>
        <w:kinsoku w:val="0"/>
        <w:overflowPunct w:val="0"/>
        <w:autoSpaceDE w:val="0"/>
        <w:autoSpaceDN w:val="0"/>
        <w:rPr>
          <w:snapToGrid w:val="0"/>
          <w:kern w:val="22"/>
          <w:szCs w:val="22"/>
          <w:u w:val="single"/>
          <w:shd w:val="clear" w:color="auto" w:fill="FEFEFE"/>
        </w:rPr>
      </w:pPr>
      <w:r w:rsidRPr="0088780C">
        <w:rPr>
          <w:snapToGrid w:val="0"/>
          <w:kern w:val="22"/>
          <w:szCs w:val="22"/>
          <w:u w:val="single"/>
          <w:shd w:val="clear" w:color="auto" w:fill="FEFEFE"/>
        </w:rPr>
        <w:t>Wintering species</w:t>
      </w:r>
    </w:p>
    <w:p w14:paraId="6E39A5CA"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r w:rsidRPr="0088780C">
        <w:rPr>
          <w:bCs/>
          <w:snapToGrid w:val="0"/>
          <w:kern w:val="22"/>
          <w:szCs w:val="22"/>
          <w:shd w:val="clear" w:color="auto" w:fill="FFFFFF"/>
        </w:rPr>
        <w:t>Red-breasted goose</w:t>
      </w:r>
      <w:r w:rsidRPr="0088780C">
        <w:rPr>
          <w:snapToGrid w:val="0"/>
          <w:kern w:val="22"/>
          <w:szCs w:val="22"/>
          <w:shd w:val="clear" w:color="auto" w:fill="FEFEFE"/>
        </w:rPr>
        <w:t xml:space="preserve"> (</w:t>
      </w:r>
      <w:r w:rsidRPr="0088780C">
        <w:rPr>
          <w:i/>
          <w:snapToGrid w:val="0"/>
          <w:kern w:val="22"/>
          <w:szCs w:val="22"/>
          <w:shd w:val="clear" w:color="auto" w:fill="FEFEFE"/>
        </w:rPr>
        <w:t>Branta ruficollis</w:t>
      </w:r>
      <w:r w:rsidRPr="0088780C">
        <w:rPr>
          <w:snapToGrid w:val="0"/>
          <w:kern w:val="22"/>
          <w:szCs w:val="22"/>
          <w:shd w:val="clear" w:color="auto" w:fill="FEFEFE"/>
        </w:rPr>
        <w:t>) (IUCN RL: VU)</w:t>
      </w:r>
    </w:p>
    <w:p w14:paraId="349A365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B244A8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5A4CE8F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The Kuban Delta is undergoing continuous change under the influence of both natural and anthropogenic factors. The area of the Delta has been largely drained and converted into agricultural land in recent decades. As a result, there are two major ecosystems: (1) anthropogenic: reservoirs, rice fields, and (2) natural: a system of foredelta, salt lakes, deltaic freshwater and brackish water bodies, coastal shallows and lagoons (Krivenko, 1999).</w:t>
      </w:r>
      <w:r w:rsidRPr="0088780C">
        <w:rPr>
          <w:rFonts w:eastAsia="MS Mincho"/>
          <w:snapToGrid w:val="0"/>
          <w:kern w:val="22"/>
          <w:szCs w:val="22"/>
        </w:rPr>
        <w:t xml:space="preserve"> The construction of hydrological systems on the Kuban River since 1948 and thereafter has led to complete regulation of its runoff. The hydrological regime of the site is subject to cyclic changes at intervals of 3, 5, 8 and 12 years (Borisov, 1978).</w:t>
      </w:r>
    </w:p>
    <w:p w14:paraId="53928BE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380EB30D" w14:textId="0A7EA9FF"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Kuban River receives annually up to 0.3 km</w:t>
      </w:r>
      <w:r w:rsidRPr="0088780C">
        <w:rPr>
          <w:snapToGrid w:val="0"/>
          <w:kern w:val="22"/>
          <w:szCs w:val="22"/>
          <w:vertAlign w:val="superscript"/>
        </w:rPr>
        <w:t>3</w:t>
      </w:r>
      <w:r w:rsidRPr="0088780C">
        <w:rPr>
          <w:snapToGrid w:val="0"/>
          <w:kern w:val="22"/>
          <w:szCs w:val="22"/>
        </w:rPr>
        <w:t xml:space="preserve"> of poorly cleaned housing and communal and industrial wastewater. Pollution by oil products and heavy metals is especially harmful for these ecosystems  (Krivenko, 1999).</w:t>
      </w:r>
    </w:p>
    <w:p w14:paraId="26F7DD28"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p>
    <w:p w14:paraId="0DEBFC6F" w14:textId="384C5B54"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r w:rsidRPr="0088780C">
        <w:rPr>
          <w:snapToGrid w:val="0"/>
          <w:kern w:val="22"/>
          <w:szCs w:val="22"/>
          <w:shd w:val="clear" w:color="auto" w:fill="FEFEFE"/>
        </w:rPr>
        <w:t>The coast is a resort area. The sewage load is low, but will increase with time in correlation with tourism development.</w:t>
      </w:r>
    </w:p>
    <w:p w14:paraId="313FEAF1"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EFEFE"/>
        </w:rPr>
      </w:pPr>
    </w:p>
    <w:p w14:paraId="7C24F75D"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shd w:val="clear" w:color="auto" w:fill="FEFEFE"/>
        </w:rPr>
        <w:t xml:space="preserve">The Kuban estuaries gradually become silted and shallow. The hydrological regime and the water balance of the Azov-Kuban estuaries currently depend mainly on the delta climate, the water content of the Kuban River, the water regime of the Azov Sea and the regulation of the water regime </w:t>
      </w:r>
      <w:r w:rsidRPr="0088780C">
        <w:rPr>
          <w:snapToGrid w:val="0"/>
          <w:kern w:val="22"/>
          <w:szCs w:val="22"/>
        </w:rPr>
        <w:t>(Rumyantsev et. al., 2015).</w:t>
      </w:r>
    </w:p>
    <w:p w14:paraId="3132A67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F2A056A" w14:textId="64586820"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snapToGrid w:val="0"/>
          <w:kern w:val="22"/>
          <w:szCs w:val="22"/>
        </w:rPr>
        <w:t>Assessment of the area against CBD EBSA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5A391C67" w14:textId="77777777" w:rsidTr="006972AD">
        <w:tc>
          <w:tcPr>
            <w:tcW w:w="779" w:type="pct"/>
            <w:vMerge w:val="restart"/>
            <w:shd w:val="clear" w:color="auto" w:fill="auto"/>
          </w:tcPr>
          <w:p w14:paraId="0A1EA4F4" w14:textId="77777777" w:rsidR="00A876F3" w:rsidRPr="0088780C" w:rsidRDefault="00A876F3" w:rsidP="00804722">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54AAD86A"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393D480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7F0209F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0C46250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7A062EA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369C39F7" w14:textId="77777777" w:rsidTr="006972AD">
        <w:tc>
          <w:tcPr>
            <w:tcW w:w="779" w:type="pct"/>
            <w:vMerge/>
            <w:shd w:val="clear" w:color="auto" w:fill="auto"/>
          </w:tcPr>
          <w:p w14:paraId="5C0383F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0DE99D4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56446A4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19AD7DA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2FB97BE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79D334C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72EC70C7" w14:textId="77777777" w:rsidTr="006972AD">
        <w:tc>
          <w:tcPr>
            <w:tcW w:w="779" w:type="pct"/>
            <w:shd w:val="clear" w:color="auto" w:fill="auto"/>
          </w:tcPr>
          <w:p w14:paraId="22688ED3"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203C032E" w14:textId="37F78038"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3952BCF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36287E5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4A82A57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1111CCD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r>
      <w:tr w:rsidR="00A876F3" w:rsidRPr="0088780C" w14:paraId="4D126603" w14:textId="77777777" w:rsidTr="006972AD">
        <w:tc>
          <w:tcPr>
            <w:tcW w:w="5000" w:type="pct"/>
            <w:gridSpan w:val="11"/>
            <w:shd w:val="clear" w:color="auto" w:fill="auto"/>
          </w:tcPr>
          <w:p w14:paraId="73AF7B39"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2E17408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kern w:val="22"/>
                <w:szCs w:val="22"/>
              </w:rPr>
              <w:t xml:space="preserve">The Kuban Delta is the second-largest delta ecosystem in the Black Sea – Sea of Azov basin (173000 ha). It includes more than 600 water bodies with different hydrological regimes. The </w:t>
            </w:r>
            <w:r w:rsidRPr="0088780C">
              <w:rPr>
                <w:snapToGrid w:val="0"/>
                <w:kern w:val="22"/>
                <w:szCs w:val="22"/>
              </w:rPr>
              <w:t xml:space="preserve">total number of migrating birds is estimated at 1.2 to 2 million individuals </w:t>
            </w:r>
            <w:r w:rsidRPr="0088780C">
              <w:rPr>
                <w:rFonts w:eastAsia="MS Mincho"/>
                <w:snapToGrid w:val="0"/>
                <w:kern w:val="22"/>
                <w:szCs w:val="22"/>
              </w:rPr>
              <w:t>(Krivenko, 1999).</w:t>
            </w:r>
          </w:p>
        </w:tc>
      </w:tr>
      <w:tr w:rsidR="00A876F3" w:rsidRPr="0088780C" w14:paraId="75C8DCFB" w14:textId="77777777" w:rsidTr="006972AD">
        <w:tc>
          <w:tcPr>
            <w:tcW w:w="779" w:type="pct"/>
            <w:shd w:val="clear" w:color="auto" w:fill="auto"/>
          </w:tcPr>
          <w:p w14:paraId="55E05010"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196C60E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6DCDAD9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068984D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64BA509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6" w:type="pct"/>
            <w:gridSpan w:val="2"/>
            <w:shd w:val="clear" w:color="auto" w:fill="auto"/>
          </w:tcPr>
          <w:p w14:paraId="5AB1E5C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6C887559" w14:textId="77777777" w:rsidTr="006972AD">
        <w:tc>
          <w:tcPr>
            <w:tcW w:w="5000" w:type="pct"/>
            <w:gridSpan w:val="11"/>
            <w:shd w:val="clear" w:color="auto" w:fill="auto"/>
          </w:tcPr>
          <w:p w14:paraId="35D27348"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659D72C9" w14:textId="2CFEB185"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The Kuban Delta is important as a spawning and nursery ground for a number of semi-anadromous species, such as common bream (</w:t>
            </w:r>
            <w:r w:rsidRPr="0088780C">
              <w:rPr>
                <w:rFonts w:eastAsia="MS Mincho"/>
                <w:i/>
                <w:snapToGrid w:val="0"/>
                <w:color w:val="000000"/>
                <w:kern w:val="22"/>
                <w:szCs w:val="22"/>
              </w:rPr>
              <w:t>Abramis brama</w:t>
            </w:r>
            <w:r w:rsidRPr="0088780C">
              <w:rPr>
                <w:rFonts w:eastAsia="MS Mincho"/>
                <w:snapToGrid w:val="0"/>
                <w:color w:val="000000"/>
                <w:kern w:val="22"/>
                <w:szCs w:val="22"/>
              </w:rPr>
              <w:t>), Azov roach (</w:t>
            </w:r>
            <w:r w:rsidRPr="0088780C">
              <w:rPr>
                <w:rStyle w:val="st"/>
                <w:i/>
                <w:snapToGrid w:val="0"/>
                <w:kern w:val="22"/>
                <w:szCs w:val="22"/>
              </w:rPr>
              <w:t>Rutilus heckelii</w:t>
            </w:r>
            <w:r w:rsidRPr="0088780C">
              <w:rPr>
                <w:rStyle w:val="st"/>
                <w:snapToGrid w:val="0"/>
                <w:kern w:val="22"/>
                <w:szCs w:val="22"/>
              </w:rPr>
              <w:t>) and pike perch (</w:t>
            </w:r>
            <w:r w:rsidRPr="0088780C">
              <w:rPr>
                <w:rStyle w:val="st"/>
                <w:i/>
                <w:snapToGrid w:val="0"/>
                <w:kern w:val="22"/>
                <w:szCs w:val="22"/>
              </w:rPr>
              <w:t>Sander lucioperca</w:t>
            </w:r>
            <w:r w:rsidRPr="0088780C">
              <w:rPr>
                <w:rStyle w:val="st"/>
                <w:snapToGrid w:val="0"/>
                <w:kern w:val="22"/>
                <w:szCs w:val="22"/>
              </w:rPr>
              <w:t>), as well as</w:t>
            </w:r>
            <w:r w:rsidRPr="0088780C">
              <w:rPr>
                <w:rFonts w:eastAsia="MS Mincho"/>
                <w:snapToGrid w:val="0"/>
                <w:color w:val="000000"/>
                <w:kern w:val="22"/>
                <w:szCs w:val="22"/>
              </w:rPr>
              <w:t xml:space="preserve"> anadromous fishes, such as sturgeons, which are now all considered endangered (IUCN).</w:t>
            </w:r>
          </w:p>
          <w:p w14:paraId="64497CDB"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7247D6B7" w14:textId="77777777" w:rsidR="00A876F3" w:rsidRPr="0088780C" w:rsidRDefault="00A876F3" w:rsidP="001013AF">
            <w:pPr>
              <w:suppressLineNumbers/>
              <w:suppressAutoHyphens/>
              <w:kinsoku w:val="0"/>
              <w:overflowPunct w:val="0"/>
              <w:autoSpaceDE w:val="0"/>
              <w:autoSpaceDN w:val="0"/>
              <w:adjustRightInd w:val="0"/>
              <w:rPr>
                <w:iCs/>
                <w:snapToGrid w:val="0"/>
                <w:kern w:val="22"/>
                <w:szCs w:val="22"/>
              </w:rPr>
            </w:pPr>
            <w:r w:rsidRPr="0088780C">
              <w:rPr>
                <w:rFonts w:eastAsia="MS Mincho"/>
                <w:snapToGrid w:val="0"/>
                <w:color w:val="000000"/>
                <w:kern w:val="22"/>
                <w:szCs w:val="22"/>
              </w:rPr>
              <w:t>This is one of the most important bird migration stopovers (annually about 1.5 – 2 million birds both in spring and in autumn) for waterfowl nesting in Eastern Europe and western Siberia and overwintering in the Mediterranean and Black Sea coasts, Asia Minor and Africa</w:t>
            </w:r>
            <w:r w:rsidRPr="0088780C">
              <w:rPr>
                <w:iCs/>
                <w:snapToGrid w:val="0"/>
                <w:kern w:val="22"/>
                <w:szCs w:val="22"/>
              </w:rPr>
              <w:t xml:space="preserve"> (Krivenko, 1999).</w:t>
            </w:r>
          </w:p>
          <w:p w14:paraId="49051FAB" w14:textId="77777777" w:rsidR="00A876F3" w:rsidRPr="0088780C" w:rsidRDefault="00A876F3" w:rsidP="001013AF">
            <w:pPr>
              <w:suppressLineNumbers/>
              <w:suppressAutoHyphens/>
              <w:kinsoku w:val="0"/>
              <w:overflowPunct w:val="0"/>
              <w:autoSpaceDE w:val="0"/>
              <w:autoSpaceDN w:val="0"/>
              <w:adjustRightInd w:val="0"/>
              <w:rPr>
                <w:iCs/>
                <w:snapToGrid w:val="0"/>
                <w:kern w:val="22"/>
                <w:szCs w:val="22"/>
              </w:rPr>
            </w:pPr>
          </w:p>
          <w:p w14:paraId="649CC041" w14:textId="41ED189A"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bCs/>
                <w:snapToGrid w:val="0"/>
                <w:color w:val="000000"/>
                <w:kern w:val="22"/>
                <w:szCs w:val="22"/>
              </w:rPr>
              <w:t xml:space="preserve">The area overlaps with a passage area of global importance for the vulnerable </w:t>
            </w:r>
            <w:r w:rsidRPr="0088780C">
              <w:rPr>
                <w:rFonts w:eastAsia="MS Mincho"/>
                <w:snapToGrid w:val="0"/>
                <w:kern w:val="22"/>
                <w:szCs w:val="22"/>
              </w:rPr>
              <w:t>Dalmatian pelican (</w:t>
            </w:r>
            <w:r w:rsidRPr="0088780C">
              <w:rPr>
                <w:rFonts w:eastAsia="MS Mincho"/>
                <w:i/>
                <w:snapToGrid w:val="0"/>
                <w:kern w:val="22"/>
                <w:szCs w:val="22"/>
              </w:rPr>
              <w:t>Pelecanus crispus)</w:t>
            </w:r>
            <w:r w:rsidRPr="0088780C">
              <w:rPr>
                <w:rFonts w:eastAsia="MS Mincho"/>
                <w:bCs/>
                <w:snapToGrid w:val="0"/>
                <w:color w:val="000000"/>
                <w:kern w:val="22"/>
                <w:szCs w:val="22"/>
              </w:rPr>
              <w:t xml:space="preserve">, and for other species such as </w:t>
            </w:r>
            <w:r w:rsidRPr="0088780C">
              <w:rPr>
                <w:rFonts w:eastAsia="MS Mincho"/>
                <w:snapToGrid w:val="0"/>
                <w:kern w:val="22"/>
                <w:szCs w:val="22"/>
              </w:rPr>
              <w:t>the Pallas's gull (</w:t>
            </w:r>
            <w:r w:rsidRPr="0088780C">
              <w:rPr>
                <w:rFonts w:eastAsia="MS Mincho"/>
                <w:i/>
                <w:snapToGrid w:val="0"/>
                <w:kern w:val="22"/>
                <w:szCs w:val="22"/>
              </w:rPr>
              <w:t>Larus ichthyaetus)</w:t>
            </w:r>
            <w:r w:rsidRPr="0088780C">
              <w:rPr>
                <w:rFonts w:eastAsia="MS Mincho"/>
                <w:snapToGrid w:val="0"/>
                <w:kern w:val="22"/>
                <w:szCs w:val="22"/>
              </w:rPr>
              <w:t>, Caspian tern (</w:t>
            </w:r>
            <w:r w:rsidRPr="0088780C">
              <w:rPr>
                <w:rFonts w:eastAsia="MS Mincho"/>
                <w:i/>
                <w:snapToGrid w:val="0"/>
                <w:kern w:val="22"/>
                <w:szCs w:val="22"/>
              </w:rPr>
              <w:t>Hydroprogne caspia)</w:t>
            </w:r>
            <w:r w:rsidRPr="0088780C">
              <w:rPr>
                <w:rFonts w:eastAsia="MS Mincho"/>
                <w:snapToGrid w:val="0"/>
                <w:kern w:val="22"/>
                <w:szCs w:val="22"/>
              </w:rPr>
              <w:t xml:space="preserve"> and the Sandwich tern (</w:t>
            </w:r>
            <w:r w:rsidRPr="0088780C">
              <w:rPr>
                <w:rFonts w:eastAsia="MS Mincho"/>
                <w:i/>
                <w:snapToGrid w:val="0"/>
                <w:kern w:val="22"/>
                <w:szCs w:val="22"/>
              </w:rPr>
              <w:t xml:space="preserve">Thalasseus sandvicensis). </w:t>
            </w:r>
            <w:r w:rsidRPr="0088780C">
              <w:rPr>
                <w:rFonts w:eastAsia="MS Mincho"/>
                <w:bCs/>
                <w:snapToGrid w:val="0"/>
                <w:color w:val="000000"/>
                <w:kern w:val="22"/>
                <w:szCs w:val="22"/>
              </w:rPr>
              <w:t xml:space="preserve">It is also important for the breeding populations of </w:t>
            </w:r>
            <w:r w:rsidRPr="0088780C">
              <w:rPr>
                <w:rFonts w:eastAsia="MS Mincho"/>
                <w:snapToGrid w:val="0"/>
                <w:kern w:val="22"/>
                <w:szCs w:val="22"/>
              </w:rPr>
              <w:t xml:space="preserve">whiskered tern </w:t>
            </w:r>
            <w:r w:rsidRPr="0088780C">
              <w:rPr>
                <w:rFonts w:eastAsia="MS Mincho"/>
                <w:i/>
                <w:snapToGrid w:val="0"/>
                <w:kern w:val="22"/>
                <w:szCs w:val="22"/>
              </w:rPr>
              <w:t>Chlidonias hybrida</w:t>
            </w:r>
            <w:r w:rsidRPr="0088780C">
              <w:rPr>
                <w:snapToGrid w:val="0"/>
                <w:kern w:val="22"/>
                <w:szCs w:val="22"/>
              </w:rPr>
              <w:t xml:space="preserve"> (</w:t>
            </w:r>
            <w:r w:rsidRPr="0088780C">
              <w:rPr>
                <w:rFonts w:eastAsia="MS Mincho"/>
                <w:snapToGrid w:val="0"/>
                <w:kern w:val="22"/>
                <w:szCs w:val="22"/>
              </w:rPr>
              <w:t>BirdLife International 2017</w:t>
            </w:r>
            <w:r w:rsidRPr="0088780C">
              <w:rPr>
                <w:snapToGrid w:val="0"/>
                <w:kern w:val="22"/>
                <w:szCs w:val="22"/>
              </w:rPr>
              <w:t>). The area is used as a stopover during the migratory periods by more than 30,000 waterbirds (BirdLife International 2017a).</w:t>
            </w:r>
          </w:p>
        </w:tc>
      </w:tr>
      <w:tr w:rsidR="00A876F3" w:rsidRPr="0088780C" w14:paraId="67F0ED25" w14:textId="77777777" w:rsidTr="006972AD">
        <w:tc>
          <w:tcPr>
            <w:tcW w:w="779" w:type="pct"/>
            <w:shd w:val="clear" w:color="auto" w:fill="auto"/>
          </w:tcPr>
          <w:p w14:paraId="4A0ABB36"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18BCE56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21B971A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6249768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3754B34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476E279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r>
      <w:tr w:rsidR="00A876F3" w:rsidRPr="0088780C" w14:paraId="4EE23C1A" w14:textId="77777777" w:rsidTr="006972AD">
        <w:tc>
          <w:tcPr>
            <w:tcW w:w="5000" w:type="pct"/>
            <w:gridSpan w:val="11"/>
            <w:shd w:val="clear" w:color="auto" w:fill="auto"/>
          </w:tcPr>
          <w:p w14:paraId="20C68DDE"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7C3D46ED" w14:textId="3FD5AB41"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Historically, the area has been extremely important for migration, feeding, nursery and spawning of Azov sturgeons, Russian sturgeon (</w:t>
            </w:r>
            <w:r w:rsidRPr="0088780C">
              <w:rPr>
                <w:rFonts w:eastAsia="MS Mincho"/>
                <w:i/>
                <w:snapToGrid w:val="0"/>
                <w:color w:val="000000"/>
                <w:kern w:val="22"/>
                <w:szCs w:val="22"/>
              </w:rPr>
              <w:t>Acipenser gueldenstaedtii</w:t>
            </w:r>
            <w:r w:rsidRPr="0088780C">
              <w:rPr>
                <w:rFonts w:eastAsia="MS Mincho"/>
                <w:snapToGrid w:val="0"/>
                <w:color w:val="000000"/>
                <w:kern w:val="22"/>
                <w:szCs w:val="22"/>
              </w:rPr>
              <w:t>) (IUCN:CR) and starry sturgeon (</w:t>
            </w:r>
            <w:r w:rsidRPr="0088780C">
              <w:rPr>
                <w:rFonts w:eastAsia="MS Mincho"/>
                <w:i/>
                <w:snapToGrid w:val="0"/>
                <w:color w:val="000000"/>
                <w:kern w:val="22"/>
                <w:szCs w:val="22"/>
              </w:rPr>
              <w:t>Acipenser stellatus</w:t>
            </w:r>
            <w:r w:rsidRPr="0088780C">
              <w:rPr>
                <w:rFonts w:eastAsia="MS Mincho"/>
                <w:snapToGrid w:val="0"/>
                <w:color w:val="000000"/>
                <w:kern w:val="22"/>
                <w:szCs w:val="22"/>
              </w:rPr>
              <w:t>) (IUCN:CR). Currently, the population is extremely depleted, and the Kuban hatchery is maintaining a breeding stock in their facilities that may be used for restocking population (Chepurnaya, 2017).</w:t>
            </w:r>
          </w:p>
          <w:p w14:paraId="55D6E4A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300F1D42"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Cs/>
                <w:snapToGrid w:val="0"/>
                <w:color w:val="000000"/>
                <w:kern w:val="22"/>
                <w:szCs w:val="22"/>
              </w:rPr>
              <w:t xml:space="preserve">A globally threatened seabird species listed as vulnerable by IUCN is known to occur in the area (BirdLife International 2017b) – the vulnerable </w:t>
            </w:r>
            <w:r w:rsidRPr="0088780C">
              <w:rPr>
                <w:rFonts w:eastAsia="MS Mincho"/>
                <w:snapToGrid w:val="0"/>
                <w:kern w:val="22"/>
                <w:szCs w:val="22"/>
              </w:rPr>
              <w:t>Dalmatian pelican (</w:t>
            </w:r>
            <w:r w:rsidRPr="0088780C">
              <w:rPr>
                <w:rFonts w:eastAsia="MS Mincho"/>
                <w:i/>
                <w:snapToGrid w:val="0"/>
                <w:kern w:val="22"/>
                <w:szCs w:val="22"/>
              </w:rPr>
              <w:t>Pelecanus crispus)</w:t>
            </w:r>
            <w:r w:rsidRPr="0088780C">
              <w:rPr>
                <w:rFonts w:eastAsia="MS Mincho"/>
                <w:bCs/>
                <w:snapToGrid w:val="0"/>
                <w:color w:val="000000"/>
                <w:kern w:val="22"/>
                <w:szCs w:val="22"/>
              </w:rPr>
              <w:t>. This species is also listed in CITES Appendix I and CMS Appendices I and II. The area also overlaps with the distribution range of other vulnerable species, the horned grebe (</w:t>
            </w:r>
            <w:r w:rsidRPr="0088780C">
              <w:rPr>
                <w:rFonts w:eastAsia="MS Mincho"/>
                <w:bCs/>
                <w:i/>
                <w:snapToGrid w:val="0"/>
                <w:color w:val="000000"/>
                <w:kern w:val="22"/>
                <w:szCs w:val="22"/>
              </w:rPr>
              <w:t>Podiceps auritus)</w:t>
            </w:r>
            <w:r w:rsidRPr="0088780C">
              <w:rPr>
                <w:rFonts w:eastAsia="MS Mincho"/>
                <w:bCs/>
                <w:snapToGrid w:val="0"/>
                <w:color w:val="000000"/>
                <w:kern w:val="22"/>
                <w:szCs w:val="22"/>
              </w:rPr>
              <w:t xml:space="preserve"> (BirdLife International 2017b). All these species are also included on Annex I of the EU Birds Directive.</w:t>
            </w:r>
          </w:p>
        </w:tc>
      </w:tr>
      <w:tr w:rsidR="00A876F3" w:rsidRPr="0088780C" w14:paraId="1A18E38D" w14:textId="77777777" w:rsidTr="006972AD">
        <w:trPr>
          <w:trHeight w:val="1547"/>
        </w:trPr>
        <w:tc>
          <w:tcPr>
            <w:tcW w:w="779" w:type="pct"/>
            <w:shd w:val="clear" w:color="auto" w:fill="auto"/>
          </w:tcPr>
          <w:p w14:paraId="5828841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25604D9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7A8E18A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3855E89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52C7A0D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4F736C9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r>
      <w:tr w:rsidR="00A876F3" w:rsidRPr="0088780C" w14:paraId="0E1401AF" w14:textId="77777777" w:rsidTr="006972AD">
        <w:tc>
          <w:tcPr>
            <w:tcW w:w="5000" w:type="pct"/>
            <w:gridSpan w:val="11"/>
            <w:shd w:val="clear" w:color="auto" w:fill="auto"/>
          </w:tcPr>
          <w:p w14:paraId="47DE48C7"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359AC8B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area is important to the vulnerable </w:t>
            </w:r>
            <w:r w:rsidRPr="0088780C">
              <w:rPr>
                <w:rFonts w:eastAsia="MS Mincho"/>
                <w:snapToGrid w:val="0"/>
                <w:kern w:val="22"/>
                <w:szCs w:val="22"/>
              </w:rPr>
              <w:t>Dalmatian pelican (</w:t>
            </w:r>
            <w:r w:rsidRPr="0088780C">
              <w:rPr>
                <w:rFonts w:eastAsia="MS Mincho"/>
                <w:i/>
                <w:snapToGrid w:val="0"/>
                <w:kern w:val="22"/>
                <w:szCs w:val="22"/>
              </w:rPr>
              <w:t>Pelecanus crispus)</w:t>
            </w:r>
            <w:r w:rsidRPr="0088780C">
              <w:rPr>
                <w:rFonts w:eastAsia="MS Mincho"/>
                <w:snapToGrid w:val="0"/>
                <w:color w:val="000000"/>
                <w:kern w:val="22"/>
                <w:szCs w:val="22"/>
              </w:rPr>
              <w:t xml:space="preserve">, a long-lived species with late sexual maturity that occurs in the area (BirdLife International 2017c; BirdLife International </w:t>
            </w:r>
            <w:r w:rsidRPr="0088780C">
              <w:rPr>
                <w:rFonts w:eastAsia="MS Mincho"/>
                <w:i/>
                <w:snapToGrid w:val="0"/>
                <w:color w:val="000000"/>
                <w:kern w:val="22"/>
                <w:szCs w:val="22"/>
              </w:rPr>
              <w:t>unpublished data</w:t>
            </w:r>
            <w:r w:rsidRPr="0088780C">
              <w:rPr>
                <w:rFonts w:eastAsia="MS Mincho"/>
                <w:snapToGrid w:val="0"/>
                <w:color w:val="000000"/>
                <w:kern w:val="22"/>
                <w:szCs w:val="22"/>
              </w:rPr>
              <w:t>; Eliot et al., 2017).</w:t>
            </w:r>
          </w:p>
        </w:tc>
      </w:tr>
      <w:tr w:rsidR="00A876F3" w:rsidRPr="0088780C" w14:paraId="2E106C8A" w14:textId="77777777" w:rsidTr="006972AD">
        <w:trPr>
          <w:trHeight w:val="791"/>
        </w:trPr>
        <w:tc>
          <w:tcPr>
            <w:tcW w:w="779" w:type="pct"/>
            <w:shd w:val="clear" w:color="auto" w:fill="auto"/>
          </w:tcPr>
          <w:p w14:paraId="3091563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52A45171"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04D54C5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tc>
        <w:tc>
          <w:tcPr>
            <w:tcW w:w="410" w:type="pct"/>
            <w:gridSpan w:val="2"/>
            <w:shd w:val="clear" w:color="auto" w:fill="auto"/>
          </w:tcPr>
          <w:p w14:paraId="05DF96B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6DA5481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6" w:type="pct"/>
            <w:gridSpan w:val="2"/>
            <w:shd w:val="clear" w:color="auto" w:fill="auto"/>
          </w:tcPr>
          <w:p w14:paraId="78CB65E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r>
      <w:tr w:rsidR="00A876F3" w:rsidRPr="0088780C" w14:paraId="4C3699B8" w14:textId="77777777" w:rsidTr="006972AD">
        <w:tc>
          <w:tcPr>
            <w:tcW w:w="5000" w:type="pct"/>
            <w:gridSpan w:val="11"/>
            <w:shd w:val="clear" w:color="auto" w:fill="auto"/>
          </w:tcPr>
          <w:p w14:paraId="4720B11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r>
      <w:tr w:rsidR="00A876F3" w:rsidRPr="0088780C" w14:paraId="1C21C6D8" w14:textId="77777777" w:rsidTr="006972AD">
        <w:tc>
          <w:tcPr>
            <w:tcW w:w="779" w:type="pct"/>
            <w:shd w:val="clear" w:color="auto" w:fill="auto"/>
          </w:tcPr>
          <w:p w14:paraId="65B403E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4607A45E"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2E397AF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6E30621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513054A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6" w:type="pct"/>
            <w:gridSpan w:val="2"/>
            <w:shd w:val="clear" w:color="auto" w:fill="auto"/>
          </w:tcPr>
          <w:p w14:paraId="462BDF4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3F2ADCC2" w14:textId="77777777" w:rsidTr="006972AD">
        <w:tc>
          <w:tcPr>
            <w:tcW w:w="5000" w:type="pct"/>
            <w:gridSpan w:val="11"/>
            <w:shd w:val="clear" w:color="auto" w:fill="auto"/>
          </w:tcPr>
          <w:p w14:paraId="56D5FF58"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6AB1B99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Flora of the delta estuary includes 103 water plant species (81 species of flowering plants, 20 species of algae, one species of fern and one horsetail) (Shekhov,1971) There are 60 species of fish in the Kuban Delta. The bird fauna includes 192 species (Complex ecological survey…, 2014).</w:t>
            </w:r>
          </w:p>
        </w:tc>
      </w:tr>
      <w:tr w:rsidR="00A876F3" w:rsidRPr="0088780C" w14:paraId="5C9B9A09" w14:textId="77777777" w:rsidTr="006972AD">
        <w:tc>
          <w:tcPr>
            <w:tcW w:w="783" w:type="pct"/>
            <w:shd w:val="clear" w:color="auto" w:fill="auto"/>
          </w:tcPr>
          <w:p w14:paraId="6A63C9B4"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113DE652" w14:textId="77777777" w:rsidR="00A876F3" w:rsidRPr="0088780C" w:rsidRDefault="00A876F3" w:rsidP="001013AF">
            <w:pPr>
              <w:suppressLineNumbers/>
              <w:suppressAutoHyphens/>
              <w:kinsoku w:val="0"/>
              <w:overflowPunct w:val="0"/>
              <w:autoSpaceDE w:val="0"/>
              <w:autoSpaceDN w:val="0"/>
              <w:adjustRightInd w:val="0"/>
              <w:jc w:val="left"/>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0EB988CC"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tc>
        <w:tc>
          <w:tcPr>
            <w:tcW w:w="453" w:type="pct"/>
            <w:gridSpan w:val="2"/>
            <w:shd w:val="clear" w:color="auto" w:fill="auto"/>
          </w:tcPr>
          <w:p w14:paraId="7EC1A5A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bCs/>
                <w:snapToGrid w:val="0"/>
                <w:color w:val="000000"/>
                <w:kern w:val="22"/>
                <w:szCs w:val="22"/>
              </w:rPr>
              <w:t>X</w:t>
            </w:r>
          </w:p>
        </w:tc>
        <w:tc>
          <w:tcPr>
            <w:tcW w:w="400" w:type="pct"/>
            <w:gridSpan w:val="2"/>
            <w:shd w:val="clear" w:color="auto" w:fill="auto"/>
          </w:tcPr>
          <w:p w14:paraId="65FC72D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tc>
        <w:tc>
          <w:tcPr>
            <w:tcW w:w="385" w:type="pct"/>
            <w:shd w:val="clear" w:color="auto" w:fill="auto"/>
          </w:tcPr>
          <w:p w14:paraId="20CFBD3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tc>
      </w:tr>
      <w:tr w:rsidR="00A876F3" w:rsidRPr="0088780C" w14:paraId="7CFE5930" w14:textId="77777777" w:rsidTr="006972AD">
        <w:tc>
          <w:tcPr>
            <w:tcW w:w="5000" w:type="pct"/>
            <w:gridSpan w:val="11"/>
            <w:shd w:val="clear" w:color="auto" w:fill="auto"/>
          </w:tcPr>
          <w:p w14:paraId="5871330B"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09C01CCB"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At the end of the 19th century and, especially, in the 1930s, the development of irrigated agriculture began in the Delta, and a great number of wetlands were transformed into polders and fish ponds. Large adjusting marshy areas were turned into rice fields. A distinguishing feature of fish ponds is that they are surrounded by high coast and do not have shallows. Diversions of water from the natural wetlands to irrigation canals have altered their hydrological regime so that it becomes asynchronous to the natural one (Gineev, 1985, 1989).</w:t>
            </w:r>
          </w:p>
          <w:p w14:paraId="2A1D4B86"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40E71ADD"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snapToGrid w:val="0"/>
                <w:kern w:val="22"/>
                <w:szCs w:val="22"/>
                <w:shd w:val="clear" w:color="auto" w:fill="FEFEFE"/>
              </w:rPr>
              <w:t>The sea coast is used as a resort area. The sewage loads is low, but will increase with time in correlation with tourism development. The m</w:t>
            </w:r>
            <w:r w:rsidRPr="0088780C">
              <w:rPr>
                <w:rFonts w:eastAsia="MS Mincho"/>
                <w:snapToGrid w:val="0"/>
                <w:kern w:val="22"/>
                <w:szCs w:val="22"/>
              </w:rPr>
              <w:t xml:space="preserve">ain pressure includes </w:t>
            </w:r>
            <w:r w:rsidRPr="0088780C">
              <w:rPr>
                <w:snapToGrid w:val="0"/>
                <w:kern w:val="22"/>
                <w:szCs w:val="22"/>
              </w:rPr>
              <w:t xml:space="preserve">water intake in the Kuban River; canal construction, changing the hydrological regime of limans; reed fires; fishing and hunting. </w:t>
            </w:r>
            <w:r w:rsidRPr="0088780C">
              <w:rPr>
                <w:snapToGrid w:val="0"/>
                <w:kern w:val="22"/>
                <w:szCs w:val="22"/>
                <w:shd w:val="clear" w:color="auto" w:fill="FEFEFE"/>
              </w:rPr>
              <w:t xml:space="preserve">The Kuban estuaries gradually become silted and shallow. The hydrological regime and the water balance of the Azov-Kuban estuaries currently depend mainly on the delta climate, the water content of the Kuban River, the water regime of the Azov Sea and the reclamation activities </w:t>
            </w:r>
            <w:r w:rsidRPr="0088780C">
              <w:rPr>
                <w:snapToGrid w:val="0"/>
                <w:kern w:val="22"/>
                <w:szCs w:val="22"/>
              </w:rPr>
              <w:t>(Rumyantsev et al., 2015).</w:t>
            </w:r>
          </w:p>
        </w:tc>
      </w:tr>
    </w:tbl>
    <w:p w14:paraId="44B07C86"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190F8067" w14:textId="77777777" w:rsidR="00A876F3" w:rsidRPr="0088780C" w:rsidRDefault="00A876F3" w:rsidP="001013AF">
      <w:pPr>
        <w:suppressLineNumbers/>
        <w:suppressAutoHyphens/>
        <w:kinsoku w:val="0"/>
        <w:overflowPunct w:val="0"/>
        <w:autoSpaceDE w:val="0"/>
        <w:autoSpaceDN w:val="0"/>
        <w:spacing w:after="120"/>
        <w:rPr>
          <w:rFonts w:eastAsia="MS Mincho"/>
          <w:b/>
          <w:snapToGrid w:val="0"/>
          <w:kern w:val="22"/>
          <w:szCs w:val="22"/>
        </w:rPr>
      </w:pPr>
      <w:r w:rsidRPr="0088780C">
        <w:rPr>
          <w:rFonts w:eastAsia="MS Mincho"/>
          <w:b/>
          <w:snapToGrid w:val="0"/>
          <w:kern w:val="22"/>
          <w:szCs w:val="22"/>
        </w:rPr>
        <w:t>References</w:t>
      </w:r>
    </w:p>
    <w:p w14:paraId="02BDB16F" w14:textId="0317B841" w:rsidR="00A876F3" w:rsidRPr="0088780C" w:rsidRDefault="00A876F3" w:rsidP="001013AF">
      <w:pPr>
        <w:suppressLineNumbers/>
        <w:suppressAutoHyphens/>
        <w:kinsoku w:val="0"/>
        <w:overflowPunct w:val="0"/>
        <w:autoSpaceDE w:val="0"/>
        <w:autoSpaceDN w:val="0"/>
        <w:spacing w:after="60"/>
        <w:rPr>
          <w:snapToGrid w:val="0"/>
          <w:color w:val="222222"/>
          <w:kern w:val="22"/>
          <w:szCs w:val="22"/>
          <w:shd w:val="clear" w:color="auto" w:fill="FFFFFF"/>
        </w:rPr>
      </w:pPr>
      <w:r w:rsidRPr="0088780C">
        <w:rPr>
          <w:snapToGrid w:val="0"/>
          <w:color w:val="222222"/>
          <w:kern w:val="22"/>
          <w:szCs w:val="22"/>
          <w:shd w:val="clear" w:color="auto" w:fill="FFFFFF"/>
        </w:rPr>
        <w:t>Belyuchenko I.S. 2005. Ecology of the Kuban. Krasnodar: KubGAU.</w:t>
      </w:r>
    </w:p>
    <w:p w14:paraId="424CA3C6" w14:textId="63D64F0E" w:rsidR="00A876F3" w:rsidRPr="0088780C" w:rsidRDefault="00A876F3" w:rsidP="001013AF">
      <w:pPr>
        <w:suppressLineNumbers/>
        <w:suppressAutoHyphens/>
        <w:kinsoku w:val="0"/>
        <w:overflowPunct w:val="0"/>
        <w:autoSpaceDE w:val="0"/>
        <w:autoSpaceDN w:val="0"/>
        <w:spacing w:after="60"/>
        <w:ind w:left="720" w:hanging="720"/>
        <w:jc w:val="left"/>
        <w:rPr>
          <w:snapToGrid w:val="0"/>
          <w:kern w:val="22"/>
          <w:szCs w:val="22"/>
        </w:rPr>
      </w:pPr>
      <w:r w:rsidRPr="0088780C">
        <w:rPr>
          <w:snapToGrid w:val="0"/>
          <w:kern w:val="22"/>
          <w:szCs w:val="22"/>
        </w:rPr>
        <w:t>BirdLife International, 2017a. Important Bird Areas factsheet: Delta of the Kuban' river. Downloaded from</w:t>
      </w:r>
      <w:r w:rsidR="00285870" w:rsidRPr="0088780C">
        <w:rPr>
          <w:snapToGrid w:val="0"/>
          <w:kern w:val="22"/>
          <w:szCs w:val="22"/>
        </w:rPr>
        <w:t xml:space="preserve"> </w:t>
      </w:r>
      <w:hyperlink r:id="rId173" w:history="1">
        <w:r w:rsidRPr="0088780C">
          <w:rPr>
            <w:rStyle w:val="Hyperlink"/>
            <w:snapToGrid w:val="0"/>
            <w:kern w:val="22"/>
            <w:szCs w:val="22"/>
          </w:rPr>
          <w:t>http://datazone.birdlife.org/site/factsheet/delta-of-the-kuban-river-iba-russia-(european)/details</w:t>
        </w:r>
      </w:hyperlink>
      <w:r w:rsidRPr="0088780C">
        <w:rPr>
          <w:snapToGrid w:val="0"/>
          <w:kern w:val="22"/>
          <w:szCs w:val="22"/>
        </w:rPr>
        <w:t xml:space="preserve"> on 26/04/2017.</w:t>
      </w:r>
    </w:p>
    <w:p w14:paraId="1133C278" w14:textId="77777777" w:rsidR="00A876F3" w:rsidRPr="0088780C" w:rsidRDefault="00A876F3"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BirdLife International. 2017b. IUCN Red List for birds. Downloaded from http://www.birdlife.org on 26/04/2017.</w:t>
      </w:r>
    </w:p>
    <w:p w14:paraId="09B8306B" w14:textId="40044EB5" w:rsidR="00A876F3" w:rsidRPr="0088780C" w:rsidRDefault="00A876F3" w:rsidP="001013AF">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 xml:space="preserve">BirdLife International. 2017c. Important Bird Areas factsheet: Bandar Kiashar lagoon and mouth of Sefid Rud. Downloaded from </w:t>
      </w:r>
      <w:hyperlink r:id="rId174" w:history="1">
        <w:r w:rsidRPr="0088780C">
          <w:rPr>
            <w:rStyle w:val="Hyperlink"/>
            <w:rFonts w:eastAsia="MS Mincho"/>
            <w:bCs/>
            <w:snapToGrid w:val="0"/>
            <w:kern w:val="22"/>
            <w:szCs w:val="22"/>
          </w:rPr>
          <w:t>http://datazone.birdlife.org/site/factsheet/bandar-kiashar-lagoon-and-mouth-of-sefid-rud-iba-iran-islamic-republic-of/details on 27/04/2017</w:t>
        </w:r>
      </w:hyperlink>
      <w:r w:rsidRPr="0088780C">
        <w:rPr>
          <w:rFonts w:eastAsia="MS Mincho"/>
          <w:bCs/>
          <w:snapToGrid w:val="0"/>
          <w:color w:val="000000"/>
          <w:kern w:val="22"/>
          <w:szCs w:val="22"/>
        </w:rPr>
        <w:t>.</w:t>
      </w:r>
    </w:p>
    <w:p w14:paraId="7A261C89" w14:textId="004C5F56" w:rsidR="00A876F3" w:rsidRPr="0088780C" w:rsidRDefault="00A876F3" w:rsidP="001013AF">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Borisov V.I. 1978. Rivers of the Kuban. Krasnodar: Publishing house.</w:t>
      </w:r>
    </w:p>
    <w:p w14:paraId="23219F4B" w14:textId="77777777" w:rsidR="00A876F3" w:rsidRPr="0088780C" w:rsidRDefault="00A876F3" w:rsidP="001013AF">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Chepurnaya T.A. 2017. Data justifying Total Allowable Catch of aquatic biological resour</w:t>
      </w:r>
      <w:r w:rsidRPr="0088780C">
        <w:rPr>
          <w:rFonts w:eastAsia="MS Mincho"/>
          <w:i/>
          <w:snapToGrid w:val="0"/>
          <w:kern w:val="22"/>
          <w:szCs w:val="22"/>
        </w:rPr>
        <w:t xml:space="preserve">ces </w:t>
      </w:r>
      <w:r w:rsidRPr="0088780C">
        <w:rPr>
          <w:rFonts w:eastAsia="MS Mincho"/>
          <w:snapToGrid w:val="0"/>
          <w:kern w:val="22"/>
          <w:szCs w:val="22"/>
        </w:rPr>
        <w:t>in the internal marine waters and the territorial sea of the Russian Federation in the Black Sea. Sturgeons: Russian sturgeon, Starry sturgeon. Rostov on Don: AzNIRH. http://azniirkh.ru/wp-content/uploads/2017/03/AzNIIRH_Materialyi-ODU_osetrovyie.pdf</w:t>
      </w:r>
    </w:p>
    <w:p w14:paraId="5BE8CCE5" w14:textId="0039CB8B" w:rsidR="00A876F3" w:rsidRPr="0088780C" w:rsidRDefault="00A876F3" w:rsidP="001013AF">
      <w:pPr>
        <w:suppressLineNumbers/>
        <w:suppressAutoHyphens/>
        <w:kinsoku w:val="0"/>
        <w:overflowPunct w:val="0"/>
        <w:autoSpaceDE w:val="0"/>
        <w:autoSpaceDN w:val="0"/>
        <w:spacing w:after="60"/>
        <w:ind w:left="720" w:hanging="720"/>
        <w:rPr>
          <w:snapToGrid w:val="0"/>
          <w:color w:val="222222"/>
          <w:kern w:val="22"/>
          <w:szCs w:val="22"/>
          <w:shd w:val="clear" w:color="auto" w:fill="FFFFFF"/>
        </w:rPr>
      </w:pPr>
      <w:r w:rsidRPr="0088780C">
        <w:rPr>
          <w:snapToGrid w:val="0"/>
          <w:color w:val="222222"/>
          <w:kern w:val="22"/>
          <w:szCs w:val="22"/>
          <w:shd w:val="clear" w:color="auto" w:fill="FFFFFF"/>
        </w:rPr>
        <w:t>Complex ecological survey of the wetland area of the Akhtaro-Griven estuary system and a group of estuaries between the Kuban River and the River of the Eastern Azov Sea Protocol of the Krasnodar Territory, which justifies giving this territory or part of its legal status to a specially protected natural area of regional importance. Justification of the boundaries of wetlands. Stage 2. Krasnodar. DorStroyEngineering. 2014. 240 p</w:t>
      </w:r>
      <w:r w:rsidR="00285870" w:rsidRPr="0088780C">
        <w:rPr>
          <w:snapToGrid w:val="0"/>
          <w:color w:val="222222"/>
          <w:kern w:val="22"/>
          <w:szCs w:val="22"/>
          <w:shd w:val="clear" w:color="auto" w:fill="FFFFFF"/>
        </w:rPr>
        <w:t>p</w:t>
      </w:r>
      <w:r w:rsidRPr="0088780C">
        <w:rPr>
          <w:snapToGrid w:val="0"/>
          <w:color w:val="222222"/>
          <w:kern w:val="22"/>
          <w:szCs w:val="22"/>
          <w:shd w:val="clear" w:color="auto" w:fill="FFFFFF"/>
        </w:rPr>
        <w:t>.</w:t>
      </w:r>
    </w:p>
    <w:p w14:paraId="0D09666E" w14:textId="77777777" w:rsidR="00A876F3" w:rsidRPr="0088780C" w:rsidRDefault="00A876F3" w:rsidP="001013AF">
      <w:pPr>
        <w:suppressLineNumbers/>
        <w:suppressAutoHyphens/>
        <w:kinsoku w:val="0"/>
        <w:overflowPunct w:val="0"/>
        <w:autoSpaceDE w:val="0"/>
        <w:autoSpaceDN w:val="0"/>
        <w:spacing w:after="60"/>
        <w:ind w:left="720" w:hanging="720"/>
        <w:rPr>
          <w:snapToGrid w:val="0"/>
          <w:kern w:val="22"/>
          <w:szCs w:val="22"/>
        </w:rPr>
      </w:pPr>
      <w:r w:rsidRPr="0088780C">
        <w:rPr>
          <w:rFonts w:eastAsia="MS Mincho"/>
          <w:bCs/>
          <w:snapToGrid w:val="0"/>
          <w:color w:val="000000"/>
          <w:kern w:val="22"/>
          <w:szCs w:val="22"/>
        </w:rPr>
        <w:t>Elliott, A., Christie, D.A., Jutglar, F. &amp; Kirwan, G.M. (2017). Dalmatian Pelican (Pelecanus crispus). In: del Hoyo, J., Elliott, A., Sargatal, J., Christie, D.A. &amp; de Juana, E. (eds.). Handbook of the Birds of the World Alive. Lynx Edicions, Barcelona. (retrieved from http://www.hbw.com/node/52613 on 28 April 2017).</w:t>
      </w:r>
    </w:p>
    <w:p w14:paraId="3CAB3964" w14:textId="0CF207BD" w:rsidR="00A876F3" w:rsidRPr="0088780C" w:rsidRDefault="00A876F3"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Gineev, A.M. 1985. Estimated numbers of furbearing animals in the Northern Caucasus. Pages 12-24 in Resources of Game Animals and Prognosis of Their Utilisation. Moscow.</w:t>
      </w:r>
    </w:p>
    <w:p w14:paraId="0FC58A59" w14:textId="5E8C2790" w:rsidR="00A876F3" w:rsidRPr="0088780C" w:rsidRDefault="00A876F3"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Gineev, A.M. 1989. To the status and ecological changes in the environment of the Northern Caucasus Region, Kalmyk Republic and Astrakhan Oblast. Pages 312-319 in Environmental Problems in the Stavropol Region and Adjacent Areas. Conf. 4-6 Oct.1989. Stavropol</w:t>
      </w:r>
      <w:r w:rsidR="00A113DA" w:rsidRPr="0088780C">
        <w:rPr>
          <w:snapToGrid w:val="0"/>
          <w:kern w:val="22"/>
          <w:szCs w:val="22"/>
        </w:rPr>
        <w:t>.</w:t>
      </w:r>
    </w:p>
    <w:p w14:paraId="285923B8" w14:textId="77777777" w:rsidR="00A876F3" w:rsidRPr="0088780C" w:rsidRDefault="00A876F3" w:rsidP="001013AF">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snapToGrid w:val="0"/>
          <w:color w:val="222222"/>
          <w:kern w:val="22"/>
          <w:szCs w:val="22"/>
          <w:shd w:val="clear" w:color="auto" w:fill="FFFFFF"/>
        </w:rPr>
        <w:t>Krivenko V. G. (ed.). 1999. Wetlands in Russia: Wetlands of international importance. – Wetlands International.</w:t>
      </w:r>
    </w:p>
    <w:p w14:paraId="7EBC03D6" w14:textId="41D6BB52" w:rsidR="00A876F3" w:rsidRPr="0088780C" w:rsidRDefault="00A876F3" w:rsidP="001013AF">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Rumyantsev VA, Drabkova VG and Izmaylova A.V. 2015. Lakes of the European part of Russia - SPb.: LEMA. - 392 p</w:t>
      </w:r>
      <w:r w:rsidR="00A113DA" w:rsidRPr="0088780C">
        <w:rPr>
          <w:rFonts w:eastAsia="MS Mincho"/>
          <w:snapToGrid w:val="0"/>
          <w:kern w:val="22"/>
          <w:szCs w:val="22"/>
        </w:rPr>
        <w:t>p</w:t>
      </w:r>
      <w:r w:rsidRPr="0088780C">
        <w:rPr>
          <w:rFonts w:eastAsia="MS Mincho"/>
          <w:snapToGrid w:val="0"/>
          <w:kern w:val="22"/>
          <w:szCs w:val="22"/>
        </w:rPr>
        <w:t>.</w:t>
      </w:r>
    </w:p>
    <w:p w14:paraId="0DEC1937" w14:textId="77777777" w:rsidR="00A876F3" w:rsidRPr="0088780C" w:rsidRDefault="00A876F3" w:rsidP="001013AF">
      <w:pPr>
        <w:suppressLineNumbers/>
        <w:suppressAutoHyphens/>
        <w:kinsoku w:val="0"/>
        <w:overflowPunct w:val="0"/>
        <w:autoSpaceDE w:val="0"/>
        <w:autoSpaceDN w:val="0"/>
        <w:spacing w:after="60"/>
        <w:ind w:left="720" w:hanging="720"/>
        <w:rPr>
          <w:snapToGrid w:val="0"/>
          <w:kern w:val="22"/>
          <w:szCs w:val="22"/>
        </w:rPr>
      </w:pPr>
      <w:r w:rsidRPr="0088780C">
        <w:rPr>
          <w:rFonts w:eastAsia="MS Mincho"/>
          <w:snapToGrid w:val="0"/>
          <w:kern w:val="22"/>
          <w:szCs w:val="22"/>
        </w:rPr>
        <w:t xml:space="preserve">Ramsar list. </w:t>
      </w:r>
      <w:hyperlink r:id="rId175" w:history="1">
        <w:r w:rsidRPr="0088780C">
          <w:rPr>
            <w:rStyle w:val="Hyperlink"/>
            <w:rFonts w:eastAsia="MS Mincho"/>
            <w:snapToGrid w:val="0"/>
            <w:kern w:val="22"/>
            <w:szCs w:val="22"/>
          </w:rPr>
          <w:t>https://rsis.ramsar.org/ris/674</w:t>
        </w:r>
      </w:hyperlink>
      <w:r w:rsidRPr="0088780C">
        <w:rPr>
          <w:rFonts w:eastAsia="MS Mincho"/>
          <w:snapToGrid w:val="0"/>
          <w:kern w:val="22"/>
          <w:szCs w:val="22"/>
        </w:rPr>
        <w:t>. 2017</w:t>
      </w:r>
    </w:p>
    <w:p w14:paraId="358FF8D2" w14:textId="3C1F988E" w:rsidR="00A876F3" w:rsidRPr="0088780C" w:rsidRDefault="00A876F3" w:rsidP="001013AF">
      <w:pPr>
        <w:suppressLineNumbers/>
        <w:suppressAutoHyphens/>
        <w:kinsoku w:val="0"/>
        <w:overflowPunct w:val="0"/>
        <w:autoSpaceDE w:val="0"/>
        <w:autoSpaceDN w:val="0"/>
        <w:spacing w:after="60"/>
        <w:ind w:left="720" w:hanging="720"/>
        <w:rPr>
          <w:rFonts w:eastAsia="MS Mincho"/>
          <w:snapToGrid w:val="0"/>
          <w:kern w:val="22"/>
          <w:szCs w:val="22"/>
        </w:rPr>
      </w:pPr>
      <w:r w:rsidRPr="0088780C">
        <w:rPr>
          <w:snapToGrid w:val="0"/>
          <w:kern w:val="22"/>
          <w:szCs w:val="22"/>
        </w:rPr>
        <w:t>Shekhov, A.G. 1971. Flora and vegetation of the Kuban limans. Biology of inland waters. Inf.Biol. 10:24</w:t>
      </w:r>
      <w:r w:rsidR="00A113DA" w:rsidRPr="0088780C">
        <w:rPr>
          <w:snapToGrid w:val="0"/>
          <w:kern w:val="22"/>
          <w:szCs w:val="22"/>
        </w:rPr>
        <w:noBreakHyphen/>
      </w:r>
      <w:r w:rsidRPr="0088780C">
        <w:rPr>
          <w:snapToGrid w:val="0"/>
          <w:kern w:val="22"/>
          <w:szCs w:val="22"/>
        </w:rPr>
        <w:t>29.</w:t>
      </w:r>
    </w:p>
    <w:p w14:paraId="6F495FB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CE9B7A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5D36BF0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184C6A0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68B941C"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noProof/>
          <w:snapToGrid w:val="0"/>
          <w:kern w:val="22"/>
          <w:szCs w:val="22"/>
          <w:lang w:eastAsia="zh-CN"/>
        </w:rPr>
        <w:drawing>
          <wp:inline distT="0" distB="0" distL="0" distR="0" wp14:anchorId="52CB7EBC" wp14:editId="63C9C863">
            <wp:extent cx="5486400" cy="4572000"/>
            <wp:effectExtent l="0" t="0" r="0" b="0"/>
            <wp:docPr id="64560" name="Picture 64560" descr="C:\Users\grekin\AppData\Local\Microsoft\Windows\Temporary Internet Files\Content.Wor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grekin\AppData\Local\Microsoft\Windows\Temporary Internet Files\Content.Word\9.png"/>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73BDD7A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bCs/>
          <w:snapToGrid w:val="0"/>
          <w:color w:val="000000" w:themeColor="text1"/>
          <w:kern w:val="22"/>
          <w:szCs w:val="22"/>
        </w:rPr>
        <w:t>Area meeting the EBSA criteria</w:t>
      </w:r>
      <w:r w:rsidRPr="0088780C" w:rsidDel="002D4A01">
        <w:rPr>
          <w:rFonts w:eastAsia="MS Mincho"/>
          <w:snapToGrid w:val="0"/>
          <w:kern w:val="22"/>
          <w:szCs w:val="22"/>
        </w:rPr>
        <w:t xml:space="preserve"> </w:t>
      </w:r>
      <w:r w:rsidRPr="0088780C">
        <w:rPr>
          <w:rFonts w:eastAsia="MS Mincho"/>
          <w:b/>
          <w:snapToGrid w:val="0"/>
          <w:kern w:val="22"/>
          <w:szCs w:val="22"/>
        </w:rPr>
        <w:br w:type="page"/>
      </w:r>
    </w:p>
    <w:p w14:paraId="55070792" w14:textId="232C5EF6" w:rsidR="00A876F3" w:rsidRPr="0088780C" w:rsidRDefault="00A876F3" w:rsidP="001013AF">
      <w:pPr>
        <w:suppressLineNumbers/>
        <w:suppressAutoHyphens/>
        <w:kinsoku w:val="0"/>
        <w:overflowPunct w:val="0"/>
        <w:autoSpaceDE w:val="0"/>
        <w:autoSpaceDN w:val="0"/>
        <w:spacing w:line="276" w:lineRule="auto"/>
        <w:jc w:val="center"/>
        <w:rPr>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10: </w:t>
      </w:r>
      <w:r w:rsidRPr="0088780C">
        <w:rPr>
          <w:b/>
          <w:snapToGrid w:val="0"/>
          <w:kern w:val="22"/>
          <w:szCs w:val="22"/>
        </w:rPr>
        <w:t>Taman Bay and the Kerch Strait</w:t>
      </w:r>
    </w:p>
    <w:p w14:paraId="09BA471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A45985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Abstract</w:t>
      </w:r>
    </w:p>
    <w:p w14:paraId="6AF225C8"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r w:rsidRPr="0088780C">
        <w:rPr>
          <w:snapToGrid w:val="0"/>
          <w:kern w:val="22"/>
          <w:szCs w:val="22"/>
        </w:rPr>
        <w:t>Taman Bay is a shallow semi-closed marine lagoon in the Sea of Azov with no constant source of river inflow. It is a unique sea area in the Russian Black Sea and Sea of Azov coast, with primary production depending on seagrasses. Biomass of bottom vegetation varies strongly and can exceed 5000 g/m</w:t>
      </w:r>
      <w:r w:rsidRPr="0088780C">
        <w:rPr>
          <w:snapToGrid w:val="0"/>
          <w:kern w:val="22"/>
          <w:szCs w:val="22"/>
          <w:vertAlign w:val="superscript"/>
        </w:rPr>
        <w:t>2</w:t>
      </w:r>
      <w:r w:rsidRPr="0088780C">
        <w:rPr>
          <w:snapToGrid w:val="0"/>
          <w:kern w:val="22"/>
          <w:szCs w:val="22"/>
        </w:rPr>
        <w:t xml:space="preserve"> (wet weight), while the macrozoobenthos biomass is 1500 g/m</w:t>
      </w:r>
      <w:r w:rsidRPr="0088780C">
        <w:rPr>
          <w:snapToGrid w:val="0"/>
          <w:kern w:val="22"/>
          <w:szCs w:val="22"/>
          <w:vertAlign w:val="superscript"/>
        </w:rPr>
        <w:t>2</w:t>
      </w:r>
      <w:r w:rsidRPr="0088780C">
        <w:rPr>
          <w:snapToGrid w:val="0"/>
          <w:kern w:val="22"/>
          <w:szCs w:val="22"/>
        </w:rPr>
        <w:t>. Up to 1 000 000 birds stop on the bay during seasonal migration. The Taman Bay wetland is a wintering area of many species of waterfowl. The site has a significant value as a place of reproduction of waterbird species listed in the Red Book of the Russian Federation and Krasnodar Province. The ecosystem of the Bay shows some resilience and maintains a quasi-stable regime. The adjacent Kerch Strait is an important migratory pathway for marine life, including various fish species as well as two cetacean species, harbour porpoises (</w:t>
      </w:r>
      <w:r w:rsidRPr="0088780C">
        <w:rPr>
          <w:i/>
          <w:snapToGrid w:val="0"/>
          <w:kern w:val="22"/>
          <w:szCs w:val="22"/>
        </w:rPr>
        <w:t>Phocoena phocoena relicta</w:t>
      </w:r>
      <w:r w:rsidRPr="0088780C">
        <w:rPr>
          <w:snapToGrid w:val="0"/>
          <w:kern w:val="22"/>
          <w:szCs w:val="22"/>
        </w:rPr>
        <w:t>) and bottlenose dolphins (</w:t>
      </w:r>
      <w:r w:rsidRPr="0088780C">
        <w:rPr>
          <w:rFonts w:eastAsia="Times New Roman"/>
          <w:i/>
          <w:snapToGrid w:val="0"/>
          <w:kern w:val="22"/>
          <w:szCs w:val="22"/>
          <w:lang w:eastAsia="ja-JP"/>
        </w:rPr>
        <w:t>Tursiops truncates ponticus</w:t>
      </w:r>
      <w:r w:rsidRPr="0088780C">
        <w:rPr>
          <w:rFonts w:eastAsia="Times New Roman"/>
          <w:snapToGrid w:val="0"/>
          <w:kern w:val="22"/>
          <w:szCs w:val="22"/>
          <w:lang w:eastAsia="ja-JP"/>
        </w:rPr>
        <w:t>)</w:t>
      </w:r>
      <w:r w:rsidRPr="0088780C">
        <w:rPr>
          <w:snapToGrid w:val="0"/>
          <w:kern w:val="22"/>
          <w:szCs w:val="22"/>
        </w:rPr>
        <w:t>.</w:t>
      </w:r>
    </w:p>
    <w:p w14:paraId="66A0643D"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3232584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507210CF" w14:textId="7843D6AF" w:rsidR="00A876F3" w:rsidRPr="0088780C" w:rsidRDefault="00A876F3" w:rsidP="001013AF">
      <w:pPr>
        <w:suppressLineNumbers/>
        <w:suppressAutoHyphens/>
        <w:kinsoku w:val="0"/>
        <w:overflowPunct w:val="0"/>
        <w:autoSpaceDE w:val="0"/>
        <w:autoSpaceDN w:val="0"/>
        <w:rPr>
          <w:i/>
          <w:snapToGrid w:val="0"/>
          <w:kern w:val="22"/>
          <w:szCs w:val="22"/>
        </w:rPr>
      </w:pPr>
      <w:r w:rsidRPr="0088780C">
        <w:rPr>
          <w:snapToGrid w:val="0"/>
          <w:kern w:val="22"/>
          <w:szCs w:val="22"/>
        </w:rPr>
        <w:t>Taman Bay is a shallow semi-enclosed marine lagoon in the Sea of Azov with no constant source of river inflow. It is a unique sea area in the Russian Black Sea and Sea of Azov coast, with primary production depending on seagrasses. The northern, shallowest part of the bay (Dinskoj Bay) is an important wetland, listed as a candidate for the Ramsar Convention List (Krivenko, 2000) and an Important Bird and Biodiversity Area (Bukreev et al., 2009; BirdLife International, 2017). High anthropogenic pressure (pollution, eutrophication and hydrotechnical building) could lead to negative consequences to the bay ecosystem. On the other hand, the bay’s benthic species are mainly generalists with a wide range of tolerance to environmental factors</w:t>
      </w:r>
      <w:r w:rsidR="003B1DBA" w:rsidRPr="0088780C">
        <w:rPr>
          <w:snapToGrid w:val="0"/>
          <w:kern w:val="22"/>
          <w:szCs w:val="22"/>
        </w:rPr>
        <w:t>;</w:t>
      </w:r>
      <w:r w:rsidRPr="0088780C">
        <w:rPr>
          <w:snapToGrid w:val="0"/>
          <w:kern w:val="22"/>
          <w:szCs w:val="22"/>
        </w:rPr>
        <w:t xml:space="preserve"> therefore</w:t>
      </w:r>
      <w:r w:rsidR="003B1DBA" w:rsidRPr="0088780C">
        <w:rPr>
          <w:snapToGrid w:val="0"/>
          <w:kern w:val="22"/>
          <w:szCs w:val="22"/>
        </w:rPr>
        <w:t>,</w:t>
      </w:r>
      <w:r w:rsidRPr="0088780C">
        <w:rPr>
          <w:snapToGrid w:val="0"/>
          <w:kern w:val="22"/>
          <w:szCs w:val="22"/>
        </w:rPr>
        <w:t xml:space="preserve"> the ecosystem is resilient to the impacts (Nesis, 1956; Spiridonov et al., 2016). The Kerch Strait, with its intensive international shipping, has been designated as an important cetacean habitat by ACCOBAMS (</w:t>
      </w:r>
      <w:r w:rsidRPr="0088780C">
        <w:rPr>
          <w:rStyle w:val="reference-text"/>
          <w:snapToGrid w:val="0"/>
          <w:kern w:val="22"/>
          <w:szCs w:val="22"/>
          <w:shd w:val="clear" w:color="auto" w:fill="FFFFFF"/>
        </w:rPr>
        <w:t>Notarbartolo di Sciara and Birkun, 2010), as they enter through this narrow strait to feed in the Azov Sea but migrate from there to winter in the Black Sea.</w:t>
      </w:r>
    </w:p>
    <w:p w14:paraId="42FBADB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C4326A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472DEBB1"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Taman Bay is a shallow bay of the lagoon type situated between the Sea of Azov and the Black Sea, lying to the north of the Taman peninsula. It opens to the Kerch Strait and is considered part of the Sea of Azov. The water area of the Kerch Strait is delimited by the line between the Cape Ahilleon on the coast of Taman Peninsula and Cape Hroni on the coast of the Kerch Peninsula in the north and by the line between Cape Panagia (mainland coast) and Cape Taqil (Kerch Peninsula coast) in the south. Taman Bay and the Kerch Strait are partly separated from each other by the spits Chushka and Tuzla (</w:t>
      </w:r>
      <w:r w:rsidRPr="0088780C">
        <w:rPr>
          <w:snapToGrid w:val="0"/>
          <w:kern w:val="22"/>
          <w:szCs w:val="22"/>
          <w:shd w:val="clear" w:color="auto" w:fill="FFFFFF"/>
        </w:rPr>
        <w:t>Marine Atlas, 1953</w:t>
      </w:r>
      <w:r w:rsidRPr="0088780C">
        <w:rPr>
          <w:snapToGrid w:val="0"/>
          <w:kern w:val="22"/>
          <w:szCs w:val="22"/>
        </w:rPr>
        <w:t>). The whole water area measures 803 km</w:t>
      </w:r>
      <w:r w:rsidRPr="0088780C">
        <w:rPr>
          <w:snapToGrid w:val="0"/>
          <w:kern w:val="22"/>
          <w:szCs w:val="22"/>
          <w:vertAlign w:val="superscript"/>
        </w:rPr>
        <w:t>2</w:t>
      </w:r>
      <w:r w:rsidRPr="0088780C">
        <w:rPr>
          <w:snapToGrid w:val="0"/>
          <w:kern w:val="22"/>
          <w:szCs w:val="22"/>
        </w:rPr>
        <w:t>. The shores of Taman Bay belong to the Temryuksky District of Krasnodar Krai.</w:t>
      </w:r>
    </w:p>
    <w:p w14:paraId="47B7D32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22C1738"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b/>
          <w:snapToGrid w:val="0"/>
          <w:kern w:val="22"/>
          <w:szCs w:val="22"/>
        </w:rPr>
        <w:t>Feature description of the area</w:t>
      </w:r>
    </w:p>
    <w:p w14:paraId="2083A4F3"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Taman Bay and Kerch Strait are located in the area of humid subtropical climate (Cfa) of Köppen climate classification (Kottek et al., 2006; Peel et al., 2007; Ulbrich et al., 2012).</w:t>
      </w:r>
    </w:p>
    <w:p w14:paraId="755BBD7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B7F769C" w14:textId="2AFD89E5"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r w:rsidRPr="0088780C">
        <w:rPr>
          <w:snapToGrid w:val="0"/>
          <w:kern w:val="22"/>
          <w:szCs w:val="22"/>
        </w:rPr>
        <w:t>The bottom topography of the Kerch Strait is complex. It decreases from the centre towards the seas, with a narrow channel in the western part and a wide shallow water area with extensive accumulative formations in the eastern part. The main depths are between 2 m and 18 m. The main soft bottom substrates are: fine-grained sands with shell, pelite and aleurite muds, and silts with shell material and clay. In the Kerch Strait salinity varies from 10 ‰ in the north of the strait to 18 ‰ in the south (</w:t>
      </w:r>
      <w:r w:rsidRPr="0088780C">
        <w:rPr>
          <w:snapToGrid w:val="0"/>
          <w:kern w:val="22"/>
          <w:szCs w:val="22"/>
          <w:shd w:val="clear" w:color="auto" w:fill="FFFFFF"/>
        </w:rPr>
        <w:t>G</w:t>
      </w:r>
      <w:r w:rsidR="0077183E" w:rsidRPr="0088780C">
        <w:rPr>
          <w:snapToGrid w:val="0"/>
          <w:kern w:val="22"/>
          <w:szCs w:val="22"/>
          <w:shd w:val="clear" w:color="auto" w:fill="FFFFFF"/>
        </w:rPr>
        <w:t>olovkina and Nabozhenko, 2012).</w:t>
      </w:r>
    </w:p>
    <w:p w14:paraId="43F62181"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p>
    <w:p w14:paraId="54701BBE"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r w:rsidRPr="0088780C">
        <w:rPr>
          <w:snapToGrid w:val="0"/>
          <w:kern w:val="22"/>
          <w:szCs w:val="22"/>
          <w:shd w:val="clear" w:color="auto" w:fill="FFFFFF"/>
        </w:rPr>
        <w:t>The Strait plays an essential role in the hydrological and hydrochemical regime of the Azov-Black Sea basin. It is an important fishing area and shipping route.</w:t>
      </w:r>
      <w:r w:rsidRPr="0088780C">
        <w:rPr>
          <w:snapToGrid w:val="0"/>
          <w:kern w:val="22"/>
          <w:szCs w:val="22"/>
        </w:rPr>
        <w:t xml:space="preserve"> The currents of the Kerch Strait are mainly wind-driven. In addition to the wind, the circulation of water in the strait also depends on the difference in sea levels at the ends of the strait caused by surges and differences in the freshwater balance of the Black and Azov seas. </w:t>
      </w:r>
      <w:r w:rsidRPr="0088780C">
        <w:rPr>
          <w:snapToGrid w:val="0"/>
          <w:kern w:val="22"/>
          <w:szCs w:val="22"/>
          <w:shd w:val="clear" w:color="auto" w:fill="FFFFFF"/>
        </w:rPr>
        <w:t>The Kerch Strait freezes annually, but later than and not as much as the Sea of Azov. This is explained by the proximity of the Black Sea, from which the relatively warm Black Sea waters regularly penetrate the Strait (Eremeev et al, 2003).</w:t>
      </w:r>
    </w:p>
    <w:p w14:paraId="5B9FDCEC" w14:textId="77777777" w:rsidR="0077183E" w:rsidRPr="0088780C" w:rsidRDefault="0077183E" w:rsidP="001013AF">
      <w:pPr>
        <w:suppressLineNumbers/>
        <w:suppressAutoHyphens/>
        <w:kinsoku w:val="0"/>
        <w:overflowPunct w:val="0"/>
        <w:autoSpaceDE w:val="0"/>
        <w:autoSpaceDN w:val="0"/>
        <w:rPr>
          <w:snapToGrid w:val="0"/>
          <w:kern w:val="22"/>
          <w:szCs w:val="22"/>
          <w:shd w:val="clear" w:color="auto" w:fill="FFFFFF"/>
        </w:rPr>
      </w:pPr>
    </w:p>
    <w:p w14:paraId="6BE5259B"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r w:rsidRPr="0088780C">
        <w:rPr>
          <w:snapToGrid w:val="0"/>
          <w:kern w:val="22"/>
          <w:szCs w:val="22"/>
          <w:shd w:val="clear" w:color="auto" w:fill="FFFFFF"/>
        </w:rPr>
        <w:t>A survey of the plankton community was conducted in 2010. The summer phytoplankton was represented by 135 species in the Kerch Strait. Diatoms (54 species) and dinoflagellates (57 species) dominated. Coccolithophorids (11 species), cyanobacteria (7 species), euglenas (4 species), and cryptomonads (2 species) were recorded everywhere. The phytoplankton biomass ranged from 248.1 to 3604.5 mg/m</w:t>
      </w:r>
      <w:r w:rsidRPr="0088780C">
        <w:rPr>
          <w:snapToGrid w:val="0"/>
          <w:kern w:val="22"/>
          <w:szCs w:val="22"/>
          <w:shd w:val="clear" w:color="auto" w:fill="FFFFFF"/>
          <w:vertAlign w:val="superscript"/>
        </w:rPr>
        <w:t>3</w:t>
      </w:r>
      <w:r w:rsidRPr="0088780C">
        <w:rPr>
          <w:snapToGrid w:val="0"/>
          <w:kern w:val="22"/>
          <w:szCs w:val="22"/>
          <w:shd w:val="clear" w:color="auto" w:fill="FFFFFF"/>
        </w:rPr>
        <w:t>. Thirty seven zooplankton species were recorded, comprising copepods (9 species), rotifers (5 species) and cladocerans (2 species). Zooplankton biomass averaged 329.8 mg/m3 (Sapozhnikov, et al., 2011). In 2010, 73 animal species were found in the macrozoobenthic communities of the Kerch Strait. Of these: polychaete - 22, crustaceans - 17, bivalve mollusks - 15, gastropod mollusks - 12, ascidians - 3 and one species of sponges, coelenterates, nemertines, etc. Mean biomass of zoobenthos amounted 197.6 g / m</w:t>
      </w:r>
      <w:r w:rsidRPr="0088780C">
        <w:rPr>
          <w:snapToGrid w:val="0"/>
          <w:kern w:val="22"/>
          <w:szCs w:val="22"/>
          <w:shd w:val="clear" w:color="auto" w:fill="FFFFFF"/>
          <w:vertAlign w:val="superscript"/>
        </w:rPr>
        <w:t>2</w:t>
      </w:r>
      <w:r w:rsidRPr="0088780C">
        <w:rPr>
          <w:snapToGrid w:val="0"/>
          <w:kern w:val="22"/>
          <w:szCs w:val="22"/>
          <w:shd w:val="clear" w:color="auto" w:fill="FFFFFF"/>
        </w:rPr>
        <w:t>, number - 613.7 ind./m</w:t>
      </w:r>
      <w:r w:rsidRPr="0088780C">
        <w:rPr>
          <w:snapToGrid w:val="0"/>
          <w:kern w:val="22"/>
          <w:szCs w:val="22"/>
          <w:shd w:val="clear" w:color="auto" w:fill="FFFFFF"/>
          <w:vertAlign w:val="superscript"/>
        </w:rPr>
        <w:t>2</w:t>
      </w:r>
      <w:r w:rsidRPr="0088780C">
        <w:rPr>
          <w:snapToGrid w:val="0"/>
          <w:kern w:val="22"/>
          <w:szCs w:val="22"/>
          <w:shd w:val="clear" w:color="auto" w:fill="FFFFFF"/>
        </w:rPr>
        <w:t xml:space="preserve"> (</w:t>
      </w:r>
      <w:r w:rsidRPr="0088780C">
        <w:rPr>
          <w:snapToGrid w:val="0"/>
          <w:kern w:val="22"/>
          <w:szCs w:val="22"/>
        </w:rPr>
        <w:t>Fashhuk</w:t>
      </w:r>
      <w:r w:rsidRPr="0088780C">
        <w:rPr>
          <w:snapToGrid w:val="0"/>
          <w:kern w:val="22"/>
          <w:szCs w:val="22"/>
          <w:shd w:val="clear" w:color="auto" w:fill="FFFFFF"/>
        </w:rPr>
        <w:t xml:space="preserve"> et al., 2012).</w:t>
      </w:r>
    </w:p>
    <w:p w14:paraId="50E0A67D"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55FFAED"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Taman Bay is a shallow marine basin without a permanent source of freshwater inflow. It covers an area of about 350 km</w:t>
      </w:r>
      <w:r w:rsidRPr="0088780C">
        <w:rPr>
          <w:snapToGrid w:val="0"/>
          <w:kern w:val="22"/>
          <w:szCs w:val="22"/>
          <w:vertAlign w:val="superscript"/>
        </w:rPr>
        <w:t>2</w:t>
      </w:r>
      <w:r w:rsidRPr="0088780C">
        <w:rPr>
          <w:snapToGrid w:val="0"/>
          <w:kern w:val="22"/>
          <w:szCs w:val="22"/>
        </w:rPr>
        <w:t>. The maximum depth does not exceed 6 m; the prevailing depths are 4.6-4.8 m (Ignatov and Chistov, 2003). Taman Bay is partly isolated from the Kerch Strait by the Chushka spit and Tuzla spit (dam), and due to local currents (Nesis, 1956,</w:t>
      </w:r>
      <w:r w:rsidRPr="0088780C">
        <w:rPr>
          <w:rFonts w:eastAsia="Calibri"/>
          <w:snapToGrid w:val="0"/>
          <w:kern w:val="22"/>
          <w:szCs w:val="22"/>
        </w:rPr>
        <w:t xml:space="preserve"> </w:t>
      </w:r>
      <w:r w:rsidRPr="0088780C">
        <w:rPr>
          <w:snapToGrid w:val="0"/>
          <w:kern w:val="22"/>
          <w:szCs w:val="22"/>
        </w:rPr>
        <w:t>Ovsienko et al., 2008) its water exchange with the surrounding sea is somewhat restricted. The Bay is divided into two parts by the shallow ridge (the former bay-bar) with mean depth equal to 1-2 m (Krylenko et al., 2017). This bar is an extension of the Rubanov Cape in the north and Markitantskaja Spit in the south. A partial isolation of the Bay and its shallowness are the factors determining its hydrological regime. The pattern of water circulation changed at least twice during the last hundred years (Ivanov et al., 2004). Five periods of recent ecological history of the Bay can be defined (Matishov et al., 2008):</w:t>
      </w:r>
    </w:p>
    <w:p w14:paraId="1EEB358F" w14:textId="77777777" w:rsidR="0077183E" w:rsidRPr="0088780C" w:rsidRDefault="0077183E" w:rsidP="001013AF">
      <w:pPr>
        <w:suppressLineNumbers/>
        <w:suppressAutoHyphens/>
        <w:kinsoku w:val="0"/>
        <w:overflowPunct w:val="0"/>
        <w:autoSpaceDE w:val="0"/>
        <w:autoSpaceDN w:val="0"/>
        <w:rPr>
          <w:snapToGrid w:val="0"/>
          <w:kern w:val="22"/>
          <w:szCs w:val="22"/>
        </w:rPr>
      </w:pPr>
    </w:p>
    <w:p w14:paraId="5E2A370E" w14:textId="77777777" w:rsidR="00A876F3" w:rsidRPr="0088780C" w:rsidRDefault="00A876F3" w:rsidP="001013AF">
      <w:pPr>
        <w:numPr>
          <w:ilvl w:val="0"/>
          <w:numId w:val="16"/>
        </w:numPr>
        <w:suppressLineNumbers/>
        <w:suppressAutoHyphens/>
        <w:kinsoku w:val="0"/>
        <w:overflowPunct w:val="0"/>
        <w:autoSpaceDE w:val="0"/>
        <w:autoSpaceDN w:val="0"/>
        <w:ind w:left="0" w:firstLine="720"/>
        <w:contextualSpacing/>
        <w:rPr>
          <w:snapToGrid w:val="0"/>
          <w:kern w:val="22"/>
          <w:szCs w:val="22"/>
        </w:rPr>
      </w:pPr>
      <w:r w:rsidRPr="0088780C">
        <w:rPr>
          <w:snapToGrid w:val="0"/>
          <w:kern w:val="22"/>
          <w:szCs w:val="22"/>
        </w:rPr>
        <w:t xml:space="preserve">The Tuzla Spit was a natural barrier for Black Sea current entry to the Bay until 1925. </w:t>
      </w:r>
    </w:p>
    <w:p w14:paraId="148EEF94" w14:textId="77777777" w:rsidR="00A876F3" w:rsidRPr="0088780C" w:rsidRDefault="00A876F3" w:rsidP="001013AF">
      <w:pPr>
        <w:numPr>
          <w:ilvl w:val="0"/>
          <w:numId w:val="16"/>
        </w:numPr>
        <w:suppressLineNumbers/>
        <w:suppressAutoHyphens/>
        <w:kinsoku w:val="0"/>
        <w:overflowPunct w:val="0"/>
        <w:autoSpaceDE w:val="0"/>
        <w:autoSpaceDN w:val="0"/>
        <w:ind w:left="0" w:firstLine="720"/>
        <w:contextualSpacing/>
        <w:rPr>
          <w:snapToGrid w:val="0"/>
          <w:kern w:val="22"/>
          <w:szCs w:val="22"/>
        </w:rPr>
      </w:pPr>
      <w:r w:rsidRPr="0088780C">
        <w:rPr>
          <w:snapToGrid w:val="0"/>
          <w:kern w:val="22"/>
          <w:szCs w:val="22"/>
        </w:rPr>
        <w:t>From 1925 (after Tuzla spit destruction by a heavy storm) until the early 1950s.</w:t>
      </w:r>
    </w:p>
    <w:p w14:paraId="4A89ABED" w14:textId="77777777" w:rsidR="00A876F3" w:rsidRPr="0088780C" w:rsidRDefault="00A876F3" w:rsidP="001013AF">
      <w:pPr>
        <w:numPr>
          <w:ilvl w:val="0"/>
          <w:numId w:val="16"/>
        </w:numPr>
        <w:suppressLineNumbers/>
        <w:suppressAutoHyphens/>
        <w:kinsoku w:val="0"/>
        <w:overflowPunct w:val="0"/>
        <w:autoSpaceDE w:val="0"/>
        <w:autoSpaceDN w:val="0"/>
        <w:ind w:left="0" w:firstLine="720"/>
        <w:contextualSpacing/>
        <w:rPr>
          <w:snapToGrid w:val="0"/>
          <w:kern w:val="22"/>
          <w:szCs w:val="22"/>
        </w:rPr>
      </w:pPr>
      <w:r w:rsidRPr="0088780C">
        <w:rPr>
          <w:snapToGrid w:val="0"/>
          <w:kern w:val="22"/>
          <w:szCs w:val="22"/>
        </w:rPr>
        <w:t>A high salinity and low euthrophication period during the early 1950s.</w:t>
      </w:r>
    </w:p>
    <w:p w14:paraId="1E956E8E" w14:textId="77777777" w:rsidR="00A876F3" w:rsidRPr="0088780C" w:rsidRDefault="00A876F3" w:rsidP="001013AF">
      <w:pPr>
        <w:numPr>
          <w:ilvl w:val="0"/>
          <w:numId w:val="16"/>
        </w:numPr>
        <w:suppressLineNumbers/>
        <w:suppressAutoHyphens/>
        <w:kinsoku w:val="0"/>
        <w:overflowPunct w:val="0"/>
        <w:autoSpaceDE w:val="0"/>
        <w:autoSpaceDN w:val="0"/>
        <w:ind w:left="0" w:firstLine="720"/>
        <w:contextualSpacing/>
        <w:rPr>
          <w:snapToGrid w:val="0"/>
          <w:kern w:val="22"/>
          <w:szCs w:val="22"/>
        </w:rPr>
      </w:pPr>
      <w:r w:rsidRPr="0088780C">
        <w:rPr>
          <w:snapToGrid w:val="0"/>
          <w:kern w:val="22"/>
          <w:szCs w:val="22"/>
        </w:rPr>
        <w:t>A lower salinity period from 1956 to1975.</w:t>
      </w:r>
    </w:p>
    <w:p w14:paraId="65BEEDB0" w14:textId="77777777" w:rsidR="00A876F3" w:rsidRPr="0088780C" w:rsidRDefault="00A876F3" w:rsidP="001013AF">
      <w:pPr>
        <w:numPr>
          <w:ilvl w:val="0"/>
          <w:numId w:val="16"/>
        </w:numPr>
        <w:suppressLineNumbers/>
        <w:suppressAutoHyphens/>
        <w:kinsoku w:val="0"/>
        <w:overflowPunct w:val="0"/>
        <w:autoSpaceDE w:val="0"/>
        <w:autoSpaceDN w:val="0"/>
        <w:ind w:left="0" w:firstLine="720"/>
        <w:contextualSpacing/>
        <w:rPr>
          <w:snapToGrid w:val="0"/>
          <w:kern w:val="22"/>
          <w:szCs w:val="22"/>
        </w:rPr>
      </w:pPr>
      <w:r w:rsidRPr="0088780C">
        <w:rPr>
          <w:snapToGrid w:val="0"/>
          <w:kern w:val="22"/>
          <w:szCs w:val="22"/>
        </w:rPr>
        <w:t>A high salinity and low euthrophication period during the 1970s.</w:t>
      </w:r>
    </w:p>
    <w:p w14:paraId="68B16A4D" w14:textId="77777777" w:rsidR="00A876F3" w:rsidRPr="0088780C" w:rsidRDefault="00A876F3" w:rsidP="001013AF">
      <w:pPr>
        <w:numPr>
          <w:ilvl w:val="0"/>
          <w:numId w:val="16"/>
        </w:numPr>
        <w:suppressLineNumbers/>
        <w:suppressAutoHyphens/>
        <w:kinsoku w:val="0"/>
        <w:overflowPunct w:val="0"/>
        <w:autoSpaceDE w:val="0"/>
        <w:autoSpaceDN w:val="0"/>
        <w:ind w:left="0" w:firstLine="720"/>
        <w:contextualSpacing/>
        <w:rPr>
          <w:snapToGrid w:val="0"/>
          <w:kern w:val="22"/>
          <w:szCs w:val="22"/>
        </w:rPr>
      </w:pPr>
      <w:r w:rsidRPr="0088780C">
        <w:rPr>
          <w:snapToGrid w:val="0"/>
          <w:kern w:val="22"/>
          <w:szCs w:val="22"/>
        </w:rPr>
        <w:t>A lower salinity period during 1980-2003.</w:t>
      </w:r>
    </w:p>
    <w:p w14:paraId="7948055A" w14:textId="77777777" w:rsidR="00A876F3" w:rsidRPr="0088780C" w:rsidRDefault="00A876F3" w:rsidP="001013AF">
      <w:pPr>
        <w:numPr>
          <w:ilvl w:val="0"/>
          <w:numId w:val="16"/>
        </w:numPr>
        <w:suppressLineNumbers/>
        <w:suppressAutoHyphens/>
        <w:kinsoku w:val="0"/>
        <w:overflowPunct w:val="0"/>
        <w:autoSpaceDE w:val="0"/>
        <w:autoSpaceDN w:val="0"/>
        <w:ind w:left="0" w:firstLine="720"/>
        <w:contextualSpacing/>
        <w:rPr>
          <w:snapToGrid w:val="0"/>
          <w:kern w:val="22"/>
          <w:szCs w:val="22"/>
        </w:rPr>
      </w:pPr>
      <w:r w:rsidRPr="0088780C">
        <w:rPr>
          <w:snapToGrid w:val="0"/>
          <w:kern w:val="22"/>
          <w:szCs w:val="22"/>
        </w:rPr>
        <w:t>Present time after the Tuzla dam construction.</w:t>
      </w:r>
    </w:p>
    <w:p w14:paraId="5B0257C9" w14:textId="77777777" w:rsidR="00A876F3" w:rsidRPr="0088780C" w:rsidRDefault="00A876F3" w:rsidP="001013AF">
      <w:pPr>
        <w:suppressLineNumbers/>
        <w:suppressAutoHyphens/>
        <w:kinsoku w:val="0"/>
        <w:overflowPunct w:val="0"/>
        <w:autoSpaceDE w:val="0"/>
        <w:autoSpaceDN w:val="0"/>
        <w:rPr>
          <w:snapToGrid w:val="0"/>
          <w:kern w:val="22"/>
          <w:szCs w:val="22"/>
        </w:rPr>
      </w:pPr>
      <w:bookmarkStart w:id="4" w:name="_1kuam5kwcxhl" w:colFirst="0" w:colLast="0"/>
      <w:bookmarkEnd w:id="4"/>
    </w:p>
    <w:p w14:paraId="03EEB13C" w14:textId="0167480E"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contemporary water circulation pattern (after the dam construction) in the Bay is of predominately anticyclonic type (Ovsiyenko et al., 2008). It facilitates the accumulation of the suspended matter and pollutants in the central parts of the Bay. Salinity in the Bay is determined primarily by the direction of flow in the Strait (waterflow from Black Sea or Azov) and varies from 13 to 19 ‰ (Ovsiyenko et al., 2008; Al’tman, 1991). Taman Bay freezes over during cold winters and remains open during mild winter conditions. It is potentially a stagnant basin, especially in its eastern part, which is separated from the larger western part, characterized by greater hyd</w:t>
      </w:r>
      <w:r w:rsidR="0077183E" w:rsidRPr="0088780C">
        <w:rPr>
          <w:snapToGrid w:val="0"/>
          <w:kern w:val="22"/>
          <w:szCs w:val="22"/>
        </w:rPr>
        <w:t>rodynamic activity by the sill.</w:t>
      </w:r>
    </w:p>
    <w:p w14:paraId="7711FDE5"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84635C0"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Taman Bay is situated at the Kerch-Taman mud volcanoes’ high activity area at the border of the Crimean and Caucasus orogeny zones. It is potentially an oil-and-gas-bearing area (</w:t>
      </w:r>
      <w:r w:rsidRPr="0088780C">
        <w:rPr>
          <w:snapToGrid w:val="0"/>
          <w:kern w:val="22"/>
          <w:szCs w:val="22"/>
          <w:shd w:val="clear" w:color="auto" w:fill="FFFFFF"/>
        </w:rPr>
        <w:t>Shnyukov</w:t>
      </w:r>
      <w:r w:rsidRPr="0088780C">
        <w:rPr>
          <w:snapToGrid w:val="0"/>
          <w:kern w:val="22"/>
          <w:szCs w:val="22"/>
        </w:rPr>
        <w:t>, et al. 1986). The coast between the Tuzla Spit and the Taman village is characterized by abrasion-denudation relief, with cliffs of 15-30 m height. Yhe rest of the Bay is flat. The rare scarps situated near Sennoi and Garkushi villages are the historical remains of the ancient Greek cities Phanagoria and Patrasys, or denudation forms with soil slip. Taman Bay shore structures and seabed deposits consist of Quaternary sediments (Zenkovich, 1958; Ignatov, Chistov, 2003; Skiba et al., 1975). The main part of the Bays’ bottom is flat and consist of sandy mud with the remains of mollusk shells.</w:t>
      </w:r>
    </w:p>
    <w:p w14:paraId="0888CE76"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36531D4" w14:textId="0BF49D1C" w:rsidR="00A876F3" w:rsidRPr="0088780C" w:rsidRDefault="00A876F3" w:rsidP="0077183E">
      <w:pPr>
        <w:suppressLineNumbers/>
        <w:suppressAutoHyphens/>
        <w:kinsoku w:val="0"/>
        <w:overflowPunct w:val="0"/>
        <w:autoSpaceDE w:val="0"/>
        <w:autoSpaceDN w:val="0"/>
        <w:rPr>
          <w:snapToGrid w:val="0"/>
          <w:kern w:val="22"/>
          <w:szCs w:val="22"/>
          <w:shd w:val="clear" w:color="auto" w:fill="FF9900"/>
        </w:rPr>
      </w:pPr>
      <w:r w:rsidRPr="0088780C">
        <w:rPr>
          <w:snapToGrid w:val="0"/>
          <w:kern w:val="22"/>
          <w:szCs w:val="22"/>
        </w:rPr>
        <w:t xml:space="preserve">Taman Bay is a unique area in the Azov-Black Seas region of the Russian Federation due to dense and highly productive </w:t>
      </w:r>
      <w:r w:rsidRPr="0088780C">
        <w:rPr>
          <w:i/>
          <w:snapToGrid w:val="0"/>
          <w:kern w:val="22"/>
          <w:szCs w:val="22"/>
        </w:rPr>
        <w:t>Zostera spp.</w:t>
      </w:r>
      <w:r w:rsidRPr="0088780C">
        <w:rPr>
          <w:snapToGrid w:val="0"/>
          <w:kern w:val="22"/>
          <w:szCs w:val="22"/>
        </w:rPr>
        <w:t xml:space="preserve"> seagrass meadows. Eelgrass, </w:t>
      </w:r>
      <w:r w:rsidRPr="0088780C">
        <w:rPr>
          <w:i/>
          <w:snapToGrid w:val="0"/>
          <w:kern w:val="22"/>
          <w:szCs w:val="22"/>
        </w:rPr>
        <w:t>Z. marina,</w:t>
      </w:r>
      <w:r w:rsidRPr="0088780C">
        <w:rPr>
          <w:snapToGrid w:val="0"/>
          <w:kern w:val="22"/>
          <w:szCs w:val="22"/>
        </w:rPr>
        <w:t xml:space="preserve"> is the main primary producer of the Bay and the most important ecosystem engineer species. Biomass of bottom vegetation varies strongly and can exceed 5000 g wet w./m</w:t>
      </w:r>
      <w:r w:rsidRPr="0088780C">
        <w:rPr>
          <w:snapToGrid w:val="0"/>
          <w:kern w:val="22"/>
          <w:szCs w:val="22"/>
          <w:vertAlign w:val="superscript"/>
        </w:rPr>
        <w:t>2</w:t>
      </w:r>
      <w:r w:rsidRPr="0088780C">
        <w:rPr>
          <w:snapToGrid w:val="0"/>
          <w:kern w:val="22"/>
          <w:szCs w:val="22"/>
        </w:rPr>
        <w:t xml:space="preserve">. The meadows are a spawning site for the various commercial and game fish species. The other main source of primary production is </w:t>
      </w:r>
      <w:r w:rsidRPr="0088780C">
        <w:rPr>
          <w:i/>
          <w:snapToGrid w:val="0"/>
          <w:kern w:val="22"/>
          <w:szCs w:val="22"/>
        </w:rPr>
        <w:t xml:space="preserve">Phragmites </w:t>
      </w:r>
      <w:r w:rsidRPr="0088780C">
        <w:rPr>
          <w:snapToGrid w:val="0"/>
          <w:kern w:val="22"/>
          <w:szCs w:val="22"/>
        </w:rPr>
        <w:t xml:space="preserve">sp, </w:t>
      </w:r>
      <w:r w:rsidRPr="0088780C">
        <w:rPr>
          <w:i/>
          <w:snapToGrid w:val="0"/>
          <w:kern w:val="22"/>
          <w:szCs w:val="22"/>
        </w:rPr>
        <w:t>Stuckenia pectinata</w:t>
      </w:r>
      <w:r w:rsidRPr="0088780C">
        <w:rPr>
          <w:snapToGrid w:val="0"/>
          <w:kern w:val="22"/>
          <w:szCs w:val="22"/>
        </w:rPr>
        <w:t xml:space="preserve">, </w:t>
      </w:r>
      <w:r w:rsidRPr="0088780C">
        <w:rPr>
          <w:i/>
          <w:snapToGrid w:val="0"/>
          <w:kern w:val="22"/>
          <w:szCs w:val="22"/>
        </w:rPr>
        <w:t>Chara</w:t>
      </w:r>
      <w:r w:rsidRPr="0088780C">
        <w:rPr>
          <w:snapToGrid w:val="0"/>
          <w:kern w:val="22"/>
          <w:szCs w:val="22"/>
        </w:rPr>
        <w:t xml:space="preserve"> sp. The ultrashallow northern (Dinskoi Bay) and eastern shore zones of the Bay are vegetated by </w:t>
      </w:r>
      <w:r w:rsidRPr="0088780C">
        <w:rPr>
          <w:i/>
          <w:snapToGrid w:val="0"/>
          <w:kern w:val="22"/>
          <w:szCs w:val="22"/>
        </w:rPr>
        <w:t xml:space="preserve">Phragmites </w:t>
      </w:r>
      <w:r w:rsidRPr="0088780C">
        <w:rPr>
          <w:snapToGrid w:val="0"/>
          <w:kern w:val="22"/>
          <w:szCs w:val="22"/>
        </w:rPr>
        <w:t>sp. crops (Figure 2)</w:t>
      </w:r>
      <w:r w:rsidR="0077183E" w:rsidRPr="0088780C">
        <w:rPr>
          <w:snapToGrid w:val="0"/>
          <w:kern w:val="22"/>
          <w:szCs w:val="22"/>
        </w:rPr>
        <w:t>.</w:t>
      </w:r>
    </w:p>
    <w:p w14:paraId="5C3544E4"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2A0C57C"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Bivalves and polychaetes are dominant macrozoobenthic groups in the Taman Bay and Kerch Strait. The most abundant species of macrozoobenthic assemblages are the bivalves </w:t>
      </w:r>
      <w:r w:rsidRPr="0088780C">
        <w:rPr>
          <w:i/>
          <w:snapToGrid w:val="0"/>
          <w:kern w:val="22"/>
          <w:szCs w:val="22"/>
        </w:rPr>
        <w:t>Cerastoderma glaucum, Anadara kagoshimensis, Barnea candida, Mytilus galloprovincialis</w:t>
      </w:r>
      <w:r w:rsidRPr="0088780C">
        <w:rPr>
          <w:snapToGrid w:val="0"/>
          <w:kern w:val="22"/>
          <w:szCs w:val="22"/>
        </w:rPr>
        <w:t xml:space="preserve"> and </w:t>
      </w:r>
      <w:r w:rsidRPr="0088780C">
        <w:rPr>
          <w:i/>
          <w:snapToGrid w:val="0"/>
          <w:kern w:val="22"/>
          <w:szCs w:val="22"/>
        </w:rPr>
        <w:t>Nephthys hombergii</w:t>
      </w:r>
      <w:r w:rsidRPr="0088780C">
        <w:rPr>
          <w:snapToGrid w:val="0"/>
          <w:kern w:val="22"/>
          <w:szCs w:val="22"/>
        </w:rPr>
        <w:t xml:space="preserve"> (Golovkina, Nabozhenko, 2012; Spiridonov et al., 2016). The macrozoobenthos biomass of Taman Bay ranges from 12 in </w:t>
      </w:r>
      <w:r w:rsidRPr="0088780C">
        <w:rPr>
          <w:i/>
          <w:snapToGrid w:val="0"/>
          <w:kern w:val="22"/>
          <w:szCs w:val="22"/>
        </w:rPr>
        <w:t>Charales</w:t>
      </w:r>
      <w:r w:rsidRPr="0088780C">
        <w:rPr>
          <w:snapToGrid w:val="0"/>
          <w:kern w:val="22"/>
          <w:szCs w:val="22"/>
        </w:rPr>
        <w:t xml:space="preserve"> sp. shallow habitat to 1500 g/m</w:t>
      </w:r>
      <w:r w:rsidRPr="0088780C">
        <w:rPr>
          <w:snapToGrid w:val="0"/>
          <w:kern w:val="22"/>
          <w:szCs w:val="22"/>
          <w:vertAlign w:val="superscript"/>
        </w:rPr>
        <w:t>2</w:t>
      </w:r>
      <w:r w:rsidRPr="0088780C">
        <w:rPr>
          <w:snapToGrid w:val="0"/>
          <w:kern w:val="22"/>
          <w:szCs w:val="22"/>
        </w:rPr>
        <w:t xml:space="preserve"> in </w:t>
      </w:r>
      <w:r w:rsidRPr="0088780C">
        <w:rPr>
          <w:i/>
          <w:snapToGrid w:val="0"/>
          <w:kern w:val="22"/>
          <w:szCs w:val="22"/>
        </w:rPr>
        <w:t>Zostera</w:t>
      </w:r>
      <w:r w:rsidRPr="0088780C">
        <w:rPr>
          <w:snapToGrid w:val="0"/>
          <w:kern w:val="22"/>
          <w:szCs w:val="22"/>
        </w:rPr>
        <w:t xml:space="preserve"> sp. belt (Spiridonov et al., 2016; Kolyuchkina, unpubl.) The abundance varies from 15 at most shallow sites with nearly monospecies </w:t>
      </w:r>
      <w:r w:rsidRPr="0088780C">
        <w:rPr>
          <w:i/>
          <w:snapToGrid w:val="0"/>
          <w:kern w:val="22"/>
          <w:szCs w:val="22"/>
        </w:rPr>
        <w:t>Hydrobia acuta</w:t>
      </w:r>
      <w:r w:rsidRPr="0088780C">
        <w:rPr>
          <w:snapToGrid w:val="0"/>
          <w:kern w:val="22"/>
          <w:szCs w:val="22"/>
        </w:rPr>
        <w:t xml:space="preserve"> assemblages to 60,000 spec/m</w:t>
      </w:r>
      <w:r w:rsidRPr="0088780C">
        <w:rPr>
          <w:snapToGrid w:val="0"/>
          <w:kern w:val="22"/>
          <w:szCs w:val="22"/>
          <w:vertAlign w:val="superscript"/>
        </w:rPr>
        <w:t>2</w:t>
      </w:r>
      <w:r w:rsidRPr="0088780C">
        <w:rPr>
          <w:snapToGrid w:val="0"/>
          <w:kern w:val="22"/>
          <w:szCs w:val="22"/>
        </w:rPr>
        <w:t xml:space="preserve"> in ultrashallow habitat at reed (</w:t>
      </w:r>
      <w:r w:rsidRPr="0088780C">
        <w:rPr>
          <w:i/>
          <w:snapToGrid w:val="0"/>
          <w:kern w:val="22"/>
          <w:szCs w:val="22"/>
        </w:rPr>
        <w:t>Phragmites</w:t>
      </w:r>
      <w:r w:rsidRPr="0088780C">
        <w:rPr>
          <w:snapToGrid w:val="0"/>
          <w:kern w:val="22"/>
          <w:szCs w:val="22"/>
        </w:rPr>
        <w:t xml:space="preserve"> sp.) wetlands along the eastern coast of the Chushka spit (Spiridonov et al., 2016).</w:t>
      </w:r>
    </w:p>
    <w:p w14:paraId="6CC4D3AD"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5F98571" w14:textId="0E7BDC49"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Blood ark (</w:t>
      </w:r>
      <w:r w:rsidRPr="0088780C">
        <w:rPr>
          <w:i/>
          <w:snapToGrid w:val="0"/>
          <w:kern w:val="22"/>
          <w:szCs w:val="22"/>
        </w:rPr>
        <w:t>Anadara kagoshimensis)</w:t>
      </w:r>
      <w:r w:rsidRPr="0088780C">
        <w:rPr>
          <w:snapToGrid w:val="0"/>
          <w:kern w:val="22"/>
          <w:szCs w:val="22"/>
        </w:rPr>
        <w:t xml:space="preserve">, an invasive bivalve (clam) species that occurs in Taman Bay and originates from the Western Pacific (Simakova et al., 2013). The other important Black Sea invaders, the bivalve predator whelk </w:t>
      </w:r>
      <w:r w:rsidRPr="0088780C">
        <w:rPr>
          <w:i/>
          <w:snapToGrid w:val="0"/>
          <w:kern w:val="22"/>
          <w:szCs w:val="22"/>
        </w:rPr>
        <w:t>Rapana venosa</w:t>
      </w:r>
      <w:r w:rsidRPr="0088780C">
        <w:rPr>
          <w:snapToGrid w:val="0"/>
          <w:kern w:val="22"/>
          <w:szCs w:val="22"/>
        </w:rPr>
        <w:t xml:space="preserve"> and the comb jelly</w:t>
      </w:r>
      <w:r w:rsidRPr="0088780C">
        <w:rPr>
          <w:i/>
          <w:snapToGrid w:val="0"/>
          <w:kern w:val="22"/>
          <w:szCs w:val="22"/>
        </w:rPr>
        <w:t xml:space="preserve"> Mnemiopsis leidyi</w:t>
      </w:r>
      <w:r w:rsidRPr="0088780C">
        <w:rPr>
          <w:snapToGrid w:val="0"/>
          <w:kern w:val="22"/>
          <w:szCs w:val="22"/>
        </w:rPr>
        <w:t>, appear not to be abundant in the Taman Bay (Golovkina, Nabozhenko, 2012; Spiridonov et al., 2016; Biryukova, 2016) in contrast to adjacent Kerch Strait (Fashuk et al., 2012) and Black Sea (Bondarev et al., 2013). This makes the Bay not only an important wetland, listed as a candidate for the Ramsar Convention List (Krivenko, 2000), but also a prospective area for comparative st</w:t>
      </w:r>
      <w:r w:rsidR="0077183E" w:rsidRPr="0088780C">
        <w:rPr>
          <w:snapToGrid w:val="0"/>
          <w:kern w:val="22"/>
          <w:szCs w:val="22"/>
        </w:rPr>
        <w:t>udies of alien species biology.</w:t>
      </w:r>
    </w:p>
    <w:p w14:paraId="608118B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39D1391" w14:textId="40BE8A60"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Up to 1 000 000 birds stop on the Bay during their seasonal migration (Krivenko, 2000). The Taman Bay wetlands are the wintering area of many species of waterfowl. Its importance increases during cold winters when the waters of the other wetlands and lakes of the Azov region freeze over. The number of waterfowl varied from 8 000 individuals (in 2005) to 49 500 indidivuals during a midwinter inventory (Tilba et al., 2006). During the previous period (1967-1972) the number of wintering waterbirds reached 250 000 individuals.</w:t>
      </w:r>
      <w:bookmarkStart w:id="5" w:name="_yxn7lf6f8035" w:colFirst="0" w:colLast="0"/>
      <w:bookmarkStart w:id="6" w:name="_rabt6fn8gap9" w:colFirst="0" w:colLast="0"/>
      <w:bookmarkStart w:id="7" w:name="_gx8bd5wzgpxe" w:colFirst="0" w:colLast="0"/>
      <w:bookmarkEnd w:id="5"/>
      <w:bookmarkEnd w:id="6"/>
      <w:bookmarkEnd w:id="7"/>
    </w:p>
    <w:p w14:paraId="4C0496A3" w14:textId="77777777" w:rsidR="00A876F3" w:rsidRPr="0088780C" w:rsidRDefault="00A876F3" w:rsidP="0077183E">
      <w:pPr>
        <w:suppressLineNumbers/>
        <w:suppressAutoHyphens/>
        <w:kinsoku w:val="0"/>
        <w:overflowPunct w:val="0"/>
        <w:autoSpaceDE w:val="0"/>
        <w:autoSpaceDN w:val="0"/>
        <w:rPr>
          <w:snapToGrid w:val="0"/>
          <w:kern w:val="22"/>
          <w:szCs w:val="22"/>
        </w:rPr>
      </w:pPr>
    </w:p>
    <w:p w14:paraId="6713D9CF"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snapToGrid w:val="0"/>
          <w:kern w:val="22"/>
          <w:szCs w:val="22"/>
        </w:rPr>
        <w:t>The area overlaps with a marine Important Bird and Biodiversity Area (IBA; BirdLife International 2017a), designated mainly for its importance as a wintering area for the vulnerable yelkouan ahearwater (</w:t>
      </w:r>
      <w:r w:rsidRPr="0088780C">
        <w:rPr>
          <w:rFonts w:eastAsia="MS Mincho"/>
          <w:i/>
          <w:snapToGrid w:val="0"/>
          <w:kern w:val="22"/>
          <w:szCs w:val="22"/>
        </w:rPr>
        <w:t>Puffinus yelkouan</w:t>
      </w:r>
      <w:r w:rsidRPr="0088780C">
        <w:rPr>
          <w:rFonts w:eastAsia="MS Mincho"/>
          <w:snapToGrid w:val="0"/>
          <w:kern w:val="22"/>
          <w:szCs w:val="22"/>
        </w:rPr>
        <w:t>). The yelkouan ahearwater is a Mediterranean endemic (</w:t>
      </w:r>
      <w:r w:rsidRPr="0088780C">
        <w:rPr>
          <w:snapToGrid w:val="0"/>
          <w:kern w:val="22"/>
          <w:szCs w:val="22"/>
        </w:rPr>
        <w:t>BirdLife International, 2017b);</w:t>
      </w:r>
      <w:r w:rsidRPr="0088780C">
        <w:rPr>
          <w:rFonts w:eastAsia="MS Mincho"/>
          <w:snapToGrid w:val="0"/>
          <w:kern w:val="22"/>
          <w:szCs w:val="22"/>
        </w:rPr>
        <w:t xml:space="preserve"> some 30 to 40% migrate of the population migrate to the Black Sea during the non-breeding season. The importance of the area for this species was confirmed by studies based on tracking birds from their colonies (</w:t>
      </w:r>
      <w:r w:rsidRPr="0088780C">
        <w:rPr>
          <w:snapToGrid w:val="0"/>
          <w:kern w:val="22"/>
          <w:szCs w:val="22"/>
        </w:rPr>
        <w:t>Raine et al. 2012, Péron et al. 2013, Seabird Tracking Database 2017), and also from studies of habitat suitability (Ortega &amp; İsfendiyaroğlu 2017; Figure 4).</w:t>
      </w:r>
    </w:p>
    <w:p w14:paraId="7F97B7EE"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A782E94"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Taman Bay has significant value as a place of reproduction of waterbird species listed in the Red Book of the Russian Federation and Krasnodar territory: the common shelduck (</w:t>
      </w:r>
      <w:r w:rsidRPr="0088780C">
        <w:rPr>
          <w:i/>
          <w:snapToGrid w:val="0"/>
          <w:kern w:val="22"/>
          <w:szCs w:val="22"/>
        </w:rPr>
        <w:t>Tadorna tadorna</w:t>
      </w:r>
      <w:r w:rsidRPr="0088780C">
        <w:rPr>
          <w:snapToGrid w:val="0"/>
          <w:kern w:val="22"/>
          <w:szCs w:val="22"/>
        </w:rPr>
        <w:t>), oystercatcher (</w:t>
      </w:r>
      <w:r w:rsidRPr="0088780C">
        <w:rPr>
          <w:i/>
          <w:snapToGrid w:val="0"/>
          <w:kern w:val="22"/>
          <w:szCs w:val="22"/>
        </w:rPr>
        <w:t>Haematopus ostralegus longipes</w:t>
      </w:r>
      <w:r w:rsidRPr="0088780C">
        <w:rPr>
          <w:snapToGrid w:val="0"/>
          <w:kern w:val="22"/>
          <w:szCs w:val="22"/>
        </w:rPr>
        <w:t>), sea plover (</w:t>
      </w:r>
      <w:r w:rsidRPr="0088780C">
        <w:rPr>
          <w:rFonts w:eastAsia="Arial"/>
          <w:i/>
          <w:snapToGrid w:val="0"/>
          <w:kern w:val="22"/>
          <w:szCs w:val="22"/>
        </w:rPr>
        <w:t>Charadrius alexandrinus</w:t>
      </w:r>
      <w:r w:rsidRPr="0088780C">
        <w:rPr>
          <w:rFonts w:eastAsia="Arial"/>
          <w:snapToGrid w:val="0"/>
          <w:kern w:val="22"/>
          <w:szCs w:val="22"/>
        </w:rPr>
        <w:t>)</w:t>
      </w:r>
      <w:r w:rsidRPr="0088780C">
        <w:rPr>
          <w:snapToGrid w:val="0"/>
          <w:kern w:val="22"/>
          <w:szCs w:val="22"/>
        </w:rPr>
        <w:t xml:space="preserve"> and little tern (</w:t>
      </w:r>
      <w:r w:rsidRPr="0088780C">
        <w:rPr>
          <w:rFonts w:eastAsia="Arial"/>
          <w:i/>
          <w:snapToGrid w:val="0"/>
          <w:kern w:val="22"/>
          <w:szCs w:val="22"/>
        </w:rPr>
        <w:t>Sterna albifrons</w:t>
      </w:r>
      <w:r w:rsidRPr="0088780C">
        <w:rPr>
          <w:rFonts w:eastAsia="Arial"/>
          <w:snapToGrid w:val="0"/>
          <w:kern w:val="22"/>
          <w:szCs w:val="22"/>
        </w:rPr>
        <w:t>)</w:t>
      </w:r>
      <w:r w:rsidRPr="0088780C">
        <w:rPr>
          <w:snapToGrid w:val="0"/>
          <w:kern w:val="22"/>
          <w:szCs w:val="22"/>
        </w:rPr>
        <w:t>. On the islands along the inner part of the Chushka spit, large colonies of common cormorant (</w:t>
      </w:r>
      <w:r w:rsidRPr="0088780C">
        <w:rPr>
          <w:rFonts w:eastAsia="Arial"/>
          <w:i/>
          <w:snapToGrid w:val="0"/>
          <w:kern w:val="22"/>
          <w:szCs w:val="22"/>
        </w:rPr>
        <w:t>Phalacrocorax carbo)</w:t>
      </w:r>
      <w:r w:rsidRPr="0088780C">
        <w:rPr>
          <w:snapToGrid w:val="0"/>
          <w:kern w:val="22"/>
          <w:szCs w:val="22"/>
        </w:rPr>
        <w:t xml:space="preserve"> in total number of 750 pairs, of common tern (</w:t>
      </w:r>
      <w:r w:rsidRPr="0088780C">
        <w:rPr>
          <w:i/>
          <w:snapToGrid w:val="0"/>
          <w:kern w:val="22"/>
          <w:szCs w:val="22"/>
        </w:rPr>
        <w:t>Sterna hirundo</w:t>
      </w:r>
      <w:r w:rsidRPr="0088780C">
        <w:rPr>
          <w:snapToGrid w:val="0"/>
          <w:kern w:val="22"/>
          <w:szCs w:val="22"/>
        </w:rPr>
        <w:t>) - 300 pairs, Sandwich tern (</w:t>
      </w:r>
      <w:r w:rsidRPr="0088780C">
        <w:rPr>
          <w:rFonts w:eastAsia="Arial"/>
          <w:i/>
          <w:snapToGrid w:val="0"/>
          <w:kern w:val="22"/>
          <w:szCs w:val="22"/>
        </w:rPr>
        <w:t>Thalasseus sandvicensis</w:t>
      </w:r>
      <w:r w:rsidRPr="0088780C">
        <w:rPr>
          <w:rFonts w:eastAsia="Arial"/>
          <w:snapToGrid w:val="0"/>
          <w:kern w:val="22"/>
          <w:szCs w:val="22"/>
        </w:rPr>
        <w:t>)</w:t>
      </w:r>
      <w:r w:rsidRPr="0088780C">
        <w:rPr>
          <w:snapToGrid w:val="0"/>
          <w:kern w:val="22"/>
          <w:szCs w:val="22"/>
        </w:rPr>
        <w:t xml:space="preserve"> - 300 pairs (Tilba et al., 2006).</w:t>
      </w:r>
    </w:p>
    <w:p w14:paraId="6F9FCD3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08F9A2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Taman Bay and the surrounding area are the habitat and wintering spot for a number of common, rare and protected species of birds, including (Tilba et al., 2006):</w:t>
      </w:r>
    </w:p>
    <w:p w14:paraId="0019C3C8" w14:textId="77777777" w:rsidR="00A876F3" w:rsidRPr="0088780C" w:rsidRDefault="00A876F3" w:rsidP="001013AF">
      <w:pPr>
        <w:pStyle w:val="ListParagraph"/>
        <w:numPr>
          <w:ilvl w:val="0"/>
          <w:numId w:val="17"/>
        </w:numPr>
        <w:suppressLineNumbers/>
        <w:suppressAutoHyphens/>
        <w:kinsoku w:val="0"/>
        <w:overflowPunct w:val="0"/>
        <w:autoSpaceDE w:val="0"/>
        <w:autoSpaceDN w:val="0"/>
        <w:ind w:leftChars="0" w:left="360"/>
        <w:contextualSpacing/>
        <w:rPr>
          <w:snapToGrid w:val="0"/>
          <w:kern w:val="22"/>
          <w:szCs w:val="22"/>
        </w:rPr>
      </w:pPr>
      <w:r w:rsidRPr="0088780C">
        <w:rPr>
          <w:snapToGrid w:val="0"/>
          <w:kern w:val="22"/>
          <w:szCs w:val="22"/>
        </w:rPr>
        <w:t>Black-throated diver (</w:t>
      </w:r>
      <w:r w:rsidRPr="0088780C">
        <w:rPr>
          <w:rFonts w:eastAsia="Arial"/>
          <w:i/>
          <w:snapToGrid w:val="0"/>
          <w:kern w:val="22"/>
          <w:szCs w:val="22"/>
        </w:rPr>
        <w:t>Gavia arctica</w:t>
      </w:r>
      <w:r w:rsidRPr="0088780C">
        <w:rPr>
          <w:rFonts w:eastAsia="Arial"/>
          <w:snapToGrid w:val="0"/>
          <w:kern w:val="22"/>
          <w:szCs w:val="22"/>
        </w:rPr>
        <w:t>)</w:t>
      </w:r>
      <w:r w:rsidRPr="0088780C">
        <w:rPr>
          <w:snapToGrid w:val="0"/>
          <w:kern w:val="22"/>
          <w:szCs w:val="22"/>
        </w:rPr>
        <w:t>. Regular occurrence during migrations in small numbers in the winter.</w:t>
      </w:r>
    </w:p>
    <w:p w14:paraId="77787B90" w14:textId="77777777" w:rsidR="00A876F3" w:rsidRPr="0088780C" w:rsidRDefault="00A876F3" w:rsidP="001013AF">
      <w:pPr>
        <w:pStyle w:val="ListParagraph"/>
        <w:numPr>
          <w:ilvl w:val="0"/>
          <w:numId w:val="17"/>
        </w:numPr>
        <w:suppressLineNumbers/>
        <w:suppressAutoHyphens/>
        <w:kinsoku w:val="0"/>
        <w:overflowPunct w:val="0"/>
        <w:autoSpaceDE w:val="0"/>
        <w:autoSpaceDN w:val="0"/>
        <w:ind w:leftChars="0" w:left="360"/>
        <w:contextualSpacing/>
        <w:rPr>
          <w:snapToGrid w:val="0"/>
          <w:kern w:val="22"/>
          <w:szCs w:val="22"/>
        </w:rPr>
      </w:pPr>
      <w:r w:rsidRPr="0088780C">
        <w:rPr>
          <w:snapToGrid w:val="0"/>
          <w:kern w:val="22"/>
          <w:szCs w:val="22"/>
        </w:rPr>
        <w:t>Oystercatcher (</w:t>
      </w:r>
      <w:r w:rsidRPr="0088780C">
        <w:rPr>
          <w:i/>
          <w:snapToGrid w:val="0"/>
          <w:kern w:val="22"/>
          <w:szCs w:val="22"/>
        </w:rPr>
        <w:t>Haematopus ostralegus</w:t>
      </w:r>
      <w:r w:rsidRPr="0088780C">
        <w:rPr>
          <w:snapToGrid w:val="0"/>
          <w:kern w:val="22"/>
          <w:szCs w:val="22"/>
        </w:rPr>
        <w:t>). Common breeding species; rare, irregular wintering species.</w:t>
      </w:r>
    </w:p>
    <w:p w14:paraId="64292E16" w14:textId="77777777" w:rsidR="00A876F3" w:rsidRPr="0088780C" w:rsidRDefault="00A876F3" w:rsidP="001013AF">
      <w:pPr>
        <w:pStyle w:val="ListParagraph"/>
        <w:numPr>
          <w:ilvl w:val="0"/>
          <w:numId w:val="17"/>
        </w:numPr>
        <w:suppressLineNumbers/>
        <w:suppressAutoHyphens/>
        <w:kinsoku w:val="0"/>
        <w:overflowPunct w:val="0"/>
        <w:autoSpaceDE w:val="0"/>
        <w:autoSpaceDN w:val="0"/>
        <w:ind w:leftChars="0" w:left="360"/>
        <w:contextualSpacing/>
        <w:rPr>
          <w:snapToGrid w:val="0"/>
          <w:kern w:val="22"/>
          <w:szCs w:val="22"/>
        </w:rPr>
      </w:pPr>
      <w:r w:rsidRPr="0088780C">
        <w:rPr>
          <w:snapToGrid w:val="0"/>
          <w:kern w:val="22"/>
          <w:szCs w:val="22"/>
        </w:rPr>
        <w:t>Eurasian curlew (</w:t>
      </w:r>
      <w:r w:rsidRPr="0088780C">
        <w:rPr>
          <w:i/>
          <w:snapToGrid w:val="0"/>
          <w:kern w:val="22"/>
          <w:szCs w:val="22"/>
        </w:rPr>
        <w:t>Numenius arquata</w:t>
      </w:r>
      <w:r w:rsidRPr="0088780C">
        <w:rPr>
          <w:snapToGrid w:val="0"/>
          <w:kern w:val="22"/>
          <w:szCs w:val="22"/>
        </w:rPr>
        <w:t>). Regular occurrence in winter.</w:t>
      </w:r>
    </w:p>
    <w:p w14:paraId="1AD9E354" w14:textId="77777777" w:rsidR="00A876F3" w:rsidRPr="0088780C" w:rsidRDefault="00A876F3" w:rsidP="001013AF">
      <w:pPr>
        <w:pStyle w:val="ListParagraph"/>
        <w:numPr>
          <w:ilvl w:val="0"/>
          <w:numId w:val="17"/>
        </w:numPr>
        <w:suppressLineNumbers/>
        <w:suppressAutoHyphens/>
        <w:kinsoku w:val="0"/>
        <w:overflowPunct w:val="0"/>
        <w:autoSpaceDE w:val="0"/>
        <w:autoSpaceDN w:val="0"/>
        <w:ind w:leftChars="0" w:left="360"/>
        <w:contextualSpacing/>
        <w:rPr>
          <w:snapToGrid w:val="0"/>
          <w:kern w:val="22"/>
          <w:szCs w:val="22"/>
        </w:rPr>
      </w:pPr>
      <w:r w:rsidRPr="0088780C">
        <w:rPr>
          <w:snapToGrid w:val="0"/>
          <w:kern w:val="22"/>
          <w:szCs w:val="22"/>
        </w:rPr>
        <w:t>Slender-billed gull (</w:t>
      </w:r>
      <w:r w:rsidRPr="0088780C">
        <w:rPr>
          <w:i/>
          <w:snapToGrid w:val="0"/>
          <w:kern w:val="22"/>
          <w:szCs w:val="22"/>
        </w:rPr>
        <w:t>Larus genei</w:t>
      </w:r>
      <w:r w:rsidRPr="0088780C">
        <w:rPr>
          <w:snapToGrid w:val="0"/>
          <w:kern w:val="22"/>
          <w:szCs w:val="22"/>
        </w:rPr>
        <w:t>). Regular occurrence during migration.</w:t>
      </w:r>
    </w:p>
    <w:p w14:paraId="33F2BF1F" w14:textId="77777777" w:rsidR="00A876F3" w:rsidRPr="0088780C" w:rsidRDefault="00A876F3" w:rsidP="001013AF">
      <w:pPr>
        <w:pStyle w:val="ListParagraph"/>
        <w:numPr>
          <w:ilvl w:val="0"/>
          <w:numId w:val="17"/>
        </w:numPr>
        <w:suppressLineNumbers/>
        <w:suppressAutoHyphens/>
        <w:kinsoku w:val="0"/>
        <w:overflowPunct w:val="0"/>
        <w:autoSpaceDE w:val="0"/>
        <w:autoSpaceDN w:val="0"/>
        <w:ind w:leftChars="0" w:left="360"/>
        <w:contextualSpacing/>
        <w:rPr>
          <w:snapToGrid w:val="0"/>
          <w:kern w:val="22"/>
          <w:szCs w:val="22"/>
        </w:rPr>
      </w:pPr>
      <w:r w:rsidRPr="0088780C">
        <w:rPr>
          <w:snapToGrid w:val="0"/>
          <w:kern w:val="22"/>
          <w:szCs w:val="22"/>
        </w:rPr>
        <w:t>Black-headed gull (</w:t>
      </w:r>
      <w:r w:rsidRPr="0088780C">
        <w:rPr>
          <w:i/>
          <w:snapToGrid w:val="0"/>
          <w:kern w:val="22"/>
          <w:szCs w:val="22"/>
        </w:rPr>
        <w:t>Ichthyaetus ichthyaetus</w:t>
      </w:r>
      <w:r w:rsidRPr="0088780C">
        <w:rPr>
          <w:snapToGrid w:val="0"/>
          <w:kern w:val="22"/>
          <w:szCs w:val="22"/>
        </w:rPr>
        <w:t>). Occasionally observed in winter.</w:t>
      </w:r>
    </w:p>
    <w:p w14:paraId="029AC52F" w14:textId="77777777" w:rsidR="00A876F3" w:rsidRPr="0088780C" w:rsidRDefault="00A876F3" w:rsidP="001013AF">
      <w:pPr>
        <w:suppressLineNumbers/>
        <w:suppressAutoHyphens/>
        <w:kinsoku w:val="0"/>
        <w:overflowPunct w:val="0"/>
        <w:autoSpaceDE w:val="0"/>
        <w:autoSpaceDN w:val="0"/>
        <w:ind w:firstLine="720"/>
        <w:rPr>
          <w:snapToGrid w:val="0"/>
          <w:kern w:val="22"/>
          <w:szCs w:val="22"/>
        </w:rPr>
      </w:pPr>
    </w:p>
    <w:p w14:paraId="068B430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The Kerch Strait is essentially a migration corridor connecting the Sea of Azov and the Black Sea. Every year massive migration of the Black Sea – Azov form of the Black Sea anchovy and several other fish species migrate to the productive feeding areas of the Sea of Azov from the Black Sea, starting in spring (Drozdov, 2011) while fish stocks return to the Black Sea in autumn. Fish migration is followed by the migration of harbour porpoises (</w:t>
      </w:r>
      <w:r w:rsidRPr="0088780C">
        <w:rPr>
          <w:i/>
          <w:snapToGrid w:val="0"/>
          <w:kern w:val="22"/>
          <w:szCs w:val="22"/>
        </w:rPr>
        <w:t>Phocoena phocoena relicta</w:t>
      </w:r>
      <w:r w:rsidRPr="0088780C">
        <w:rPr>
          <w:snapToGrid w:val="0"/>
          <w:kern w:val="22"/>
          <w:szCs w:val="22"/>
        </w:rPr>
        <w:t>) and bottlenose dolphins (</w:t>
      </w:r>
      <w:r w:rsidRPr="0088780C">
        <w:rPr>
          <w:rFonts w:eastAsia="Times New Roman"/>
          <w:i/>
          <w:snapToGrid w:val="0"/>
          <w:kern w:val="22"/>
          <w:szCs w:val="22"/>
          <w:lang w:eastAsia="ja-JP"/>
        </w:rPr>
        <w:t>Tursiops truncatus ponticus</w:t>
      </w:r>
      <w:r w:rsidRPr="0088780C">
        <w:rPr>
          <w:rFonts w:eastAsia="Times New Roman"/>
          <w:snapToGrid w:val="0"/>
          <w:kern w:val="22"/>
          <w:szCs w:val="22"/>
          <w:lang w:eastAsia="ja-JP"/>
        </w:rPr>
        <w:t>)</w:t>
      </w:r>
      <w:r w:rsidRPr="0088780C">
        <w:rPr>
          <w:snapToGrid w:val="0"/>
          <w:kern w:val="22"/>
          <w:szCs w:val="22"/>
        </w:rPr>
        <w:t xml:space="preserve"> (Savenko et al., 2013; Vishnyakova et al., 2013). A resident population or subpopulation of bottlenose dolphin (</w:t>
      </w:r>
      <w:r w:rsidRPr="0088780C">
        <w:rPr>
          <w:rFonts w:eastAsia="Arial"/>
          <w:i/>
          <w:snapToGrid w:val="0"/>
          <w:kern w:val="22"/>
          <w:szCs w:val="22"/>
        </w:rPr>
        <w:t>Tursiops truncatus</w:t>
      </w:r>
      <w:r w:rsidRPr="0088780C">
        <w:rPr>
          <w:rFonts w:eastAsia="Arial"/>
          <w:snapToGrid w:val="0"/>
          <w:kern w:val="22"/>
          <w:szCs w:val="22"/>
        </w:rPr>
        <w:t>) inhabits the water area of Taman and Dynskoy bays and Kerch Strait (</w:t>
      </w:r>
      <w:r w:rsidRPr="0088780C">
        <w:rPr>
          <w:snapToGrid w:val="0"/>
          <w:kern w:val="22"/>
          <w:szCs w:val="22"/>
          <w:shd w:val="clear" w:color="auto" w:fill="FFFFFF"/>
        </w:rPr>
        <w:t>Gladilina et al., 2016).</w:t>
      </w:r>
    </w:p>
    <w:p w14:paraId="27979B7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E351ED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56ECBBD0" w14:textId="5436554B" w:rsidR="00A876F3" w:rsidRPr="0088780C" w:rsidRDefault="00A876F3" w:rsidP="001013AF">
      <w:pPr>
        <w:suppressLineNumbers/>
        <w:suppressAutoHyphens/>
        <w:kinsoku w:val="0"/>
        <w:overflowPunct w:val="0"/>
        <w:autoSpaceDE w:val="0"/>
        <w:autoSpaceDN w:val="0"/>
        <w:rPr>
          <w:i/>
          <w:snapToGrid w:val="0"/>
          <w:kern w:val="22"/>
          <w:szCs w:val="22"/>
        </w:rPr>
      </w:pPr>
      <w:r w:rsidRPr="0088780C">
        <w:rPr>
          <w:snapToGrid w:val="0"/>
          <w:kern w:val="22"/>
          <w:szCs w:val="22"/>
        </w:rPr>
        <w:t>In the Black – Azov marine basin in general, climate change at a regional scale influences water circulation patterns, horizontal transfer and vertical mixing, pelagic and benthic ecosystem structure, biodiversity, biological production, and pollution level (Vinogradov et al., 2000; Llope et al., 2011). Climatic changes and shipping development facilitate alien species introductions, which in some cases become real invasions with far-reaching consequences (Bologa et al., 1995; Zaitsev and Oztürk, 2001). Geologically young ecosystems with low species diversity such as those in the Black Sea and the Sea of Azov are generally vulnerable to these changes.</w:t>
      </w:r>
    </w:p>
    <w:p w14:paraId="52EE087B"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0C8426F" w14:textId="2DE06771"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However, the benthic ecosystem of the Kerch Strait and Taman Bay has not undergone dramatic</w:t>
      </w:r>
      <w:r w:rsidR="00E5361A" w:rsidRPr="0088780C">
        <w:rPr>
          <w:snapToGrid w:val="0"/>
          <w:kern w:val="22"/>
          <w:szCs w:val="22"/>
        </w:rPr>
        <w:t xml:space="preserve"> changes (Golovkina, Nabozhenko</w:t>
      </w:r>
      <w:r w:rsidRPr="0088780C">
        <w:rPr>
          <w:snapToGrid w:val="0"/>
          <w:kern w:val="22"/>
          <w:szCs w:val="22"/>
        </w:rPr>
        <w:t xml:space="preserve">, 2012) compared to the ecosystem of the Black Sea (Chikina and Kucheruk, 2005), Sea of Azov (Matishov et al., 2008) and the Kerch Strait (Panov et al., 2011; Fashuk et al., 2012). On a larger time scale, in spite of significant changes in climate, sea level and hydrological regime, the present dominant species in the benthic communities, such as </w:t>
      </w:r>
      <w:r w:rsidRPr="0088780C">
        <w:rPr>
          <w:i/>
          <w:snapToGrid w:val="0"/>
          <w:kern w:val="22"/>
          <w:szCs w:val="22"/>
        </w:rPr>
        <w:t>Cerastoderma glaucum</w:t>
      </w:r>
      <w:r w:rsidRPr="0088780C">
        <w:rPr>
          <w:snapToGrid w:val="0"/>
          <w:kern w:val="22"/>
          <w:szCs w:val="22"/>
        </w:rPr>
        <w:t xml:space="preserve"> and </w:t>
      </w:r>
      <w:r w:rsidRPr="0088780C">
        <w:rPr>
          <w:i/>
          <w:snapToGrid w:val="0"/>
          <w:kern w:val="22"/>
          <w:szCs w:val="22"/>
        </w:rPr>
        <w:t>Abra ovata,</w:t>
      </w:r>
      <w:r w:rsidRPr="0088780C">
        <w:rPr>
          <w:snapToGrid w:val="0"/>
          <w:kern w:val="22"/>
          <w:szCs w:val="22"/>
        </w:rPr>
        <w:t xml:space="preserve"> persisted over the last 6000 years (Fouache et al., 2005). It may be concluded that the Taman Bay ecosystem is characterized by a quasi-stable regime. As a result of periodical critical events, such as hypoxia, instead of a regime-shift, a change in the abundances of the species is observed, with a successful return to the initial state when the disturbance decreases (Nesis, 1956).</w:t>
      </w:r>
    </w:p>
    <w:p w14:paraId="6DA95771"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148C6FF5" w14:textId="14ED1420"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 area is under significant anthropogenic pressure: Tuzla dam construction and changes in hydrological regime during the 20th century due to the discharge control of the Don and Kuban rivers led to changes in currents of the Bay (Ovsienko et al., 2008; Matishov et al., 2008); the 2007 oil spill and constant local anthropogenic pollution (Belyaev et al., 2009) are dangerous for the birds and fishes, but benthic communities show a certain level of resistance (Spiridonov et al., 2016). The ecosystem of Taman Bay is vulnerable to particular impacts. Ship accidents and oil spills in the neighboring Kerch Strait have been shown to have a significant short term effect on the ecosystem even if a moderate portion of spill enters the Bay, as has happened after the Volgoneft 139 wrecking in 2007 (Kolyuchkina et al., 2012; Spiridonov et al., 2016). However, biodegradation of oil pollution was rapid (Sapozhnikov et al., 2013), and in 2009 no traces of oil spill were found.</w:t>
      </w:r>
    </w:p>
    <w:p w14:paraId="6AAFBEAD"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332E749" w14:textId="69DE3D3F"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Climate change (aridization) is also a prominent factor for the functioning of the Taman Bay ecosystem, but not as dramatically as for the Azov Sea (Matishov et al., 2008). Shipping in the adjacent Kerch Strait is the major actual and potential threat that includes permanent chronic pollution and fuel and hydrocarbon cargo spills, such as the MS Volgoneft 139 spill in November 2007 (Oil spill accident in the Kerch Strait, 2011; Kolyuchkina et al., 2012). This area is especially vulnerable to these impacts, as it is home to important biological phenomena, including aquatic bird stopovers and fish spawning sites. Water birds were particularly affected by the black oil spill resulting from the wrecking of the MS Volgoneft-139 in November 2007 (Matishov et al., 2013). Other threats include municipal discharges and growing tourism that may lead</w:t>
      </w:r>
      <w:r w:rsidR="00E5361A" w:rsidRPr="0088780C">
        <w:rPr>
          <w:snapToGrid w:val="0"/>
          <w:kern w:val="22"/>
          <w:szCs w:val="22"/>
        </w:rPr>
        <w:t xml:space="preserve"> to increased nutrient loading.</w:t>
      </w:r>
    </w:p>
    <w:p w14:paraId="02DFBFB4"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5CCA0A52" w14:textId="0DE08915"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 xml:space="preserve">Decline of the reed area will lead to changes in bird migration paths. Hydrotechnical construction, like the Tuzla dam or the Kerch Strait bridge, could lead to circulation changes in the Bay. The eutrophication, enrichment by organic carbon, increasing pollution load and/or changes in the hydrological regime of Bay waters could result, with potential for suffocation, siltification and degradation of </w:t>
      </w:r>
      <w:r w:rsidRPr="0088780C">
        <w:rPr>
          <w:i/>
          <w:snapToGrid w:val="0"/>
          <w:kern w:val="22"/>
          <w:szCs w:val="22"/>
        </w:rPr>
        <w:t>Zostera</w:t>
      </w:r>
      <w:r w:rsidRPr="0088780C">
        <w:rPr>
          <w:snapToGrid w:val="0"/>
          <w:kern w:val="22"/>
          <w:szCs w:val="22"/>
        </w:rPr>
        <w:t xml:space="preserve"> meadows. This also could lead to changing fish migration paths, as fish will avoid Taman Bay.</w:t>
      </w:r>
    </w:p>
    <w:p w14:paraId="4DFAD2E4"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A796346"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Taman Bay had regional reserve status until about 2010. However, the project of upgrading the status to the federal level failed. Currently it has no legal protection status. However, part of the shores has a restricted access due to archeological excavations (on the mainland coast) or vicinity to Port-Kavkaz (in the Chushka Spit).</w:t>
      </w:r>
    </w:p>
    <w:p w14:paraId="0DE2443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3C605012" w14:textId="2EA99EC1"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w:t>
      </w:r>
      <w:r w:rsidR="00E5361A" w:rsidRPr="0088780C">
        <w:rPr>
          <w:rFonts w:eastAsia="MS Mincho"/>
          <w:b/>
          <w:snapToGrid w:val="0"/>
          <w:kern w:val="22"/>
          <w:szCs w:val="22"/>
        </w:rPr>
        <w:t xml:space="preserve"> area against CBD EBSA Criteria</w:t>
      </w:r>
    </w:p>
    <w:p w14:paraId="55EC84B3"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06AEA43D" w14:textId="77777777" w:rsidTr="006972AD">
        <w:tc>
          <w:tcPr>
            <w:tcW w:w="779" w:type="pct"/>
            <w:vMerge w:val="restart"/>
            <w:shd w:val="clear" w:color="auto" w:fill="auto"/>
          </w:tcPr>
          <w:p w14:paraId="6DABAFC6" w14:textId="77777777" w:rsidR="00A876F3" w:rsidRPr="0088780C" w:rsidRDefault="00A876F3" w:rsidP="00E5361A">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6E833C95" w14:textId="77777777" w:rsidR="00A876F3" w:rsidRPr="0088780C" w:rsidRDefault="00A876F3" w:rsidP="00E5361A">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3BB8117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1F84083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273CAA2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5D57A70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766772D2" w14:textId="77777777" w:rsidTr="006972AD">
        <w:tc>
          <w:tcPr>
            <w:tcW w:w="779" w:type="pct"/>
            <w:vMerge/>
            <w:shd w:val="clear" w:color="auto" w:fill="auto"/>
          </w:tcPr>
          <w:p w14:paraId="74DF679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3995E4D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467A10C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53E1C2D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16FC55D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697631F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1C85C1DF" w14:textId="77777777" w:rsidTr="006972AD">
        <w:tc>
          <w:tcPr>
            <w:tcW w:w="779" w:type="pct"/>
            <w:shd w:val="clear" w:color="auto" w:fill="auto"/>
          </w:tcPr>
          <w:p w14:paraId="79ACD4E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76718500" w14:textId="770A6012"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7C08496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64F5171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9838E0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36EC264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4B6EE8D5" w14:textId="77777777" w:rsidTr="006972AD">
        <w:tc>
          <w:tcPr>
            <w:tcW w:w="5000" w:type="pct"/>
            <w:gridSpan w:val="11"/>
            <w:shd w:val="clear" w:color="auto" w:fill="auto"/>
          </w:tcPr>
          <w:p w14:paraId="526B4B72"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793A4088"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Taman Bay is a tectonically active area with a number of mud volcanoes. This makes the Bay a unique shallow water area for studies of biological processes associated with mud volcano activity and a valuable site for educational tourism.</w:t>
            </w:r>
          </w:p>
          <w:p w14:paraId="4ACAA5BB"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B44C861"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Taman Bay is the only place on the Russian Azov and Black Sea coast where the eelgrass</w:t>
            </w:r>
            <w:r w:rsidRPr="0088780C">
              <w:rPr>
                <w:rFonts w:eastAsia="Calibri"/>
                <w:snapToGrid w:val="0"/>
                <w:kern w:val="22"/>
                <w:szCs w:val="22"/>
              </w:rPr>
              <w:t xml:space="preserve"> </w:t>
            </w:r>
            <w:r w:rsidRPr="0088780C">
              <w:rPr>
                <w:i/>
                <w:snapToGrid w:val="0"/>
                <w:kern w:val="22"/>
                <w:szCs w:val="22"/>
              </w:rPr>
              <w:t>Zostera marina</w:t>
            </w:r>
            <w:r w:rsidRPr="0088780C">
              <w:rPr>
                <w:rFonts w:eastAsia="Calibri"/>
                <w:snapToGrid w:val="0"/>
                <w:kern w:val="22"/>
                <w:szCs w:val="22"/>
              </w:rPr>
              <w:t xml:space="preserve"> </w:t>
            </w:r>
            <w:r w:rsidRPr="0088780C">
              <w:rPr>
                <w:snapToGrid w:val="0"/>
                <w:kern w:val="22"/>
                <w:szCs w:val="22"/>
              </w:rPr>
              <w:t xml:space="preserve">forms extensive meadows. Two invaders causing the ecosystem shifts in the Black and Azov seas benthic predator </w:t>
            </w:r>
            <w:r w:rsidRPr="0088780C">
              <w:rPr>
                <w:i/>
                <w:snapToGrid w:val="0"/>
                <w:kern w:val="22"/>
                <w:szCs w:val="22"/>
              </w:rPr>
              <w:t>Rapana venosa</w:t>
            </w:r>
            <w:r w:rsidRPr="0088780C">
              <w:rPr>
                <w:snapToGrid w:val="0"/>
                <w:kern w:val="22"/>
                <w:szCs w:val="22"/>
              </w:rPr>
              <w:t xml:space="preserve"> and planctonic predator </w:t>
            </w:r>
            <w:r w:rsidRPr="0088780C">
              <w:rPr>
                <w:i/>
                <w:snapToGrid w:val="0"/>
                <w:kern w:val="22"/>
                <w:szCs w:val="22"/>
              </w:rPr>
              <w:t>Mnemiopsis leidyi</w:t>
            </w:r>
            <w:r w:rsidRPr="0088780C">
              <w:rPr>
                <w:snapToGrid w:val="0"/>
                <w:kern w:val="22"/>
                <w:szCs w:val="22"/>
              </w:rPr>
              <w:t xml:space="preserve"> appear to be rare in Taman Bay (Golovkina and Nabozhenko, 2012; Spiridonov et al., 2016; Biryukova, 2016) in contrast to the adjacent Kerch Strait (Fashuk et al., 2012) and the Black Sea (Bondarev et al., 2013). This makes the Bay not only an important wetland, but also a prospective area for comparative studies of invasive alien species biology. Some rare species are present in the Bay: bivalve </w:t>
            </w:r>
            <w:r w:rsidRPr="0088780C">
              <w:rPr>
                <w:i/>
                <w:snapToGrid w:val="0"/>
                <w:kern w:val="22"/>
                <w:szCs w:val="22"/>
              </w:rPr>
              <w:t>Loripes lucinalis</w:t>
            </w:r>
            <w:r w:rsidRPr="0088780C">
              <w:rPr>
                <w:snapToGrid w:val="0"/>
                <w:kern w:val="22"/>
                <w:szCs w:val="22"/>
              </w:rPr>
              <w:t xml:space="preserve"> and </w:t>
            </w:r>
            <w:r w:rsidRPr="0088780C">
              <w:rPr>
                <w:i/>
                <w:snapToGrid w:val="0"/>
                <w:kern w:val="22"/>
                <w:szCs w:val="22"/>
              </w:rPr>
              <w:t>Irus irus</w:t>
            </w:r>
            <w:r w:rsidRPr="0088780C">
              <w:rPr>
                <w:snapToGrid w:val="0"/>
                <w:kern w:val="22"/>
                <w:szCs w:val="22"/>
              </w:rPr>
              <w:t xml:space="preserve"> (Golovkina and Nabozhenko, 2012).</w:t>
            </w:r>
            <w:r w:rsidRPr="0088780C">
              <w:rPr>
                <w:strike/>
                <w:snapToGrid w:val="0"/>
                <w:kern w:val="22"/>
                <w:szCs w:val="22"/>
              </w:rPr>
              <w:t xml:space="preserve"> </w:t>
            </w:r>
            <w:r w:rsidRPr="0088780C">
              <w:rPr>
                <w:i/>
                <w:snapToGrid w:val="0"/>
                <w:kern w:val="22"/>
                <w:szCs w:val="22"/>
              </w:rPr>
              <w:t>L. lucinalis</w:t>
            </w:r>
            <w:r w:rsidRPr="0088780C">
              <w:rPr>
                <w:snapToGrid w:val="0"/>
                <w:kern w:val="22"/>
                <w:szCs w:val="22"/>
              </w:rPr>
              <w:t xml:space="preserve">, </w:t>
            </w:r>
            <w:r w:rsidRPr="0088780C">
              <w:rPr>
                <w:i/>
                <w:snapToGrid w:val="0"/>
                <w:kern w:val="22"/>
                <w:szCs w:val="22"/>
              </w:rPr>
              <w:t>Zostera</w:t>
            </w:r>
            <w:r w:rsidRPr="0088780C">
              <w:rPr>
                <w:snapToGrid w:val="0"/>
                <w:kern w:val="22"/>
                <w:szCs w:val="22"/>
              </w:rPr>
              <w:t xml:space="preserve"> spp. and chaemotrophic bacteria form a unique three-component symbiosis (van der </w:t>
            </w:r>
            <w:r w:rsidRPr="0088780C">
              <w:rPr>
                <w:rFonts w:eastAsia="Arial"/>
                <w:snapToGrid w:val="0"/>
                <w:kern w:val="22"/>
                <w:szCs w:val="22"/>
              </w:rPr>
              <w:t>Heide et al., 2012).</w:t>
            </w:r>
            <w:r w:rsidRPr="0088780C">
              <w:rPr>
                <w:snapToGrid w:val="0"/>
                <w:kern w:val="22"/>
                <w:szCs w:val="22"/>
              </w:rPr>
              <w:t xml:space="preserve"> Some species known as endemic species of the Black Sea – Azov Basin are present in the Bay, i.e., polychaete </w:t>
            </w:r>
            <w:r w:rsidRPr="0088780C">
              <w:rPr>
                <w:i/>
                <w:snapToGrid w:val="0"/>
                <w:kern w:val="22"/>
                <w:szCs w:val="22"/>
              </w:rPr>
              <w:t>Eteone picta</w:t>
            </w:r>
            <w:r w:rsidRPr="0088780C">
              <w:rPr>
                <w:snapToGrid w:val="0"/>
                <w:kern w:val="22"/>
                <w:szCs w:val="22"/>
              </w:rPr>
              <w:t xml:space="preserve"> (Kiseleva, 2004; Syomin, 2011).</w:t>
            </w:r>
          </w:p>
          <w:p w14:paraId="78C81C15"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FEA5295"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 Kerch Strait is the only corridor connecting the Azov Sea and the Black Sea, which makes the migration of fish and cetaceans, such as harbour porpoises (</w:t>
            </w:r>
            <w:r w:rsidRPr="0088780C">
              <w:rPr>
                <w:i/>
                <w:snapToGrid w:val="0"/>
                <w:kern w:val="22"/>
                <w:szCs w:val="22"/>
              </w:rPr>
              <w:t>Phocoena phocoena relicta</w:t>
            </w:r>
            <w:r w:rsidRPr="0088780C">
              <w:rPr>
                <w:snapToGrid w:val="0"/>
                <w:kern w:val="22"/>
                <w:szCs w:val="22"/>
              </w:rPr>
              <w:t>) and bottlenose dolphins (</w:t>
            </w:r>
            <w:r w:rsidRPr="0088780C">
              <w:rPr>
                <w:rFonts w:eastAsia="Times New Roman"/>
                <w:i/>
                <w:snapToGrid w:val="0"/>
                <w:kern w:val="22"/>
                <w:szCs w:val="22"/>
                <w:lang w:eastAsia="ja-JP"/>
              </w:rPr>
              <w:t>Tursiops truncates ponticus</w:t>
            </w:r>
            <w:r w:rsidRPr="0088780C">
              <w:rPr>
                <w:rFonts w:eastAsia="Times New Roman"/>
                <w:snapToGrid w:val="0"/>
                <w:kern w:val="22"/>
                <w:szCs w:val="22"/>
                <w:lang w:eastAsia="ja-JP"/>
              </w:rPr>
              <w:t>)</w:t>
            </w:r>
            <w:r w:rsidRPr="0088780C">
              <w:rPr>
                <w:snapToGrid w:val="0"/>
                <w:kern w:val="22"/>
                <w:szCs w:val="22"/>
              </w:rPr>
              <w:t xml:space="preserve"> possible in spring and fall (Savenko et al., 2013; Vishnyakova et al., 2013).</w:t>
            </w:r>
          </w:p>
        </w:tc>
      </w:tr>
      <w:tr w:rsidR="00A876F3" w:rsidRPr="0088780C" w14:paraId="48D271A7" w14:textId="77777777" w:rsidTr="006972AD">
        <w:tc>
          <w:tcPr>
            <w:tcW w:w="779" w:type="pct"/>
            <w:shd w:val="clear" w:color="auto" w:fill="auto"/>
          </w:tcPr>
          <w:p w14:paraId="78E710E3" w14:textId="77777777" w:rsidR="00A876F3" w:rsidRPr="0088780C" w:rsidRDefault="00A876F3" w:rsidP="00E5361A">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537FC8A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68428A8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BCA778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157446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0BE7707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52C78685" w14:textId="77777777" w:rsidTr="006972AD">
        <w:tc>
          <w:tcPr>
            <w:tcW w:w="5000" w:type="pct"/>
            <w:gridSpan w:val="11"/>
            <w:shd w:val="clear" w:color="auto" w:fill="auto"/>
          </w:tcPr>
          <w:p w14:paraId="4C5EF2A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i/>
                <w:snapToGrid w:val="0"/>
                <w:color w:val="000000"/>
                <w:kern w:val="22"/>
                <w:szCs w:val="22"/>
              </w:rPr>
              <w:t>Explanation for ranking</w:t>
            </w:r>
          </w:p>
          <w:p w14:paraId="718F4D00" w14:textId="687263B6"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Taman Bay is a critical habitat for eelgrass (</w:t>
            </w:r>
            <w:r w:rsidRPr="0088780C">
              <w:rPr>
                <w:i/>
                <w:snapToGrid w:val="0"/>
                <w:kern w:val="22"/>
                <w:szCs w:val="22"/>
              </w:rPr>
              <w:t>Zostera marina</w:t>
            </w:r>
            <w:r w:rsidR="00E5361A" w:rsidRPr="0088780C">
              <w:rPr>
                <w:snapToGrid w:val="0"/>
                <w:kern w:val="22"/>
                <w:szCs w:val="22"/>
              </w:rPr>
              <w:t>),</w:t>
            </w:r>
            <w:r w:rsidRPr="0088780C">
              <w:rPr>
                <w:snapToGrid w:val="0"/>
                <w:kern w:val="22"/>
                <w:szCs w:val="22"/>
              </w:rPr>
              <w:t xml:space="preserve"> supporting abundant populations of this species, which is highly important for maintaining the coastal ecosystem. As a productive shallow area, the Bay plays an important role as a spawning and nursery area for several fish species.</w:t>
            </w:r>
          </w:p>
          <w:p w14:paraId="2189E785"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283B029" w14:textId="77777777" w:rsidR="00A876F3" w:rsidRPr="0088780C" w:rsidRDefault="00A876F3" w:rsidP="001013AF">
            <w:pPr>
              <w:suppressLineNumbers/>
              <w:suppressAutoHyphens/>
              <w:kinsoku w:val="0"/>
              <w:overflowPunct w:val="0"/>
              <w:autoSpaceDE w:val="0"/>
              <w:autoSpaceDN w:val="0"/>
              <w:rPr>
                <w:rFonts w:eastAsia="Arial"/>
                <w:snapToGrid w:val="0"/>
                <w:kern w:val="22"/>
                <w:szCs w:val="22"/>
              </w:rPr>
            </w:pPr>
            <w:r w:rsidRPr="0088780C">
              <w:rPr>
                <w:snapToGrid w:val="0"/>
                <w:kern w:val="22"/>
                <w:szCs w:val="22"/>
              </w:rPr>
              <w:t>The importance of Taman Bay for waterfowl has long been recognized. Up to one million birds stop over in the Bay during seasonal migrations. The Taman Bay wetlands are the wintering area of many species of waterfowl and some seabird species, such as gulls and cormorants. Its importance increases in cold winters when the other wetlands and lakes of the Azov region freeze over. According to midwinter censuses, the number of waterfowl has varied from 8 000 (in 2005) to 49 500 (Tilba et al., 2006). During the previous period (1967-1972) the number of wintering waterbirds reached 250 000. Wintering of some species is of particular importance: black-throated diver (</w:t>
            </w:r>
            <w:r w:rsidRPr="0088780C">
              <w:rPr>
                <w:rFonts w:eastAsia="Arial"/>
                <w:i/>
                <w:snapToGrid w:val="0"/>
                <w:kern w:val="22"/>
                <w:szCs w:val="22"/>
              </w:rPr>
              <w:t>Gavia arctica</w:t>
            </w:r>
            <w:r w:rsidRPr="0088780C">
              <w:rPr>
                <w:rFonts w:eastAsia="Arial"/>
                <w:snapToGrid w:val="0"/>
                <w:kern w:val="22"/>
                <w:szCs w:val="22"/>
              </w:rPr>
              <w:t>),</w:t>
            </w:r>
            <w:r w:rsidRPr="0088780C">
              <w:rPr>
                <w:snapToGrid w:val="0"/>
                <w:kern w:val="22"/>
                <w:szCs w:val="22"/>
              </w:rPr>
              <w:t xml:space="preserve"> Eurasian curlew (</w:t>
            </w:r>
            <w:r w:rsidRPr="0088780C">
              <w:rPr>
                <w:i/>
                <w:snapToGrid w:val="0"/>
                <w:kern w:val="22"/>
                <w:szCs w:val="22"/>
              </w:rPr>
              <w:t>Numenius arquata</w:t>
            </w:r>
            <w:r w:rsidRPr="0088780C">
              <w:rPr>
                <w:snapToGrid w:val="0"/>
                <w:kern w:val="22"/>
                <w:szCs w:val="22"/>
              </w:rPr>
              <w:t>)</w:t>
            </w:r>
            <w:r w:rsidRPr="0088780C">
              <w:rPr>
                <w:rFonts w:eastAsia="Arial"/>
                <w:snapToGrid w:val="0"/>
                <w:kern w:val="22"/>
                <w:szCs w:val="22"/>
              </w:rPr>
              <w:t xml:space="preserve"> and slender-billed gull (</w:t>
            </w:r>
            <w:r w:rsidRPr="0088780C">
              <w:rPr>
                <w:rFonts w:eastAsia="Arial"/>
                <w:i/>
                <w:snapToGrid w:val="0"/>
                <w:kern w:val="22"/>
                <w:szCs w:val="22"/>
              </w:rPr>
              <w:t>Larus genei</w:t>
            </w:r>
            <w:r w:rsidRPr="0088780C">
              <w:rPr>
                <w:rFonts w:eastAsia="Arial"/>
                <w:snapToGrid w:val="0"/>
                <w:kern w:val="22"/>
                <w:szCs w:val="22"/>
              </w:rPr>
              <w:t>).</w:t>
            </w:r>
          </w:p>
          <w:p w14:paraId="5109DC6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25833A8" w14:textId="4281616E"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Significant colonies of the following species are found on the islands along the inner part of Chushka Spit: common cormorant (</w:t>
            </w:r>
            <w:r w:rsidRPr="0088780C">
              <w:rPr>
                <w:rFonts w:eastAsia="Arial"/>
                <w:i/>
                <w:snapToGrid w:val="0"/>
                <w:kern w:val="22"/>
                <w:szCs w:val="22"/>
              </w:rPr>
              <w:t>Phalacrocorax carbo)</w:t>
            </w:r>
            <w:r w:rsidRPr="0088780C">
              <w:rPr>
                <w:snapToGrid w:val="0"/>
                <w:kern w:val="22"/>
                <w:szCs w:val="22"/>
              </w:rPr>
              <w:t xml:space="preserve"> — 750 pairs; common tern (Sterna hirundo) — 300 pairs and Sandwich tern (</w:t>
            </w:r>
            <w:r w:rsidRPr="0088780C">
              <w:rPr>
                <w:rFonts w:eastAsia="Arial"/>
                <w:i/>
                <w:snapToGrid w:val="0"/>
                <w:kern w:val="22"/>
                <w:szCs w:val="22"/>
              </w:rPr>
              <w:t>Thalasseus sandvicensis</w:t>
            </w:r>
            <w:r w:rsidRPr="0088780C">
              <w:rPr>
                <w:rFonts w:eastAsia="Arial"/>
                <w:snapToGrid w:val="0"/>
                <w:kern w:val="22"/>
                <w:szCs w:val="22"/>
              </w:rPr>
              <w:t xml:space="preserve">) </w:t>
            </w:r>
            <w:r w:rsidRPr="0088780C">
              <w:rPr>
                <w:snapToGrid w:val="0"/>
                <w:kern w:val="22"/>
                <w:szCs w:val="22"/>
              </w:rPr>
              <w:t xml:space="preserve">— </w:t>
            </w:r>
            <w:r w:rsidR="00E5361A" w:rsidRPr="0088780C">
              <w:rPr>
                <w:snapToGrid w:val="0"/>
                <w:kern w:val="22"/>
                <w:szCs w:val="22"/>
              </w:rPr>
              <w:t>300 pairs (Tilba et al., 2006).</w:t>
            </w:r>
          </w:p>
          <w:p w14:paraId="0CC27346"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ACD0399" w14:textId="6AEE50C8"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role of the Kerch Strait as a migration corridor for several fish and most importantly for cetacean species of the Black Sea cannot be </w:t>
            </w:r>
            <w:r w:rsidR="00E5361A" w:rsidRPr="0088780C">
              <w:rPr>
                <w:snapToGrid w:val="0"/>
                <w:kern w:val="22"/>
                <w:szCs w:val="22"/>
              </w:rPr>
              <w:t>overestimated (see Uniqueness).</w:t>
            </w:r>
          </w:p>
          <w:p w14:paraId="460FD3C6"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83C1D4B"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This is one of the most important areas in the world for the Yelkouan shearwater </w:t>
            </w:r>
            <w:r w:rsidRPr="0088780C">
              <w:rPr>
                <w:i/>
                <w:snapToGrid w:val="0"/>
                <w:kern w:val="22"/>
                <w:szCs w:val="22"/>
              </w:rPr>
              <w:t>Puffinus yelkouan</w:t>
            </w:r>
            <w:r w:rsidRPr="0088780C">
              <w:rPr>
                <w:snapToGrid w:val="0"/>
                <w:kern w:val="22"/>
                <w:szCs w:val="22"/>
              </w:rPr>
              <w:t xml:space="preserve"> during the non-breeding season (Raine et al. 2012, Péron et al. 2013). Birds from different colonies located in the Mediterranean congregate here during the winter period (September to December), one of the most critical of the life-cycle of the species, when most of the mortality of adult birds (the major cause of the population decline) occurs (Oppel et al. 2011). Recent tracking studies have revealed that between 26% and 42% of the global population of the Yelkouan shearwaters migrate to this region (Raine et al. 2012, Péron et al. 2013, Seabird Tracking Database 2017). At-sea surveys and studies of habitat suitability have also revealed the importance of the area for the species as a non-breeding foraging site (Ortega and İsfendiyaroğlu 2017).</w:t>
            </w:r>
          </w:p>
          <w:p w14:paraId="653CBDFB"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66512A10"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Newborn harbour porpoises have been found stranded in the southern coast of the Azov Sea, close to the Strait, which indicates that breeding occurs in the nearby water, possibly in the Strait as well (Vishnyakova et al. 2013).</w:t>
            </w:r>
          </w:p>
        </w:tc>
      </w:tr>
      <w:tr w:rsidR="00A876F3" w:rsidRPr="0088780C" w14:paraId="56CB4141" w14:textId="77777777" w:rsidTr="006972AD">
        <w:tc>
          <w:tcPr>
            <w:tcW w:w="779" w:type="pct"/>
            <w:shd w:val="clear" w:color="auto" w:fill="auto"/>
          </w:tcPr>
          <w:p w14:paraId="4B808CEF" w14:textId="77777777" w:rsidR="00A876F3" w:rsidRPr="0088780C" w:rsidRDefault="00A876F3" w:rsidP="00E5361A">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1DAB86E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5862990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996080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BBE9D8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0AAE2B9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r>
      <w:tr w:rsidR="00A876F3" w:rsidRPr="0088780C" w14:paraId="50DBDE68" w14:textId="77777777" w:rsidTr="006972AD">
        <w:tc>
          <w:tcPr>
            <w:tcW w:w="5000" w:type="pct"/>
            <w:gridSpan w:val="11"/>
            <w:shd w:val="clear" w:color="auto" w:fill="auto"/>
          </w:tcPr>
          <w:p w14:paraId="4E934F0D"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044C89E8" w14:textId="6C2666F3"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This is an important nesting site for waterbird species listed in the Red Data Books of the Russian Federation and the Krasnodar Region: common shelduck (</w:t>
            </w:r>
            <w:r w:rsidRPr="0088780C">
              <w:rPr>
                <w:i/>
                <w:snapToGrid w:val="0"/>
                <w:kern w:val="22"/>
                <w:szCs w:val="22"/>
              </w:rPr>
              <w:t>Tadorna tadorna</w:t>
            </w:r>
            <w:r w:rsidRPr="0088780C">
              <w:rPr>
                <w:snapToGrid w:val="0"/>
                <w:kern w:val="22"/>
                <w:szCs w:val="22"/>
              </w:rPr>
              <w:t>), oystercatcher (</w:t>
            </w:r>
            <w:r w:rsidRPr="0088780C">
              <w:rPr>
                <w:i/>
                <w:snapToGrid w:val="0"/>
                <w:kern w:val="22"/>
                <w:szCs w:val="22"/>
              </w:rPr>
              <w:t>Haematopus ostralegus longipes</w:t>
            </w:r>
            <w:r w:rsidRPr="0088780C">
              <w:rPr>
                <w:snapToGrid w:val="0"/>
                <w:kern w:val="22"/>
                <w:szCs w:val="22"/>
              </w:rPr>
              <w:t>), sea plover (</w:t>
            </w:r>
            <w:r w:rsidRPr="0088780C">
              <w:rPr>
                <w:rFonts w:eastAsia="Arial"/>
                <w:i/>
                <w:snapToGrid w:val="0"/>
                <w:kern w:val="22"/>
                <w:szCs w:val="22"/>
              </w:rPr>
              <w:t>Charadrius alexandrinus</w:t>
            </w:r>
            <w:r w:rsidRPr="0088780C">
              <w:rPr>
                <w:rFonts w:eastAsia="Arial"/>
                <w:snapToGrid w:val="0"/>
                <w:kern w:val="22"/>
                <w:szCs w:val="22"/>
              </w:rPr>
              <w:t>)</w:t>
            </w:r>
            <w:r w:rsidRPr="0088780C">
              <w:rPr>
                <w:snapToGrid w:val="0"/>
                <w:kern w:val="22"/>
                <w:szCs w:val="22"/>
              </w:rPr>
              <w:t xml:space="preserve"> and little tern (</w:t>
            </w:r>
            <w:r w:rsidRPr="0088780C">
              <w:rPr>
                <w:rFonts w:eastAsia="Arial"/>
                <w:i/>
                <w:snapToGrid w:val="0"/>
                <w:kern w:val="22"/>
                <w:szCs w:val="22"/>
              </w:rPr>
              <w:t>Sterna albifrons</w:t>
            </w:r>
            <w:r w:rsidRPr="0088780C">
              <w:rPr>
                <w:rFonts w:eastAsia="Arial"/>
                <w:snapToGrid w:val="0"/>
                <w:kern w:val="22"/>
                <w:szCs w:val="22"/>
              </w:rPr>
              <w:t>)</w:t>
            </w:r>
            <w:r w:rsidR="00E5361A" w:rsidRPr="0088780C">
              <w:rPr>
                <w:snapToGrid w:val="0"/>
                <w:kern w:val="22"/>
                <w:szCs w:val="22"/>
              </w:rPr>
              <w:t xml:space="preserve"> ( Tilba et al., 2006).</w:t>
            </w:r>
          </w:p>
          <w:p w14:paraId="07533724"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E7719DA" w14:textId="2BF89E40"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snapToGrid w:val="0"/>
                <w:kern w:val="22"/>
                <w:szCs w:val="22"/>
              </w:rPr>
              <w:t>Some other endangered shore birds, including great black-headed gull (</w:t>
            </w:r>
            <w:r w:rsidRPr="0088780C">
              <w:rPr>
                <w:i/>
                <w:snapToGrid w:val="0"/>
                <w:kern w:val="22"/>
                <w:szCs w:val="22"/>
              </w:rPr>
              <w:t>Ichthyaetus ichthyaetus)</w:t>
            </w:r>
            <w:r w:rsidRPr="0088780C">
              <w:rPr>
                <w:snapToGrid w:val="0"/>
                <w:kern w:val="22"/>
                <w:szCs w:val="22"/>
              </w:rPr>
              <w:t xml:space="preserve"> (Red Data Book of the Russian Federation</w:t>
            </w:r>
            <w:r w:rsidR="00E5361A" w:rsidRPr="0088780C">
              <w:rPr>
                <w:snapToGrid w:val="0"/>
                <w:kern w:val="22"/>
                <w:szCs w:val="22"/>
              </w:rPr>
              <w:t>) occur in the area in winter (</w:t>
            </w:r>
            <w:r w:rsidRPr="0088780C">
              <w:rPr>
                <w:snapToGrid w:val="0"/>
                <w:kern w:val="22"/>
                <w:szCs w:val="22"/>
              </w:rPr>
              <w:t xml:space="preserve">Tilba et al., 2006). </w:t>
            </w:r>
            <w:r w:rsidRPr="0088780C">
              <w:rPr>
                <w:rFonts w:eastAsia="MS Mincho"/>
                <w:snapToGrid w:val="0"/>
                <w:color w:val="000000"/>
                <w:kern w:val="22"/>
                <w:szCs w:val="22"/>
              </w:rPr>
              <w:t>A globally threatened seabird species, yelkouan shearwater (</w:t>
            </w:r>
            <w:r w:rsidRPr="0088780C">
              <w:rPr>
                <w:rFonts w:eastAsia="MS Mincho"/>
                <w:i/>
                <w:snapToGrid w:val="0"/>
                <w:color w:val="000000"/>
                <w:kern w:val="22"/>
                <w:szCs w:val="22"/>
              </w:rPr>
              <w:t>Puffinus yelkouan),</w:t>
            </w:r>
            <w:r w:rsidRPr="0088780C">
              <w:rPr>
                <w:rFonts w:eastAsia="MS Mincho"/>
                <w:snapToGrid w:val="0"/>
                <w:color w:val="000000"/>
                <w:kern w:val="22"/>
                <w:szCs w:val="22"/>
              </w:rPr>
              <w:t xml:space="preserve"> listed as vulnerable by IUCN, is known to occur in the area.  The area also overlaps with the distribution range of another vulnerable species, the </w:t>
            </w:r>
            <w:r w:rsidRPr="0088780C">
              <w:rPr>
                <w:rFonts w:eastAsia="MS Mincho"/>
                <w:snapToGrid w:val="0"/>
                <w:kern w:val="22"/>
                <w:szCs w:val="22"/>
              </w:rPr>
              <w:t>horned grebe (</w:t>
            </w:r>
            <w:r w:rsidRPr="0088780C">
              <w:rPr>
                <w:rFonts w:eastAsia="MS Mincho"/>
                <w:i/>
                <w:snapToGrid w:val="0"/>
                <w:kern w:val="22"/>
                <w:szCs w:val="22"/>
              </w:rPr>
              <w:t>Podiceps auritus)</w:t>
            </w:r>
            <w:r w:rsidRPr="0088780C">
              <w:rPr>
                <w:rFonts w:eastAsia="MS Mincho"/>
                <w:snapToGrid w:val="0"/>
                <w:color w:val="000000"/>
                <w:kern w:val="22"/>
                <w:szCs w:val="22"/>
              </w:rPr>
              <w:t>.</w:t>
            </w:r>
          </w:p>
          <w:p w14:paraId="5A277565"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p>
          <w:p w14:paraId="36CF7C2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 Kerch Strait and Taman Bay are also important for the bottlenose dolphins and harbour porpoises, both of which are listed as endangered in the IUCN Red List (Birkun 2012, Birkun and Frantzis 2008, respectively).</w:t>
            </w:r>
          </w:p>
        </w:tc>
      </w:tr>
      <w:tr w:rsidR="00A876F3" w:rsidRPr="0088780C" w14:paraId="5E334E98" w14:textId="77777777" w:rsidTr="006972AD">
        <w:tc>
          <w:tcPr>
            <w:tcW w:w="779" w:type="pct"/>
            <w:shd w:val="clear" w:color="auto" w:fill="auto"/>
          </w:tcPr>
          <w:p w14:paraId="1DF012A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1E074B9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18EC5E1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EE2579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C4747C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259848F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71A48587" w14:textId="77777777" w:rsidTr="006972AD">
        <w:tc>
          <w:tcPr>
            <w:tcW w:w="5000" w:type="pct"/>
            <w:gridSpan w:val="11"/>
            <w:shd w:val="clear" w:color="auto" w:fill="auto"/>
          </w:tcPr>
          <w:p w14:paraId="715AFF86"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4B099D82" w14:textId="38C0E298"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The </w:t>
            </w:r>
            <w:r w:rsidR="00E5361A" w:rsidRPr="0088780C">
              <w:rPr>
                <w:snapToGrid w:val="0"/>
                <w:kern w:val="22"/>
                <w:szCs w:val="22"/>
              </w:rPr>
              <w:t xml:space="preserve">benthic ecosystem of Taman Bay </w:t>
            </w:r>
            <w:r w:rsidRPr="0088780C">
              <w:rPr>
                <w:snapToGrid w:val="0"/>
                <w:kern w:val="22"/>
                <w:szCs w:val="22"/>
              </w:rPr>
              <w:t>appears to maintain a quasi-stable regime, owing to the dominance of species that are tolerant to a wide range of environmental characteristics (Nesis, 1956; Spiridonov et al., 2016). Their populations may decline in response to environmental stress but have a high potential to recover (Nesis, 1956; Kolyuchkina et al., 2016). Although the Taman Bay ecosystem shows some resilience capacity to eutrophication (see Naturalness) further increases in recreation and tourism may lead to higher nutrient load and a serious threat to water transparency and eelgrass meadows.</w:t>
            </w:r>
          </w:p>
          <w:p w14:paraId="4AEC585F"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68070DAD"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rFonts w:eastAsia="MS Mincho"/>
                <w:snapToGrid w:val="0"/>
                <w:color w:val="000000"/>
                <w:kern w:val="22"/>
                <w:szCs w:val="22"/>
              </w:rPr>
              <w:t>The vulnerable yelkouan shearwater is a long lived-species, with low fecundity rates and late sexual maturity. As such, the yelkouan shearwater is particularly vulnerable to factors increasing adult mortality rates, such as by-catch in fisheries and other at-sea threats, which are often the major causes of population decline (</w:t>
            </w:r>
            <w:r w:rsidRPr="0088780C">
              <w:rPr>
                <w:rFonts w:eastAsia="MS Mincho"/>
                <w:snapToGrid w:val="0"/>
                <w:kern w:val="22"/>
                <w:szCs w:val="22"/>
              </w:rPr>
              <w:t>Anderson et al. 2011</w:t>
            </w:r>
            <w:r w:rsidRPr="0088780C">
              <w:rPr>
                <w:rFonts w:eastAsia="MS Mincho"/>
                <w:snapToGrid w:val="0"/>
                <w:color w:val="000000"/>
                <w:kern w:val="22"/>
                <w:szCs w:val="22"/>
              </w:rPr>
              <w:t>; Oppel et al. 2011).</w:t>
            </w:r>
          </w:p>
        </w:tc>
      </w:tr>
      <w:tr w:rsidR="00A876F3" w:rsidRPr="0088780C" w14:paraId="569CA6D8" w14:textId="77777777" w:rsidTr="006972AD">
        <w:tc>
          <w:tcPr>
            <w:tcW w:w="779" w:type="pct"/>
            <w:shd w:val="clear" w:color="auto" w:fill="auto"/>
          </w:tcPr>
          <w:p w14:paraId="4FA38A8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5006018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1175A9D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A01FC2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933CDA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03650C7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3074D881" w14:textId="77777777" w:rsidTr="006972AD">
        <w:tc>
          <w:tcPr>
            <w:tcW w:w="5000" w:type="pct"/>
            <w:gridSpan w:val="11"/>
            <w:shd w:val="clear" w:color="auto" w:fill="auto"/>
          </w:tcPr>
          <w:p w14:paraId="52B99657"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34C97AB2" w14:textId="301157A4"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 bottom vegetation of Taman Bay and Dinskoy Bay is formed by highly productive dense meadows of</w:t>
            </w:r>
            <w:r w:rsidRPr="0088780C">
              <w:rPr>
                <w:i/>
                <w:snapToGrid w:val="0"/>
                <w:kern w:val="22"/>
                <w:szCs w:val="22"/>
              </w:rPr>
              <w:t xml:space="preserve"> Zostera </w:t>
            </w:r>
            <w:r w:rsidRPr="0088780C">
              <w:rPr>
                <w:snapToGrid w:val="0"/>
                <w:kern w:val="22"/>
                <w:szCs w:val="22"/>
              </w:rPr>
              <w:t>spp</w:t>
            </w:r>
            <w:r w:rsidRPr="0088780C">
              <w:rPr>
                <w:i/>
                <w:snapToGrid w:val="0"/>
                <w:kern w:val="22"/>
                <w:szCs w:val="22"/>
              </w:rPr>
              <w:t>. Stuckenia pectinata, Zannichellia</w:t>
            </w:r>
            <w:r w:rsidRPr="0088780C">
              <w:rPr>
                <w:snapToGrid w:val="0"/>
                <w:kern w:val="22"/>
                <w:szCs w:val="22"/>
              </w:rPr>
              <w:t xml:space="preserve"> sp.,</w:t>
            </w:r>
            <w:r w:rsidRPr="0088780C">
              <w:rPr>
                <w:i/>
                <w:snapToGrid w:val="0"/>
                <w:kern w:val="22"/>
                <w:szCs w:val="22"/>
              </w:rPr>
              <w:t xml:space="preserve"> Ruppia </w:t>
            </w:r>
            <w:r w:rsidRPr="0088780C">
              <w:rPr>
                <w:snapToGrid w:val="0"/>
                <w:kern w:val="22"/>
                <w:szCs w:val="22"/>
              </w:rPr>
              <w:t>sp</w:t>
            </w:r>
            <w:r w:rsidRPr="0088780C">
              <w:rPr>
                <w:i/>
                <w:snapToGrid w:val="0"/>
                <w:kern w:val="22"/>
                <w:szCs w:val="22"/>
              </w:rPr>
              <w:t xml:space="preserve">., Lamprothamium papulosum </w:t>
            </w:r>
            <w:r w:rsidRPr="0088780C">
              <w:rPr>
                <w:snapToGrid w:val="0"/>
                <w:kern w:val="22"/>
                <w:szCs w:val="22"/>
              </w:rPr>
              <w:t>and</w:t>
            </w:r>
            <w:r w:rsidRPr="0088780C">
              <w:rPr>
                <w:i/>
                <w:snapToGrid w:val="0"/>
                <w:kern w:val="22"/>
                <w:szCs w:val="22"/>
              </w:rPr>
              <w:t xml:space="preserve"> Chara </w:t>
            </w:r>
            <w:r w:rsidRPr="0088780C">
              <w:rPr>
                <w:snapToGrid w:val="0"/>
                <w:kern w:val="22"/>
                <w:szCs w:val="22"/>
              </w:rPr>
              <w:t>spp. Only the</w:t>
            </w:r>
            <w:r w:rsidRPr="0088780C">
              <w:rPr>
                <w:i/>
                <w:snapToGrid w:val="0"/>
                <w:kern w:val="22"/>
                <w:szCs w:val="22"/>
              </w:rPr>
              <w:t xml:space="preserve"> Zostera marina </w:t>
            </w:r>
            <w:r w:rsidRPr="0088780C">
              <w:rPr>
                <w:snapToGrid w:val="0"/>
                <w:kern w:val="22"/>
                <w:szCs w:val="22"/>
              </w:rPr>
              <w:t>L. meadows (inhabiting the depth range 2-3.5 m) are perennial. The biomass of eelgrass may be as high as 300 - 850 g dry w. /m</w:t>
            </w:r>
            <w:r w:rsidRPr="0088780C">
              <w:rPr>
                <w:snapToGrid w:val="0"/>
                <w:kern w:val="22"/>
                <w:szCs w:val="22"/>
                <w:vertAlign w:val="superscript"/>
              </w:rPr>
              <w:t>2</w:t>
            </w:r>
            <w:r w:rsidRPr="0088780C">
              <w:rPr>
                <w:snapToGrid w:val="0"/>
                <w:kern w:val="22"/>
                <w:szCs w:val="22"/>
              </w:rPr>
              <w:t xml:space="preserve"> (ca. 3000-7000 g wet w. /m</w:t>
            </w:r>
            <w:r w:rsidRPr="0088780C">
              <w:rPr>
                <w:snapToGrid w:val="0"/>
                <w:kern w:val="22"/>
                <w:szCs w:val="22"/>
                <w:vertAlign w:val="superscript"/>
              </w:rPr>
              <w:t>2</w:t>
            </w:r>
            <w:r w:rsidRPr="0088780C">
              <w:rPr>
                <w:snapToGrid w:val="0"/>
                <w:kern w:val="22"/>
                <w:szCs w:val="22"/>
              </w:rPr>
              <w:t>) (Simakova, unpubl.). The biomass of shallow water (0.5 – 2 m depth) macrophyte communities of Taman Bay exceeds 300 g dry w. /m</w:t>
            </w:r>
            <w:r w:rsidRPr="0088780C">
              <w:rPr>
                <w:snapToGrid w:val="0"/>
                <w:kern w:val="22"/>
                <w:szCs w:val="22"/>
                <w:vertAlign w:val="superscript"/>
              </w:rPr>
              <w:t>2</w:t>
            </w:r>
            <w:r w:rsidRPr="0088780C">
              <w:rPr>
                <w:snapToGrid w:val="0"/>
                <w:kern w:val="22"/>
                <w:szCs w:val="22"/>
              </w:rPr>
              <w:t xml:space="preserve"> in midsummer. This organic matter is produced annually during vegetation season and degrades in winter (Simakova, unpubl.). These rates correspond to the maximum of bottom vegetation biomass values of the Black Sea (Milchakova, 1999).</w:t>
            </w:r>
          </w:p>
        </w:tc>
      </w:tr>
      <w:tr w:rsidR="00A876F3" w:rsidRPr="0088780C" w14:paraId="4BD5BF10" w14:textId="77777777" w:rsidTr="006972AD">
        <w:tc>
          <w:tcPr>
            <w:tcW w:w="779" w:type="pct"/>
            <w:shd w:val="clear" w:color="auto" w:fill="auto"/>
          </w:tcPr>
          <w:p w14:paraId="0DA29E8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32A8C72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0FED3E1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1B74F70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11" w:type="pct"/>
            <w:gridSpan w:val="2"/>
            <w:shd w:val="clear" w:color="auto" w:fill="auto"/>
          </w:tcPr>
          <w:p w14:paraId="7135206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1E29FCD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6CF6DAF2" w14:textId="77777777" w:rsidTr="006972AD">
        <w:tc>
          <w:tcPr>
            <w:tcW w:w="5000" w:type="pct"/>
            <w:gridSpan w:val="11"/>
            <w:shd w:val="clear" w:color="auto" w:fill="auto"/>
          </w:tcPr>
          <w:p w14:paraId="620FA56C"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0D4A0D8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 total number of macrobenthic animal species found in Taman Bay in 2003-2013 comprised just 30% (Kolyuchkina et al., 2016) of the macrozoobenthic fauna (329 species) listed for the Sea of Azov (Volovik et al., 2010). The Bay and the Straight ecosystems include at least 16 biotopes types (Fig. 2, 3, Belyaev et al., 2009), and macrozoobenthic assemblages are distinguished by the abundance of particular species, and to a less extent by species composition (Kolyuchkina et al., 2016).</w:t>
            </w:r>
          </w:p>
        </w:tc>
      </w:tr>
      <w:tr w:rsidR="00A876F3" w:rsidRPr="0088780C" w14:paraId="78EBB8B6" w14:textId="77777777" w:rsidTr="006972AD">
        <w:tc>
          <w:tcPr>
            <w:tcW w:w="783" w:type="pct"/>
            <w:shd w:val="clear" w:color="auto" w:fill="auto"/>
          </w:tcPr>
          <w:p w14:paraId="553A785D"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3F286AC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0C94B90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408ACA2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snapToGrid w:val="0"/>
                <w:kern w:val="22"/>
                <w:szCs w:val="22"/>
              </w:rPr>
              <w:t>X</w:t>
            </w:r>
          </w:p>
        </w:tc>
        <w:tc>
          <w:tcPr>
            <w:tcW w:w="400" w:type="pct"/>
            <w:gridSpan w:val="2"/>
            <w:shd w:val="clear" w:color="auto" w:fill="auto"/>
          </w:tcPr>
          <w:p w14:paraId="277A5C7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385" w:type="pct"/>
            <w:shd w:val="clear" w:color="auto" w:fill="auto"/>
          </w:tcPr>
          <w:p w14:paraId="1C3A055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A876F3" w:rsidRPr="0088780C" w14:paraId="7BD8EC47" w14:textId="77777777" w:rsidTr="006972AD">
        <w:tc>
          <w:tcPr>
            <w:tcW w:w="5000" w:type="pct"/>
            <w:gridSpan w:val="11"/>
            <w:shd w:val="clear" w:color="auto" w:fill="auto"/>
          </w:tcPr>
          <w:p w14:paraId="061A23B8"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33D8F83A" w14:textId="56A40912"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shores of the Taman Bay have been populated since the Paleolitic. Starting in the sixth century BCE, the area was a centre of Greek colonization. The cities of Patrasis, Kepoi, Phanagoria and Hermonasa became important harbours and trading centres. Later they became part of the Kingdom of Bosporus, which was conquered by the Kingdom of Pontus — an important regional power until it was defeated by the then global powe</w:t>
            </w:r>
            <w:r w:rsidR="00610C10" w:rsidRPr="0088780C">
              <w:rPr>
                <w:snapToGrid w:val="0"/>
                <w:kern w:val="22"/>
                <w:szCs w:val="22"/>
              </w:rPr>
              <w:t xml:space="preserve">r of Rome. After, as of 10 CE, </w:t>
            </w:r>
            <w:r w:rsidRPr="0088780C">
              <w:rPr>
                <w:snapToGrid w:val="0"/>
                <w:kern w:val="22"/>
                <w:szCs w:val="22"/>
              </w:rPr>
              <w:t>the cities became its satellite states and a trade partners. As the main sediments of the Taman Peninsula shores are sand and clay, and natural limestone is limited to few spots (Fouache et al., 2005), the economies of these ancient civilizations created a unique seascape in Taman Bay, with nearly all hard substrates being of cultural origin, i.e., either ancient Greek stone constructions such as ancient piers (Kuznetsov, 2013), or pottery fragments or stone brought as ship ballast brought from the Crimean Peninsula. The civilization of most ancient cities on Taman Bay shores ended by the 9-10</w:t>
            </w:r>
            <w:r w:rsidRPr="0088780C">
              <w:rPr>
                <w:snapToGrid w:val="0"/>
                <w:kern w:val="22"/>
                <w:szCs w:val="22"/>
                <w:vertAlign w:val="superscript"/>
              </w:rPr>
              <w:t>th</w:t>
            </w:r>
            <w:r w:rsidRPr="0088780C">
              <w:rPr>
                <w:snapToGrid w:val="0"/>
                <w:kern w:val="22"/>
                <w:szCs w:val="22"/>
              </w:rPr>
              <w:t xml:space="preserve"> century CE, but the town of Taman (formerly Hermonasa, subsequently known as Tamatarkha, Samkerts Tmutorokan, and Taman) persisted under the rule of Khazars, Russian princes, Genovese, Tatars, and finally the Ottoman Empire. However, until the region became part of the Russian Empire in late 18</w:t>
            </w:r>
            <w:r w:rsidRPr="0088780C">
              <w:rPr>
                <w:snapToGrid w:val="0"/>
                <w:kern w:val="22"/>
                <w:szCs w:val="22"/>
                <w:vertAlign w:val="superscript"/>
              </w:rPr>
              <w:t>th</w:t>
            </w:r>
            <w:r w:rsidRPr="0088780C">
              <w:rPr>
                <w:snapToGrid w:val="0"/>
                <w:kern w:val="22"/>
                <w:szCs w:val="22"/>
              </w:rPr>
              <w:t xml:space="preserve"> century, the population was unstable. In the last two centuries Taman Peninsula has been an area of intensive agriculture, an</w:t>
            </w:r>
            <w:r w:rsidR="00610C10" w:rsidRPr="0088780C">
              <w:rPr>
                <w:snapToGrid w:val="0"/>
                <w:kern w:val="22"/>
                <w:szCs w:val="22"/>
              </w:rPr>
              <w:t>d later industrial development.</w:t>
            </w:r>
          </w:p>
          <w:p w14:paraId="25B78D42"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DB2DBB2" w14:textId="185DB7E0"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Currently the Bay is experiencing significant anthropogenic pressure. The main impact is related to the shoreline transformation, coastal protection and landscaping near the villages of Taman and Sennoi, Chuska spit and Tuzla spit. The hydrological regime of the Bay changed owing to the artificial enlargement of Tuzla spit. There is an agglomeration of towns and villages on the shores that leads to soil erosion and nutrient inflow into the Bay. Several settlements discharge their sewage and waste into the Bay. The Bay is situated near the oil trading port (Port-Kavkaz) and neighbours the Kerch strait, which has intensive shipping traffic. On the other hand the northern part of the Bay and the inner part of the Chushka spit includes reed (</w:t>
            </w:r>
            <w:r w:rsidRPr="0088780C">
              <w:rPr>
                <w:i/>
                <w:snapToGrid w:val="0"/>
                <w:kern w:val="22"/>
                <w:szCs w:val="22"/>
              </w:rPr>
              <w:t xml:space="preserve">Phragmites </w:t>
            </w:r>
            <w:r w:rsidRPr="0088780C">
              <w:rPr>
                <w:snapToGrid w:val="0"/>
                <w:kern w:val="22"/>
                <w:szCs w:val="22"/>
              </w:rPr>
              <w:t>spp.) crops and remains relatively undisturbed. Eelgrass meadows appear to be healthy. Although significant eutrophication is expected, summer nutrient concentrations in Taman Bay are lower than in the neighbouring Kerch Strait (Sapozhnikov et al., 2013), suggesting an effective mechanism of nutrient removal. Thus the ecosystem of the Bay shows some resilience capa</w:t>
            </w:r>
            <w:r w:rsidR="00610C10" w:rsidRPr="0088780C">
              <w:rPr>
                <w:snapToGrid w:val="0"/>
                <w:kern w:val="22"/>
                <w:szCs w:val="22"/>
              </w:rPr>
              <w:t>city and a quasi-stable regime.</w:t>
            </w:r>
          </w:p>
          <w:p w14:paraId="21A2F06A"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2EDE78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 Kerch Strait has been an area of intensive shipping for millennia and remains so in the present time. Vessels coming to the area are either passing the strait, are callingfor the Kerch sea port, waiting on anchor for passage or port calls in the southern part of the strait, loading oil cargo in the Port-Kavkaz terminal or trashipping oil cargo. This leads to numerous kinds of impact, including pollution, disturbance and strikes with marine mammals. Heavy winter storms, such as the one on 13 November 2007, may lead to catastrophic events, such as wrecking and oil spills (Oil Spill Accident in the Kerch Strait, 2011).</w:t>
            </w:r>
          </w:p>
        </w:tc>
      </w:tr>
    </w:tbl>
    <w:p w14:paraId="4BED5AC1"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6BBF6B5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986B30A" w14:textId="77777777" w:rsidR="00A876F3" w:rsidRPr="0088780C" w:rsidRDefault="00A876F3" w:rsidP="00610C10">
      <w:pPr>
        <w:suppressLineNumbers/>
        <w:suppressAutoHyphens/>
        <w:kinsoku w:val="0"/>
        <w:overflowPunct w:val="0"/>
        <w:autoSpaceDE w:val="0"/>
        <w:autoSpaceDN w:val="0"/>
        <w:adjustRightInd w:val="0"/>
        <w:snapToGrid w:val="0"/>
        <w:spacing w:after="60"/>
        <w:rPr>
          <w:rFonts w:eastAsia="MS Mincho"/>
          <w:b/>
          <w:snapToGrid w:val="0"/>
          <w:kern w:val="22"/>
          <w:szCs w:val="22"/>
        </w:rPr>
      </w:pPr>
      <w:r w:rsidRPr="0088780C">
        <w:rPr>
          <w:rFonts w:eastAsia="MS Mincho"/>
          <w:b/>
          <w:snapToGrid w:val="0"/>
          <w:kern w:val="22"/>
          <w:szCs w:val="22"/>
        </w:rPr>
        <w:t>References</w:t>
      </w:r>
    </w:p>
    <w:p w14:paraId="2F8F61F9" w14:textId="05145DE0" w:rsidR="00A876F3" w:rsidRPr="0088780C" w:rsidRDefault="00610C10"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Al’</w:t>
      </w:r>
      <w:r w:rsidR="00A876F3" w:rsidRPr="0088780C">
        <w:rPr>
          <w:snapToGrid w:val="0"/>
          <w:kern w:val="22"/>
          <w:szCs w:val="22"/>
          <w:shd w:val="clear" w:color="auto" w:fill="FFFFFF"/>
        </w:rPr>
        <w:t>tman E. N. 1991. Hydrodynamics of the Kerch Strait // Gidrometeorologiya i gidrokhimiya morey SSSR. – T. 4. –P. 291-324. [in Russian]</w:t>
      </w:r>
    </w:p>
    <w:p w14:paraId="2AAE510B"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Anderson, O.R.J., Small, C., Croxall, J.P., Dunn, E.K., Sullivan, B.J., Yates, O. &amp; Black, A., 2011. Global seabird bycatch in longline fisheries. Endangered Species Research 14: 91–106.</w:t>
      </w:r>
    </w:p>
    <w:p w14:paraId="7C67E6B0"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rPr>
        <w:t>Belyaev N.A., G.A. Kolyuchkina, E.S. Shapovalova and U.V. Simakova. 2009. Investigations of long-term effects of November 2007 Kerch strait black oil spill // Proceedings of the ninth international conference on the mediterranean coastal environment. Volume 2. (editor - Erdal Ozhan). p. 1107 - 1112.</w:t>
      </w:r>
    </w:p>
    <w:p w14:paraId="3909EA05"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rPr>
        <w:t>BirdLife International. http://www.birdlife.org. 2017.</w:t>
      </w:r>
    </w:p>
    <w:p w14:paraId="4C6393DD"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BirdLife International, 2017a. Marine IBA e-atlas. Delivering sites networks for seabird conservation. Accessed from https://maps.birdlife.org/marineIBAs/default.html on 10/03/2017.</w:t>
      </w:r>
    </w:p>
    <w:p w14:paraId="232C5B28"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BirdLife International, 2017b. Species factsheet: </w:t>
      </w:r>
      <w:r w:rsidRPr="0088780C">
        <w:rPr>
          <w:i/>
          <w:snapToGrid w:val="0"/>
          <w:kern w:val="22"/>
          <w:szCs w:val="22"/>
        </w:rPr>
        <w:t>Puffinus yelkouan</w:t>
      </w:r>
      <w:r w:rsidRPr="0088780C">
        <w:rPr>
          <w:snapToGrid w:val="0"/>
          <w:kern w:val="22"/>
          <w:szCs w:val="22"/>
        </w:rPr>
        <w:t>. Downloaded from http://www.birdlife.org on 10/03/2017.</w:t>
      </w:r>
    </w:p>
    <w:p w14:paraId="77B1C726"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Birkun, A. 2012. </w:t>
      </w:r>
      <w:r w:rsidRPr="0088780C">
        <w:rPr>
          <w:i/>
          <w:iCs/>
          <w:snapToGrid w:val="0"/>
          <w:kern w:val="22"/>
          <w:szCs w:val="22"/>
          <w:shd w:val="clear" w:color="auto" w:fill="FFFFFF"/>
        </w:rPr>
        <w:t>Tursiops truncatus ssp. ponticus</w:t>
      </w:r>
      <w:r w:rsidRPr="0088780C">
        <w:rPr>
          <w:snapToGrid w:val="0"/>
          <w:kern w:val="22"/>
          <w:szCs w:val="22"/>
          <w:shd w:val="clear" w:color="auto" w:fill="FFFFFF"/>
        </w:rPr>
        <w:t xml:space="preserve">. The IUCN Red List of Threatened Species. </w:t>
      </w:r>
      <w:hyperlink r:id="rId177" w:history="1">
        <w:r w:rsidRPr="0088780C">
          <w:rPr>
            <w:snapToGrid w:val="0"/>
            <w:kern w:val="22"/>
            <w:szCs w:val="22"/>
            <w:shd w:val="clear" w:color="auto" w:fill="FFFFFF"/>
          </w:rPr>
          <w:t>http://dx.doi.org/10.2305/IUCN.UK.2012.RLTS.T133714A17771698.en</w:t>
        </w:r>
      </w:hyperlink>
      <w:r w:rsidRPr="0088780C">
        <w:rPr>
          <w:snapToGrid w:val="0"/>
          <w:kern w:val="22"/>
          <w:szCs w:val="22"/>
          <w:shd w:val="clear" w:color="auto" w:fill="FFFFFF"/>
        </w:rPr>
        <w:t>.</w:t>
      </w:r>
    </w:p>
    <w:p w14:paraId="7A31F0CA"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Birkun Jr., A.A. &amp; Frantzis, A., 2008. </w:t>
      </w:r>
      <w:r w:rsidRPr="0088780C">
        <w:rPr>
          <w:i/>
          <w:iCs/>
          <w:snapToGrid w:val="0"/>
          <w:kern w:val="22"/>
          <w:szCs w:val="22"/>
          <w:shd w:val="clear" w:color="auto" w:fill="FFFFFF"/>
        </w:rPr>
        <w:t>Phocoena phocoena ssp. relicta</w:t>
      </w:r>
      <w:r w:rsidRPr="0088780C">
        <w:rPr>
          <w:snapToGrid w:val="0"/>
          <w:kern w:val="22"/>
          <w:szCs w:val="22"/>
          <w:shd w:val="clear" w:color="auto" w:fill="FFFFFF"/>
        </w:rPr>
        <w:t>. The IUCN Red List of Threatened Species. </w:t>
      </w:r>
      <w:hyperlink r:id="rId178" w:history="1">
        <w:r w:rsidRPr="0088780C">
          <w:rPr>
            <w:snapToGrid w:val="0"/>
            <w:kern w:val="22"/>
            <w:szCs w:val="22"/>
            <w:shd w:val="clear" w:color="auto" w:fill="FFFFFF"/>
          </w:rPr>
          <w:t>http://dx.doi.org/10.2305/IUCN.UK.2008.RLTS.T17030A6737111.en</w:t>
        </w:r>
      </w:hyperlink>
      <w:r w:rsidRPr="0088780C">
        <w:rPr>
          <w:snapToGrid w:val="0"/>
          <w:kern w:val="22"/>
          <w:szCs w:val="22"/>
          <w:shd w:val="clear" w:color="auto" w:fill="FFFFFF"/>
        </w:rPr>
        <w:t>.</w:t>
      </w:r>
    </w:p>
    <w:p w14:paraId="68EF7C7A"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Biryukova S. – 2016. – Macrozoobenthos communities of littoral part of the Azov sea Taman bay //Nauchnyy al'manakh stran Prichernomor'ya. №. 4 (8). P, 32-39.</w:t>
      </w:r>
    </w:p>
    <w:p w14:paraId="46874157"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rPr>
        <w:t>Bologa A. S., Bodeanu N., Petran A., Tiganus V., Zaitsev Yu.P. 1995. Major modifications of the Black Sea benthic and planktonic biota in the last three decades // Bulletin de l'Institut océanographique, Musée océanographique, Monaco. P.85-110.</w:t>
      </w:r>
    </w:p>
    <w:p w14:paraId="4DE28B75"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Bondarev I. P.  2013.  Dynamics of the dominant species of modern facies of the Black Sea//Geologiya i poleznyye iskopayemyye Mirovogo okeana. №. 3 (33) [in Russian]</w:t>
      </w:r>
    </w:p>
    <w:p w14:paraId="070CF414"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Bukreyev S. A. et al.  2009.  Key ornithological territories of international significance in the Caucasus ecoregion//Importart bird areas of Russia. M.: Soyuz okhrany ptits Rossii. T. 3. –302 p. [in Russian]</w:t>
      </w:r>
    </w:p>
    <w:p w14:paraId="16FC5E50"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Chikina M. V., Kucheruk N. V. Long-term changes in the structure of coastal benthic communities in the Northeastern part of the Black sea: influence of alien species // Oceanology. – 2005. – Т. 45.</w:t>
      </w:r>
    </w:p>
    <w:p w14:paraId="6ABADBA2"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Commission for the Protection of the Black Sea against Pollution. 2011. Oil spill accident in the Kerch Strait in November 2007. Chief Ed. Korshenko, A. Moscow. Nauka. 284 p.</w:t>
      </w:r>
    </w:p>
    <w:p w14:paraId="1D88B503"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rPr>
        <w:t>Drozdov V.V.  2011.  L</w:t>
      </w:r>
      <w:r w:rsidRPr="0088780C">
        <w:rPr>
          <w:bCs/>
          <w:snapToGrid w:val="0"/>
          <w:kern w:val="22"/>
          <w:szCs w:val="22"/>
        </w:rPr>
        <w:t>ong-term variability of fishery resources of the Black sea: tendencies, the reasons and prospects</w:t>
      </w:r>
      <w:r w:rsidRPr="0088780C">
        <w:rPr>
          <w:snapToGrid w:val="0"/>
          <w:kern w:val="22"/>
          <w:szCs w:val="22"/>
        </w:rPr>
        <w:t xml:space="preserve">// Scientific letters of the Russian state hydrometeorological university. No. 21. - P. 137-154. </w:t>
      </w:r>
      <w:r w:rsidRPr="0088780C">
        <w:rPr>
          <w:snapToGrid w:val="0"/>
          <w:kern w:val="22"/>
          <w:szCs w:val="22"/>
          <w:shd w:val="clear" w:color="auto" w:fill="FFFFFF"/>
        </w:rPr>
        <w:t>[in Russian]</w:t>
      </w:r>
    </w:p>
    <w:p w14:paraId="209501CB"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Eremeev, VN, Ivanov, VA, Ilyin, Yu. P., Oceanographic conditions and ecological problems of the Kerch Strait // Marine Ecological Journal. - 2003. - T. 2. - No. 3. - P. 27-40.</w:t>
      </w:r>
    </w:p>
    <w:p w14:paraId="0F728A16"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Fashhuk D.Ja., Flint M.V., Kucheruk N.V. et al. 2012.Geography of macrozoobenthos of the Kerch Strait: Dynamic of distribution, structure and indicators of development // Izvestia RAN. Seria geographicheskaya 3. P. 94-108. </w:t>
      </w:r>
      <w:r w:rsidRPr="0088780C">
        <w:rPr>
          <w:snapToGrid w:val="0"/>
          <w:kern w:val="22"/>
          <w:szCs w:val="22"/>
          <w:shd w:val="clear" w:color="auto" w:fill="FFFFFF"/>
        </w:rPr>
        <w:t>[in Russian]</w:t>
      </w:r>
    </w:p>
    <w:p w14:paraId="38283074"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Fouache E., Porotov A., Müller C., Gorlov Y. BolokhovskaiaN., Kaitamba M. 2005. Relative sea-level changes throughout the last 6000 years on the Taman Peninsula (Black Sea, Azov Sea, Russia): a geoarchaeological study // Revista Geomorphologica, 7:P. 7 – 20.</w:t>
      </w:r>
    </w:p>
    <w:p w14:paraId="78D7B066"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Gladilina E., Shpak, O., Serbin, V., Kryukova, A., Glazov, D., Gol’din, P. 2016 . Individual movements between local coastal populations of bottlenose dolphins (Tursiops truncatus) in the northern and eastern Black Sea //Journal of the Marine Biological Association of the United Kingdom. Pp. 1-7. doi:10.1017/S0025315416001296</w:t>
      </w:r>
    </w:p>
    <w:p w14:paraId="0597263B"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Golovkina E. M., Nabozhenko M. V. 2012. Contemporary condition of benthic communities of Kerch strait (the Russian sector) and gulfs of Taman peninsula //Vestnik Yuzhnogo nauchnogo tsentra.  Т. 8. – №. 2. – P. 53-61.</w:t>
      </w:r>
    </w:p>
    <w:p w14:paraId="12A24B93"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Ignatov Y. I., Chistov S. V.  2003. Ecological-geomorphological assessment of the coast and the bottom of the Kerch Strait in connection with the solution of transport problems. //Ekologicheskaya bezopasnost' pribrezhnoy i shel'fovoy zon.– T. 8. – P. 163 - 174 [in Russian]</w:t>
      </w:r>
    </w:p>
    <w:p w14:paraId="773A0B55"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Ivanov V. A., Ignatov Y. I., Chistov S. V. 2004. Origin, history of development and dynamics of the Tuzla spit //Ekologicheskaya bezopasnost' pribrezhnoy i shel'fovoy zon. T. 10. – P. 198-206. [in Russian]</w:t>
      </w:r>
    </w:p>
    <w:p w14:paraId="08D1C048"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Kiseleva M. I. Polychaete worms (Polychaeta) of the Black and Azov Seas // Apatity: Kol'skiy nauchn. tsentr. – 2004. 409 p.</w:t>
      </w:r>
    </w:p>
    <w:p w14:paraId="71CA3C21"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Kolyuchkina G. A. et al. Long-term effects of Kerch Strait residual oil-spill: hydrocarbon concentration in bottom sediments and biomarkers in Mytilus galloprovincialis (Lamarck, 1819) //Turk. J. Fish. Aquat. Sci. – 2012. – Т. 12. – P. 461-469.</w:t>
      </w:r>
    </w:p>
    <w:p w14:paraId="7671C41B"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Kolyuchkina G.A., Spiridonov V.A., Kozlovskiy V.V., Simakova U.V., Basin A.B Long-term changes in the macrozoobenthos of the Taman Gulf of the Azov Sea: analysis of repeated surveys in 1955, 2008 and 2013 //Materialy V mezhdunarodnoy nauchno-prakticheskoy konferentsii «Morskiye issledovaniya i obrazovaniye». 19-22 oktyabrya 2016 g., Moskva, MGU. S. 324-328.</w:t>
      </w:r>
      <w:r w:rsidRPr="0088780C">
        <w:rPr>
          <w:snapToGrid w:val="0"/>
          <w:kern w:val="22"/>
          <w:szCs w:val="22"/>
          <w:shd w:val="clear" w:color="auto" w:fill="FFFFFF"/>
        </w:rPr>
        <w:tab/>
      </w:r>
    </w:p>
    <w:p w14:paraId="057D4569"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rPr>
        <w:t>Kottek M. et al. 2006. World map of the Köppen-Geiger climate classification updated //Meteorologische Zeitschrift.  Т. 15. – №. 3. – P. 259-263.</w:t>
      </w:r>
    </w:p>
    <w:p w14:paraId="31DC7B87"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Krivenko V. G. 2000. Wetlands in Russia //Wetlands on the Ramsar Shadow List.  Т. 3.</w:t>
      </w:r>
    </w:p>
    <w:p w14:paraId="727BAE3A"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Krylenko M., Kosyan R., Krylenko V. Lagoons of the Smallest Russian Sea //The Diversity of Russian Estuaries and Lagoons Exposed to Human Influence. – Springer International Publishing, 2017. – P. 111-148.</w:t>
      </w:r>
    </w:p>
    <w:p w14:paraId="0DD7CC27" w14:textId="047972C2"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rPr>
        <w:t xml:space="preserve">Kuznetsov V. 2013. </w:t>
      </w:r>
      <w:r w:rsidR="00D8482D" w:rsidRPr="0088780C">
        <w:rPr>
          <w:snapToGrid w:val="0"/>
          <w:kern w:val="22"/>
          <w:szCs w:val="22"/>
        </w:rPr>
        <w:t>“</w:t>
      </w:r>
      <w:r w:rsidRPr="0088780C">
        <w:rPr>
          <w:snapToGrid w:val="0"/>
          <w:kern w:val="22"/>
          <w:szCs w:val="22"/>
        </w:rPr>
        <w:t>We confirmed the words of Plutarch</w:t>
      </w:r>
      <w:r w:rsidR="00D8482D" w:rsidRPr="0088780C">
        <w:rPr>
          <w:snapToGrid w:val="0"/>
          <w:kern w:val="22"/>
          <w:szCs w:val="22"/>
        </w:rPr>
        <w:t>”</w:t>
      </w:r>
      <w:r w:rsidRPr="0088780C">
        <w:rPr>
          <w:snapToGrid w:val="0"/>
          <w:kern w:val="22"/>
          <w:szCs w:val="22"/>
        </w:rPr>
        <w:t xml:space="preserve"> Interview with the leader of the Phanagorian Archeological Expedition. http://lenta.ru/articles/2013/11/19/phanagoria/ 19.11.2013. </w:t>
      </w:r>
      <w:r w:rsidRPr="0088780C">
        <w:rPr>
          <w:snapToGrid w:val="0"/>
          <w:kern w:val="22"/>
          <w:szCs w:val="22"/>
          <w:shd w:val="clear" w:color="auto" w:fill="FFFFFF"/>
        </w:rPr>
        <w:t>[in Russian]</w:t>
      </w:r>
    </w:p>
    <w:p w14:paraId="2ABFA8FE"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rPr>
        <w:t>Llope, et.al. 2011. Overfishing of top predators eroded the resilience of the Black Sea system regardless of the climate and anthropogenic conditions // Global Change Biology, 17(3).  pp. 1251-1265.</w:t>
      </w:r>
    </w:p>
    <w:p w14:paraId="15C2F44A"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Marine Atlas / ed. Isakov I.S. Izdaniye glavnogo shtaba voyenno-morskikh sil. T. III. 1953. P. 72. [in Russian]</w:t>
      </w:r>
    </w:p>
    <w:p w14:paraId="73227074"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Matishov G. G. et al. 2008. Long-term changes in the bottom communities of the Sea of Azov in connection with the nature of sedimentation and the hydrological regime // Okeanologiya.  T. 48. – №. 3. – P. 425-435. [in Russian]</w:t>
      </w:r>
    </w:p>
    <w:p w14:paraId="0B410D7A"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Matishov G. G., Inzhebeykin YU. I., Savitskiy R. M. 2013. The impact on the environment and the biota of oil spills in the Kerch Strait in November 2007// Vodnyye resursy.T. 40.– №. 3.– P. 259.</w:t>
      </w:r>
    </w:p>
    <w:p w14:paraId="59AEB432"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Milchakova N. A. 1999. On the status of seagrass communities in the Black Sea //Aquatic Botany. Т. 65. – №. 1. – P. 21-31.</w:t>
      </w:r>
    </w:p>
    <w:p w14:paraId="1E43C8D1"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rPr>
        <w:t xml:space="preserve">Nesis K.N. 1956. Donnaja fauna Kerchenskogo proliva. Magister work. M: Moskovskij tehnologicheskij institut rybnogo hozjajstva. </w:t>
      </w:r>
      <w:r w:rsidRPr="0088780C">
        <w:rPr>
          <w:snapToGrid w:val="0"/>
          <w:kern w:val="22"/>
          <w:szCs w:val="22"/>
          <w:shd w:val="clear" w:color="auto" w:fill="FFFFFF"/>
        </w:rPr>
        <w:t>[in Russian]</w:t>
      </w:r>
    </w:p>
    <w:p w14:paraId="297BCDEC" w14:textId="008E5C80"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rStyle w:val="reference-text"/>
          <w:snapToGrid w:val="0"/>
          <w:kern w:val="22"/>
          <w:szCs w:val="22"/>
          <w:shd w:val="clear" w:color="auto" w:fill="FFFFFF"/>
        </w:rPr>
      </w:pPr>
      <w:r w:rsidRPr="0088780C">
        <w:rPr>
          <w:rStyle w:val="reference-text"/>
          <w:snapToGrid w:val="0"/>
          <w:kern w:val="22"/>
          <w:szCs w:val="22"/>
          <w:shd w:val="clear" w:color="auto" w:fill="FFFFFF"/>
        </w:rPr>
        <w:t>Notarbartolo di Sciara G., Birkun A., Jr. 2010. Conserving whales, dolphins and porpoises in the Mediterranean and Black Seas: an ACCOBAMS status repo</w:t>
      </w:r>
      <w:r w:rsidR="00610C10" w:rsidRPr="0088780C">
        <w:rPr>
          <w:rStyle w:val="reference-text"/>
          <w:snapToGrid w:val="0"/>
          <w:kern w:val="22"/>
          <w:szCs w:val="22"/>
          <w:shd w:val="clear" w:color="auto" w:fill="FFFFFF"/>
        </w:rPr>
        <w:t>rt, 2010. ACCOBAMS, Monaco. 212 p</w:t>
      </w:r>
      <w:r w:rsidRPr="0088780C">
        <w:rPr>
          <w:rStyle w:val="reference-text"/>
          <w:snapToGrid w:val="0"/>
          <w:kern w:val="22"/>
          <w:szCs w:val="22"/>
          <w:shd w:val="clear" w:color="auto" w:fill="FFFFFF"/>
        </w:rPr>
        <w:t>p.</w:t>
      </w:r>
    </w:p>
    <w:p w14:paraId="0D97A1F7"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color w:val="000000"/>
          <w:kern w:val="22"/>
          <w:szCs w:val="22"/>
          <w:shd w:val="clear" w:color="auto" w:fill="FFFFFF"/>
        </w:rPr>
        <w:t>Oppel S., Raine A.F., Borg J.J., Raine H., Bonnaud E., Bourgeois K. and Breton A.R. 2011. Is the Yelkouan shearwater</w:t>
      </w:r>
      <w:r w:rsidRPr="0088780C">
        <w:rPr>
          <w:rStyle w:val="apple-converted-space"/>
          <w:snapToGrid w:val="0"/>
          <w:color w:val="000000"/>
          <w:kern w:val="22"/>
          <w:szCs w:val="22"/>
          <w:shd w:val="clear" w:color="auto" w:fill="FFFFFF"/>
        </w:rPr>
        <w:t> </w:t>
      </w:r>
      <w:r w:rsidRPr="0088780C">
        <w:rPr>
          <w:i/>
          <w:iCs/>
          <w:snapToGrid w:val="0"/>
          <w:color w:val="000000"/>
          <w:kern w:val="22"/>
          <w:szCs w:val="22"/>
          <w:shd w:val="clear" w:color="auto" w:fill="FFFFFF"/>
        </w:rPr>
        <w:t>Puffinus yelkouan</w:t>
      </w:r>
      <w:r w:rsidRPr="0088780C">
        <w:rPr>
          <w:rStyle w:val="apple-converted-space"/>
          <w:snapToGrid w:val="0"/>
          <w:color w:val="000000"/>
          <w:kern w:val="22"/>
          <w:szCs w:val="22"/>
          <w:shd w:val="clear" w:color="auto" w:fill="FFFFFF"/>
        </w:rPr>
        <w:t> </w:t>
      </w:r>
      <w:r w:rsidRPr="0088780C">
        <w:rPr>
          <w:snapToGrid w:val="0"/>
          <w:color w:val="000000"/>
          <w:kern w:val="22"/>
          <w:szCs w:val="22"/>
          <w:shd w:val="clear" w:color="auto" w:fill="FFFFFF"/>
        </w:rPr>
        <w:t>threatened by low adult survival probabilities?</w:t>
      </w:r>
      <w:r w:rsidRPr="0088780C">
        <w:rPr>
          <w:rStyle w:val="apple-converted-space"/>
          <w:snapToGrid w:val="0"/>
          <w:color w:val="000000"/>
          <w:kern w:val="22"/>
          <w:szCs w:val="22"/>
          <w:shd w:val="clear" w:color="auto" w:fill="FFFFFF"/>
        </w:rPr>
        <w:t> </w:t>
      </w:r>
      <w:r w:rsidRPr="0088780C">
        <w:rPr>
          <w:i/>
          <w:iCs/>
          <w:snapToGrid w:val="0"/>
          <w:color w:val="000000"/>
          <w:kern w:val="22"/>
          <w:szCs w:val="22"/>
          <w:shd w:val="clear" w:color="auto" w:fill="FFFFFF"/>
        </w:rPr>
        <w:t>Biological Conservation</w:t>
      </w:r>
      <w:r w:rsidRPr="0088780C">
        <w:rPr>
          <w:rStyle w:val="apple-converted-space"/>
          <w:snapToGrid w:val="0"/>
          <w:color w:val="000000"/>
          <w:kern w:val="22"/>
          <w:szCs w:val="22"/>
          <w:shd w:val="clear" w:color="auto" w:fill="FFFFFF"/>
        </w:rPr>
        <w:t> </w:t>
      </w:r>
      <w:r w:rsidRPr="0088780C">
        <w:rPr>
          <w:snapToGrid w:val="0"/>
          <w:color w:val="000000"/>
          <w:kern w:val="22"/>
          <w:szCs w:val="22"/>
          <w:shd w:val="clear" w:color="auto" w:fill="FFFFFF"/>
        </w:rPr>
        <w:t>144(9): 2255-2263</w:t>
      </w:r>
    </w:p>
    <w:p w14:paraId="0D2D424C"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Ortega M.P. and İsfendiyaroğlu S., 2017. Predicting foraging hotspots for Yelkouan Shearwater in the Black Sea. Deep-Sea Research Part II </w:t>
      </w:r>
      <w:r w:rsidRPr="0088780C">
        <w:rPr>
          <w:i/>
          <w:snapToGrid w:val="0"/>
          <w:kern w:val="22"/>
          <w:szCs w:val="22"/>
        </w:rPr>
        <w:t>in press</w:t>
      </w:r>
    </w:p>
    <w:p w14:paraId="1C550E9D"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Ovsiyenko S.N., Fashchuk D.YA., Zapera S.N. et.al.. Storm on November 11, 2007 in the Kerch Strait: Chronicle of Events, Mathematical Modeling and Geo-Environmental Analysis//Tr. GOIN. 2008. Vyp. 211. P. 308-340. (in Russian)</w:t>
      </w:r>
    </w:p>
    <w:p w14:paraId="061E6EF0"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Panov B. N. et. al. 2004. Oceanographic assessment of the consequences of modern anthropogenic impact on the ecosystem of the Kerch Strait //Uchenyye zapiski Tavricheskogo natsional'nogo universiteta im. VI Vernadskogo. Seriya «Geografiya. T. 24. №1 – P. 109-120. [in Russian]</w:t>
      </w:r>
    </w:p>
    <w:p w14:paraId="58928EC1"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Peel M. C., Finlayson B. L., McMahon T. A. 2007. Updated world map of the Köppen-Geiger climate classification //Hydrology and earth system sciences discussions. Т. 4. – №. 2. – P. 439-473.</w:t>
      </w:r>
    </w:p>
    <w:p w14:paraId="097B6A58"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Péron, C., Grémillet, D., Prudor, A., Pettex, E., Saraux, C., Soriano-Redondo, A., Authier, M., Fort J., 2013. Importance of coastal Marine Protected Areas for the conservation of pelagic seabirds: The case of Vulnerable yelkouan shearwaters in the Mediterranean Sea. Biological Conservation 168: 210-221.</w:t>
      </w:r>
    </w:p>
    <w:p w14:paraId="5EAB587B"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Raine, A.F., Borg, J.J., Raine, H., Phillips, R.A., 2012. Migration strategies of the Yelkouan Shearwater </w:t>
      </w:r>
      <w:r w:rsidRPr="0088780C">
        <w:rPr>
          <w:i/>
          <w:snapToGrid w:val="0"/>
          <w:kern w:val="22"/>
          <w:szCs w:val="22"/>
        </w:rPr>
        <w:t>Puffinus yelkouan</w:t>
      </w:r>
      <w:r w:rsidRPr="0088780C">
        <w:rPr>
          <w:snapToGrid w:val="0"/>
          <w:kern w:val="22"/>
          <w:szCs w:val="22"/>
        </w:rPr>
        <w:t>. Journal of Ornithology 154: 411-422.</w:t>
      </w:r>
    </w:p>
    <w:p w14:paraId="6E6E4E75"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Sapozhnikov V.V. Arzhanova N.V., Lapina N.M., Agatova A.I., Torgunova N.I., Zozulya N.M., Bondarenko L.G., Vishevsky S.L., Radchenko S.V., Roi V.I., Stolyarski S.I, Polonsky V.E. 2013. Complex ecological studies in Kech Strait and Taman bight after oil spill (2007 – 2010) // Trudy VNIRO, 150. P. 6 –77 (in Russian).</w:t>
      </w:r>
    </w:p>
    <w:p w14:paraId="18C4CE4D"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Sapozhnikov V. V. et al. Complex investigations of the Kerch Strait //Oceanology. – 2011. – Т. 51. – №. 5. – С. 896-898.</w:t>
      </w:r>
    </w:p>
    <w:p w14:paraId="512B13BF" w14:textId="37687CBF"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Savenko, O., Vishnyakova, K., Gladilina, E., and Goldin, P. 2013. Fish, temperature, visual and acoustic monitoring: discovering seasonal migration patterns of </w:t>
      </w:r>
      <w:r w:rsidR="003D6ED2" w:rsidRPr="0088780C">
        <w:rPr>
          <w:snapToGrid w:val="0"/>
          <w:kern w:val="22"/>
          <w:szCs w:val="22"/>
        </w:rPr>
        <w:t>harbour porpoise</w:t>
      </w:r>
      <w:r w:rsidRPr="0088780C">
        <w:rPr>
          <w:snapToGrid w:val="0"/>
          <w:kern w:val="22"/>
          <w:szCs w:val="22"/>
        </w:rPr>
        <w:t>s in the Sea of Azov. In Abstracts of the 20th Biennial Conference on the Biology of Marine Mammals. Dunedin, New Zealand, 9–13 December 2013, p. 188. Society for Marine Mammalogy, Dunedin. 233 pp.</w:t>
      </w:r>
    </w:p>
    <w:p w14:paraId="7CA173EE"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Seabird Tracking Database 2017. Tracking Ocean Wanderers – BirdLife Seabird Tracking Database www. http://seabirdtracking.org/, accessed on 10/03/2017</w:t>
      </w:r>
    </w:p>
    <w:p w14:paraId="58E960BA"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Shnyukov Y. F., Sobolevskiy Y.V., Gnatenko G.I. et al. 1986. Mud volcanoes of the Kerch-Taman region. Kiyev: Nauk. dumka, 152 s. (in Russian)</w:t>
      </w:r>
    </w:p>
    <w:p w14:paraId="0C30B5BC"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Simakova U.V., Lutaenko K.A., Neretina T.A., Kolyuchkina G.A. The alien Bivalve Anadara kagoshimensis in the Black sea region: genetic analysis/ The 4th Bi-annual Black Sea Conference: 28-31 October 2013, Constanta, Romania Black Sea – Challenges towards good environmental status: abstracts book/ Commission on the protection of the Black Sea against pollution, Ministry of Environment and Climate Change, Romania National Institute for Marine Research and Development, Romania. – Constanta: Editura Boldas, 2013. p. 104-105. </w:t>
      </w:r>
    </w:p>
    <w:p w14:paraId="43B8B1EE"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Skiba S. I., Shcherbakov F. A., Kuprin P. N.  1975.  To the paleogeography of the Kerch-Taman region in the Late Pleistocene and Holocene // Okeanologiya. T. 15. – №. 5. – P. 862-867. [in Russian]</w:t>
      </w:r>
    </w:p>
    <w:p w14:paraId="1F8EDFFD"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Spiridonov V.A., Kolyuchkina G.A., Belyaev N.A., Basin A.B.., Kozlovsky V.V. 2016. Contemporary state of the macrozoobenthos of the Taman Bay ultrashallow zone //Oceanology. V. 56. № 2. P. 266-277.</w:t>
      </w:r>
    </w:p>
    <w:p w14:paraId="4733AF4C"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Syomin V.L. 2011. Ecological features of the polychaetes of the Sea of Azov and the estuaries of its Russian coast. abstract of PhD thesis of biol. sc. Murmansk: MMRC. 25 p. </w:t>
      </w:r>
      <w:r w:rsidRPr="0088780C">
        <w:rPr>
          <w:snapToGrid w:val="0"/>
          <w:kern w:val="22"/>
          <w:szCs w:val="22"/>
          <w:shd w:val="clear" w:color="auto" w:fill="FFFFFF"/>
        </w:rPr>
        <w:t>[in Russian]</w:t>
      </w:r>
    </w:p>
    <w:p w14:paraId="24D8CDE7"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Tilba P. A., Mnatsekanov R. A., Krutolapov V. A. 2006.  Tamanskiy and Dinskoy bay of the Black sea //Vodno-bolotnyye ugod'ya Rossii. Vodno-bolotnyye ugod'ya Severnogo Kavkaza. T. 6. – P. 71-74.</w:t>
      </w:r>
    </w:p>
    <w:p w14:paraId="2C5FE1D9" w14:textId="258A5099"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Ulbrich U. et al. – 2012. Synoptic climatology of the Mediterranean and trends //The Climate of the Mediterranean Region. From the Past to the Future. Elsevier, Amsterdam, The Netherlands. http://dx. doi. org/10.1</w:t>
      </w:r>
      <w:r w:rsidR="00610C10" w:rsidRPr="0088780C">
        <w:rPr>
          <w:snapToGrid w:val="0"/>
          <w:kern w:val="22"/>
          <w:szCs w:val="22"/>
        </w:rPr>
        <w:t>016/B978-0-12-416042-2.00005-7.</w:t>
      </w:r>
    </w:p>
    <w:p w14:paraId="75680DE2"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van der Heide T. et al. – 2012. – A three-stage symbiosis forms the foundation of seagrass ecosystems //science. Т. 336. – №. 6087. – P. 1432-1434.</w:t>
      </w:r>
    </w:p>
    <w:p w14:paraId="33E97EF4"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Vinogradov M.Y., et al. 2000. Massovoye razvitiye grebnevika Beroe ovata (Eschscholtz) u severo-vostochnogo poberezh'ya Chernogo morya // Okeanologiya, Vol 1. pp.52-55. [in Russian]</w:t>
      </w:r>
    </w:p>
    <w:p w14:paraId="1FB82731"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Vishnyakova, K. A., Savenko, O. V., Oleynikov, E. P., Gladilina, E. V., Gorokhova, V. R., and Gol’din, P. E. 2013. Shifting of the spring migration period of the porpoises (Phocoena phocoena relicta) in the Kerch Strait and in the North-Western Black Sea in 2011–2012.</w:t>
      </w:r>
    </w:p>
    <w:p w14:paraId="76C44064"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Trudy YugNIRO, 51: 32–35. (In Russian)</w:t>
      </w:r>
    </w:p>
    <w:p w14:paraId="61E72201"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Volovik S.P., Korpakova I.G., Barabashin T.O. et al. 2010. Fauna of the water and near water ecosystems of the Azov-Black sea basin. Krasnodar: FGUP AzNIRH. 249 p. </w:t>
      </w:r>
    </w:p>
    <w:p w14:paraId="7B106CEE"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Zaitsev Yu., Ozturk B. 2001. Exotic species in the Aegean, Marmara, Black, Azov and Caspian seas. Zaitsev Yu., Ozturk B. (Eds). Published by Turkish Marine Research foundation, Istanbul, Turkey. 267 pp.</w:t>
      </w:r>
    </w:p>
    <w:p w14:paraId="402FEE3B" w14:textId="77777777" w:rsidR="00A876F3" w:rsidRPr="0088780C" w:rsidRDefault="00A876F3" w:rsidP="00610C10">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Zenkovich V. P. 1958. Shores of the Black and Azov Seas. – Gos. izd-vo geogr. lit-ry, (in Russian)</w:t>
      </w:r>
    </w:p>
    <w:p w14:paraId="09D32C5F"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br w:type="page"/>
      </w:r>
    </w:p>
    <w:p w14:paraId="0559F15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668B316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4F2FDC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4F1972DA" wp14:editId="1E57FCD3">
            <wp:extent cx="5398936" cy="4499113"/>
            <wp:effectExtent l="0" t="0" r="0" b="0"/>
            <wp:docPr id="64561" name="Picture 64561" descr="C:\Users\grekin\AppData\Local\Microsoft\Windows\Temporary Internet Files\Content.Word\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grekin\AppData\Local\Microsoft\Windows\Temporary Internet Files\Content.Word\10.pn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398936" cy="4499113"/>
                    </a:xfrm>
                    <a:prstGeom prst="rect">
                      <a:avLst/>
                    </a:prstGeom>
                    <a:noFill/>
                    <a:ln>
                      <a:noFill/>
                    </a:ln>
                  </pic:spPr>
                </pic:pic>
              </a:graphicData>
            </a:graphic>
          </wp:inline>
        </w:drawing>
      </w:r>
    </w:p>
    <w:p w14:paraId="78FDBDE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p>
    <w:p w14:paraId="396C7E7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23BC8BD" w14:textId="7768DFDC" w:rsidR="00B27F03" w:rsidRPr="0088780C" w:rsidRDefault="00B27F03">
      <w:pPr>
        <w:jc w:val="left"/>
        <w:rPr>
          <w:rFonts w:eastAsia="MS Mincho"/>
          <w:b/>
          <w:snapToGrid w:val="0"/>
          <w:kern w:val="22"/>
          <w:szCs w:val="22"/>
        </w:rPr>
      </w:pPr>
      <w:r w:rsidRPr="0088780C">
        <w:rPr>
          <w:rFonts w:eastAsia="MS Mincho"/>
          <w:b/>
          <w:snapToGrid w:val="0"/>
          <w:kern w:val="22"/>
          <w:szCs w:val="22"/>
        </w:rPr>
        <w:br w:type="page"/>
      </w:r>
    </w:p>
    <w:p w14:paraId="3B89657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1070297" w14:textId="77777777" w:rsidR="00A876F3" w:rsidRPr="0088780C" w:rsidRDefault="00A876F3" w:rsidP="001013AF">
      <w:pPr>
        <w:suppressLineNumbers/>
        <w:suppressAutoHyphens/>
        <w:kinsoku w:val="0"/>
        <w:overflowPunct w:val="0"/>
        <w:autoSpaceDE w:val="0"/>
        <w:autoSpaceDN w:val="0"/>
        <w:spacing w:line="276" w:lineRule="auto"/>
        <w:ind w:firstLine="720"/>
        <w:rPr>
          <w:snapToGrid w:val="0"/>
          <w:kern w:val="22"/>
          <w:szCs w:val="22"/>
        </w:rPr>
      </w:pPr>
      <w:r w:rsidRPr="0088780C">
        <w:rPr>
          <w:noProof/>
          <w:snapToGrid w:val="0"/>
          <w:kern w:val="22"/>
          <w:szCs w:val="22"/>
          <w:lang w:eastAsia="zh-CN"/>
        </w:rPr>
        <w:drawing>
          <wp:inline distT="0" distB="0" distL="0" distR="0" wp14:anchorId="308AE626" wp14:editId="5BABFBD2">
            <wp:extent cx="5762625" cy="6305550"/>
            <wp:effectExtent l="0" t="0" r="9525" b="0"/>
            <wp:docPr id="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5762625" cy="6305550"/>
                    </a:xfrm>
                    <a:prstGeom prst="rect">
                      <a:avLst/>
                    </a:prstGeom>
                    <a:noFill/>
                    <a:ln>
                      <a:noFill/>
                    </a:ln>
                  </pic:spPr>
                </pic:pic>
              </a:graphicData>
            </a:graphic>
          </wp:inline>
        </w:drawing>
      </w:r>
    </w:p>
    <w:p w14:paraId="24FB2BB4" w14:textId="77777777" w:rsidR="00A876F3" w:rsidRPr="0088780C" w:rsidRDefault="00A876F3" w:rsidP="001013AF">
      <w:pPr>
        <w:suppressLineNumbers/>
        <w:suppressAutoHyphens/>
        <w:kinsoku w:val="0"/>
        <w:overflowPunct w:val="0"/>
        <w:autoSpaceDE w:val="0"/>
        <w:autoSpaceDN w:val="0"/>
        <w:rPr>
          <w:b/>
          <w:snapToGrid w:val="0"/>
          <w:kern w:val="22"/>
          <w:szCs w:val="22"/>
        </w:rPr>
      </w:pPr>
      <w:bookmarkStart w:id="8" w:name="_gjdgxs" w:colFirst="0" w:colLast="0"/>
      <w:bookmarkEnd w:id="8"/>
      <w:r w:rsidRPr="0088780C">
        <w:rPr>
          <w:b/>
          <w:snapToGrid w:val="0"/>
          <w:kern w:val="22"/>
          <w:szCs w:val="22"/>
        </w:rPr>
        <w:t>Figure 2. Taman Bay bottom vegetation types map (above) and vertical distribution (below) (Simakova, unpubl.)</w:t>
      </w:r>
    </w:p>
    <w:p w14:paraId="52C871DB"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rFonts w:eastAsia="MS Mincho"/>
          <w:bCs/>
          <w:noProof/>
          <w:snapToGrid w:val="0"/>
          <w:color w:val="000000"/>
          <w:kern w:val="22"/>
          <w:szCs w:val="22"/>
          <w:lang w:eastAsia="zh-CN"/>
        </w:rPr>
        <w:drawing>
          <wp:inline distT="0" distB="0" distL="0" distR="0" wp14:anchorId="6FE89415" wp14:editId="4885DFF1">
            <wp:extent cx="5324475" cy="4267200"/>
            <wp:effectExtent l="0" t="0" r="9525" b="0"/>
            <wp:docPr id="33" name="Picture 2" descr="D:\Ulyana\2017\BAku\Macrosoobentos-Taman-B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lyana\2017\BAku\Macrosoobentos-Taman-Bay.png"/>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5324475" cy="4267200"/>
                    </a:xfrm>
                    <a:prstGeom prst="rect">
                      <a:avLst/>
                    </a:prstGeom>
                    <a:noFill/>
                    <a:ln>
                      <a:noFill/>
                    </a:ln>
                  </pic:spPr>
                </pic:pic>
              </a:graphicData>
            </a:graphic>
          </wp:inline>
        </w:drawing>
      </w:r>
    </w:p>
    <w:p w14:paraId="6EC4B3C0"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Figure 3. Taman Bay and Kerch Strait bottom macrozoobenthic communities (Golovkina, Nabozhenko, 2012)</w:t>
      </w:r>
    </w:p>
    <w:p w14:paraId="0B30BAC0"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6778FDB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52ECF332" wp14:editId="673AAC6A">
            <wp:extent cx="4945380" cy="3317786"/>
            <wp:effectExtent l="0" t="0" r="762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952657" cy="3322668"/>
                    </a:xfrm>
                    <a:prstGeom prst="rect">
                      <a:avLst/>
                    </a:prstGeom>
                    <a:noFill/>
                    <a:ln>
                      <a:noFill/>
                    </a:ln>
                  </pic:spPr>
                </pic:pic>
              </a:graphicData>
            </a:graphic>
          </wp:inline>
        </w:drawing>
      </w:r>
    </w:p>
    <w:p w14:paraId="27AB1906" w14:textId="77777777"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rPr>
        <w:t>Figure 4. Results of the habitat models revealing the most suitable habitats for yelkouan shearwater in the Black Sea, during the non-breeding season (Figure from Ortega and İsfendiyaroğlu 2017)</w:t>
      </w:r>
    </w:p>
    <w:p w14:paraId="13755F3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18D360A2" w14:textId="42343E6A"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11: Northern Part of the Caucasian Black Sea Coast</w:t>
      </w:r>
    </w:p>
    <w:p w14:paraId="002EE68B"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rPr>
      </w:pPr>
    </w:p>
    <w:p w14:paraId="224F251C" w14:textId="76032C6A"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Abstract</w:t>
      </w:r>
    </w:p>
    <w:p w14:paraId="514F6901" w14:textId="61481270" w:rsidR="00A876F3" w:rsidRPr="0088780C" w:rsidRDefault="00A876F3" w:rsidP="00912868">
      <w:pPr>
        <w:suppressLineNumbers/>
        <w:suppressAutoHyphens/>
        <w:kinsoku w:val="0"/>
        <w:overflowPunct w:val="0"/>
        <w:autoSpaceDE w:val="0"/>
        <w:autoSpaceDN w:val="0"/>
        <w:rPr>
          <w:snapToGrid w:val="0"/>
          <w:kern w:val="22"/>
          <w:szCs w:val="22"/>
          <w:shd w:val="clear" w:color="auto" w:fill="FFFFFF"/>
        </w:rPr>
      </w:pPr>
      <w:r w:rsidRPr="0088780C">
        <w:rPr>
          <w:snapToGrid w:val="0"/>
          <w:kern w:val="22"/>
          <w:szCs w:val="22"/>
          <w:shd w:val="clear" w:color="auto" w:fill="FFFFFF"/>
        </w:rPr>
        <w:t>The area is part of the north-eastern Black Sea shelf and slope, which is narrow in the east and relatively broad in the west, to the south of the Kerch Strait. It also includes large shallow lagoons that are remnants of the Paleo-Kuban Delta. The area provides good conditions for macrophyte development and is highly productive (although not maximally productive) at the regional scale. The area contains some unique and rare features, such as peculiar carbonate banks, but in many other respects it is more representative than distinct. It is important to the life histories of several marine invertebrates and fish species, including the now declining Black Sea  turbot, anchovy and horse mackerel. It is also important for endangered species as a migration and foraging area of sturgeons and cetaceans. The biological diversity is high owing to a diversity of biotopes, including sandy spits and shallow sandy flats, shallow shelf carbonate banks, clay reefs, sandy, muddy and gravel biotopes of the shelf, ridged submerged benches and steep rocks with rich algal communities, biotopes of underwater landfall and biotopes of saltwater lagoons. The area has been under anthropogenic influence, including invasive alien species, for many decades but the significant extension of rocky shore restricts economic activities.</w:t>
      </w:r>
    </w:p>
    <w:p w14:paraId="6E7C3EAD"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F7D619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7815C9AD" w14:textId="55B71E7F"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r w:rsidRPr="0088780C">
        <w:rPr>
          <w:rFonts w:eastAsia="MS Mincho"/>
          <w:snapToGrid w:val="0"/>
          <w:kern w:val="22"/>
          <w:szCs w:val="22"/>
        </w:rPr>
        <w:t>The area includes an extensive coastal zone in the northeastern Black Sea (2562 km</w:t>
      </w:r>
      <w:r w:rsidRPr="0088780C">
        <w:rPr>
          <w:rFonts w:eastAsia="MS Mincho"/>
          <w:snapToGrid w:val="0"/>
          <w:kern w:val="22"/>
          <w:szCs w:val="22"/>
          <w:vertAlign w:val="superscript"/>
        </w:rPr>
        <w:t>2</w:t>
      </w:r>
      <w:r w:rsidRPr="0088780C">
        <w:rPr>
          <w:rFonts w:eastAsia="MS Mincho"/>
          <w:snapToGrid w:val="0"/>
          <w:kern w:val="22"/>
          <w:szCs w:val="22"/>
        </w:rPr>
        <w:t xml:space="preserve">) and covers a variety of the coastal and shelf habitats encompassing most of the components of the Black Sea biodiversity, such as plankton communities, benthic communities, the macrophyte communities in the phytal zone on various substrata (including endangered algae species and communities), fish assemblages, seabird and waterfowl and dolphin migration routes. </w:t>
      </w:r>
      <w:r w:rsidRPr="0088780C">
        <w:rPr>
          <w:snapToGrid w:val="0"/>
          <w:kern w:val="22"/>
          <w:szCs w:val="22"/>
          <w:shd w:val="clear" w:color="auto" w:fill="FFFFFF"/>
        </w:rPr>
        <w:t>Oceanographic conditions are dominated by the main Black Sea current, regularly forming eddies und upwelling. It has been studied by scientists from Russia and the former Soviet Union for a long time, however detailed descriptions of particular biotopes and communit</w:t>
      </w:r>
      <w:r w:rsidR="00912868" w:rsidRPr="0088780C">
        <w:rPr>
          <w:snapToGrid w:val="0"/>
          <w:kern w:val="22"/>
          <w:szCs w:val="22"/>
          <w:shd w:val="clear" w:color="auto" w:fill="FFFFFF"/>
        </w:rPr>
        <w:t xml:space="preserve">ies and studies on the biology </w:t>
      </w:r>
      <w:r w:rsidRPr="0088780C">
        <w:rPr>
          <w:snapToGrid w:val="0"/>
          <w:kern w:val="22"/>
          <w:szCs w:val="22"/>
          <w:shd w:val="clear" w:color="auto" w:fill="FFFFFF"/>
        </w:rPr>
        <w:t>and distribution of several particularly important species</w:t>
      </w:r>
      <w:r w:rsidR="00912868" w:rsidRPr="0088780C">
        <w:rPr>
          <w:snapToGrid w:val="0"/>
          <w:kern w:val="22"/>
          <w:szCs w:val="22"/>
          <w:shd w:val="clear" w:color="auto" w:fill="FFFFFF"/>
        </w:rPr>
        <w:t xml:space="preserve"> in the area are still lacking.</w:t>
      </w:r>
    </w:p>
    <w:p w14:paraId="76E6DA4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151778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7D63D28E" w14:textId="10561C4A" w:rsidR="00A876F3" w:rsidRPr="0088780C" w:rsidRDefault="00A876F3" w:rsidP="001013AF">
      <w:pPr>
        <w:suppressLineNumbers/>
        <w:shd w:val="clear" w:color="auto" w:fill="FFFFFF"/>
        <w:suppressAutoHyphens/>
        <w:kinsoku w:val="0"/>
        <w:overflowPunct w:val="0"/>
        <w:autoSpaceDE w:val="0"/>
        <w:autoSpaceDN w:val="0"/>
        <w:rPr>
          <w:rFonts w:eastAsia="Times New Roman"/>
          <w:snapToGrid w:val="0"/>
          <w:kern w:val="22"/>
          <w:szCs w:val="22"/>
          <w:lang w:eastAsia="ru-RU"/>
        </w:rPr>
      </w:pPr>
      <w:r w:rsidRPr="0088780C">
        <w:rPr>
          <w:rFonts w:eastAsia="MS Mincho"/>
          <w:snapToGrid w:val="0"/>
          <w:kern w:val="22"/>
          <w:szCs w:val="22"/>
        </w:rPr>
        <w:t>The area includes the coastal zone on the northeastern Black Sea coast (2562 km</w:t>
      </w:r>
      <w:r w:rsidRPr="0088780C">
        <w:rPr>
          <w:rFonts w:eastAsia="MS Mincho"/>
          <w:snapToGrid w:val="0"/>
          <w:kern w:val="22"/>
          <w:szCs w:val="22"/>
          <w:vertAlign w:val="superscript"/>
        </w:rPr>
        <w:t>2</w:t>
      </w:r>
      <w:r w:rsidRPr="0088780C">
        <w:rPr>
          <w:rFonts w:eastAsia="MS Mincho"/>
          <w:snapToGrid w:val="0"/>
          <w:kern w:val="22"/>
          <w:szCs w:val="22"/>
        </w:rPr>
        <w:t>). Its western boundary goes from Volna Village and crosses the shore west of the river mouth at Arkhipo-Osipovka Village (45º 6’N, 36º 43</w:t>
      </w:r>
      <w:r w:rsidR="00D8482D" w:rsidRPr="0088780C">
        <w:rPr>
          <w:rFonts w:eastAsia="MS Mincho"/>
          <w:snapToGrid w:val="0"/>
          <w:kern w:val="22"/>
          <w:szCs w:val="22"/>
        </w:rPr>
        <w:t>”</w:t>
      </w:r>
      <w:r w:rsidRPr="0088780C">
        <w:rPr>
          <w:rFonts w:eastAsia="MS Mincho"/>
          <w:snapToGrid w:val="0"/>
          <w:kern w:val="22"/>
          <w:szCs w:val="22"/>
        </w:rPr>
        <w:t xml:space="preserve"> E to about 44º 30’N, 36º 51’E). The southern boundary is designated by the 200 m isobath. </w:t>
      </w:r>
      <w:r w:rsidRPr="0088780C">
        <w:rPr>
          <w:rFonts w:eastAsia="Times New Roman"/>
          <w:snapToGrid w:val="0"/>
          <w:kern w:val="22"/>
          <w:szCs w:val="22"/>
          <w:lang w:eastAsia="ru-RU"/>
        </w:rPr>
        <w:t>The northern boundary generally follows the shoreline and also includes Bugazskiy, Kiziltashskiy and Vitjazevskiy limans (lagoons), but does not include</w:t>
      </w:r>
      <w:r w:rsidR="00912868" w:rsidRPr="0088780C">
        <w:rPr>
          <w:rFonts w:eastAsia="Times New Roman"/>
          <w:snapToGrid w:val="0"/>
          <w:kern w:val="22"/>
          <w:szCs w:val="22"/>
          <w:lang w:eastAsia="ru-RU"/>
        </w:rPr>
        <w:t xml:space="preserve"> the Novorossiysk (Tsemes) Bay.</w:t>
      </w:r>
    </w:p>
    <w:p w14:paraId="7991813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E1780C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Feature description of the area</w:t>
      </w:r>
    </w:p>
    <w:p w14:paraId="46B47C74"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r w:rsidRPr="0088780C">
        <w:rPr>
          <w:snapToGrid w:val="0"/>
          <w:kern w:val="22"/>
          <w:szCs w:val="22"/>
          <w:shd w:val="clear" w:color="auto" w:fill="FFFFFF"/>
        </w:rPr>
        <w:t>The area is part of the north-eastern Black Sea shelf and slope, which is narrow in the east, and relatively broad in the west (to the south of the Kerch Strait connecting the Black Sea and the Sea of Azov). It includes a variety of shore forms: sandy beaches and sandy spits separating coastal lagoons, cliffs, steep rocky shores, different types of estuaries of small or medium-size rivers, and several deep inlets. This complex and diverse coastline stands in sharp contrast to the relatively homogenous shoreline to the south of this area up to the border with the Russian Federation (Petrov, 1961; Kuklev et al., 2013).</w:t>
      </w:r>
    </w:p>
    <w:p w14:paraId="15175B6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3C19B85C" w14:textId="46B225B2"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Complex oceanographical conditions over a relatively broad shelf and slope of the area, including mesoscale circulation and upwelling, transport of nutrients with numerous rivers of the Caucasian coast and the Sea of Azov waters via the Kerch Strait result in relatively high pelagic productivity of the north-eastern shelf and slope, making this one of the most productive areas of the Black Sea (Vinogradov et al., 1992; Vedernikov, Demidov</w:t>
      </w:r>
      <w:r w:rsidR="00912868" w:rsidRPr="0088780C">
        <w:rPr>
          <w:rFonts w:eastAsia="MS Mincho"/>
          <w:snapToGrid w:val="0"/>
          <w:kern w:val="22"/>
          <w:szCs w:val="22"/>
        </w:rPr>
        <w:t>, 2002; Vostokov et al., 2002).</w:t>
      </w:r>
    </w:p>
    <w:p w14:paraId="41C281A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5DF3E004" w14:textId="3131A528"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The area contains a variety of coastal marine biotopes, including sandy spits and shallow sandy flats, shallow shelf carbonate banks (i.e., Maria Magdalene Bank) (Petrov, 1961; Mitiaseva, 2003), clay reefs of Zheleznyi Rog Cape (V.A. Spiridonov, pers. comm.), sandy, muddy and gravel biotopes of the shelf (Kucheruk et al., 2002; Chikina, 2010), ridged submerged benches (Petrov, 1961; Maximova, Luchina, 2002; Simakova and Maximova 2009), biotopes of underwater landfall of Utrish coast (Papunov et al., 2016), biotopes of saltwater lagoons (limans) with a salinity higher than in the adjacent sea. It com</w:t>
      </w:r>
      <w:r w:rsidR="00912868" w:rsidRPr="0088780C">
        <w:rPr>
          <w:rFonts w:eastAsia="MS Mincho"/>
          <w:snapToGrid w:val="0"/>
          <w:kern w:val="22"/>
          <w:szCs w:val="22"/>
        </w:rPr>
        <w:t>p</w:t>
      </w:r>
      <w:r w:rsidRPr="0088780C">
        <w:rPr>
          <w:rFonts w:eastAsia="MS Mincho"/>
          <w:snapToGrid w:val="0"/>
          <w:kern w:val="22"/>
          <w:szCs w:val="22"/>
        </w:rPr>
        <w:t>rises mostly a diversity of marine algae, inv</w:t>
      </w:r>
      <w:r w:rsidR="00912868" w:rsidRPr="0088780C">
        <w:rPr>
          <w:rFonts w:eastAsia="MS Mincho"/>
          <w:snapToGrid w:val="0"/>
          <w:kern w:val="22"/>
          <w:szCs w:val="22"/>
        </w:rPr>
        <w:t xml:space="preserve">ertebrates and fishes species, </w:t>
      </w:r>
      <w:r w:rsidRPr="0088780C">
        <w:rPr>
          <w:rFonts w:eastAsia="MS Mincho"/>
          <w:snapToGrid w:val="0"/>
          <w:kern w:val="22"/>
          <w:szCs w:val="22"/>
        </w:rPr>
        <w:t xml:space="preserve">except those species that are confined to areas of higher salinity in the </w:t>
      </w:r>
      <w:r w:rsidR="00D65B3C" w:rsidRPr="0088780C">
        <w:rPr>
          <w:rFonts w:eastAsia="MS Mincho"/>
          <w:snapToGrid w:val="0"/>
          <w:kern w:val="22"/>
          <w:szCs w:val="22"/>
        </w:rPr>
        <w:t>south-west</w:t>
      </w:r>
      <w:r w:rsidRPr="0088780C">
        <w:rPr>
          <w:rFonts w:eastAsia="MS Mincho"/>
          <w:snapToGrid w:val="0"/>
          <w:kern w:val="22"/>
          <w:szCs w:val="22"/>
        </w:rPr>
        <w:t>ern Black Sea.</w:t>
      </w:r>
    </w:p>
    <w:p w14:paraId="6FE5F42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diversity of macroalgae is moderately high and comprises 120 to 140 species of red, green and brown algae (Kalugina-Gutnik, 1975; Teubova, 2012). The diversity of macrophyte communities along the coast is high and reaches almost 20 community types (Kalugina-Gutnik, 1975; Teubova, 2012; Afanasev et al. 2012).</w:t>
      </w:r>
    </w:p>
    <w:p w14:paraId="63D59D2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4FA67D7" w14:textId="1F3C4E46"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main </w:t>
      </w:r>
      <w:r w:rsidRPr="0088780C">
        <w:rPr>
          <w:iCs/>
          <w:snapToGrid w:val="0"/>
          <w:kern w:val="22"/>
          <w:szCs w:val="22"/>
          <w:lang w:eastAsia="ru-RU"/>
        </w:rPr>
        <w:t>communities</w:t>
      </w:r>
      <w:r w:rsidR="00912868" w:rsidRPr="0088780C">
        <w:rPr>
          <w:rFonts w:eastAsia="MS Mincho"/>
          <w:snapToGrid w:val="0"/>
          <w:kern w:val="22"/>
          <w:szCs w:val="22"/>
        </w:rPr>
        <w:t xml:space="preserve"> are the following:</w:t>
      </w:r>
    </w:p>
    <w:p w14:paraId="656E5CF3" w14:textId="77777777" w:rsidR="00A876F3" w:rsidRPr="0088780C" w:rsidRDefault="00A876F3" w:rsidP="001013AF">
      <w:pPr>
        <w:pStyle w:val="ListParagraph"/>
        <w:numPr>
          <w:ilvl w:val="0"/>
          <w:numId w:val="29"/>
        </w:numPr>
        <w:suppressLineNumbers/>
        <w:suppressAutoHyphens/>
        <w:kinsoku w:val="0"/>
        <w:overflowPunct w:val="0"/>
        <w:autoSpaceDE w:val="0"/>
        <w:autoSpaceDN w:val="0"/>
        <w:adjustRightInd w:val="0"/>
        <w:ind w:leftChars="0" w:left="360"/>
        <w:contextualSpacing/>
        <w:jc w:val="left"/>
        <w:rPr>
          <w:rFonts w:eastAsia="TimesNewRomanPSMT"/>
          <w:snapToGrid w:val="0"/>
          <w:kern w:val="22"/>
          <w:szCs w:val="22"/>
          <w:lang w:eastAsia="ru-RU"/>
        </w:rPr>
      </w:pPr>
      <w:r w:rsidRPr="0088780C">
        <w:rPr>
          <w:i/>
          <w:iCs/>
          <w:snapToGrid w:val="0"/>
          <w:kern w:val="22"/>
          <w:szCs w:val="22"/>
          <w:lang w:eastAsia="ru-RU"/>
        </w:rPr>
        <w:t>Ceramium ciliatum + Lophosiphonia obscura + Padina pavonica</w:t>
      </w:r>
      <w:r w:rsidRPr="0088780C">
        <w:rPr>
          <w:rFonts w:eastAsia="TimesNewRomanPSMT"/>
          <w:snapToGrid w:val="0"/>
          <w:kern w:val="22"/>
          <w:szCs w:val="22"/>
          <w:lang w:eastAsia="ru-RU"/>
        </w:rPr>
        <w:t xml:space="preserve"> and </w:t>
      </w:r>
      <w:r w:rsidRPr="0088780C">
        <w:rPr>
          <w:i/>
          <w:iCs/>
          <w:snapToGrid w:val="0"/>
          <w:kern w:val="22"/>
          <w:szCs w:val="22"/>
          <w:lang w:eastAsia="ru-RU"/>
        </w:rPr>
        <w:t xml:space="preserve">Ulva intestinalis </w:t>
      </w:r>
      <w:r w:rsidRPr="0088780C">
        <w:rPr>
          <w:iCs/>
          <w:snapToGrid w:val="0"/>
          <w:kern w:val="22"/>
          <w:szCs w:val="22"/>
          <w:lang w:eastAsia="ru-RU"/>
        </w:rPr>
        <w:t>(0-5 м)</w:t>
      </w:r>
    </w:p>
    <w:p w14:paraId="55F0B8CF" w14:textId="77777777" w:rsidR="00A876F3" w:rsidRPr="0088780C" w:rsidRDefault="00A876F3" w:rsidP="001013AF">
      <w:pPr>
        <w:pStyle w:val="ListParagraph"/>
        <w:numPr>
          <w:ilvl w:val="0"/>
          <w:numId w:val="29"/>
        </w:numPr>
        <w:suppressLineNumbers/>
        <w:suppressAutoHyphens/>
        <w:kinsoku w:val="0"/>
        <w:overflowPunct w:val="0"/>
        <w:autoSpaceDE w:val="0"/>
        <w:autoSpaceDN w:val="0"/>
        <w:adjustRightInd w:val="0"/>
        <w:ind w:leftChars="0" w:left="360"/>
        <w:contextualSpacing/>
        <w:jc w:val="left"/>
        <w:rPr>
          <w:iCs/>
          <w:snapToGrid w:val="0"/>
          <w:kern w:val="22"/>
          <w:szCs w:val="22"/>
          <w:lang w:eastAsia="ru-RU"/>
        </w:rPr>
      </w:pPr>
      <w:r w:rsidRPr="0088780C">
        <w:rPr>
          <w:bCs/>
          <w:iCs/>
          <w:snapToGrid w:val="0"/>
          <w:kern w:val="22"/>
          <w:szCs w:val="22"/>
          <w:lang w:eastAsia="ru-RU"/>
        </w:rPr>
        <w:t>assorted</w:t>
      </w:r>
      <w:r w:rsidRPr="0088780C">
        <w:rPr>
          <w:bCs/>
          <w:i/>
          <w:iCs/>
          <w:snapToGrid w:val="0"/>
          <w:kern w:val="22"/>
          <w:szCs w:val="22"/>
          <w:lang w:eastAsia="ru-RU"/>
        </w:rPr>
        <w:t xml:space="preserve"> Cystoseiretum crinitae </w:t>
      </w:r>
      <w:r w:rsidRPr="0088780C">
        <w:rPr>
          <w:snapToGrid w:val="0"/>
          <w:kern w:val="22"/>
          <w:szCs w:val="22"/>
          <w:lang w:eastAsia="ru-RU"/>
        </w:rPr>
        <w:t xml:space="preserve">Molinier 1958 and </w:t>
      </w:r>
      <w:r w:rsidRPr="0088780C">
        <w:rPr>
          <w:bCs/>
          <w:iCs/>
          <w:snapToGrid w:val="0"/>
          <w:kern w:val="22"/>
          <w:szCs w:val="22"/>
          <w:lang w:eastAsia="ru-RU"/>
        </w:rPr>
        <w:t>assorted</w:t>
      </w:r>
      <w:r w:rsidRPr="0088780C">
        <w:rPr>
          <w:snapToGrid w:val="0"/>
          <w:kern w:val="22"/>
          <w:szCs w:val="22"/>
          <w:lang w:eastAsia="ru-RU"/>
        </w:rPr>
        <w:t xml:space="preserve"> </w:t>
      </w:r>
      <w:r w:rsidRPr="0088780C">
        <w:rPr>
          <w:bCs/>
          <w:i/>
          <w:iCs/>
          <w:snapToGrid w:val="0"/>
          <w:kern w:val="22"/>
          <w:szCs w:val="22"/>
          <w:lang w:eastAsia="ru-RU"/>
        </w:rPr>
        <w:t xml:space="preserve">Cystoseiretum barbatae </w:t>
      </w:r>
      <w:r w:rsidRPr="0088780C">
        <w:rPr>
          <w:snapToGrid w:val="0"/>
          <w:kern w:val="22"/>
          <w:szCs w:val="22"/>
          <w:lang w:eastAsia="ru-RU"/>
        </w:rPr>
        <w:t>Pignatti 1962</w:t>
      </w:r>
      <w:r w:rsidRPr="0088780C">
        <w:rPr>
          <w:i/>
          <w:iCs/>
          <w:snapToGrid w:val="0"/>
          <w:kern w:val="22"/>
          <w:szCs w:val="22"/>
          <w:lang w:eastAsia="ru-RU"/>
        </w:rPr>
        <w:t xml:space="preserve"> (Cystoseira crinita + Cystoseira barbata – Cladostephus spongiosus – </w:t>
      </w:r>
      <w:r w:rsidRPr="0088780C">
        <w:rPr>
          <w:i/>
          <w:iCs/>
          <w:snapToGrid w:val="0"/>
          <w:kern w:val="22"/>
          <w:szCs w:val="22"/>
          <w:shd w:val="clear" w:color="auto" w:fill="FFFFFF"/>
        </w:rPr>
        <w:t xml:space="preserve">Ellisolandia elongata) </w:t>
      </w:r>
      <w:r w:rsidRPr="0088780C">
        <w:rPr>
          <w:iCs/>
          <w:snapToGrid w:val="0"/>
          <w:kern w:val="22"/>
          <w:szCs w:val="22"/>
          <w:shd w:val="clear" w:color="auto" w:fill="FFFFFF"/>
        </w:rPr>
        <w:t>(0,5 m – 12 m)</w:t>
      </w:r>
    </w:p>
    <w:p w14:paraId="0EEEB192" w14:textId="77777777" w:rsidR="00A876F3" w:rsidRPr="0088780C" w:rsidRDefault="00A876F3" w:rsidP="001013AF">
      <w:pPr>
        <w:pStyle w:val="ListParagraph"/>
        <w:numPr>
          <w:ilvl w:val="0"/>
          <w:numId w:val="29"/>
        </w:numPr>
        <w:suppressLineNumbers/>
        <w:suppressAutoHyphens/>
        <w:kinsoku w:val="0"/>
        <w:overflowPunct w:val="0"/>
        <w:autoSpaceDE w:val="0"/>
        <w:autoSpaceDN w:val="0"/>
        <w:adjustRightInd w:val="0"/>
        <w:ind w:leftChars="0" w:left="360"/>
        <w:contextualSpacing/>
        <w:jc w:val="left"/>
        <w:rPr>
          <w:iCs/>
          <w:snapToGrid w:val="0"/>
          <w:kern w:val="22"/>
          <w:szCs w:val="22"/>
          <w:lang w:eastAsia="ru-RU"/>
        </w:rPr>
      </w:pPr>
      <w:r w:rsidRPr="0088780C">
        <w:rPr>
          <w:bCs/>
          <w:i/>
          <w:iCs/>
          <w:snapToGrid w:val="0"/>
          <w:kern w:val="22"/>
          <w:szCs w:val="22"/>
          <w:lang w:eastAsia="ru-RU"/>
        </w:rPr>
        <w:t xml:space="preserve">Phyllophora crispa-Codium vermilara </w:t>
      </w:r>
      <w:r w:rsidRPr="0088780C">
        <w:rPr>
          <w:bCs/>
          <w:iCs/>
          <w:snapToGrid w:val="0"/>
          <w:kern w:val="22"/>
          <w:szCs w:val="22"/>
          <w:lang w:eastAsia="ru-RU"/>
        </w:rPr>
        <w:t>(12 m – 25 m)</w:t>
      </w:r>
    </w:p>
    <w:p w14:paraId="761EF5BE" w14:textId="77777777" w:rsidR="00A876F3" w:rsidRPr="0088780C" w:rsidRDefault="00A876F3" w:rsidP="001013AF">
      <w:pPr>
        <w:pStyle w:val="ListParagraph"/>
        <w:numPr>
          <w:ilvl w:val="0"/>
          <w:numId w:val="29"/>
        </w:numPr>
        <w:suppressLineNumbers/>
        <w:suppressAutoHyphens/>
        <w:kinsoku w:val="0"/>
        <w:overflowPunct w:val="0"/>
        <w:autoSpaceDE w:val="0"/>
        <w:autoSpaceDN w:val="0"/>
        <w:adjustRightInd w:val="0"/>
        <w:ind w:leftChars="0" w:left="360"/>
        <w:contextualSpacing/>
        <w:jc w:val="left"/>
        <w:rPr>
          <w:snapToGrid w:val="0"/>
          <w:kern w:val="22"/>
          <w:szCs w:val="22"/>
          <w:lang w:eastAsia="ru-RU"/>
        </w:rPr>
      </w:pPr>
      <w:r w:rsidRPr="0088780C">
        <w:rPr>
          <w:bCs/>
          <w:iCs/>
          <w:snapToGrid w:val="0"/>
          <w:kern w:val="22"/>
          <w:szCs w:val="22"/>
          <w:lang w:eastAsia="ru-RU"/>
        </w:rPr>
        <w:t>assorted</w:t>
      </w:r>
      <w:r w:rsidRPr="0088780C">
        <w:rPr>
          <w:bCs/>
          <w:i/>
          <w:iCs/>
          <w:snapToGrid w:val="0"/>
          <w:kern w:val="22"/>
          <w:szCs w:val="22"/>
          <w:lang w:eastAsia="ru-RU"/>
        </w:rPr>
        <w:t xml:space="preserve"> Zosteretum marinae </w:t>
      </w:r>
      <w:r w:rsidRPr="0088780C">
        <w:rPr>
          <w:snapToGrid w:val="0"/>
          <w:kern w:val="22"/>
          <w:szCs w:val="22"/>
          <w:lang w:eastAsia="ru-RU"/>
        </w:rPr>
        <w:t>(Van Goor 1921) Harmsen (5 m-10 m)</w:t>
      </w:r>
    </w:p>
    <w:p w14:paraId="1CC673B6" w14:textId="77777777" w:rsidR="00A876F3" w:rsidRPr="0088780C" w:rsidRDefault="00A876F3" w:rsidP="001013AF">
      <w:pPr>
        <w:pStyle w:val="ListParagraph"/>
        <w:numPr>
          <w:ilvl w:val="0"/>
          <w:numId w:val="29"/>
        </w:numPr>
        <w:suppressLineNumbers/>
        <w:suppressAutoHyphens/>
        <w:kinsoku w:val="0"/>
        <w:overflowPunct w:val="0"/>
        <w:autoSpaceDE w:val="0"/>
        <w:autoSpaceDN w:val="0"/>
        <w:adjustRightInd w:val="0"/>
        <w:ind w:leftChars="0" w:left="360"/>
        <w:contextualSpacing/>
        <w:jc w:val="left"/>
        <w:rPr>
          <w:snapToGrid w:val="0"/>
          <w:kern w:val="22"/>
          <w:szCs w:val="22"/>
          <w:lang w:eastAsia="ru-RU"/>
        </w:rPr>
      </w:pPr>
      <w:r w:rsidRPr="0088780C">
        <w:rPr>
          <w:snapToGrid w:val="0"/>
          <w:kern w:val="22"/>
          <w:szCs w:val="22"/>
          <w:lang w:eastAsia="ru-RU"/>
        </w:rPr>
        <w:t xml:space="preserve">assorted </w:t>
      </w:r>
      <w:r w:rsidRPr="0088780C">
        <w:rPr>
          <w:rFonts w:eastAsia="TimesNewRomanPSMT"/>
          <w:bCs/>
          <w:i/>
          <w:iCs/>
          <w:snapToGrid w:val="0"/>
          <w:kern w:val="22"/>
          <w:szCs w:val="22"/>
          <w:lang w:eastAsia="ru-RU"/>
        </w:rPr>
        <w:t xml:space="preserve">Zosteretum noltii </w:t>
      </w:r>
      <w:r w:rsidRPr="0088780C">
        <w:rPr>
          <w:rFonts w:eastAsia="TimesNewRomanPSMT"/>
          <w:snapToGrid w:val="0"/>
          <w:kern w:val="22"/>
          <w:szCs w:val="22"/>
          <w:lang w:eastAsia="ru-RU"/>
        </w:rPr>
        <w:t>Harmsen 1936 (5-15 m)</w:t>
      </w:r>
    </w:p>
    <w:p w14:paraId="0451BFFF"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F3F59ED"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biomass of the </w:t>
      </w:r>
      <w:r w:rsidRPr="0088780C">
        <w:rPr>
          <w:i/>
          <w:snapToGrid w:val="0"/>
          <w:kern w:val="22"/>
          <w:szCs w:val="22"/>
        </w:rPr>
        <w:t>Cystoseiras</w:t>
      </w:r>
      <w:r w:rsidRPr="0088780C">
        <w:rPr>
          <w:snapToGrid w:val="0"/>
          <w:kern w:val="22"/>
          <w:szCs w:val="22"/>
        </w:rPr>
        <w:t xml:space="preserve"> community in the upper phytal zone (0.25-1 m) reaches 13-15 kg/m</w:t>
      </w:r>
      <w:r w:rsidRPr="0088780C">
        <w:rPr>
          <w:snapToGrid w:val="0"/>
          <w:kern w:val="22"/>
          <w:szCs w:val="22"/>
          <w:vertAlign w:val="superscript"/>
        </w:rPr>
        <w:t>2</w:t>
      </w:r>
      <w:r w:rsidRPr="0088780C">
        <w:rPr>
          <w:snapToGrid w:val="0"/>
          <w:kern w:val="22"/>
          <w:szCs w:val="22"/>
        </w:rPr>
        <w:t xml:space="preserve"> in some places, and its average is about 3.5-5.0 kg/m</w:t>
      </w:r>
      <w:r w:rsidRPr="0088780C">
        <w:rPr>
          <w:snapToGrid w:val="0"/>
          <w:kern w:val="22"/>
          <w:szCs w:val="22"/>
          <w:vertAlign w:val="superscript"/>
        </w:rPr>
        <w:t>2</w:t>
      </w:r>
      <w:r w:rsidRPr="0088780C">
        <w:rPr>
          <w:snapToGrid w:val="0"/>
          <w:kern w:val="22"/>
          <w:szCs w:val="22"/>
        </w:rPr>
        <w:t xml:space="preserve">. However, the lower boundary of the </w:t>
      </w:r>
      <w:r w:rsidRPr="0088780C">
        <w:rPr>
          <w:i/>
          <w:iCs/>
          <w:snapToGrid w:val="0"/>
          <w:kern w:val="22"/>
          <w:szCs w:val="22"/>
        </w:rPr>
        <w:t>Cystoseireta</w:t>
      </w:r>
      <w:r w:rsidRPr="0088780C">
        <w:rPr>
          <w:snapToGrid w:val="0"/>
          <w:kern w:val="22"/>
          <w:szCs w:val="22"/>
        </w:rPr>
        <w:t xml:space="preserve"> belt is currently located at 10-12 m depth as a result of the previous extinction by the early 1990s of this community at depths greater than 12-15 m. Only the isolated oppressed thalli of </w:t>
      </w:r>
      <w:r w:rsidRPr="0088780C">
        <w:rPr>
          <w:i/>
          <w:iCs/>
          <w:snapToGrid w:val="0"/>
          <w:kern w:val="22"/>
          <w:szCs w:val="22"/>
        </w:rPr>
        <w:t>Cystoseira barbata</w:t>
      </w:r>
      <w:r w:rsidRPr="0088780C">
        <w:rPr>
          <w:snapToGrid w:val="0"/>
          <w:kern w:val="22"/>
          <w:szCs w:val="22"/>
        </w:rPr>
        <w:t xml:space="preserve"> can be recorded as deep as 12-15 m. Its biomass at localities deeper than 5-6 m usually is not higher than 150-300 g/m</w:t>
      </w:r>
      <w:r w:rsidRPr="0088780C">
        <w:rPr>
          <w:snapToGrid w:val="0"/>
          <w:kern w:val="22"/>
          <w:szCs w:val="22"/>
          <w:vertAlign w:val="superscript"/>
        </w:rPr>
        <w:t>2</w:t>
      </w:r>
      <w:r w:rsidRPr="0088780C">
        <w:rPr>
          <w:snapToGrid w:val="0"/>
          <w:kern w:val="22"/>
          <w:szCs w:val="22"/>
        </w:rPr>
        <w:t xml:space="preserve"> (Maximova et al., 2008). The </w:t>
      </w:r>
      <w:r w:rsidRPr="0088780C">
        <w:rPr>
          <w:i/>
          <w:iCs/>
          <w:snapToGrid w:val="0"/>
          <w:kern w:val="22"/>
          <w:szCs w:val="22"/>
        </w:rPr>
        <w:t>Cladophora</w:t>
      </w:r>
      <w:r w:rsidRPr="0088780C">
        <w:rPr>
          <w:snapToGrid w:val="0"/>
          <w:kern w:val="22"/>
          <w:szCs w:val="22"/>
        </w:rPr>
        <w:t xml:space="preserve"> </w:t>
      </w:r>
      <w:r w:rsidRPr="0088780C">
        <w:rPr>
          <w:iCs/>
          <w:snapToGrid w:val="0"/>
          <w:kern w:val="22"/>
          <w:szCs w:val="22"/>
        </w:rPr>
        <w:t xml:space="preserve">sp </w:t>
      </w:r>
      <w:r w:rsidRPr="0088780C">
        <w:rPr>
          <w:snapToGrid w:val="0"/>
          <w:kern w:val="22"/>
          <w:szCs w:val="22"/>
        </w:rPr>
        <w:t xml:space="preserve">bloom is a striking example of </w:t>
      </w:r>
      <w:r w:rsidRPr="0088780C">
        <w:rPr>
          <w:i/>
          <w:iCs/>
          <w:snapToGrid w:val="0"/>
          <w:kern w:val="22"/>
          <w:szCs w:val="22"/>
        </w:rPr>
        <w:t>r</w:t>
      </w:r>
      <w:r w:rsidRPr="0088780C">
        <w:rPr>
          <w:snapToGrid w:val="0"/>
          <w:kern w:val="22"/>
          <w:szCs w:val="22"/>
        </w:rPr>
        <w:t>-species development in the Black Sea, with its standing crop of 7500 tonnes in an area of 15 km</w:t>
      </w:r>
      <w:r w:rsidRPr="0088780C">
        <w:rPr>
          <w:snapToGrid w:val="0"/>
          <w:kern w:val="22"/>
          <w:szCs w:val="22"/>
          <w:vertAlign w:val="superscript"/>
        </w:rPr>
        <w:t>2</w:t>
      </w:r>
      <w:r w:rsidRPr="0088780C">
        <w:rPr>
          <w:snapToGrid w:val="0"/>
          <w:kern w:val="22"/>
          <w:szCs w:val="22"/>
        </w:rPr>
        <w:t xml:space="preserve"> in the Anapa Bay (Vershinin and Kamnev, 2001).</w:t>
      </w:r>
    </w:p>
    <w:p w14:paraId="4C69AD1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D223CF3" w14:textId="21214A2A"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Maria Magdalene Bank, a carbonate bank surrounded by sandy seabed (fig.1), a rare underwater landscape for the Black Sea, is located 4 km from the sand spit near Blagoveschenskaya Village. The bank extension is about 1200 m perpendicular to the shore and about 800 m along the shore. Water depth ranges from 2.5 to 10 m (figs. 2, 3), and surrounding areas are about 17-30 m deep. Rocky substrates of the bank harbour a variety (41 species) of macroalgae (Petrov, 1961; Mitiaseva, 2003), rich zoobenthic communities and fish assemblages. Besides its ecological importance, the seascape is of high aesthetic value. Other rare biotopes are submerged (5 - 15 m) meadows of seagrass, </w:t>
      </w:r>
      <w:r w:rsidRPr="0088780C">
        <w:rPr>
          <w:rFonts w:eastAsia="MS Mincho"/>
          <w:i/>
          <w:snapToGrid w:val="0"/>
          <w:kern w:val="22"/>
          <w:szCs w:val="22"/>
        </w:rPr>
        <w:t>Zostera noltei</w:t>
      </w:r>
      <w:r w:rsidRPr="0088780C">
        <w:rPr>
          <w:rFonts w:eastAsia="MS Mincho"/>
          <w:snapToGrid w:val="0"/>
          <w:kern w:val="22"/>
          <w:szCs w:val="22"/>
        </w:rPr>
        <w:t xml:space="preserve"> and </w:t>
      </w:r>
      <w:r w:rsidRPr="0088780C">
        <w:rPr>
          <w:rFonts w:eastAsia="MS Mincho"/>
          <w:i/>
          <w:snapToGrid w:val="0"/>
          <w:kern w:val="22"/>
          <w:szCs w:val="22"/>
        </w:rPr>
        <w:t>Zostera marina,</w:t>
      </w:r>
      <w:r w:rsidRPr="0088780C">
        <w:rPr>
          <w:rFonts w:eastAsia="MS Mincho"/>
          <w:snapToGrid w:val="0"/>
          <w:kern w:val="22"/>
          <w:szCs w:val="22"/>
        </w:rPr>
        <w:t xml:space="preserve"> along exposed coasts of Bugaz spit (U.V. Simakova, pers. comm.). The most common ecotope for macroalgae is the bench – hard bottom substrate. There are different types of benches, but the most common are ridge and graded benches. The northeast coast of the Black Sea bench is formed mainly by marlstone, which forms a series of ridges </w:t>
      </w:r>
      <w:r w:rsidR="00912868" w:rsidRPr="0088780C">
        <w:rPr>
          <w:rFonts w:eastAsia="MS Mincho"/>
          <w:snapToGrid w:val="0"/>
          <w:kern w:val="22"/>
          <w:szCs w:val="22"/>
        </w:rPr>
        <w:t>or steps receding in the depth.</w:t>
      </w:r>
    </w:p>
    <w:p w14:paraId="7588F7D6"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2298CA79" w14:textId="77777777" w:rsidR="00A876F3" w:rsidRPr="0088780C" w:rsidRDefault="00A876F3" w:rsidP="001013AF">
      <w:pPr>
        <w:suppressLineNumbers/>
        <w:suppressAutoHyphens/>
        <w:kinsoku w:val="0"/>
        <w:overflowPunct w:val="0"/>
        <w:autoSpaceDE w:val="0"/>
        <w:autoSpaceDN w:val="0"/>
        <w:adjustRightInd w:val="0"/>
        <w:rPr>
          <w:rStyle w:val="st"/>
          <w:snapToGrid w:val="0"/>
          <w:kern w:val="22"/>
          <w:szCs w:val="22"/>
        </w:rPr>
      </w:pPr>
      <w:r w:rsidRPr="0088780C">
        <w:rPr>
          <w:rFonts w:eastAsia="MS Mincho"/>
          <w:snapToGrid w:val="0"/>
          <w:kern w:val="22"/>
          <w:szCs w:val="22"/>
        </w:rPr>
        <w:t xml:space="preserve">Relatively broad (compared to areas to the south-east and the west) shelf with relatively high level of productivity makes the area important for maintaining populations of dominant macrozoobenthic bivalve species, such as </w:t>
      </w:r>
      <w:r w:rsidRPr="0088780C">
        <w:rPr>
          <w:rFonts w:eastAsia="MS Mincho"/>
          <w:i/>
          <w:snapToGrid w:val="0"/>
          <w:kern w:val="22"/>
          <w:szCs w:val="22"/>
        </w:rPr>
        <w:t>Chamelia gallina</w:t>
      </w:r>
      <w:r w:rsidRPr="0088780C">
        <w:rPr>
          <w:rFonts w:eastAsia="MS Mincho"/>
          <w:snapToGrid w:val="0"/>
          <w:kern w:val="22"/>
          <w:szCs w:val="22"/>
        </w:rPr>
        <w:t xml:space="preserve">, </w:t>
      </w:r>
      <w:r w:rsidRPr="0088780C">
        <w:rPr>
          <w:rFonts w:eastAsia="MS Mincho"/>
          <w:i/>
          <w:snapToGrid w:val="0"/>
          <w:kern w:val="22"/>
          <w:szCs w:val="22"/>
        </w:rPr>
        <w:t xml:space="preserve">Pitar rudis, Modiolula </w:t>
      </w:r>
      <w:r w:rsidRPr="0088780C">
        <w:rPr>
          <w:rFonts w:eastAsia="MS Mincho"/>
          <w:snapToGrid w:val="0"/>
          <w:kern w:val="22"/>
          <w:szCs w:val="22"/>
        </w:rPr>
        <w:t>spp. (Terentiev, 2013; Chikina, 2010), and for spawning, feeding and migration of crabs (V.A. Spiridonov, pers. comm.) and marine fishes including a declining stock of Meothian turbot (</w:t>
      </w:r>
      <w:r w:rsidRPr="0088780C">
        <w:rPr>
          <w:rStyle w:val="st"/>
          <w:i/>
          <w:snapToGrid w:val="0"/>
          <w:kern w:val="22"/>
          <w:szCs w:val="22"/>
        </w:rPr>
        <w:t>Scophthalmus maeoticus</w:t>
      </w:r>
      <w:r w:rsidRPr="0088780C">
        <w:rPr>
          <w:rStyle w:val="st"/>
          <w:snapToGrid w:val="0"/>
          <w:kern w:val="22"/>
          <w:szCs w:val="22"/>
        </w:rPr>
        <w:t>) (Kumantsov, 2013). The area is an important feeding and migratory area (fig.4) for the Azov stock of the Black Sea anchovy (</w:t>
      </w:r>
      <w:r w:rsidRPr="0088780C">
        <w:rPr>
          <w:rFonts w:eastAsia="TimesNewRomanPSMT"/>
          <w:i/>
          <w:snapToGrid w:val="0"/>
          <w:kern w:val="22"/>
          <w:szCs w:val="22"/>
          <w:lang w:eastAsia="ru-RU"/>
        </w:rPr>
        <w:t>Engraulis encrasicolus ponticus</w:t>
      </w:r>
      <w:r w:rsidRPr="0088780C">
        <w:rPr>
          <w:rFonts w:eastAsia="TimesNewRomanPSMT"/>
          <w:snapToGrid w:val="0"/>
          <w:kern w:val="22"/>
          <w:szCs w:val="22"/>
          <w:lang w:eastAsia="ru-RU"/>
        </w:rPr>
        <w:t>), mackerel (</w:t>
      </w:r>
      <w:r w:rsidRPr="0088780C">
        <w:rPr>
          <w:rFonts w:eastAsia="TimesNewRomanPSMT"/>
          <w:i/>
          <w:snapToGrid w:val="0"/>
          <w:kern w:val="22"/>
          <w:szCs w:val="22"/>
          <w:lang w:eastAsia="ru-RU"/>
        </w:rPr>
        <w:t>Scomber scombrus</w:t>
      </w:r>
      <w:r w:rsidRPr="0088780C">
        <w:rPr>
          <w:rFonts w:eastAsia="TimesNewRomanPSMT"/>
          <w:snapToGrid w:val="0"/>
          <w:kern w:val="22"/>
          <w:szCs w:val="22"/>
          <w:lang w:eastAsia="ru-RU"/>
        </w:rPr>
        <w:t xml:space="preserve">), and </w:t>
      </w:r>
      <w:r w:rsidRPr="0088780C">
        <w:rPr>
          <w:rStyle w:val="st"/>
          <w:snapToGrid w:val="0"/>
          <w:kern w:val="22"/>
          <w:szCs w:val="22"/>
        </w:rPr>
        <w:t>horse mackerel (</w:t>
      </w:r>
      <w:r w:rsidRPr="0088780C">
        <w:rPr>
          <w:rStyle w:val="st"/>
          <w:i/>
          <w:snapToGrid w:val="0"/>
          <w:kern w:val="22"/>
          <w:szCs w:val="22"/>
        </w:rPr>
        <w:t>Trachurus mediterraneus</w:t>
      </w:r>
      <w:r w:rsidRPr="0088780C">
        <w:rPr>
          <w:rStyle w:val="st"/>
          <w:snapToGrid w:val="0"/>
          <w:kern w:val="22"/>
          <w:szCs w:val="22"/>
        </w:rPr>
        <w:t>) (Drozdov, 2011).</w:t>
      </w:r>
    </w:p>
    <w:p w14:paraId="5A9C560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3A9C3A3B"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The area is important for migration and feeding of Russian sturgeon (</w:t>
      </w:r>
      <w:r w:rsidRPr="0088780C">
        <w:rPr>
          <w:rFonts w:eastAsia="MS Mincho"/>
          <w:i/>
          <w:snapToGrid w:val="0"/>
          <w:kern w:val="22"/>
          <w:szCs w:val="22"/>
        </w:rPr>
        <w:t>Acipenser gueldenstaedtii</w:t>
      </w:r>
      <w:r w:rsidRPr="0088780C">
        <w:rPr>
          <w:rFonts w:eastAsia="MS Mincho"/>
          <w:snapToGrid w:val="0"/>
          <w:kern w:val="22"/>
          <w:szCs w:val="22"/>
        </w:rPr>
        <w:t>) and starry sturgeon (</w:t>
      </w:r>
      <w:r w:rsidRPr="0088780C">
        <w:rPr>
          <w:rFonts w:eastAsia="MS Mincho"/>
          <w:i/>
          <w:snapToGrid w:val="0"/>
          <w:kern w:val="22"/>
          <w:szCs w:val="22"/>
        </w:rPr>
        <w:t>Acipenser stellatus</w:t>
      </w:r>
      <w:r w:rsidRPr="0088780C">
        <w:rPr>
          <w:rFonts w:eastAsia="MS Mincho"/>
          <w:snapToGrid w:val="0"/>
          <w:kern w:val="22"/>
          <w:szCs w:val="22"/>
        </w:rPr>
        <w:t>) (IUCN: CR). Currently the population is extremely depleted, and they are monitored using non-lethal catching and genetic sampling (Chepurnaya, 2017). Lake Abrau harbours a population of endemic species, Abrau sprat (</w:t>
      </w:r>
      <w:r w:rsidRPr="0088780C">
        <w:rPr>
          <w:rFonts w:eastAsia="MS Mincho"/>
          <w:i/>
          <w:snapToGrid w:val="0"/>
          <w:kern w:val="22"/>
          <w:szCs w:val="22"/>
        </w:rPr>
        <w:t>Clupeonella abrau</w:t>
      </w:r>
      <w:r w:rsidRPr="0088780C">
        <w:rPr>
          <w:rFonts w:eastAsia="MS Mincho"/>
          <w:snapToGrid w:val="0"/>
          <w:kern w:val="22"/>
          <w:szCs w:val="22"/>
        </w:rPr>
        <w:t>), which is listed in the Red Data Book of the Russian Federation and the IUCN Red List as critically endangered.</w:t>
      </w:r>
    </w:p>
    <w:p w14:paraId="1672C96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CA5DB7F" w14:textId="1526E648"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i/>
          <w:snapToGrid w:val="0"/>
          <w:kern w:val="22"/>
          <w:szCs w:val="22"/>
        </w:rPr>
        <w:t>Phyllophora crispa</w:t>
      </w:r>
      <w:r w:rsidRPr="0088780C">
        <w:rPr>
          <w:rFonts w:eastAsia="MS Mincho"/>
          <w:snapToGrid w:val="0"/>
          <w:kern w:val="22"/>
          <w:szCs w:val="22"/>
        </w:rPr>
        <w:t xml:space="preserve"> (fig. 5), a declining species, inhabits various hard substrates from 0.5 to 25 m depth in the area (Simakova, Maximova, 2009). The biomass of the </w:t>
      </w:r>
      <w:r w:rsidRPr="0088780C">
        <w:rPr>
          <w:rFonts w:eastAsia="MS Mincho"/>
          <w:i/>
          <w:snapToGrid w:val="0"/>
          <w:kern w:val="22"/>
          <w:szCs w:val="22"/>
        </w:rPr>
        <w:t>Phyllophora</w:t>
      </w:r>
      <w:r w:rsidRPr="0088780C">
        <w:rPr>
          <w:rFonts w:eastAsia="MS Mincho"/>
          <w:snapToGrid w:val="0"/>
          <w:kern w:val="22"/>
          <w:szCs w:val="22"/>
        </w:rPr>
        <w:t xml:space="preserve"> </w:t>
      </w:r>
      <w:r w:rsidRPr="0088780C">
        <w:rPr>
          <w:rFonts w:eastAsia="MS Mincho"/>
          <w:i/>
          <w:snapToGrid w:val="0"/>
          <w:kern w:val="22"/>
          <w:szCs w:val="22"/>
        </w:rPr>
        <w:t>crispa</w:t>
      </w:r>
      <w:r w:rsidRPr="0088780C">
        <w:rPr>
          <w:rFonts w:eastAsia="MS Mincho"/>
          <w:snapToGrid w:val="0"/>
          <w:kern w:val="22"/>
          <w:szCs w:val="22"/>
        </w:rPr>
        <w:t xml:space="preserve"> along the coast</w:t>
      </w:r>
      <w:r w:rsidRPr="0088780C">
        <w:rPr>
          <w:rFonts w:eastAsia="MS Mincho"/>
          <w:i/>
          <w:snapToGrid w:val="0"/>
          <w:kern w:val="22"/>
          <w:szCs w:val="22"/>
        </w:rPr>
        <w:t xml:space="preserve"> </w:t>
      </w:r>
      <w:r w:rsidRPr="0088780C">
        <w:rPr>
          <w:rFonts w:eastAsia="MS Mincho"/>
          <w:snapToGrid w:val="0"/>
          <w:kern w:val="22"/>
          <w:szCs w:val="22"/>
        </w:rPr>
        <w:t xml:space="preserve">showed several times (and even by order of magnitude) decrease in 1990-2008. This was not only single species losses. The </w:t>
      </w:r>
      <w:r w:rsidRPr="0088780C">
        <w:rPr>
          <w:rFonts w:eastAsia="MS Mincho"/>
          <w:i/>
          <w:snapToGrid w:val="0"/>
          <w:kern w:val="22"/>
          <w:szCs w:val="22"/>
        </w:rPr>
        <w:t>Phyllophora</w:t>
      </w:r>
      <w:r w:rsidRPr="0088780C">
        <w:rPr>
          <w:rFonts w:eastAsia="MS Mincho"/>
          <w:snapToGrid w:val="0"/>
          <w:kern w:val="22"/>
          <w:szCs w:val="22"/>
        </w:rPr>
        <w:t xml:space="preserve"> thalii are inhabited by abundant epifauna species (more then 130) (Rybnikov, 1993). Decrease of </w:t>
      </w:r>
      <w:r w:rsidRPr="0088780C">
        <w:rPr>
          <w:rFonts w:eastAsia="MS Mincho"/>
          <w:i/>
          <w:snapToGrid w:val="0"/>
          <w:kern w:val="22"/>
          <w:szCs w:val="22"/>
        </w:rPr>
        <w:t>Phyllophora</w:t>
      </w:r>
      <w:r w:rsidRPr="0088780C">
        <w:rPr>
          <w:rFonts w:eastAsia="MS Mincho"/>
          <w:snapToGrid w:val="0"/>
          <w:kern w:val="22"/>
          <w:szCs w:val="22"/>
        </w:rPr>
        <w:t xml:space="preserve"> doubtless caused the loss of epifauna. No recovery has been observed yet (Simakova and Maximova, 2009).</w:t>
      </w:r>
    </w:p>
    <w:p w14:paraId="11E277DF" w14:textId="77777777" w:rsidR="00A876F3" w:rsidRPr="0088780C" w:rsidRDefault="00A876F3" w:rsidP="001013AF">
      <w:pPr>
        <w:suppressLineNumbers/>
        <w:suppressAutoHyphens/>
        <w:kinsoku w:val="0"/>
        <w:overflowPunct w:val="0"/>
        <w:autoSpaceDE w:val="0"/>
        <w:autoSpaceDN w:val="0"/>
        <w:rPr>
          <w:rStyle w:val="st"/>
          <w:snapToGrid w:val="0"/>
          <w:kern w:val="22"/>
          <w:szCs w:val="22"/>
        </w:rPr>
      </w:pPr>
    </w:p>
    <w:p w14:paraId="381D6C98" w14:textId="03FCFF1F"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Style w:val="st"/>
          <w:snapToGrid w:val="0"/>
          <w:kern w:val="22"/>
          <w:szCs w:val="22"/>
        </w:rPr>
        <w:t>Coastal areas, particularly the Bugaz Liman and shallow lakes near the city of Anapa (</w:t>
      </w:r>
      <w:r w:rsidR="00D8482D" w:rsidRPr="0088780C">
        <w:rPr>
          <w:rStyle w:val="st"/>
          <w:snapToGrid w:val="0"/>
          <w:kern w:val="22"/>
          <w:szCs w:val="22"/>
        </w:rPr>
        <w:t>“</w:t>
      </w:r>
      <w:r w:rsidRPr="0088780C">
        <w:rPr>
          <w:rStyle w:val="st"/>
          <w:snapToGrid w:val="0"/>
          <w:kern w:val="22"/>
          <w:szCs w:val="22"/>
        </w:rPr>
        <w:t>Anapskie Plavni</w:t>
      </w:r>
      <w:r w:rsidR="00D8482D" w:rsidRPr="0088780C">
        <w:rPr>
          <w:rStyle w:val="st"/>
          <w:snapToGrid w:val="0"/>
          <w:kern w:val="22"/>
          <w:szCs w:val="22"/>
        </w:rPr>
        <w:t>”</w:t>
      </w:r>
      <w:r w:rsidRPr="0088780C">
        <w:rPr>
          <w:rStyle w:val="st"/>
          <w:snapToGrid w:val="0"/>
          <w:kern w:val="22"/>
          <w:szCs w:val="22"/>
        </w:rPr>
        <w:t>) are important as wintering areas for waterfowl, especially during particularly cold winters (Tilba et al. 2006), when Taman Bay and the lagoons of the Kuban Delta freeze over. The shallow area south of the Kerch Strait is part of a major flyway of migratory birds crossing the Black Sea (</w:t>
      </w:r>
      <w:r w:rsidRPr="0088780C">
        <w:rPr>
          <w:rFonts w:eastAsia="MS Mincho"/>
          <w:snapToGrid w:val="0"/>
          <w:kern w:val="22"/>
          <w:szCs w:val="22"/>
        </w:rPr>
        <w:t>BirdLife International 2017a</w:t>
      </w:r>
      <w:r w:rsidRPr="0088780C">
        <w:rPr>
          <w:rStyle w:val="st"/>
          <w:snapToGrid w:val="0"/>
          <w:kern w:val="22"/>
          <w:szCs w:val="22"/>
        </w:rPr>
        <w:t>). Owing to a great number of cargo vessels anchoring in front of the entrance to the Kerch Strait, this area recently also became a stopover for migrating birds, which resting on the ships (V.O. Mokievsky, pers. comm.).</w:t>
      </w:r>
    </w:p>
    <w:p w14:paraId="5BDBE11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D57932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also overlaps with a marine Important Bird and Biodiversity Area (IBA; BirdLife International 2017a), mostly designated for its importance as a wintering area for the vulnerable yelkouan shearwater (</w:t>
      </w:r>
      <w:r w:rsidRPr="0088780C">
        <w:rPr>
          <w:rFonts w:eastAsia="MS Mincho"/>
          <w:i/>
          <w:snapToGrid w:val="0"/>
          <w:kern w:val="22"/>
          <w:szCs w:val="22"/>
        </w:rPr>
        <w:t>Puffinus yelkouan</w:t>
      </w:r>
      <w:r w:rsidRPr="0088780C">
        <w:rPr>
          <w:rFonts w:eastAsia="MS Mincho"/>
          <w:snapToGrid w:val="0"/>
          <w:kern w:val="22"/>
          <w:szCs w:val="22"/>
        </w:rPr>
        <w:t>). The yelkouan shearwater is a Mediterranean endemic (</w:t>
      </w:r>
      <w:r w:rsidRPr="0088780C">
        <w:rPr>
          <w:snapToGrid w:val="0"/>
          <w:kern w:val="22"/>
          <w:szCs w:val="22"/>
        </w:rPr>
        <w:t>BirdLife International, 2017b),</w:t>
      </w:r>
      <w:r w:rsidRPr="0088780C">
        <w:rPr>
          <w:rFonts w:eastAsia="MS Mincho"/>
          <w:snapToGrid w:val="0"/>
          <w:kern w:val="22"/>
          <w:szCs w:val="22"/>
        </w:rPr>
        <w:t xml:space="preserve"> some 30 to 40 per cent of which migrate to the Black Sea during the non-breeding season. The importance of the area for this species was confirmed by studies based on tracking birds from their colonies (</w:t>
      </w:r>
      <w:r w:rsidRPr="0088780C">
        <w:rPr>
          <w:snapToGrid w:val="0"/>
          <w:kern w:val="22"/>
          <w:szCs w:val="22"/>
        </w:rPr>
        <w:t>Raine et al. 2012; Péron et al. 2013; Seabird Tracking Database 2017), and also from studies of habitat suitability (Ortega and İsfendiyaroğlu 2017).</w:t>
      </w:r>
    </w:p>
    <w:p w14:paraId="43B486B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FA22FD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0C123EE0"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rFonts w:eastAsia="MS Mincho"/>
          <w:snapToGrid w:val="0"/>
          <w:kern w:val="22"/>
          <w:szCs w:val="22"/>
        </w:rPr>
        <w:t>Like  most of the Black Sea, the coastal ecosystem of the north-eastern Black Sea has been shown to be affected by eutrophication (Vinogradov et al., 1992), and siltification (Terentiev, 2013), introduction of invasive alien species such as comb jelly (</w:t>
      </w:r>
      <w:r w:rsidRPr="0088780C">
        <w:rPr>
          <w:rFonts w:eastAsia="MS Mincho"/>
          <w:i/>
          <w:snapToGrid w:val="0"/>
          <w:kern w:val="22"/>
          <w:szCs w:val="22"/>
        </w:rPr>
        <w:t>Mnemiopsis leydi</w:t>
      </w:r>
      <w:r w:rsidRPr="0088780C">
        <w:rPr>
          <w:rFonts w:eastAsia="MS Mincho"/>
          <w:snapToGrid w:val="0"/>
          <w:kern w:val="22"/>
          <w:szCs w:val="22"/>
        </w:rPr>
        <w:t>), rapana (</w:t>
      </w:r>
      <w:r w:rsidRPr="0088780C">
        <w:rPr>
          <w:rFonts w:eastAsia="MS Mincho"/>
          <w:i/>
          <w:snapToGrid w:val="0"/>
          <w:kern w:val="22"/>
          <w:szCs w:val="22"/>
        </w:rPr>
        <w:t>Rapana venosa</w:t>
      </w:r>
      <w:r w:rsidRPr="0088780C">
        <w:rPr>
          <w:rFonts w:eastAsia="MS Mincho"/>
          <w:snapToGrid w:val="0"/>
          <w:kern w:val="22"/>
          <w:szCs w:val="22"/>
        </w:rPr>
        <w:t>), and blood arc (</w:t>
      </w:r>
      <w:r w:rsidRPr="0088780C">
        <w:rPr>
          <w:rFonts w:eastAsia="MS Mincho"/>
          <w:i/>
          <w:snapToGrid w:val="0"/>
          <w:kern w:val="22"/>
          <w:szCs w:val="22"/>
        </w:rPr>
        <w:t>Anadara kagoshimensis</w:t>
      </w:r>
      <w:r w:rsidRPr="0088780C">
        <w:rPr>
          <w:rFonts w:eastAsia="MS Mincho"/>
          <w:snapToGrid w:val="0"/>
          <w:kern w:val="22"/>
          <w:szCs w:val="22"/>
        </w:rPr>
        <w:t xml:space="preserve">) (Vinogradov et al., 1992; </w:t>
      </w:r>
      <w:r w:rsidRPr="0088780C">
        <w:rPr>
          <w:rFonts w:eastAsia="TimesNewRomanPSMT"/>
          <w:snapToGrid w:val="0"/>
          <w:kern w:val="22"/>
          <w:szCs w:val="22"/>
          <w:lang w:eastAsia="ru-RU"/>
        </w:rPr>
        <w:t>Bologa et al., 1995; Zaitsev &amp; Oztürk, 2001;</w:t>
      </w:r>
      <w:r w:rsidRPr="0088780C">
        <w:rPr>
          <w:snapToGrid w:val="0"/>
          <w:kern w:val="22"/>
          <w:szCs w:val="22"/>
        </w:rPr>
        <w:t xml:space="preserve"> </w:t>
      </w:r>
      <w:r w:rsidRPr="0088780C">
        <w:rPr>
          <w:rFonts w:eastAsia="MS Mincho"/>
          <w:snapToGrid w:val="0"/>
          <w:kern w:val="22"/>
          <w:szCs w:val="22"/>
        </w:rPr>
        <w:t>Chikina, Kucheruk, 2005; Chikina, 2010;</w:t>
      </w:r>
      <w:r w:rsidRPr="0088780C">
        <w:rPr>
          <w:snapToGrid w:val="0"/>
          <w:kern w:val="22"/>
          <w:szCs w:val="22"/>
        </w:rPr>
        <w:t xml:space="preserve"> Leppäkosski et al., 2009</w:t>
      </w:r>
      <w:r w:rsidRPr="0088780C">
        <w:rPr>
          <w:rFonts w:eastAsia="MS Mincho"/>
          <w:snapToGrid w:val="0"/>
          <w:kern w:val="22"/>
          <w:szCs w:val="22"/>
        </w:rPr>
        <w:t>) and overfishing (particularly depleted are stocks of sturgeons, Black Sea herring and Black Sea  turbot (Drozdov, 2011; Kumantsov, 2013). These processes, especially the consequences of eutrophication and invasion of the comb jelly, destabilized the ecosystem, which now appears to be in transition to a new regime (Kucheruk et al., 2002; Maximova and Luchina, 2002; Chikina and Kucheruk, 2005; Chikina, 2010).</w:t>
      </w:r>
      <w:r w:rsidRPr="0088780C">
        <w:rPr>
          <w:snapToGrid w:val="0"/>
          <w:kern w:val="22"/>
          <w:szCs w:val="22"/>
        </w:rPr>
        <w:t xml:space="preserve"> The situation in the lower phytal zone is even more dramatic. In the region between Gelendzhik and Novorossijsk, bottom vegetation is absent at depths greater than 20-25 m. Deep-sea formations of </w:t>
      </w:r>
      <w:r w:rsidRPr="0088780C">
        <w:rPr>
          <w:i/>
          <w:iCs/>
          <w:snapToGrid w:val="0"/>
          <w:kern w:val="22"/>
          <w:szCs w:val="22"/>
        </w:rPr>
        <w:t xml:space="preserve">Polysiphonieta </w:t>
      </w:r>
      <w:r w:rsidRPr="0088780C">
        <w:rPr>
          <w:snapToGrid w:val="0"/>
          <w:kern w:val="22"/>
          <w:szCs w:val="22"/>
        </w:rPr>
        <w:t xml:space="preserve">and </w:t>
      </w:r>
      <w:r w:rsidRPr="0088780C">
        <w:rPr>
          <w:i/>
          <w:iCs/>
          <w:snapToGrid w:val="0"/>
          <w:kern w:val="22"/>
          <w:szCs w:val="22"/>
        </w:rPr>
        <w:t>Antithamnieta</w:t>
      </w:r>
      <w:r w:rsidRPr="0088780C">
        <w:rPr>
          <w:snapToGrid w:val="0"/>
          <w:kern w:val="22"/>
          <w:szCs w:val="22"/>
        </w:rPr>
        <w:t xml:space="preserve"> have completely disappeared. As for </w:t>
      </w:r>
      <w:r w:rsidRPr="0088780C">
        <w:rPr>
          <w:i/>
          <w:iCs/>
          <w:snapToGrid w:val="0"/>
          <w:kern w:val="22"/>
          <w:szCs w:val="22"/>
        </w:rPr>
        <w:t>Phyllophoreta</w:t>
      </w:r>
      <w:r w:rsidRPr="0088780C">
        <w:rPr>
          <w:snapToGrid w:val="0"/>
          <w:kern w:val="22"/>
          <w:szCs w:val="22"/>
        </w:rPr>
        <w:t xml:space="preserve">, </w:t>
      </w:r>
      <w:r w:rsidRPr="0088780C">
        <w:rPr>
          <w:i/>
          <w:iCs/>
          <w:snapToGrid w:val="0"/>
          <w:kern w:val="22"/>
          <w:szCs w:val="22"/>
        </w:rPr>
        <w:t>Phyllophora crispa</w:t>
      </w:r>
      <w:r w:rsidRPr="0088780C">
        <w:rPr>
          <w:snapToGrid w:val="0"/>
          <w:kern w:val="22"/>
          <w:szCs w:val="22"/>
        </w:rPr>
        <w:t xml:space="preserve"> abundance dropped significantly at all levels of its bathymetric range. In the 1970s, the attached </w:t>
      </w:r>
      <w:r w:rsidRPr="0088780C">
        <w:rPr>
          <w:i/>
          <w:iCs/>
          <w:snapToGrid w:val="0"/>
          <w:kern w:val="22"/>
          <w:szCs w:val="22"/>
        </w:rPr>
        <w:t>Phyllophora</w:t>
      </w:r>
      <w:r w:rsidRPr="0088780C">
        <w:rPr>
          <w:snapToGrid w:val="0"/>
          <w:kern w:val="22"/>
          <w:szCs w:val="22"/>
        </w:rPr>
        <w:t xml:space="preserve"> had formed a wide belt with the coverage up to 50-80%, with the mean biomass about 1.5 kg/m</w:t>
      </w:r>
      <w:r w:rsidRPr="0088780C">
        <w:rPr>
          <w:snapToGrid w:val="0"/>
          <w:kern w:val="22"/>
          <w:szCs w:val="22"/>
          <w:vertAlign w:val="superscript"/>
        </w:rPr>
        <w:t xml:space="preserve">2 </w:t>
      </w:r>
      <w:r w:rsidRPr="0088780C">
        <w:rPr>
          <w:snapToGrid w:val="0"/>
          <w:kern w:val="22"/>
          <w:szCs w:val="22"/>
        </w:rPr>
        <w:t>and up to 4 kg/m</w:t>
      </w:r>
      <w:r w:rsidRPr="0088780C">
        <w:rPr>
          <w:snapToGrid w:val="0"/>
          <w:kern w:val="22"/>
          <w:szCs w:val="22"/>
          <w:vertAlign w:val="superscript"/>
        </w:rPr>
        <w:t>2</w:t>
      </w:r>
      <w:r w:rsidRPr="0088780C">
        <w:rPr>
          <w:snapToGrid w:val="0"/>
          <w:kern w:val="22"/>
          <w:szCs w:val="22"/>
        </w:rPr>
        <w:t xml:space="preserve"> in the thick beds</w:t>
      </w:r>
      <w:r w:rsidRPr="0088780C">
        <w:rPr>
          <w:snapToGrid w:val="0"/>
          <w:kern w:val="22"/>
          <w:szCs w:val="22"/>
          <w:vertAlign w:val="superscript"/>
        </w:rPr>
        <w:t xml:space="preserve"> </w:t>
      </w:r>
      <w:r w:rsidRPr="0088780C">
        <w:rPr>
          <w:snapToGrid w:val="0"/>
          <w:kern w:val="22"/>
          <w:szCs w:val="22"/>
        </w:rPr>
        <w:t>along the coastline from Anapa to Novorossijsk (Kalugina-Gutnik, 1975). In the 1980s and early 1990s the coverage was as high as 30 to 40% and mean biomass was 1.5 kg/m</w:t>
      </w:r>
      <w:r w:rsidRPr="0088780C">
        <w:rPr>
          <w:snapToGrid w:val="0"/>
          <w:kern w:val="22"/>
          <w:szCs w:val="22"/>
          <w:vertAlign w:val="superscript"/>
        </w:rPr>
        <w:t>2</w:t>
      </w:r>
      <w:r w:rsidRPr="0088780C">
        <w:rPr>
          <w:snapToGrid w:val="0"/>
          <w:kern w:val="22"/>
          <w:szCs w:val="22"/>
        </w:rPr>
        <w:t xml:space="preserve"> (and up to 6 kg/m</w:t>
      </w:r>
      <w:r w:rsidRPr="0088780C">
        <w:rPr>
          <w:snapToGrid w:val="0"/>
          <w:kern w:val="22"/>
          <w:szCs w:val="22"/>
          <w:vertAlign w:val="superscript"/>
        </w:rPr>
        <w:t xml:space="preserve">2 </w:t>
      </w:r>
      <w:r w:rsidRPr="0088780C">
        <w:rPr>
          <w:snapToGrid w:val="0"/>
          <w:kern w:val="22"/>
          <w:szCs w:val="22"/>
        </w:rPr>
        <w:t>at some locations) at depths from 12 to 28-30 m in the vicinity of Gelendzhik (Maximova et al., 2008).</w:t>
      </w:r>
    </w:p>
    <w:p w14:paraId="3302BCEA"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shd w:val="clear" w:color="auto" w:fill="FFFFFF"/>
        </w:rPr>
      </w:pPr>
    </w:p>
    <w:p w14:paraId="0B1636ED" w14:textId="493BBBCB"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shd w:val="clear" w:color="auto" w:fill="FFFFFF"/>
        </w:rPr>
        <w:t>The area has thus been under anthropogenic influence, including alien species invasions for several decades, and continues to be so. However, a significant extension of rocky shore restricts economic activities, thus maintaining more or less natural conditions in the coastal zone outside of such towns as Novorossiysk, Anapa and Gelendzhik and several smaller settlements. The strictly protected nature reserve (zapovednik) Utrish was established in 2012. It protects some representative and distinct biotopes of the rocky coastal zone.</w:t>
      </w:r>
    </w:p>
    <w:p w14:paraId="6E45D45F" w14:textId="13A03BC8"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07F13C26" w14:textId="795327B2" w:rsidR="00A876F3" w:rsidRPr="0088780C" w:rsidRDefault="00A876F3" w:rsidP="00BA78E2">
      <w:pPr>
        <w:keepNext/>
        <w:suppressLineNumbers/>
        <w:suppressAutoHyphens/>
        <w:kinsoku w:val="0"/>
        <w:overflowPunct w:val="0"/>
        <w:autoSpaceDE w:val="0"/>
        <w:autoSpaceDN w:val="0"/>
        <w:adjustRightInd w:val="0"/>
        <w:rPr>
          <w:rFonts w:eastAsia="MS Mincho"/>
          <w:b/>
          <w:snapToGrid w:val="0"/>
          <w:kern w:val="22"/>
          <w:szCs w:val="22"/>
        </w:rPr>
      </w:pPr>
      <w:r w:rsidRPr="0088780C">
        <w:rPr>
          <w:rFonts w:eastAsia="MS Mincho"/>
          <w:b/>
          <w:snapToGrid w:val="0"/>
          <w:kern w:val="22"/>
          <w:szCs w:val="22"/>
        </w:rPr>
        <w:t>Assessment of the</w:t>
      </w:r>
      <w:r w:rsidR="00BA78E2" w:rsidRPr="0088780C">
        <w:rPr>
          <w:rFonts w:eastAsia="MS Mincho"/>
          <w:b/>
          <w:snapToGrid w:val="0"/>
          <w:kern w:val="22"/>
          <w:szCs w:val="22"/>
        </w:rPr>
        <w:t xml:space="preserve"> area against CBD EBSA Criteria</w:t>
      </w:r>
    </w:p>
    <w:p w14:paraId="4C9D2631" w14:textId="77777777" w:rsidR="00A876F3" w:rsidRPr="0088780C" w:rsidRDefault="00A876F3" w:rsidP="00BA78E2">
      <w:pPr>
        <w:keepNext/>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6BFA77B1" w14:textId="77777777" w:rsidTr="00BA78E2">
        <w:trPr>
          <w:cantSplit/>
        </w:trPr>
        <w:tc>
          <w:tcPr>
            <w:tcW w:w="779" w:type="pct"/>
            <w:vMerge w:val="restart"/>
            <w:shd w:val="clear" w:color="auto" w:fill="auto"/>
          </w:tcPr>
          <w:p w14:paraId="43CEFBF8" w14:textId="77777777" w:rsidR="00A876F3" w:rsidRPr="0088780C" w:rsidRDefault="00A876F3" w:rsidP="009742EA">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CBD EBSA Criteria</w:t>
            </w:r>
          </w:p>
          <w:p w14:paraId="76A52E95" w14:textId="77777777" w:rsidR="00A876F3" w:rsidRPr="0088780C" w:rsidRDefault="00A876F3" w:rsidP="009742EA">
            <w:pPr>
              <w:suppressLineNumbers/>
              <w:suppressAutoHyphens/>
              <w:kinsoku w:val="0"/>
              <w:overflowPunct w:val="0"/>
              <w:autoSpaceDE w:val="0"/>
              <w:autoSpaceDN w:val="0"/>
              <w:adjustRightInd w:val="0"/>
              <w:jc w:val="left"/>
              <w:rPr>
                <w:rFonts w:eastAsia="MS Mincho"/>
                <w:bCs/>
                <w:snapToGrid w:val="0"/>
                <w:kern w:val="22"/>
                <w:szCs w:val="22"/>
              </w:rPr>
            </w:pPr>
            <w:r w:rsidRPr="0088780C">
              <w:rPr>
                <w:rFonts w:eastAsia="MS Mincho"/>
                <w:bCs/>
                <w:snapToGrid w:val="0"/>
                <w:kern w:val="22"/>
                <w:szCs w:val="22"/>
              </w:rPr>
              <w:t>(Annex I to decision IX/20)</w:t>
            </w:r>
          </w:p>
        </w:tc>
        <w:tc>
          <w:tcPr>
            <w:tcW w:w="2280" w:type="pct"/>
            <w:vMerge w:val="restart"/>
            <w:shd w:val="clear" w:color="auto" w:fill="auto"/>
          </w:tcPr>
          <w:p w14:paraId="39F913F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2380FFD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(Annex I to decision IX/20)</w:t>
            </w:r>
          </w:p>
        </w:tc>
        <w:tc>
          <w:tcPr>
            <w:tcW w:w="1940" w:type="pct"/>
            <w:gridSpan w:val="9"/>
            <w:shd w:val="clear" w:color="auto" w:fill="auto"/>
          </w:tcPr>
          <w:p w14:paraId="26E4C68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 xml:space="preserve">Ranking of criterion relevance </w:t>
            </w:r>
          </w:p>
          <w:p w14:paraId="31A0416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Cs/>
                <w:snapToGrid w:val="0"/>
                <w:kern w:val="22"/>
                <w:szCs w:val="22"/>
              </w:rPr>
              <w:t>(please mark one column with an X)</w:t>
            </w:r>
          </w:p>
        </w:tc>
      </w:tr>
      <w:tr w:rsidR="00A876F3" w:rsidRPr="0088780C" w14:paraId="6142FBB8" w14:textId="77777777" w:rsidTr="006972AD">
        <w:tc>
          <w:tcPr>
            <w:tcW w:w="779" w:type="pct"/>
            <w:vMerge/>
            <w:shd w:val="clear" w:color="auto" w:fill="auto"/>
          </w:tcPr>
          <w:p w14:paraId="02CEA8A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2280" w:type="pct"/>
            <w:vMerge/>
            <w:shd w:val="clear" w:color="auto" w:fill="auto"/>
          </w:tcPr>
          <w:p w14:paraId="4D27EE8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0FF7445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No information</w:t>
            </w:r>
          </w:p>
        </w:tc>
        <w:tc>
          <w:tcPr>
            <w:tcW w:w="547" w:type="pct"/>
            <w:gridSpan w:val="3"/>
            <w:shd w:val="clear" w:color="auto" w:fill="auto"/>
          </w:tcPr>
          <w:p w14:paraId="1C0548B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Low</w:t>
            </w:r>
          </w:p>
        </w:tc>
        <w:tc>
          <w:tcPr>
            <w:tcW w:w="411" w:type="pct"/>
            <w:gridSpan w:val="2"/>
            <w:shd w:val="clear" w:color="auto" w:fill="auto"/>
          </w:tcPr>
          <w:p w14:paraId="11C2AA0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Medium</w:t>
            </w:r>
          </w:p>
        </w:tc>
        <w:tc>
          <w:tcPr>
            <w:tcW w:w="436" w:type="pct"/>
            <w:gridSpan w:val="2"/>
            <w:shd w:val="clear" w:color="auto" w:fill="auto"/>
          </w:tcPr>
          <w:p w14:paraId="7400E44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High</w:t>
            </w:r>
          </w:p>
        </w:tc>
      </w:tr>
      <w:tr w:rsidR="00A876F3" w:rsidRPr="0088780C" w14:paraId="1EA5F54C" w14:textId="77777777" w:rsidTr="006972AD">
        <w:tc>
          <w:tcPr>
            <w:tcW w:w="779" w:type="pct"/>
            <w:shd w:val="clear" w:color="auto" w:fill="auto"/>
          </w:tcPr>
          <w:p w14:paraId="61BFA00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Uniqueness or rarity</w:t>
            </w:r>
          </w:p>
        </w:tc>
        <w:tc>
          <w:tcPr>
            <w:tcW w:w="2280" w:type="pct"/>
            <w:shd w:val="clear" w:color="auto" w:fill="auto"/>
          </w:tcPr>
          <w:p w14:paraId="0F6B12C0" w14:textId="2E4AD4E3"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contains either (i) unique (</w:t>
            </w:r>
            <w:r w:rsidR="00D8482D" w:rsidRPr="0088780C">
              <w:rPr>
                <w:rFonts w:eastAsia="MS Mincho"/>
                <w:bCs/>
                <w:snapToGrid w:val="0"/>
                <w:kern w:val="22"/>
                <w:szCs w:val="22"/>
              </w:rPr>
              <w:t>“</w:t>
            </w:r>
            <w:r w:rsidRPr="0088780C">
              <w:rPr>
                <w:rFonts w:eastAsia="MS Mincho"/>
                <w:bCs/>
                <w:snapToGrid w:val="0"/>
                <w:kern w:val="22"/>
                <w:szCs w:val="22"/>
              </w:rPr>
              <w:t>the only one of its kind</w:t>
            </w:r>
            <w:r w:rsidR="00D8482D" w:rsidRPr="0088780C">
              <w:rPr>
                <w:rFonts w:eastAsia="MS Mincho"/>
                <w:bCs/>
                <w:snapToGrid w:val="0"/>
                <w:kern w:val="22"/>
                <w:szCs w:val="22"/>
              </w:rPr>
              <w:t>”</w:t>
            </w:r>
            <w:r w:rsidRPr="0088780C">
              <w:rPr>
                <w:rFonts w:eastAsia="MS Mincho"/>
                <w:bCs/>
                <w:snapToGrid w:val="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19BAF9F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547" w:type="pct"/>
            <w:gridSpan w:val="3"/>
            <w:shd w:val="clear" w:color="auto" w:fill="auto"/>
          </w:tcPr>
          <w:p w14:paraId="351329C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3B369CF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c>
          <w:tcPr>
            <w:tcW w:w="436" w:type="pct"/>
            <w:gridSpan w:val="2"/>
            <w:shd w:val="clear" w:color="auto" w:fill="auto"/>
          </w:tcPr>
          <w:p w14:paraId="3930C29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r>
      <w:tr w:rsidR="00A876F3" w:rsidRPr="0088780C" w14:paraId="37AE94B3" w14:textId="77777777" w:rsidTr="006972AD">
        <w:tc>
          <w:tcPr>
            <w:tcW w:w="5000" w:type="pct"/>
            <w:gridSpan w:val="11"/>
            <w:shd w:val="clear" w:color="auto" w:fill="auto"/>
          </w:tcPr>
          <w:p w14:paraId="5FC0214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i/>
                <w:snapToGrid w:val="0"/>
                <w:kern w:val="22"/>
                <w:szCs w:val="22"/>
              </w:rPr>
              <w:t>Explanation for ranking</w:t>
            </w:r>
          </w:p>
          <w:p w14:paraId="68CA65C1" w14:textId="749096EC"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 xml:space="preserve">Maria Magdalene Bank, a carbonate bank surrounded by sandy seabed, a rare underwater landscape for the Black Sea, is located 4 km from the sand spit near Blagoveschenskaya Village. The bank extends about 1200 m perpendicular to the shore and about 800 m along the shore, water depth ranges from 2.5 to 10 m, </w:t>
            </w:r>
            <w:r w:rsidR="009742EA" w:rsidRPr="0088780C">
              <w:rPr>
                <w:rFonts w:eastAsia="MS Mincho"/>
                <w:snapToGrid w:val="0"/>
                <w:kern w:val="22"/>
                <w:szCs w:val="22"/>
              </w:rPr>
              <w:t xml:space="preserve">and </w:t>
            </w:r>
            <w:r w:rsidRPr="0088780C">
              <w:rPr>
                <w:rFonts w:eastAsia="MS Mincho"/>
                <w:snapToGrid w:val="0"/>
                <w:kern w:val="22"/>
                <w:szCs w:val="22"/>
              </w:rPr>
              <w:t xml:space="preserve">surrounding areas are about 17 m deep. Rocky substrates of the bank harbour a variety (41 species) of macroalgae (Petrov, 1961; Mitiaseva, 2003) and rich zoobenthic communities and fish assemblages. Other rare biotopes are submerged (below 10 m) meadows of seagrass, </w:t>
            </w:r>
            <w:r w:rsidRPr="0088780C">
              <w:rPr>
                <w:rFonts w:eastAsia="MS Mincho"/>
                <w:i/>
                <w:snapToGrid w:val="0"/>
                <w:kern w:val="22"/>
                <w:szCs w:val="22"/>
              </w:rPr>
              <w:t>Zostera noltei</w:t>
            </w:r>
            <w:r w:rsidRPr="0088780C">
              <w:rPr>
                <w:rFonts w:eastAsia="MS Mincho"/>
                <w:snapToGrid w:val="0"/>
                <w:kern w:val="22"/>
                <w:szCs w:val="22"/>
              </w:rPr>
              <w:t xml:space="preserve"> and </w:t>
            </w:r>
            <w:r w:rsidRPr="0088780C">
              <w:rPr>
                <w:rFonts w:eastAsia="MS Mincho"/>
                <w:i/>
                <w:snapToGrid w:val="0"/>
                <w:kern w:val="22"/>
                <w:szCs w:val="22"/>
              </w:rPr>
              <w:t>Zostera marina</w:t>
            </w:r>
            <w:r w:rsidRPr="0088780C">
              <w:rPr>
                <w:rFonts w:eastAsia="MS Mincho"/>
                <w:snapToGrid w:val="0"/>
                <w:kern w:val="22"/>
                <w:szCs w:val="22"/>
              </w:rPr>
              <w:t>,</w:t>
            </w:r>
            <w:r w:rsidR="009742EA" w:rsidRPr="0088780C">
              <w:rPr>
                <w:rFonts w:eastAsia="MS Mincho"/>
                <w:snapToGrid w:val="0"/>
                <w:kern w:val="22"/>
                <w:szCs w:val="22"/>
              </w:rPr>
              <w:t xml:space="preserve"> </w:t>
            </w:r>
            <w:r w:rsidRPr="0088780C">
              <w:rPr>
                <w:rFonts w:eastAsia="MS Mincho"/>
                <w:snapToGrid w:val="0"/>
                <w:kern w:val="22"/>
                <w:szCs w:val="22"/>
              </w:rPr>
              <w:t>developing on the exposed coasts of Bugaz spit (U.V. Simakova, pers. comm.)</w:t>
            </w:r>
          </w:p>
        </w:tc>
      </w:tr>
      <w:tr w:rsidR="00A876F3" w:rsidRPr="0088780C" w14:paraId="374465E5" w14:textId="77777777" w:rsidTr="006972AD">
        <w:tc>
          <w:tcPr>
            <w:tcW w:w="779" w:type="pct"/>
            <w:shd w:val="clear" w:color="auto" w:fill="auto"/>
          </w:tcPr>
          <w:p w14:paraId="3F8B6CF8" w14:textId="77777777" w:rsidR="00A876F3" w:rsidRPr="0088780C" w:rsidRDefault="00A876F3" w:rsidP="009742EA">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Special importance for life-history stages of species</w:t>
            </w:r>
          </w:p>
        </w:tc>
        <w:tc>
          <w:tcPr>
            <w:tcW w:w="2280" w:type="pct"/>
            <w:shd w:val="clear" w:color="auto" w:fill="auto"/>
          </w:tcPr>
          <w:p w14:paraId="62E04D0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Areas that are required for a population to survive and thrive.</w:t>
            </w:r>
          </w:p>
        </w:tc>
        <w:tc>
          <w:tcPr>
            <w:tcW w:w="684" w:type="pct"/>
            <w:gridSpan w:val="3"/>
            <w:shd w:val="clear" w:color="auto" w:fill="auto"/>
          </w:tcPr>
          <w:p w14:paraId="51F88ED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0" w:type="pct"/>
            <w:gridSpan w:val="2"/>
            <w:shd w:val="clear" w:color="auto" w:fill="auto"/>
          </w:tcPr>
          <w:p w14:paraId="478D956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1DA906C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36" w:type="pct"/>
            <w:gridSpan w:val="2"/>
            <w:shd w:val="clear" w:color="auto" w:fill="auto"/>
          </w:tcPr>
          <w:p w14:paraId="7874E36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0CDE7AAD" w14:textId="77777777" w:rsidTr="006972AD">
        <w:tc>
          <w:tcPr>
            <w:tcW w:w="5000" w:type="pct"/>
            <w:gridSpan w:val="11"/>
            <w:shd w:val="clear" w:color="auto" w:fill="auto"/>
          </w:tcPr>
          <w:p w14:paraId="5605D1B0"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kern w:val="22"/>
                <w:szCs w:val="22"/>
              </w:rPr>
            </w:pPr>
            <w:r w:rsidRPr="0088780C">
              <w:rPr>
                <w:rFonts w:eastAsia="MS Mincho"/>
                <w:i/>
                <w:snapToGrid w:val="0"/>
                <w:kern w:val="22"/>
                <w:szCs w:val="22"/>
              </w:rPr>
              <w:t>Explanation for ranking</w:t>
            </w:r>
          </w:p>
          <w:p w14:paraId="384A426D" w14:textId="6F43C74E" w:rsidR="00A876F3" w:rsidRPr="0088780C" w:rsidRDefault="00A876F3" w:rsidP="001013AF">
            <w:pPr>
              <w:suppressLineNumbers/>
              <w:suppressAutoHyphens/>
              <w:kinsoku w:val="0"/>
              <w:overflowPunct w:val="0"/>
              <w:autoSpaceDE w:val="0"/>
              <w:autoSpaceDN w:val="0"/>
              <w:adjustRightInd w:val="0"/>
              <w:rPr>
                <w:rStyle w:val="st"/>
                <w:snapToGrid w:val="0"/>
                <w:kern w:val="22"/>
                <w:szCs w:val="22"/>
              </w:rPr>
            </w:pPr>
            <w:r w:rsidRPr="0088780C">
              <w:rPr>
                <w:rFonts w:eastAsia="MS Mincho"/>
                <w:snapToGrid w:val="0"/>
                <w:kern w:val="22"/>
                <w:szCs w:val="22"/>
              </w:rPr>
              <w:t xml:space="preserve">A relatively broad (compared to areas to the south-east and the west) shelf with a relatively high level of production makes the area important for maintaining populations of dominant macrozoobenthic bivalve species, such as </w:t>
            </w:r>
            <w:r w:rsidRPr="0088780C">
              <w:rPr>
                <w:rFonts w:eastAsia="MS Mincho"/>
                <w:i/>
                <w:snapToGrid w:val="0"/>
                <w:kern w:val="22"/>
                <w:szCs w:val="22"/>
              </w:rPr>
              <w:t>Chamelia gallina</w:t>
            </w:r>
            <w:r w:rsidRPr="0088780C">
              <w:rPr>
                <w:rFonts w:eastAsia="MS Mincho"/>
                <w:snapToGrid w:val="0"/>
                <w:kern w:val="22"/>
                <w:szCs w:val="22"/>
              </w:rPr>
              <w:t xml:space="preserve"> and </w:t>
            </w:r>
            <w:r w:rsidRPr="0088780C">
              <w:rPr>
                <w:rFonts w:eastAsia="MS Mincho"/>
                <w:i/>
                <w:snapToGrid w:val="0"/>
                <w:kern w:val="22"/>
                <w:szCs w:val="22"/>
              </w:rPr>
              <w:t>Pitar rudis</w:t>
            </w:r>
            <w:r w:rsidRPr="0088780C">
              <w:rPr>
                <w:rFonts w:eastAsia="MS Mincho"/>
                <w:snapToGrid w:val="0"/>
                <w:kern w:val="22"/>
                <w:szCs w:val="22"/>
              </w:rPr>
              <w:t xml:space="preserve"> (Terentiev, 2013; Chikina, 2010), and for spawning, feeding and migration of crabs (V.A. Spiridonov, pers. comm.) and marine fishes, including a declining stock of </w:t>
            </w:r>
            <w:r w:rsidRPr="0088780C">
              <w:rPr>
                <w:snapToGrid w:val="0"/>
                <w:color w:val="222222"/>
                <w:kern w:val="22"/>
                <w:szCs w:val="22"/>
                <w:shd w:val="clear" w:color="auto" w:fill="FFFFFF"/>
              </w:rPr>
              <w:t>Black Sea</w:t>
            </w:r>
            <w:r w:rsidRPr="0088780C">
              <w:rPr>
                <w:rFonts w:eastAsia="MS Mincho"/>
                <w:snapToGrid w:val="0"/>
                <w:kern w:val="22"/>
                <w:szCs w:val="22"/>
              </w:rPr>
              <w:t xml:space="preserve"> turbot (</w:t>
            </w:r>
            <w:r w:rsidRPr="0088780C">
              <w:rPr>
                <w:rStyle w:val="st"/>
                <w:i/>
                <w:snapToGrid w:val="0"/>
                <w:kern w:val="22"/>
                <w:szCs w:val="22"/>
              </w:rPr>
              <w:t>Scophthalmus maeoticus</w:t>
            </w:r>
            <w:r w:rsidR="009742EA" w:rsidRPr="0088780C">
              <w:rPr>
                <w:rStyle w:val="st"/>
                <w:snapToGrid w:val="0"/>
                <w:kern w:val="22"/>
                <w:szCs w:val="22"/>
              </w:rPr>
              <w:t>) (Kumantsov, 2013).</w:t>
            </w:r>
          </w:p>
          <w:p w14:paraId="13E3223F" w14:textId="69FAE1DB" w:rsidR="00A876F3" w:rsidRPr="0088780C" w:rsidRDefault="00A876F3" w:rsidP="001013AF">
            <w:pPr>
              <w:suppressLineNumbers/>
              <w:suppressAutoHyphens/>
              <w:kinsoku w:val="0"/>
              <w:overflowPunct w:val="0"/>
              <w:autoSpaceDE w:val="0"/>
              <w:autoSpaceDN w:val="0"/>
              <w:adjustRightInd w:val="0"/>
              <w:rPr>
                <w:rStyle w:val="st"/>
                <w:snapToGrid w:val="0"/>
                <w:kern w:val="22"/>
                <w:szCs w:val="22"/>
              </w:rPr>
            </w:pPr>
            <w:r w:rsidRPr="0088780C">
              <w:rPr>
                <w:rStyle w:val="st"/>
                <w:snapToGrid w:val="0"/>
                <w:kern w:val="22"/>
                <w:szCs w:val="22"/>
              </w:rPr>
              <w:t>The area is an important feeding and migratory area (fig.4) for the Azov stock of the Black Sea anchovy (</w:t>
            </w:r>
            <w:r w:rsidRPr="0088780C">
              <w:rPr>
                <w:rFonts w:eastAsia="TimesNewRomanPSMT"/>
                <w:i/>
                <w:snapToGrid w:val="0"/>
                <w:kern w:val="22"/>
                <w:szCs w:val="22"/>
                <w:lang w:eastAsia="ru-RU"/>
              </w:rPr>
              <w:t>Engraulis encrasicolus ponticus</w:t>
            </w:r>
            <w:r w:rsidRPr="0088780C">
              <w:rPr>
                <w:rFonts w:eastAsia="TimesNewRomanPSMT"/>
                <w:snapToGrid w:val="0"/>
                <w:kern w:val="22"/>
                <w:szCs w:val="22"/>
                <w:lang w:eastAsia="ru-RU"/>
              </w:rPr>
              <w:t>), mackerel (</w:t>
            </w:r>
            <w:r w:rsidRPr="0088780C">
              <w:rPr>
                <w:rFonts w:eastAsia="TimesNewRomanPSMT"/>
                <w:i/>
                <w:snapToGrid w:val="0"/>
                <w:kern w:val="22"/>
                <w:szCs w:val="22"/>
                <w:lang w:eastAsia="ru-RU"/>
              </w:rPr>
              <w:t>Scomber scombrus</w:t>
            </w:r>
            <w:r w:rsidRPr="0088780C">
              <w:rPr>
                <w:rFonts w:eastAsia="TimesNewRomanPSMT"/>
                <w:snapToGrid w:val="0"/>
                <w:kern w:val="22"/>
                <w:szCs w:val="22"/>
                <w:lang w:eastAsia="ru-RU"/>
              </w:rPr>
              <w:t xml:space="preserve">) and </w:t>
            </w:r>
            <w:r w:rsidRPr="0088780C">
              <w:rPr>
                <w:rStyle w:val="st"/>
                <w:snapToGrid w:val="0"/>
                <w:kern w:val="22"/>
                <w:szCs w:val="22"/>
              </w:rPr>
              <w:t>horse mackerel (</w:t>
            </w:r>
            <w:r w:rsidRPr="0088780C">
              <w:rPr>
                <w:rStyle w:val="st"/>
                <w:i/>
                <w:snapToGrid w:val="0"/>
                <w:kern w:val="22"/>
                <w:szCs w:val="22"/>
              </w:rPr>
              <w:t>Trachurus mediterraneus</w:t>
            </w:r>
            <w:r w:rsidRPr="0088780C">
              <w:rPr>
                <w:rStyle w:val="st"/>
                <w:snapToGrid w:val="0"/>
                <w:kern w:val="22"/>
                <w:szCs w:val="22"/>
              </w:rPr>
              <w:t>) (Drozdov, 2011).</w:t>
            </w:r>
          </w:p>
          <w:p w14:paraId="0BA58BC7" w14:textId="77777777" w:rsidR="00A876F3" w:rsidRPr="0088780C" w:rsidRDefault="00A876F3" w:rsidP="001013AF">
            <w:pPr>
              <w:suppressLineNumbers/>
              <w:suppressAutoHyphens/>
              <w:kinsoku w:val="0"/>
              <w:overflowPunct w:val="0"/>
              <w:autoSpaceDE w:val="0"/>
              <w:autoSpaceDN w:val="0"/>
              <w:adjustRightInd w:val="0"/>
              <w:rPr>
                <w:rStyle w:val="st"/>
                <w:snapToGrid w:val="0"/>
                <w:kern w:val="22"/>
                <w:szCs w:val="22"/>
              </w:rPr>
            </w:pPr>
          </w:p>
          <w:p w14:paraId="68F0104E" w14:textId="78CC77CC" w:rsidR="00A876F3" w:rsidRPr="0088780C" w:rsidRDefault="00A876F3" w:rsidP="001013AF">
            <w:pPr>
              <w:suppressLineNumbers/>
              <w:suppressAutoHyphens/>
              <w:kinsoku w:val="0"/>
              <w:overflowPunct w:val="0"/>
              <w:autoSpaceDE w:val="0"/>
              <w:autoSpaceDN w:val="0"/>
              <w:adjustRightInd w:val="0"/>
              <w:rPr>
                <w:rStyle w:val="st"/>
                <w:snapToGrid w:val="0"/>
                <w:kern w:val="22"/>
                <w:szCs w:val="22"/>
              </w:rPr>
            </w:pPr>
            <w:r w:rsidRPr="0088780C">
              <w:rPr>
                <w:rStyle w:val="st"/>
                <w:snapToGrid w:val="0"/>
                <w:kern w:val="22"/>
                <w:szCs w:val="22"/>
              </w:rPr>
              <w:t>Coastal areas, particular Bugazskiy Liman (lagoon) and shallow lakes near the city of Anapa (</w:t>
            </w:r>
            <w:r w:rsidR="00D8482D" w:rsidRPr="0088780C">
              <w:rPr>
                <w:rStyle w:val="st"/>
                <w:snapToGrid w:val="0"/>
                <w:kern w:val="22"/>
                <w:szCs w:val="22"/>
              </w:rPr>
              <w:t>“</w:t>
            </w:r>
            <w:r w:rsidRPr="0088780C">
              <w:rPr>
                <w:rStyle w:val="st"/>
                <w:snapToGrid w:val="0"/>
                <w:kern w:val="22"/>
                <w:szCs w:val="22"/>
              </w:rPr>
              <w:t>Anapskie Plavni</w:t>
            </w:r>
            <w:r w:rsidR="00D8482D" w:rsidRPr="0088780C">
              <w:rPr>
                <w:rStyle w:val="st"/>
                <w:snapToGrid w:val="0"/>
                <w:kern w:val="22"/>
                <w:szCs w:val="22"/>
              </w:rPr>
              <w:t>”</w:t>
            </w:r>
            <w:r w:rsidRPr="0088780C">
              <w:rPr>
                <w:rStyle w:val="st"/>
                <w:snapToGrid w:val="0"/>
                <w:kern w:val="22"/>
                <w:szCs w:val="22"/>
              </w:rPr>
              <w:t xml:space="preserve">) are important as wintering areas for waterfowl, especially during particularly cold winters (Tilba and Mnatsekanov, 2006), when the Taman Bay and limans of the Kuban Delta freeze over. The shallow area south of the Kerch Strait falls over the major flyway of migratory birds crossing the Black Sea. Owing to a great number of cargo vessels anchoring in front of the Kerch Strait entrance, this area recently became a stopover where migrating birds rest on the ships </w:t>
            </w:r>
            <w:r w:rsidR="009742EA" w:rsidRPr="0088780C">
              <w:rPr>
                <w:rStyle w:val="st"/>
                <w:snapToGrid w:val="0"/>
                <w:kern w:val="22"/>
                <w:szCs w:val="22"/>
              </w:rPr>
              <w:t>(V.O. Mokievsk y, pers. comm.).</w:t>
            </w:r>
          </w:p>
          <w:p w14:paraId="5CAE7752"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C246FB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The area is one of the most important regions in the world for the yelkouan shearwater (</w:t>
            </w:r>
            <w:r w:rsidRPr="0088780C">
              <w:rPr>
                <w:i/>
                <w:snapToGrid w:val="0"/>
                <w:kern w:val="22"/>
                <w:szCs w:val="22"/>
              </w:rPr>
              <w:t>Puffinus yelkouan</w:t>
            </w:r>
            <w:r w:rsidRPr="0088780C">
              <w:rPr>
                <w:snapToGrid w:val="0"/>
                <w:kern w:val="22"/>
                <w:szCs w:val="22"/>
              </w:rPr>
              <w:t xml:space="preserve"> ) during the non-breeding season (Raine et al. 2012; Péron et al. 2013). Birds from different colonies located in the Mediterranean congregate here during the winter period (September to December), one of the most critical of the life-cycle of the species, when most of the mortality of adult birds (the major cause of the population decline) occurs (Oppel et al. 2011). Recent tracking studies have revealed that between 26% and 42% of the global population of the yelkouan shearwaters migrate to this region (Raine et al. 2012; Péron et al. 2013; Seabird Tracking Database 2017). At-sea surveys and studies of habitat suitability have also revealed the importance of the area for the species as a non-breeding foraging site (Ortega and İsfendiyaroğlu 2017).</w:t>
            </w:r>
          </w:p>
        </w:tc>
      </w:tr>
      <w:tr w:rsidR="00A876F3" w:rsidRPr="0088780C" w14:paraId="55049D5D" w14:textId="77777777" w:rsidTr="006972AD">
        <w:tc>
          <w:tcPr>
            <w:tcW w:w="779" w:type="pct"/>
            <w:shd w:val="clear" w:color="auto" w:fill="auto"/>
          </w:tcPr>
          <w:p w14:paraId="4E15055B" w14:textId="77777777" w:rsidR="00A876F3" w:rsidRPr="0088780C" w:rsidRDefault="00A876F3" w:rsidP="009742EA">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Importance for threatened, endangered or declining species and/or habitats</w:t>
            </w:r>
          </w:p>
        </w:tc>
        <w:tc>
          <w:tcPr>
            <w:tcW w:w="2280" w:type="pct"/>
            <w:shd w:val="clear" w:color="auto" w:fill="auto"/>
          </w:tcPr>
          <w:p w14:paraId="177B4AF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6FF8274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0" w:type="pct"/>
            <w:gridSpan w:val="2"/>
            <w:shd w:val="clear" w:color="auto" w:fill="auto"/>
          </w:tcPr>
          <w:p w14:paraId="1E0762B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1C63395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c>
          <w:tcPr>
            <w:tcW w:w="436" w:type="pct"/>
            <w:gridSpan w:val="2"/>
            <w:shd w:val="clear" w:color="auto" w:fill="auto"/>
          </w:tcPr>
          <w:p w14:paraId="259B61D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r>
      <w:tr w:rsidR="00A876F3" w:rsidRPr="0088780C" w14:paraId="2F1B6FD1" w14:textId="77777777" w:rsidTr="006972AD">
        <w:tc>
          <w:tcPr>
            <w:tcW w:w="5000" w:type="pct"/>
            <w:gridSpan w:val="11"/>
            <w:shd w:val="clear" w:color="auto" w:fill="auto"/>
          </w:tcPr>
          <w:p w14:paraId="2D15DE17"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kern w:val="22"/>
                <w:szCs w:val="22"/>
              </w:rPr>
            </w:pPr>
            <w:r w:rsidRPr="0088780C">
              <w:rPr>
                <w:rFonts w:eastAsia="MS Mincho"/>
                <w:i/>
                <w:snapToGrid w:val="0"/>
                <w:kern w:val="22"/>
                <w:szCs w:val="22"/>
              </w:rPr>
              <w:t>Explanation for ranking</w:t>
            </w:r>
          </w:p>
          <w:p w14:paraId="3AF5E203"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The area is important for migration and feeding of Russian sturgeon (</w:t>
            </w:r>
            <w:r w:rsidRPr="0088780C">
              <w:rPr>
                <w:rFonts w:eastAsia="MS Mincho"/>
                <w:i/>
                <w:snapToGrid w:val="0"/>
                <w:kern w:val="22"/>
                <w:szCs w:val="22"/>
              </w:rPr>
              <w:t>Acipenser gueldenstaedtii</w:t>
            </w:r>
            <w:r w:rsidRPr="0088780C">
              <w:rPr>
                <w:rFonts w:eastAsia="MS Mincho"/>
                <w:snapToGrid w:val="0"/>
                <w:kern w:val="22"/>
                <w:szCs w:val="22"/>
              </w:rPr>
              <w:t>) and starry sturgeon (</w:t>
            </w:r>
            <w:r w:rsidRPr="0088780C">
              <w:rPr>
                <w:rFonts w:eastAsia="MS Mincho"/>
                <w:i/>
                <w:snapToGrid w:val="0"/>
                <w:kern w:val="22"/>
                <w:szCs w:val="22"/>
              </w:rPr>
              <w:t>Acipenser stellatus</w:t>
            </w:r>
            <w:r w:rsidRPr="0088780C">
              <w:rPr>
                <w:rFonts w:eastAsia="MS Mincho"/>
                <w:snapToGrid w:val="0"/>
                <w:kern w:val="22"/>
                <w:szCs w:val="22"/>
              </w:rPr>
              <w:t>) (IUCN: CR). Currently the population is extremely depleted and is monitored using non-lethal catching and genetic sampling (Chepurnaya, 2017). A relic lake, LakeAbrau, harbours a population of endemic species, Abrau sprat (</w:t>
            </w:r>
            <w:r w:rsidRPr="0088780C">
              <w:rPr>
                <w:rFonts w:eastAsia="MS Mincho"/>
                <w:i/>
                <w:snapToGrid w:val="0"/>
                <w:kern w:val="22"/>
                <w:szCs w:val="22"/>
              </w:rPr>
              <w:t>Clupeonella abrau</w:t>
            </w:r>
            <w:r w:rsidRPr="0088780C">
              <w:rPr>
                <w:rFonts w:eastAsia="MS Mincho"/>
                <w:snapToGrid w:val="0"/>
                <w:kern w:val="22"/>
                <w:szCs w:val="22"/>
              </w:rPr>
              <w:t>), which is listed in the Red Data Book of the Russian Federation and the IUCN Red List as critically endangered.</w:t>
            </w:r>
          </w:p>
          <w:p w14:paraId="05EC55C6" w14:textId="0739A506"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 xml:space="preserve">A community of the declining algae species </w:t>
            </w:r>
            <w:r w:rsidRPr="0088780C">
              <w:rPr>
                <w:rFonts w:eastAsia="MS Mincho"/>
                <w:i/>
                <w:snapToGrid w:val="0"/>
                <w:kern w:val="22"/>
                <w:szCs w:val="22"/>
              </w:rPr>
              <w:t xml:space="preserve">Phyllophora crispa </w:t>
            </w:r>
            <w:r w:rsidR="009742EA" w:rsidRPr="0088780C">
              <w:rPr>
                <w:rFonts w:eastAsia="MS Mincho"/>
                <w:snapToGrid w:val="0"/>
                <w:kern w:val="22"/>
                <w:szCs w:val="22"/>
              </w:rPr>
              <w:t xml:space="preserve">forms a belt </w:t>
            </w:r>
            <w:r w:rsidRPr="0088780C">
              <w:rPr>
                <w:rFonts w:eastAsia="MS Mincho"/>
                <w:snapToGrid w:val="0"/>
                <w:kern w:val="22"/>
                <w:szCs w:val="22"/>
              </w:rPr>
              <w:t>along the coast of the area (Simakova and Maximova, 2009).</w:t>
            </w:r>
          </w:p>
          <w:p w14:paraId="56A347B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51045AC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yelkouan shearwater (</w:t>
            </w:r>
            <w:r w:rsidRPr="0088780C">
              <w:rPr>
                <w:rFonts w:eastAsia="MS Mincho"/>
                <w:i/>
                <w:snapToGrid w:val="0"/>
                <w:kern w:val="22"/>
                <w:szCs w:val="22"/>
              </w:rPr>
              <w:t xml:space="preserve">Puffinus yelkouan), </w:t>
            </w:r>
            <w:r w:rsidRPr="0088780C">
              <w:rPr>
                <w:rFonts w:eastAsia="MS Mincho"/>
                <w:snapToGrid w:val="0"/>
                <w:kern w:val="22"/>
                <w:szCs w:val="22"/>
              </w:rPr>
              <w:t>a globally threatened seabird species listed as vulnerable by IUCN, is known to occur in the area (BirdLife International 2017) –. The area also overlaps with the distribution range of other vulnerable species, including the horned grebe (</w:t>
            </w:r>
            <w:r w:rsidRPr="0088780C">
              <w:rPr>
                <w:rFonts w:eastAsia="MS Mincho"/>
                <w:i/>
                <w:snapToGrid w:val="0"/>
                <w:kern w:val="22"/>
                <w:szCs w:val="22"/>
              </w:rPr>
              <w:t>Podiceps auritus)</w:t>
            </w:r>
            <w:r w:rsidRPr="0088780C">
              <w:rPr>
                <w:rFonts w:eastAsia="MS Mincho"/>
                <w:snapToGrid w:val="0"/>
                <w:kern w:val="22"/>
                <w:szCs w:val="22"/>
              </w:rPr>
              <w:t>.</w:t>
            </w:r>
          </w:p>
        </w:tc>
      </w:tr>
      <w:tr w:rsidR="00A876F3" w:rsidRPr="0088780C" w14:paraId="5EAECE1F" w14:textId="77777777" w:rsidTr="006972AD">
        <w:tc>
          <w:tcPr>
            <w:tcW w:w="779" w:type="pct"/>
            <w:shd w:val="clear" w:color="auto" w:fill="auto"/>
          </w:tcPr>
          <w:p w14:paraId="4A9D718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Vulnerability, fragility, sensitivity, or slow recovery</w:t>
            </w:r>
          </w:p>
        </w:tc>
        <w:tc>
          <w:tcPr>
            <w:tcW w:w="2280" w:type="pct"/>
            <w:shd w:val="clear" w:color="auto" w:fill="auto"/>
          </w:tcPr>
          <w:p w14:paraId="15182DC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5BA0921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0" w:type="pct"/>
            <w:gridSpan w:val="2"/>
            <w:shd w:val="clear" w:color="auto" w:fill="auto"/>
          </w:tcPr>
          <w:p w14:paraId="3A12618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6E34C06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36" w:type="pct"/>
            <w:gridSpan w:val="2"/>
            <w:shd w:val="clear" w:color="auto" w:fill="auto"/>
          </w:tcPr>
          <w:p w14:paraId="78C5FE0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76D812F2" w14:textId="77777777" w:rsidTr="006972AD">
        <w:tc>
          <w:tcPr>
            <w:tcW w:w="5000" w:type="pct"/>
            <w:gridSpan w:val="11"/>
            <w:shd w:val="clear" w:color="auto" w:fill="auto"/>
          </w:tcPr>
          <w:p w14:paraId="7326600A"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kern w:val="22"/>
                <w:szCs w:val="22"/>
              </w:rPr>
            </w:pPr>
            <w:r w:rsidRPr="0088780C">
              <w:rPr>
                <w:rFonts w:eastAsia="MS Mincho"/>
                <w:i/>
                <w:snapToGrid w:val="0"/>
                <w:kern w:val="22"/>
                <w:szCs w:val="22"/>
              </w:rPr>
              <w:t>Explanation for ranking</w:t>
            </w:r>
          </w:p>
          <w:p w14:paraId="223F453D"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snapToGrid w:val="0"/>
                <w:kern w:val="22"/>
                <w:szCs w:val="22"/>
              </w:rPr>
              <w:t xml:space="preserve">The declining species </w:t>
            </w:r>
            <w:r w:rsidRPr="0088780C">
              <w:rPr>
                <w:rFonts w:eastAsia="MS Mincho"/>
                <w:i/>
                <w:snapToGrid w:val="0"/>
                <w:kern w:val="22"/>
                <w:szCs w:val="22"/>
              </w:rPr>
              <w:t>Phyllophora crispa</w:t>
            </w:r>
            <w:r w:rsidRPr="0088780C">
              <w:rPr>
                <w:rFonts w:eastAsia="MS Mincho"/>
                <w:snapToGrid w:val="0"/>
                <w:kern w:val="22"/>
                <w:szCs w:val="22"/>
              </w:rPr>
              <w:t xml:space="preserve"> lives in the area at the limit of its distribution. It appears to be vulnerable to several natural and antropogenic factors owing to its biological characteristics (Simakova and Maximova, 2009). The biomass of the </w:t>
            </w:r>
            <w:r w:rsidRPr="0088780C">
              <w:rPr>
                <w:rFonts w:eastAsia="MS Mincho"/>
                <w:i/>
                <w:snapToGrid w:val="0"/>
                <w:kern w:val="22"/>
                <w:szCs w:val="22"/>
              </w:rPr>
              <w:t>Phyllophora</w:t>
            </w:r>
            <w:r w:rsidRPr="0088780C">
              <w:rPr>
                <w:rFonts w:eastAsia="MS Mincho"/>
                <w:snapToGrid w:val="0"/>
                <w:kern w:val="22"/>
                <w:szCs w:val="22"/>
              </w:rPr>
              <w:t xml:space="preserve"> </w:t>
            </w:r>
            <w:r w:rsidRPr="0088780C">
              <w:rPr>
                <w:rFonts w:eastAsia="MS Mincho"/>
                <w:i/>
                <w:snapToGrid w:val="0"/>
                <w:kern w:val="22"/>
                <w:szCs w:val="22"/>
              </w:rPr>
              <w:t>crispa</w:t>
            </w:r>
            <w:r w:rsidRPr="0088780C">
              <w:rPr>
                <w:rFonts w:eastAsia="MS Mincho"/>
                <w:snapToGrid w:val="0"/>
                <w:kern w:val="22"/>
                <w:szCs w:val="22"/>
              </w:rPr>
              <w:t xml:space="preserve"> along the coast</w:t>
            </w:r>
            <w:r w:rsidRPr="0088780C">
              <w:rPr>
                <w:rFonts w:eastAsia="MS Mincho"/>
                <w:i/>
                <w:snapToGrid w:val="0"/>
                <w:kern w:val="22"/>
                <w:szCs w:val="22"/>
              </w:rPr>
              <w:t xml:space="preserve"> </w:t>
            </w:r>
            <w:r w:rsidRPr="0088780C">
              <w:rPr>
                <w:rFonts w:eastAsia="MS Mincho"/>
                <w:snapToGrid w:val="0"/>
                <w:kern w:val="22"/>
                <w:szCs w:val="22"/>
              </w:rPr>
              <w:t xml:space="preserve">decreased several times (and even by an order of magnitude) between 1990 and 2008. This was not simply a case of a loss of a single species. The </w:t>
            </w:r>
            <w:r w:rsidRPr="0088780C">
              <w:rPr>
                <w:rFonts w:eastAsia="MS Mincho"/>
                <w:i/>
                <w:snapToGrid w:val="0"/>
                <w:kern w:val="22"/>
                <w:szCs w:val="22"/>
              </w:rPr>
              <w:t>Phyllophora</w:t>
            </w:r>
            <w:r w:rsidRPr="0088780C">
              <w:rPr>
                <w:rFonts w:eastAsia="MS Mincho"/>
                <w:snapToGrid w:val="0"/>
                <w:kern w:val="22"/>
                <w:szCs w:val="22"/>
              </w:rPr>
              <w:t xml:space="preserve"> thalii are inhabited by abundant epifauna species (more than 130) (Rybnikov, 1993), therefore the decrease of </w:t>
            </w:r>
            <w:r w:rsidRPr="0088780C">
              <w:rPr>
                <w:rFonts w:eastAsia="MS Mincho"/>
                <w:i/>
                <w:snapToGrid w:val="0"/>
                <w:kern w:val="22"/>
                <w:szCs w:val="22"/>
              </w:rPr>
              <w:t>Phyllophora</w:t>
            </w:r>
            <w:r w:rsidRPr="0088780C">
              <w:rPr>
                <w:rFonts w:eastAsia="MS Mincho"/>
                <w:snapToGrid w:val="0"/>
                <w:kern w:val="22"/>
                <w:szCs w:val="22"/>
              </w:rPr>
              <w:t xml:space="preserve"> doubtless caused the loss of epifauna. No recovery has been observed yet (Simakova and Maximova, 2009)</w:t>
            </w:r>
          </w:p>
          <w:p w14:paraId="704FF45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snapToGrid w:val="0"/>
                <w:kern w:val="22"/>
                <w:szCs w:val="22"/>
              </w:rPr>
              <w:t>The vulnerable yelkouan shearwater is a long-lived species, with low fecundity rates and delayed sexual maturity. As such, the yelkouan shearwater is particularly vulnerable to factors increasing adult mortality rates, such as by-catch in fisheries and other at-sea threats, which are often the major causes of population decline (Anderson et al. 2011; Oppel et al. 2011).</w:t>
            </w:r>
          </w:p>
          <w:p w14:paraId="465CF2B6"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Cs/>
                <w:snapToGrid w:val="0"/>
                <w:kern w:val="22"/>
                <w:szCs w:val="22"/>
              </w:rPr>
              <w:t>The presence of such species (which may be complemented by such long-living, slow growing fish species as sturgeons and Black Sea turbot) makes the area highly vulnerable.</w:t>
            </w:r>
          </w:p>
        </w:tc>
      </w:tr>
      <w:tr w:rsidR="00A876F3" w:rsidRPr="0088780C" w14:paraId="3C612E2A" w14:textId="77777777" w:rsidTr="006972AD">
        <w:tc>
          <w:tcPr>
            <w:tcW w:w="779" w:type="pct"/>
            <w:shd w:val="clear" w:color="auto" w:fill="auto"/>
          </w:tcPr>
          <w:p w14:paraId="5A5BBE2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Biological productivity</w:t>
            </w:r>
          </w:p>
        </w:tc>
        <w:tc>
          <w:tcPr>
            <w:tcW w:w="2280" w:type="pct"/>
            <w:shd w:val="clear" w:color="auto" w:fill="auto"/>
          </w:tcPr>
          <w:p w14:paraId="0C9AE24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containing species, populations or communities with comparatively higher natural biological productivity.</w:t>
            </w:r>
          </w:p>
        </w:tc>
        <w:tc>
          <w:tcPr>
            <w:tcW w:w="684" w:type="pct"/>
            <w:gridSpan w:val="3"/>
            <w:shd w:val="clear" w:color="auto" w:fill="auto"/>
          </w:tcPr>
          <w:p w14:paraId="2CE72D7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0" w:type="pct"/>
            <w:gridSpan w:val="2"/>
            <w:shd w:val="clear" w:color="auto" w:fill="auto"/>
          </w:tcPr>
          <w:p w14:paraId="3BC7CAC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7ABB15F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c>
          <w:tcPr>
            <w:tcW w:w="436" w:type="pct"/>
            <w:gridSpan w:val="2"/>
            <w:shd w:val="clear" w:color="auto" w:fill="auto"/>
          </w:tcPr>
          <w:p w14:paraId="7647D27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r>
      <w:tr w:rsidR="00A876F3" w:rsidRPr="0088780C" w14:paraId="18B2C11A" w14:textId="77777777" w:rsidTr="006972AD">
        <w:tc>
          <w:tcPr>
            <w:tcW w:w="5000" w:type="pct"/>
            <w:gridSpan w:val="11"/>
            <w:shd w:val="clear" w:color="auto" w:fill="auto"/>
          </w:tcPr>
          <w:p w14:paraId="7734D77F"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kern w:val="22"/>
                <w:szCs w:val="22"/>
              </w:rPr>
            </w:pPr>
            <w:r w:rsidRPr="0088780C">
              <w:rPr>
                <w:rFonts w:eastAsia="MS Mincho"/>
                <w:i/>
                <w:snapToGrid w:val="0"/>
                <w:kern w:val="22"/>
                <w:szCs w:val="22"/>
              </w:rPr>
              <w:t>Explanation for ranking</w:t>
            </w:r>
          </w:p>
          <w:p w14:paraId="413C25F6" w14:textId="4856526C"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Complex oceanographical conditions over the relatively broad shelf and slope of the area, including mesoscale circulation and upwelling, transport of nutrients with numerous rivers of the Caucasian coast and the Sea of Azov waters via the Kerch Strait, result in relatively high pelagic productivity of the north-eastern shelf and slope, making this a productive area of the Black Sea, although not reaching the maximum productivity criteria at the regional scale (Vinogradov et al., 1992; Vedernikov and Demidov</w:t>
            </w:r>
            <w:r w:rsidR="009742EA" w:rsidRPr="0088780C">
              <w:rPr>
                <w:rFonts w:eastAsia="MS Mincho"/>
                <w:snapToGrid w:val="0"/>
                <w:kern w:val="22"/>
                <w:szCs w:val="22"/>
              </w:rPr>
              <w:t>, 2002; Vostokov et al., 2002).</w:t>
            </w:r>
          </w:p>
          <w:p w14:paraId="3B892DE7"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Biomass of macrophyto- and macrozoobenthos are relatively high although not maximal for the Black Sea (Maximova and Luchina, 2002; Kucheruk et al., 2002; Kozlovsky, 2008; Chikina, 2009).</w:t>
            </w:r>
          </w:p>
        </w:tc>
      </w:tr>
      <w:tr w:rsidR="00A876F3" w:rsidRPr="0088780C" w14:paraId="16CAB20C" w14:textId="77777777" w:rsidTr="00D2608D">
        <w:trPr>
          <w:cantSplit/>
        </w:trPr>
        <w:tc>
          <w:tcPr>
            <w:tcW w:w="779" w:type="pct"/>
            <w:shd w:val="clear" w:color="auto" w:fill="auto"/>
          </w:tcPr>
          <w:p w14:paraId="1CA6AF2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Biological diversity</w:t>
            </w:r>
          </w:p>
        </w:tc>
        <w:tc>
          <w:tcPr>
            <w:tcW w:w="2280" w:type="pct"/>
            <w:shd w:val="clear" w:color="auto" w:fill="auto"/>
          </w:tcPr>
          <w:p w14:paraId="419B3C0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contains comparatively higher diversity of ecosystems, habitats, communities, or species, or has higher genetic diversity.</w:t>
            </w:r>
          </w:p>
        </w:tc>
        <w:tc>
          <w:tcPr>
            <w:tcW w:w="684" w:type="pct"/>
            <w:gridSpan w:val="3"/>
            <w:shd w:val="clear" w:color="auto" w:fill="auto"/>
          </w:tcPr>
          <w:p w14:paraId="7B5B650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0" w:type="pct"/>
            <w:gridSpan w:val="2"/>
            <w:shd w:val="clear" w:color="auto" w:fill="auto"/>
          </w:tcPr>
          <w:p w14:paraId="7C3EF6F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11" w:type="pct"/>
            <w:gridSpan w:val="2"/>
            <w:shd w:val="clear" w:color="auto" w:fill="auto"/>
          </w:tcPr>
          <w:p w14:paraId="1695115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p>
        </w:tc>
        <w:tc>
          <w:tcPr>
            <w:tcW w:w="436" w:type="pct"/>
            <w:gridSpan w:val="2"/>
            <w:shd w:val="clear" w:color="auto" w:fill="auto"/>
          </w:tcPr>
          <w:p w14:paraId="6FC5EAB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10F3C585" w14:textId="77777777" w:rsidTr="006972AD">
        <w:tc>
          <w:tcPr>
            <w:tcW w:w="5000" w:type="pct"/>
            <w:gridSpan w:val="11"/>
            <w:shd w:val="clear" w:color="auto" w:fill="auto"/>
          </w:tcPr>
          <w:p w14:paraId="791D2D21"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kern w:val="22"/>
                <w:szCs w:val="22"/>
              </w:rPr>
            </w:pPr>
            <w:r w:rsidRPr="0088780C">
              <w:rPr>
                <w:rFonts w:eastAsia="MS Mincho"/>
                <w:i/>
                <w:snapToGrid w:val="0"/>
                <w:kern w:val="22"/>
                <w:szCs w:val="22"/>
              </w:rPr>
              <w:t>Explanation for ranking</w:t>
            </w:r>
          </w:p>
          <w:p w14:paraId="6F5942B9" w14:textId="6143C692"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 xml:space="preserve">The area contains a variety of coastal marine biotopes, including sandy spits and shallow sandy flats, shallow shelf carbonate banks (i.e., Maria Magdalene Bank) (Petrov, 1961; Mitiaseva, 2003), clay reefs of Zheleznyi Rog Cape (V.A. Spiridonov, pers. comm.), sandy, muddy and gravel biotopes of the shelf (Kucheruk et al., 2002; Chikina, 2010), ridged submerged benches (Petrov, 1961; Maximova, Luchina, 2002; Simakova and Maximova 2009), biotopes of underwater landfall of Utrish coast (Papunov et al., 2016), biotopes of saltwater lagoons (limans) with higher salinity than in adjacent sea. It harbours most marine algae, invertebrate and fish species of the </w:t>
            </w:r>
            <w:r w:rsidR="00D65B3C" w:rsidRPr="0088780C">
              <w:rPr>
                <w:rFonts w:eastAsia="MS Mincho"/>
                <w:snapToGrid w:val="0"/>
                <w:kern w:val="22"/>
                <w:szCs w:val="22"/>
              </w:rPr>
              <w:t>south-west</w:t>
            </w:r>
            <w:r w:rsidRPr="0088780C">
              <w:rPr>
                <w:rFonts w:eastAsia="MS Mincho"/>
                <w:snapToGrid w:val="0"/>
                <w:kern w:val="22"/>
                <w:szCs w:val="22"/>
              </w:rPr>
              <w:t>ern Black Sea, except those species that are confined to areas of higher salinity.</w:t>
            </w:r>
          </w:p>
          <w:p w14:paraId="4E61973C"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The flora of macroalgae is relatively rich and includes 120-140 species (Kalugina-Gutnik, 1975; Teubova, 2012).</w:t>
            </w:r>
          </w:p>
        </w:tc>
      </w:tr>
      <w:tr w:rsidR="00A876F3" w:rsidRPr="0088780C" w14:paraId="48A011A3" w14:textId="77777777" w:rsidTr="006972AD">
        <w:tc>
          <w:tcPr>
            <w:tcW w:w="783" w:type="pct"/>
            <w:shd w:val="clear" w:color="auto" w:fill="auto"/>
          </w:tcPr>
          <w:p w14:paraId="72ED484B"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kern w:val="22"/>
                <w:szCs w:val="22"/>
              </w:rPr>
            </w:pPr>
            <w:r w:rsidRPr="0088780C">
              <w:rPr>
                <w:rFonts w:eastAsia="MS Mincho"/>
                <w:b/>
                <w:snapToGrid w:val="0"/>
                <w:kern w:val="22"/>
                <w:szCs w:val="22"/>
              </w:rPr>
              <w:t>Naturalness</w:t>
            </w:r>
          </w:p>
        </w:tc>
        <w:tc>
          <w:tcPr>
            <w:tcW w:w="2295" w:type="pct"/>
            <w:gridSpan w:val="2"/>
            <w:shd w:val="clear" w:color="auto" w:fill="auto"/>
          </w:tcPr>
          <w:p w14:paraId="13FB624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2DF703F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p>
        </w:tc>
        <w:tc>
          <w:tcPr>
            <w:tcW w:w="453" w:type="pct"/>
            <w:gridSpan w:val="2"/>
            <w:shd w:val="clear" w:color="auto" w:fill="auto"/>
          </w:tcPr>
          <w:p w14:paraId="785F9BA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p>
        </w:tc>
        <w:tc>
          <w:tcPr>
            <w:tcW w:w="400" w:type="pct"/>
            <w:gridSpan w:val="2"/>
            <w:shd w:val="clear" w:color="auto" w:fill="auto"/>
          </w:tcPr>
          <w:p w14:paraId="06E2503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r w:rsidRPr="0088780C">
              <w:rPr>
                <w:rFonts w:eastAsia="MS Mincho"/>
                <w:snapToGrid w:val="0"/>
                <w:kern w:val="22"/>
                <w:szCs w:val="22"/>
              </w:rPr>
              <w:t>X</w:t>
            </w:r>
          </w:p>
        </w:tc>
        <w:tc>
          <w:tcPr>
            <w:tcW w:w="385" w:type="pct"/>
            <w:shd w:val="clear" w:color="auto" w:fill="auto"/>
          </w:tcPr>
          <w:p w14:paraId="332C615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p>
        </w:tc>
      </w:tr>
      <w:tr w:rsidR="00A876F3" w:rsidRPr="0088780C" w14:paraId="3FFFC291" w14:textId="77777777" w:rsidTr="006972AD">
        <w:tc>
          <w:tcPr>
            <w:tcW w:w="5000" w:type="pct"/>
            <w:gridSpan w:val="11"/>
            <w:shd w:val="clear" w:color="auto" w:fill="auto"/>
          </w:tcPr>
          <w:p w14:paraId="3FD186C9"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kern w:val="22"/>
                <w:szCs w:val="22"/>
              </w:rPr>
            </w:pPr>
            <w:r w:rsidRPr="0088780C">
              <w:rPr>
                <w:rFonts w:eastAsia="MS Mincho"/>
                <w:i/>
                <w:snapToGrid w:val="0"/>
                <w:kern w:val="22"/>
                <w:szCs w:val="22"/>
              </w:rPr>
              <w:t>Explanation for ranking</w:t>
            </w:r>
          </w:p>
          <w:p w14:paraId="642CAE6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 xml:space="preserve">The area has been under anthropogenic influence, such as fishing, shipping and coastal construction, since ancient times. The coastal ecosystem has been affected by eutrophication and siltification (Terentiev, 2013), overfishing (particularly depleted are stocks of sturgeons, Black Sea herring, Black Sea turbot (Drozdov, 2011; Kumantsov, 2013), and invasion of alien species, such as comb jelly and rapana, which strongly influence the current dynamics of the ecosystem (Bologa et al., 1995; Vinogradov et al., 2000; Kucheruk et al., 2002; </w:t>
            </w:r>
            <w:r w:rsidRPr="0088780C">
              <w:rPr>
                <w:bCs/>
                <w:snapToGrid w:val="0"/>
                <w:kern w:val="22"/>
                <w:szCs w:val="22"/>
              </w:rPr>
              <w:t>Leppäkosski</w:t>
            </w:r>
            <w:r w:rsidRPr="0088780C">
              <w:rPr>
                <w:rFonts w:eastAsia="MS Mincho"/>
                <w:snapToGrid w:val="0"/>
                <w:kern w:val="22"/>
                <w:szCs w:val="22"/>
              </w:rPr>
              <w:t xml:space="preserve"> et al., Chikina, 2009; Pereladov, 2013).</w:t>
            </w:r>
          </w:p>
          <w:p w14:paraId="212C6A8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snapToGrid w:val="0"/>
                <w:kern w:val="22"/>
                <w:szCs w:val="22"/>
                <w:shd w:val="clear" w:color="auto" w:fill="FFFFFF"/>
              </w:rPr>
              <w:t xml:space="preserve">The area has been thus under anthropogenic influence for several decades decades and continues to be so. However, </w:t>
            </w:r>
            <w:r w:rsidRPr="0088780C">
              <w:rPr>
                <w:rFonts w:eastAsia="MS Mincho"/>
                <w:snapToGrid w:val="0"/>
                <w:kern w:val="22"/>
                <w:szCs w:val="22"/>
              </w:rPr>
              <w:t>in general, as a relatively young marine ecosystem, which is still forming since the connection of the Black Sea and the Mediterranean in the Holocene, the Black Sea ecosystem is highly dynamic by its very nature. Most of its marine species are recent Mediterranean migrants, which have significant adaptability. S</w:t>
            </w:r>
            <w:r w:rsidRPr="0088780C">
              <w:rPr>
                <w:snapToGrid w:val="0"/>
                <w:kern w:val="22"/>
                <w:szCs w:val="22"/>
                <w:shd w:val="clear" w:color="auto" w:fill="FFFFFF"/>
              </w:rPr>
              <w:t>ignificant extension of the rocky shore restricts economic activities, thus maintaining more or less natural conditions in the coastal zone outside of such towns as Novorossiysk, Anapa and Gelendzhik and several smaller settlements (fig.6). The strictly protected nature reserve (zapovednik) Utrish was established in 2012. It protects some representative and distinct biotopes of the rocky coastal zone.</w:t>
            </w:r>
          </w:p>
        </w:tc>
      </w:tr>
    </w:tbl>
    <w:p w14:paraId="51D80260"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kern w:val="22"/>
          <w:szCs w:val="22"/>
        </w:rPr>
      </w:pPr>
    </w:p>
    <w:p w14:paraId="66E0049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3B1C643A" w14:textId="77777777" w:rsidR="00A876F3" w:rsidRPr="0088780C" w:rsidRDefault="00A876F3" w:rsidP="007920ED">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4B3DE354"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Afanasyev DF, Abdullin Sh. R., Sereda MM. 2012.  Ecological and Floristic Classification of Bottom Vegetation of the Russian Shelf of the Black Sea // Izvestiya Samara Scientific Center, Russian Academy of Sciences. №. 14. - Vol. 1-4. P. 963-966.</w:t>
      </w:r>
    </w:p>
    <w:p w14:paraId="2046FAB0"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snapToGrid w:val="0"/>
          <w:kern w:val="22"/>
          <w:szCs w:val="22"/>
        </w:rPr>
        <w:t xml:space="preserve">Anderson, O.R.J., Small, C., Croxall, J.P., Dunn, E.K., Sullivan, B.J., Yates, O. &amp; Black, A., 2011. Global seabird bycatch in longline fisheries. Endangered Species Research 14: 91–106. </w:t>
      </w:r>
    </w:p>
    <w:p w14:paraId="5E0BFE5D"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snapToGrid w:val="0"/>
          <w:kern w:val="22"/>
          <w:szCs w:val="22"/>
        </w:rPr>
        <w:t>BirdLife International. http://www.birdlife.org. 2017.</w:t>
      </w:r>
    </w:p>
    <w:p w14:paraId="0D2A1A1E"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BirdLife International, 2017a. Marine IBA e-atlas. Delivering sites networks for seabird conservation. Accessed from https://maps.birdlife.org/marineIBAs/default.html on 10/03/2017.</w:t>
      </w:r>
    </w:p>
    <w:p w14:paraId="2338ACB1"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BirdLife International, 2017b. Species factsheet: </w:t>
      </w:r>
      <w:r w:rsidRPr="0088780C">
        <w:rPr>
          <w:i/>
          <w:snapToGrid w:val="0"/>
          <w:kern w:val="22"/>
          <w:szCs w:val="22"/>
        </w:rPr>
        <w:t>Puffinus yelkouan</w:t>
      </w:r>
      <w:r w:rsidRPr="0088780C">
        <w:rPr>
          <w:snapToGrid w:val="0"/>
          <w:kern w:val="22"/>
          <w:szCs w:val="22"/>
        </w:rPr>
        <w:t>. Downloaded from http://www.birdlife.org on 10/03/2017.</w:t>
      </w:r>
    </w:p>
    <w:p w14:paraId="5045DA31" w14:textId="77777777" w:rsidR="00A876F3" w:rsidRPr="0088780C" w:rsidRDefault="00A876F3" w:rsidP="007920ED">
      <w:pPr>
        <w:pStyle w:val="EndnoteText"/>
        <w:widowControl/>
        <w:suppressLineNumbers/>
        <w:kinsoku w:val="0"/>
        <w:overflowPunct w:val="0"/>
        <w:autoSpaceDE w:val="0"/>
        <w:autoSpaceDN w:val="0"/>
        <w:adjustRightInd w:val="0"/>
        <w:spacing w:after="60"/>
        <w:ind w:left="720" w:hanging="720"/>
        <w:rPr>
          <w:rFonts w:ascii="Times New Roman" w:hAnsi="Times New Roman"/>
          <w:bCs/>
          <w:snapToGrid w:val="0"/>
          <w:kern w:val="22"/>
          <w:szCs w:val="22"/>
        </w:rPr>
      </w:pPr>
      <w:r w:rsidRPr="0088780C">
        <w:rPr>
          <w:rFonts w:ascii="Times New Roman" w:hAnsi="Times New Roman"/>
          <w:bCs/>
          <w:snapToGrid w:val="0"/>
          <w:kern w:val="22"/>
          <w:szCs w:val="22"/>
        </w:rPr>
        <w:t>Bologa A. S., Bodeanu N., Petran A., Tiganus V. and Zaitsev Yu.P.</w:t>
      </w:r>
      <w:r w:rsidRPr="0088780C">
        <w:rPr>
          <w:rFonts w:ascii="Times New Roman" w:hAnsi="Times New Roman"/>
          <w:snapToGrid w:val="0"/>
          <w:kern w:val="22"/>
          <w:szCs w:val="22"/>
        </w:rPr>
        <w:t xml:space="preserve"> (1995) Major modifications of the Black Sea benthic and planktonic biota in the last three decades </w:t>
      </w:r>
      <w:r w:rsidRPr="0088780C">
        <w:rPr>
          <w:rFonts w:ascii="Times New Roman" w:hAnsi="Times New Roman"/>
          <w:i/>
          <w:iCs/>
          <w:snapToGrid w:val="0"/>
          <w:kern w:val="22"/>
          <w:szCs w:val="22"/>
        </w:rPr>
        <w:t xml:space="preserve">Bulletin de l'Institut océanographique. </w:t>
      </w:r>
      <w:r w:rsidRPr="0088780C">
        <w:rPr>
          <w:rFonts w:ascii="Times New Roman" w:hAnsi="Times New Roman"/>
          <w:snapToGrid w:val="0"/>
          <w:kern w:val="22"/>
          <w:szCs w:val="22"/>
        </w:rPr>
        <w:t>Monaco: Musée océanographique, pp. 85-110.</w:t>
      </w:r>
    </w:p>
    <w:p w14:paraId="22D0661D"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Chepurnaya T.A. 2017. Data justifying Total Allowable Catch of aquatic biological resour</w:t>
      </w:r>
      <w:r w:rsidRPr="0088780C">
        <w:rPr>
          <w:rFonts w:eastAsia="MS Mincho"/>
          <w:i/>
          <w:snapToGrid w:val="0"/>
          <w:kern w:val="22"/>
          <w:szCs w:val="22"/>
        </w:rPr>
        <w:t xml:space="preserve">ces </w:t>
      </w:r>
      <w:r w:rsidRPr="0088780C">
        <w:rPr>
          <w:rFonts w:eastAsia="MS Mincho"/>
          <w:snapToGrid w:val="0"/>
          <w:kern w:val="22"/>
          <w:szCs w:val="22"/>
        </w:rPr>
        <w:t>in the internal marine waters and the territorial sea of the Russian Federation in the Black Sea. Sturgeons: Russian sturgeon, Starry sturgeon. Rostov on Don: AzNIRH. http://azniirkh.ru/wp-content/uploads/2017/03/AzNIIRH_Materialyi-ODU_osetrovyie.pdf</w:t>
      </w:r>
    </w:p>
    <w:p w14:paraId="2FEA37FC" w14:textId="77777777" w:rsidR="00A876F3" w:rsidRPr="0088780C" w:rsidRDefault="00A876F3" w:rsidP="007920ED">
      <w:pPr>
        <w:pStyle w:val="EndnoteText"/>
        <w:widowControl/>
        <w:suppressLineNumbers/>
        <w:kinsoku w:val="0"/>
        <w:overflowPunct w:val="0"/>
        <w:autoSpaceDE w:val="0"/>
        <w:autoSpaceDN w:val="0"/>
        <w:adjustRightInd w:val="0"/>
        <w:spacing w:after="60"/>
        <w:ind w:left="720" w:hanging="720"/>
        <w:rPr>
          <w:rFonts w:ascii="Times New Roman" w:hAnsi="Times New Roman"/>
          <w:snapToGrid w:val="0"/>
          <w:kern w:val="22"/>
          <w:szCs w:val="22"/>
          <w:shd w:val="clear" w:color="auto" w:fill="FFFFFF"/>
        </w:rPr>
      </w:pPr>
      <w:r w:rsidRPr="0088780C">
        <w:rPr>
          <w:rFonts w:ascii="Times New Roman" w:hAnsi="Times New Roman"/>
          <w:bCs/>
          <w:snapToGrid w:val="0"/>
          <w:kern w:val="22"/>
          <w:szCs w:val="22"/>
        </w:rPr>
        <w:t xml:space="preserve">Chikina M.V. </w:t>
      </w:r>
      <w:r w:rsidRPr="0088780C">
        <w:rPr>
          <w:rFonts w:ascii="Times New Roman" w:hAnsi="Times New Roman"/>
          <w:snapToGrid w:val="0"/>
          <w:kern w:val="22"/>
          <w:szCs w:val="22"/>
        </w:rPr>
        <w:t xml:space="preserve">2009. </w:t>
      </w:r>
      <w:r w:rsidRPr="0088780C">
        <w:rPr>
          <w:rFonts w:ascii="Times New Roman" w:hAnsi="Times New Roman"/>
          <w:snapToGrid w:val="0"/>
          <w:kern w:val="22"/>
          <w:szCs w:val="22"/>
          <w:shd w:val="clear" w:color="auto" w:fill="FFFFFF"/>
        </w:rPr>
        <w:t xml:space="preserve">Maсrozoobenthos of soft bottom of North Caucasian Coast of the black Sea: the spatial structure and long-term dynamic. </w:t>
      </w:r>
      <w:r w:rsidRPr="0088780C">
        <w:rPr>
          <w:rFonts w:ascii="Times New Roman" w:hAnsi="Times New Roman"/>
          <w:snapToGrid w:val="0"/>
          <w:kern w:val="22"/>
          <w:szCs w:val="22"/>
        </w:rPr>
        <w:t xml:space="preserve">PhD thesis. </w:t>
      </w:r>
      <w:r w:rsidRPr="0088780C">
        <w:rPr>
          <w:rFonts w:ascii="Times New Roman" w:hAnsi="Times New Roman"/>
          <w:snapToGrid w:val="0"/>
          <w:kern w:val="22"/>
          <w:szCs w:val="22"/>
          <w:shd w:val="clear" w:color="auto" w:fill="FFFFFF"/>
        </w:rPr>
        <w:t>SIO RAS, Moscow. [in Russian]</w:t>
      </w:r>
    </w:p>
    <w:p w14:paraId="47728308" w14:textId="45E8CFFF"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shd w:val="clear" w:color="auto" w:fill="FFFFFF"/>
        </w:rPr>
        <w:t xml:space="preserve">Chikina M. V., Kucheruk N. V. 2005. Long-term changes in the structure of coastal benthic communities in the Northeastern part of the Black sea: influence of alien species. Russian </w:t>
      </w:r>
      <w:r w:rsidR="00557494" w:rsidRPr="0088780C">
        <w:rPr>
          <w:snapToGrid w:val="0"/>
          <w:kern w:val="22"/>
          <w:szCs w:val="22"/>
          <w:shd w:val="clear" w:color="auto" w:fill="FFFFFF"/>
        </w:rPr>
        <w:t>Academy of Sciences. Oceanology</w:t>
      </w:r>
      <w:r w:rsidRPr="0088780C">
        <w:rPr>
          <w:snapToGrid w:val="0"/>
          <w:kern w:val="22"/>
          <w:szCs w:val="22"/>
          <w:shd w:val="clear" w:color="auto" w:fill="FFFFFF"/>
        </w:rPr>
        <w:t>. – Т. 45.</w:t>
      </w:r>
    </w:p>
    <w:p w14:paraId="0F19A47F"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shd w:val="clear" w:color="auto" w:fill="FFFFFF"/>
        </w:rPr>
      </w:pPr>
      <w:r w:rsidRPr="0088780C">
        <w:rPr>
          <w:snapToGrid w:val="0"/>
          <w:kern w:val="22"/>
          <w:szCs w:val="22"/>
        </w:rPr>
        <w:t>Drozdov V.V. 2011. L</w:t>
      </w:r>
      <w:r w:rsidRPr="0088780C">
        <w:rPr>
          <w:bCs/>
          <w:snapToGrid w:val="0"/>
          <w:kern w:val="22"/>
          <w:szCs w:val="22"/>
        </w:rPr>
        <w:t>ong-term variability of fishery resources of the Black Sea: tendencies, the reasons and prospects.</w:t>
      </w:r>
      <w:r w:rsidRPr="0088780C">
        <w:rPr>
          <w:snapToGrid w:val="0"/>
          <w:kern w:val="22"/>
          <w:szCs w:val="22"/>
        </w:rPr>
        <w:t xml:space="preserve"> Scientific letters of the Russian state hydrometeorological university.    No. 21. - P. 137-154. </w:t>
      </w:r>
      <w:r w:rsidRPr="0088780C">
        <w:rPr>
          <w:snapToGrid w:val="0"/>
          <w:kern w:val="22"/>
          <w:szCs w:val="22"/>
          <w:shd w:val="clear" w:color="auto" w:fill="FFFFFF"/>
        </w:rPr>
        <w:t>[in Russian]</w:t>
      </w:r>
    </w:p>
    <w:p w14:paraId="65C866C3"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 xml:space="preserve">IUCN. The Red List. </w:t>
      </w:r>
      <w:hyperlink r:id="rId182" w:history="1">
        <w:r w:rsidRPr="0088780C">
          <w:rPr>
            <w:rStyle w:val="Hyperlink"/>
            <w:rFonts w:eastAsia="MS Mincho"/>
            <w:snapToGrid w:val="0"/>
            <w:kern w:val="22"/>
            <w:szCs w:val="22"/>
          </w:rPr>
          <w:t>http://www.iucnredlist.org</w:t>
        </w:r>
      </w:hyperlink>
      <w:r w:rsidRPr="0088780C">
        <w:rPr>
          <w:rFonts w:eastAsia="MS Mincho"/>
          <w:snapToGrid w:val="0"/>
          <w:kern w:val="22"/>
          <w:szCs w:val="22"/>
        </w:rPr>
        <w:t>. 2017</w:t>
      </w:r>
    </w:p>
    <w:p w14:paraId="541B43BF"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Kalugina-Gutnik A.A. 1975. Phytobenthos of the Black Sea. Kiev: Naukova Dumka, 247 p. (in Russian).</w:t>
      </w:r>
    </w:p>
    <w:p w14:paraId="3502C85C" w14:textId="458AE3DC"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Kucheruk N.V., Basin A.B., Kotov A.V., Chikina M.V. 2002. Macrobenthos of crumbly sediments of the Black Sea Caucasian Coast: long tern dynamics of the communities In: A.G.Zatsepin, M.V. Flint (Eds) Multidisciplinary Investigations of the Northeast part of the Black S</w:t>
      </w:r>
      <w:r w:rsidR="00557494" w:rsidRPr="0088780C">
        <w:rPr>
          <w:rFonts w:eastAsia="MS Mincho"/>
          <w:snapToGrid w:val="0"/>
          <w:kern w:val="22"/>
          <w:szCs w:val="22"/>
        </w:rPr>
        <w:t>ea. Moscow: Nauka, pp. 289-296.</w:t>
      </w:r>
    </w:p>
    <w:p w14:paraId="46CD4052"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lang w:eastAsia="ru-RU"/>
        </w:rPr>
      </w:pPr>
      <w:r w:rsidRPr="0088780C">
        <w:rPr>
          <w:snapToGrid w:val="0"/>
          <w:kern w:val="22"/>
          <w:szCs w:val="22"/>
          <w:lang w:eastAsia="ru-RU"/>
        </w:rPr>
        <w:t>Kuklev S.B. et al. .-2013. Influence of Atmospheric Synoptic Processes and Wind (Dynamic Factors) on Thermal Conditions and Precipitation in the Area of the North Caucasian Coast of the Black Sea by Long-Term Data (1955-2012) // Sovrem. Probl. Distance. Sensing the Earth from space10.  No. 1. - P. 81-92.</w:t>
      </w:r>
    </w:p>
    <w:p w14:paraId="4B296DE5"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lang w:eastAsia="ru-RU"/>
        </w:rPr>
      </w:pPr>
      <w:r w:rsidRPr="0088780C">
        <w:rPr>
          <w:snapToGrid w:val="0"/>
          <w:kern w:val="22"/>
          <w:szCs w:val="22"/>
          <w:lang w:eastAsia="ru-RU"/>
        </w:rPr>
        <w:t>Kumantsov MI. 2013. Black Sea flounder-kalkan: the state of reserves and the ways of their preservation and recovery. Proceedings. - T. 150.</w:t>
      </w:r>
    </w:p>
    <w:p w14:paraId="0F69B772"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lang w:eastAsia="ru-RU"/>
        </w:rPr>
      </w:pPr>
      <w:r w:rsidRPr="0088780C">
        <w:rPr>
          <w:bCs/>
          <w:snapToGrid w:val="0"/>
          <w:kern w:val="22"/>
          <w:szCs w:val="22"/>
        </w:rPr>
        <w:t xml:space="preserve">Leppäkosski E., Shiganova T. and Alexandrov B. </w:t>
      </w:r>
      <w:r w:rsidRPr="0088780C">
        <w:rPr>
          <w:snapToGrid w:val="0"/>
          <w:kern w:val="22"/>
          <w:szCs w:val="22"/>
        </w:rPr>
        <w:t xml:space="preserve">(2009) </w:t>
      </w:r>
      <w:r w:rsidRPr="0088780C">
        <w:rPr>
          <w:i/>
          <w:iCs/>
          <w:snapToGrid w:val="0"/>
          <w:kern w:val="22"/>
          <w:szCs w:val="22"/>
        </w:rPr>
        <w:t>European enclosed and semienclosed seas</w:t>
      </w:r>
      <w:r w:rsidRPr="0088780C">
        <w:rPr>
          <w:snapToGrid w:val="0"/>
          <w:kern w:val="22"/>
          <w:szCs w:val="22"/>
        </w:rPr>
        <w:t>. In: Rilov G. and Crooks (eds) Biological invasions in marine ecosystems. Berlin, Heidelberg: Springer, pp. 529–547.</w:t>
      </w:r>
    </w:p>
    <w:p w14:paraId="65AF4E4E" w14:textId="6F0697FF"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lang w:eastAsia="ru-RU"/>
        </w:rPr>
      </w:pPr>
      <w:r w:rsidRPr="0088780C">
        <w:rPr>
          <w:snapToGrid w:val="0"/>
          <w:kern w:val="22"/>
          <w:szCs w:val="22"/>
          <w:lang w:eastAsia="ru-RU"/>
        </w:rPr>
        <w:t>Maximova O.V. Moruchkova N.A.,</w:t>
      </w:r>
      <w:r w:rsidRPr="0088780C">
        <w:rPr>
          <w:bCs/>
          <w:snapToGrid w:val="0"/>
          <w:kern w:val="22"/>
          <w:szCs w:val="22"/>
          <w:lang w:eastAsia="ru-RU"/>
        </w:rPr>
        <w:t xml:space="preserve"> Simakova N.A.</w:t>
      </w:r>
      <w:r w:rsidRPr="0088780C">
        <w:rPr>
          <w:snapToGrid w:val="0"/>
          <w:kern w:val="22"/>
          <w:szCs w:val="22"/>
          <w:lang w:eastAsia="ru-RU"/>
        </w:rPr>
        <w:t xml:space="preserve"> 2008. Chapter 7 - State of Macrophytobenthos. 7.6. Northeastern (Russian) shelf area / State of the Environment of the Black Sea (2001 - 2006/7). Pub. of the Commission on the Protection of the Black Sea Against Pollutio</w:t>
      </w:r>
      <w:r w:rsidR="00557494" w:rsidRPr="0088780C">
        <w:rPr>
          <w:snapToGrid w:val="0"/>
          <w:kern w:val="22"/>
          <w:szCs w:val="22"/>
          <w:lang w:eastAsia="ru-RU"/>
        </w:rPr>
        <w:t>n (BSC): Istanbul,. P. 263-268.</w:t>
      </w:r>
    </w:p>
    <w:p w14:paraId="115BE187" w14:textId="6D8D9D96"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Maximova O.V., Luchina N.P. 2002. Modern state of macrophytobenthos off the northern Caucasian coast: a response to eutrophication of the Black Sea basin. In: A.G.Zatsepin, M.V. Flint (Eds) Multidisciplinary Investigations of the Northeast part of the Black S</w:t>
      </w:r>
      <w:r w:rsidR="00557494" w:rsidRPr="0088780C">
        <w:rPr>
          <w:rFonts w:eastAsia="MS Mincho"/>
          <w:snapToGrid w:val="0"/>
          <w:kern w:val="22"/>
          <w:szCs w:val="22"/>
        </w:rPr>
        <w:t>ea. Moscow: Nauka, pp. 297–308.</w:t>
      </w:r>
    </w:p>
    <w:p w14:paraId="0CE7ADB2"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Mitiaseva N. 2003. Contemporary macrophytobenthos of the North Caucasian coast. MS Thesis. Moscow: Biological Faculty of the Moscow University. 62 p.</w:t>
      </w:r>
    </w:p>
    <w:p w14:paraId="2EFF3B3D"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Ortega M.P., İsfendiyaroğlu S., 2017. Predicting foraging hotspots for Yelkouan Shearwater in the Black Sea. Deep-Sea Research Part II </w:t>
      </w:r>
      <w:r w:rsidRPr="0088780C">
        <w:rPr>
          <w:i/>
          <w:snapToGrid w:val="0"/>
          <w:kern w:val="22"/>
          <w:szCs w:val="22"/>
        </w:rPr>
        <w:t>in press</w:t>
      </w:r>
    </w:p>
    <w:p w14:paraId="10906822"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shd w:val="clear" w:color="auto" w:fill="FFFFFF"/>
        </w:rPr>
      </w:pPr>
      <w:r w:rsidRPr="0088780C">
        <w:rPr>
          <w:snapToGrid w:val="0"/>
          <w:kern w:val="22"/>
          <w:szCs w:val="22"/>
          <w:shd w:val="clear" w:color="auto" w:fill="FFFFFF"/>
        </w:rPr>
        <w:t>Oppel S., Raine A.F., Borg J.J., Raine H., Bonnaud E., Bourgeois K. and Breton A.R. 2011. Is the Yelkouan shearwater</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Puffinus yelkouan</w:t>
      </w:r>
      <w:r w:rsidRPr="0088780C">
        <w:rPr>
          <w:rStyle w:val="apple-converted-space"/>
          <w:snapToGrid w:val="0"/>
          <w:kern w:val="22"/>
          <w:szCs w:val="22"/>
          <w:shd w:val="clear" w:color="auto" w:fill="FFFFFF"/>
        </w:rPr>
        <w:t> </w:t>
      </w:r>
      <w:r w:rsidRPr="0088780C">
        <w:rPr>
          <w:snapToGrid w:val="0"/>
          <w:kern w:val="22"/>
          <w:szCs w:val="22"/>
          <w:shd w:val="clear" w:color="auto" w:fill="FFFFFF"/>
        </w:rPr>
        <w:t>threatened by low adult survival probabilities?</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Biological Conservation</w:t>
      </w:r>
      <w:r w:rsidRPr="0088780C">
        <w:rPr>
          <w:rStyle w:val="apple-converted-space"/>
          <w:snapToGrid w:val="0"/>
          <w:kern w:val="22"/>
          <w:szCs w:val="22"/>
          <w:shd w:val="clear" w:color="auto" w:fill="FFFFFF"/>
        </w:rPr>
        <w:t> </w:t>
      </w:r>
      <w:r w:rsidRPr="0088780C">
        <w:rPr>
          <w:snapToGrid w:val="0"/>
          <w:kern w:val="22"/>
          <w:szCs w:val="22"/>
          <w:shd w:val="clear" w:color="auto" w:fill="FFFFFF"/>
        </w:rPr>
        <w:t>144(9): 2255-2263</w:t>
      </w:r>
    </w:p>
    <w:p w14:paraId="0EF79315" w14:textId="21F733D9"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 xml:space="preserve">Papunov V.G., Smirnov I.A., Vasiliev N.S., Makalova P.G. 2016, Mapping of seascapes of the state natural strictly protected reserve </w:t>
      </w:r>
      <w:r w:rsidR="00D8482D" w:rsidRPr="0088780C">
        <w:rPr>
          <w:rFonts w:eastAsia="MS Mincho"/>
          <w:snapToGrid w:val="0"/>
          <w:kern w:val="22"/>
          <w:szCs w:val="22"/>
        </w:rPr>
        <w:t>“</w:t>
      </w:r>
      <w:r w:rsidRPr="0088780C">
        <w:rPr>
          <w:rFonts w:eastAsia="MS Mincho"/>
          <w:snapToGrid w:val="0"/>
          <w:kern w:val="22"/>
          <w:szCs w:val="22"/>
        </w:rPr>
        <w:t>Utrish</w:t>
      </w:r>
      <w:r w:rsidR="00D8482D" w:rsidRPr="0088780C">
        <w:rPr>
          <w:rFonts w:eastAsia="MS Mincho"/>
          <w:snapToGrid w:val="0"/>
          <w:kern w:val="22"/>
          <w:szCs w:val="22"/>
        </w:rPr>
        <w:t>”</w:t>
      </w:r>
      <w:r w:rsidRPr="0088780C">
        <w:rPr>
          <w:rFonts w:eastAsia="MS Mincho"/>
          <w:snapToGrid w:val="0"/>
          <w:kern w:val="22"/>
          <w:szCs w:val="22"/>
        </w:rPr>
        <w:t>. Report on the contract</w:t>
      </w:r>
      <w:r w:rsidR="00557494" w:rsidRPr="0088780C">
        <w:rPr>
          <w:rFonts w:eastAsia="MS Mincho"/>
          <w:snapToGrid w:val="0"/>
          <w:kern w:val="22"/>
          <w:szCs w:val="22"/>
        </w:rPr>
        <w:t xml:space="preserve"> 115-2016. Moscow (in Russian).</w:t>
      </w:r>
    </w:p>
    <w:p w14:paraId="4AD23EFB"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Petrov K.M. 1961. Underwater vegetation of the Black Sea coast of Taman Peninsula and North Caucasus. In: Using of airborn methods in the studies of natural resources. Moscow-Leningrad: Academy of Sciences of USSR Publishing, pp. 190–256.</w:t>
      </w:r>
    </w:p>
    <w:p w14:paraId="7EC6FF6B"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snapToGrid w:val="0"/>
          <w:kern w:val="22"/>
          <w:szCs w:val="22"/>
        </w:rPr>
        <w:t>Péron, C., Grémillet, D., Prudor, A., Pettex, E., Saraux, C., Soriano-Redondo, A., Authier, M., Fort J., 2013. Importance of coastal Marine Protected Areas for the conservation of pelagic seabirds: The case of Vulnerable yelkouan shearwaters in the Mediterranean Sea. Biological Conservation 168: 210-221.</w:t>
      </w:r>
    </w:p>
    <w:p w14:paraId="33419CB7"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snapToGrid w:val="0"/>
          <w:kern w:val="22"/>
          <w:szCs w:val="22"/>
        </w:rPr>
        <w:t xml:space="preserve">Raine, A.F., Borg, J.J., Raine, H., Phillips, R.A., 2012. Migration strategies of the Yelkouan Shearwater </w:t>
      </w:r>
      <w:r w:rsidRPr="0088780C">
        <w:rPr>
          <w:i/>
          <w:snapToGrid w:val="0"/>
          <w:kern w:val="22"/>
          <w:szCs w:val="22"/>
        </w:rPr>
        <w:t>Puffinus yelkouan</w:t>
      </w:r>
      <w:r w:rsidRPr="0088780C">
        <w:rPr>
          <w:snapToGrid w:val="0"/>
          <w:kern w:val="22"/>
          <w:szCs w:val="22"/>
        </w:rPr>
        <w:t>. Journal of Ornithology 154: 411-422.</w:t>
      </w:r>
    </w:p>
    <w:p w14:paraId="7725E13C" w14:textId="0E1DD71A"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TimesNewRomanPSMT"/>
          <w:snapToGrid w:val="0"/>
          <w:kern w:val="22"/>
          <w:szCs w:val="22"/>
        </w:rPr>
        <w:t>Rybnikov P.V</w:t>
      </w:r>
      <w:r w:rsidRPr="0088780C">
        <w:rPr>
          <w:rFonts w:eastAsia="TimesNewRomanPSMT"/>
          <w:i/>
          <w:iCs/>
          <w:snapToGrid w:val="0"/>
          <w:kern w:val="22"/>
          <w:szCs w:val="22"/>
        </w:rPr>
        <w:t xml:space="preserve">. </w:t>
      </w:r>
      <w:r w:rsidRPr="0088780C">
        <w:rPr>
          <w:rFonts w:eastAsia="TimesNewRomanPSMT"/>
          <w:snapToGrid w:val="0"/>
          <w:kern w:val="22"/>
          <w:szCs w:val="22"/>
        </w:rPr>
        <w:t xml:space="preserve">(1993), </w:t>
      </w:r>
      <w:r w:rsidR="00D8482D" w:rsidRPr="0088780C">
        <w:rPr>
          <w:rFonts w:eastAsia="TimesNewRomanPSMT"/>
          <w:snapToGrid w:val="0"/>
          <w:kern w:val="22"/>
          <w:szCs w:val="22"/>
        </w:rPr>
        <w:t>“</w:t>
      </w:r>
      <w:r w:rsidRPr="0088780C">
        <w:rPr>
          <w:rFonts w:eastAsia="TimesNewRomanPSMT"/>
          <w:i/>
          <w:iCs/>
          <w:snapToGrid w:val="0"/>
          <w:kern w:val="22"/>
          <w:szCs w:val="22"/>
        </w:rPr>
        <w:t>Spatial organization of zooepibiontic community on Phyllophora nervosa at the rocky sublittoral zone of the Black Sea</w:t>
      </w:r>
      <w:r w:rsidR="00D8482D" w:rsidRPr="0088780C">
        <w:rPr>
          <w:rFonts w:eastAsia="TimesNewRomanPSMT"/>
          <w:i/>
          <w:iCs/>
          <w:snapToGrid w:val="0"/>
          <w:kern w:val="22"/>
          <w:szCs w:val="22"/>
        </w:rPr>
        <w:t>”</w:t>
      </w:r>
      <w:r w:rsidRPr="0088780C">
        <w:rPr>
          <w:rFonts w:eastAsia="TimesNewRomanPSMT"/>
          <w:i/>
          <w:iCs/>
          <w:snapToGrid w:val="0"/>
          <w:kern w:val="22"/>
          <w:szCs w:val="22"/>
        </w:rPr>
        <w:t xml:space="preserve">, </w:t>
      </w:r>
      <w:r w:rsidRPr="0088780C">
        <w:rPr>
          <w:rFonts w:eastAsia="TimesNewRomanPSMT"/>
          <w:snapToGrid w:val="0"/>
          <w:kern w:val="22"/>
          <w:szCs w:val="22"/>
        </w:rPr>
        <w:t xml:space="preserve">Biology of the Black Sea agarophytes: </w:t>
      </w:r>
      <w:r w:rsidRPr="0088780C">
        <w:rPr>
          <w:rFonts w:eastAsia="TimesNewRomanPSMT"/>
          <w:i/>
          <w:iCs/>
          <w:snapToGrid w:val="0"/>
          <w:kern w:val="22"/>
          <w:szCs w:val="22"/>
        </w:rPr>
        <w:t xml:space="preserve">Phyllophora nervosa </w:t>
      </w:r>
      <w:r w:rsidRPr="0088780C">
        <w:rPr>
          <w:rFonts w:eastAsia="TimesNewRomanPSMT"/>
          <w:snapToGrid w:val="0"/>
          <w:kern w:val="22"/>
          <w:szCs w:val="22"/>
        </w:rPr>
        <w:t>(D.C.) Grev</w:t>
      </w:r>
      <w:r w:rsidRPr="0088780C">
        <w:rPr>
          <w:rFonts w:eastAsia="TimesNewRomanPSMT"/>
          <w:i/>
          <w:iCs/>
          <w:snapToGrid w:val="0"/>
          <w:kern w:val="22"/>
          <w:szCs w:val="22"/>
        </w:rPr>
        <w:t xml:space="preserve">., </w:t>
      </w:r>
      <w:r w:rsidRPr="0088780C">
        <w:rPr>
          <w:rFonts w:eastAsia="TimesNewRomanPSMT"/>
          <w:snapToGrid w:val="0"/>
          <w:kern w:val="22"/>
          <w:szCs w:val="22"/>
        </w:rPr>
        <w:t>Moscow: IO RAS, 113-122 (in Russian).</w:t>
      </w:r>
    </w:p>
    <w:p w14:paraId="033EA2F4"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snapToGrid w:val="0"/>
          <w:kern w:val="22"/>
          <w:szCs w:val="22"/>
        </w:rPr>
        <w:t>Seabird Tracking Database. 2017. Tracking Ocean Wanderers – BirdLife Seabird Tracking Database www. http://seabirdtracking.org/, accessed on 10/03/2017</w:t>
      </w:r>
    </w:p>
    <w:p w14:paraId="14FE0A57" w14:textId="296DCF4F"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lang w:eastAsia="ru-RU"/>
        </w:rPr>
      </w:pPr>
      <w:r w:rsidRPr="0088780C">
        <w:rPr>
          <w:bCs/>
          <w:snapToGrid w:val="0"/>
          <w:kern w:val="22"/>
          <w:szCs w:val="22"/>
          <w:lang w:eastAsia="ru-RU"/>
        </w:rPr>
        <w:t>Simakova U</w:t>
      </w:r>
      <w:r w:rsidRPr="0088780C">
        <w:rPr>
          <w:snapToGrid w:val="0"/>
          <w:kern w:val="22"/>
          <w:szCs w:val="22"/>
          <w:lang w:eastAsia="ru-RU"/>
        </w:rPr>
        <w:t xml:space="preserve">.V., Maximova O.V. 2009. Present-day state of the attached </w:t>
      </w:r>
      <w:r w:rsidRPr="0088780C">
        <w:rPr>
          <w:i/>
          <w:iCs/>
          <w:snapToGrid w:val="0"/>
          <w:kern w:val="22"/>
          <w:szCs w:val="22"/>
          <w:lang w:eastAsia="ru-RU"/>
        </w:rPr>
        <w:t xml:space="preserve">Phyllophora </w:t>
      </w:r>
      <w:r w:rsidRPr="0088780C">
        <w:rPr>
          <w:snapToGrid w:val="0"/>
          <w:kern w:val="22"/>
          <w:szCs w:val="22"/>
          <w:lang w:eastAsia="ru-RU"/>
        </w:rPr>
        <w:t>community in the vicinity of the Novorossisk. 9th International Conference on the Mediterranean Coastal Environme</w:t>
      </w:r>
      <w:r w:rsidR="00557494" w:rsidRPr="0088780C">
        <w:rPr>
          <w:snapToGrid w:val="0"/>
          <w:kern w:val="22"/>
          <w:szCs w:val="22"/>
          <w:lang w:eastAsia="ru-RU"/>
        </w:rPr>
        <w:t>nt. Sochy (Russia). P. 317-322.</w:t>
      </w:r>
    </w:p>
    <w:p w14:paraId="70DF58B6"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Terentev A.S. 2013. Change in species composition of bottom biocenoses of the Kerch pre-pouring of the Black Sea as a result of silting up. VNIRO Proceedings.  V. 150. P 78-90.</w:t>
      </w:r>
    </w:p>
    <w:p w14:paraId="435B3C4C" w14:textId="21AE8F0E"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Teyubova V.F. 2012. Variety and ecological features of macrophytobenthos in the Russian sector of the Black Sea.</w:t>
      </w:r>
      <w:r w:rsidRPr="0088780C">
        <w:rPr>
          <w:snapToGrid w:val="0"/>
          <w:kern w:val="22"/>
          <w:szCs w:val="22"/>
        </w:rPr>
        <w:t xml:space="preserve"> PhD thesis.</w:t>
      </w:r>
    </w:p>
    <w:p w14:paraId="1E2504F5"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snapToGrid w:val="0"/>
          <w:kern w:val="22"/>
          <w:szCs w:val="22"/>
          <w:shd w:val="clear" w:color="auto" w:fill="FFFFFF"/>
        </w:rPr>
      </w:pPr>
      <w:r w:rsidRPr="0088780C">
        <w:rPr>
          <w:snapToGrid w:val="0"/>
          <w:kern w:val="22"/>
          <w:szCs w:val="22"/>
          <w:shd w:val="clear" w:color="auto" w:fill="FFFFFF"/>
        </w:rPr>
        <w:t>Tilba P. A., Mnatsekanov R. A., Krutolapov V. A. 2006. Tamanskiy and Dinskoy bay of the Black Sea //Vodno-bolotnyye ugod'ya Rossii. Vodno-bolotnyye ugod'ya Severnogo Kavkaza. –– T. 6. – P. 71-74.</w:t>
      </w:r>
    </w:p>
    <w:p w14:paraId="0D3BDA36"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Vedernikov A.V., Demidov A.B. 2002. Long-term and seasonal variability of chlorophyll and primary production in the eastern regions of the Black Sea, pp. 212–234.</w:t>
      </w:r>
    </w:p>
    <w:p w14:paraId="4C2F0DBA" w14:textId="77777777" w:rsidR="00A876F3" w:rsidRPr="0088780C" w:rsidRDefault="00A876F3" w:rsidP="007920ED">
      <w:pPr>
        <w:pStyle w:val="EndnoteText"/>
        <w:widowControl/>
        <w:suppressLineNumbers/>
        <w:kinsoku w:val="0"/>
        <w:overflowPunct w:val="0"/>
        <w:autoSpaceDE w:val="0"/>
        <w:autoSpaceDN w:val="0"/>
        <w:adjustRightInd w:val="0"/>
        <w:spacing w:after="60"/>
        <w:ind w:left="720" w:hanging="720"/>
        <w:rPr>
          <w:rFonts w:ascii="Times New Roman" w:hAnsi="Times New Roman"/>
          <w:bCs/>
          <w:snapToGrid w:val="0"/>
          <w:kern w:val="22"/>
          <w:szCs w:val="22"/>
        </w:rPr>
      </w:pPr>
      <w:r w:rsidRPr="0088780C">
        <w:rPr>
          <w:rFonts w:ascii="Times New Roman" w:hAnsi="Times New Roman"/>
          <w:snapToGrid w:val="0"/>
          <w:kern w:val="22"/>
          <w:szCs w:val="22"/>
          <w:shd w:val="clear" w:color="auto" w:fill="FFFFFF"/>
        </w:rPr>
        <w:t>Vershinin A., Kamnev A. 2001. Harmful algae in Russian European coastal waters. Harmful Algal Blooms 2000. – С. 112-115.</w:t>
      </w:r>
    </w:p>
    <w:p w14:paraId="442E76AE" w14:textId="77777777" w:rsidR="00A876F3" w:rsidRPr="0088780C" w:rsidRDefault="00A876F3" w:rsidP="007920ED">
      <w:pPr>
        <w:pStyle w:val="EndnoteText"/>
        <w:widowControl/>
        <w:suppressLineNumbers/>
        <w:kinsoku w:val="0"/>
        <w:overflowPunct w:val="0"/>
        <w:autoSpaceDE w:val="0"/>
        <w:autoSpaceDN w:val="0"/>
        <w:adjustRightInd w:val="0"/>
        <w:spacing w:after="60"/>
        <w:ind w:left="720" w:hanging="720"/>
        <w:rPr>
          <w:rFonts w:ascii="Times New Roman" w:eastAsia="MS Mincho" w:hAnsi="Times New Roman"/>
          <w:snapToGrid w:val="0"/>
          <w:kern w:val="22"/>
          <w:szCs w:val="22"/>
        </w:rPr>
      </w:pPr>
      <w:r w:rsidRPr="0088780C">
        <w:rPr>
          <w:rFonts w:ascii="Times New Roman" w:hAnsi="Times New Roman"/>
          <w:bCs/>
          <w:snapToGrid w:val="0"/>
          <w:kern w:val="22"/>
          <w:szCs w:val="22"/>
        </w:rPr>
        <w:t xml:space="preserve">Vinogradov M.E., Shushkina E.A., Anokhina L.L., Vostokov S.V., Kucheruck N.V. and Lukashova T.A. </w:t>
      </w:r>
      <w:r w:rsidRPr="0088780C">
        <w:rPr>
          <w:rFonts w:ascii="Times New Roman" w:hAnsi="Times New Roman"/>
          <w:snapToGrid w:val="0"/>
          <w:kern w:val="22"/>
          <w:szCs w:val="22"/>
        </w:rPr>
        <w:t xml:space="preserve">2000. The mass abundance of ctenophore </w:t>
      </w:r>
      <w:r w:rsidRPr="0088780C">
        <w:rPr>
          <w:rFonts w:ascii="Times New Roman" w:hAnsi="Times New Roman"/>
          <w:i/>
          <w:iCs/>
          <w:snapToGrid w:val="0"/>
          <w:kern w:val="22"/>
          <w:szCs w:val="22"/>
        </w:rPr>
        <w:t>Beroe ovata</w:t>
      </w:r>
      <w:r w:rsidRPr="0088780C">
        <w:rPr>
          <w:rFonts w:ascii="Times New Roman" w:hAnsi="Times New Roman"/>
          <w:snapToGrid w:val="0"/>
          <w:kern w:val="22"/>
          <w:szCs w:val="22"/>
        </w:rPr>
        <w:t xml:space="preserve"> (Eschscholtz) near the North-Eastern Black Sea coast. </w:t>
      </w:r>
      <w:r w:rsidRPr="0088780C">
        <w:rPr>
          <w:rFonts w:ascii="Times New Roman" w:hAnsi="Times New Roman"/>
          <w:i/>
          <w:iCs/>
          <w:snapToGrid w:val="0"/>
          <w:kern w:val="22"/>
          <w:szCs w:val="22"/>
        </w:rPr>
        <w:t>Oceanology</w:t>
      </w:r>
      <w:r w:rsidRPr="0088780C">
        <w:rPr>
          <w:rFonts w:ascii="Times New Roman" w:hAnsi="Times New Roman"/>
          <w:snapToGrid w:val="0"/>
          <w:kern w:val="22"/>
          <w:szCs w:val="22"/>
        </w:rPr>
        <w:t xml:space="preserve"> 1, 52-55.</w:t>
      </w:r>
    </w:p>
    <w:p w14:paraId="458BD072" w14:textId="70293149"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 xml:space="preserve">Vostokov S.V., Lisitsyn B.E., Konovalov D.M., Gagarin V.I. 2002. Mesoscale variability of chlorophyll </w:t>
      </w:r>
      <w:r w:rsidR="00D8482D" w:rsidRPr="0088780C">
        <w:rPr>
          <w:rFonts w:eastAsia="MS Mincho"/>
          <w:snapToGrid w:val="0"/>
          <w:kern w:val="22"/>
          <w:szCs w:val="22"/>
        </w:rPr>
        <w:t>“</w:t>
      </w:r>
      <w:r w:rsidRPr="0088780C">
        <w:rPr>
          <w:rFonts w:eastAsia="MS Mincho"/>
          <w:snapToGrid w:val="0"/>
          <w:kern w:val="22"/>
          <w:szCs w:val="22"/>
        </w:rPr>
        <w:t>a</w:t>
      </w:r>
      <w:r w:rsidR="00D8482D" w:rsidRPr="0088780C">
        <w:rPr>
          <w:rFonts w:eastAsia="MS Mincho"/>
          <w:snapToGrid w:val="0"/>
          <w:kern w:val="22"/>
          <w:szCs w:val="22"/>
        </w:rPr>
        <w:t>”</w:t>
      </w:r>
      <w:r w:rsidRPr="0088780C">
        <w:rPr>
          <w:rFonts w:eastAsia="MS Mincho"/>
          <w:snapToGrid w:val="0"/>
          <w:kern w:val="22"/>
          <w:szCs w:val="22"/>
        </w:rPr>
        <w:t xml:space="preserve"> concentration, particulate organic matter content and spectral index of light absorption in the upper layer of northeastern part of the Black Sea. </w:t>
      </w:r>
      <w:r w:rsidRPr="0088780C">
        <w:rPr>
          <w:snapToGrid w:val="0"/>
          <w:kern w:val="22"/>
          <w:szCs w:val="22"/>
        </w:rPr>
        <w:t xml:space="preserve">In: Zatsepin AG, Flint MV (eds) Multidisciplinary investigations of the Northeast part of the Black Sea, pp 235–247, Moscow, Nauka, 476. </w:t>
      </w:r>
    </w:p>
    <w:p w14:paraId="1FC87A16" w14:textId="77777777" w:rsidR="00A876F3" w:rsidRPr="0088780C" w:rsidRDefault="00A876F3" w:rsidP="007920ED">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snapToGrid w:val="0"/>
          <w:kern w:val="22"/>
          <w:szCs w:val="22"/>
          <w:shd w:val="clear" w:color="auto" w:fill="FFFFFF"/>
        </w:rPr>
        <w:t>Zaitsev Y., Oztürk B.  2001. The Black Sea //Exotic species in the Aegean, Marmara, Black, Azov and Caspian Seas. Turkish Marine Research Foundation, Istanbul. С. 73-138.</w:t>
      </w:r>
    </w:p>
    <w:p w14:paraId="69005B3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br w:type="page"/>
      </w:r>
    </w:p>
    <w:p w14:paraId="4DB7E97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383E1E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157D4D4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30B77A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50F543E3" wp14:editId="6C3A2C16">
            <wp:extent cx="5486400" cy="4572000"/>
            <wp:effectExtent l="0" t="0" r="0" b="0"/>
            <wp:docPr id="64562" name="Picture 64562" descr="C:\Users\grekin\AppData\Local\Microsoft\Windows\Temporary Internet Files\Content.Word\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grekin\AppData\Local\Microsoft\Windows\Temporary Internet Files\Content.Word\11.png"/>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69F97AE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p>
    <w:p w14:paraId="22EE110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210CB42" w14:textId="77777777" w:rsidR="00A876F3" w:rsidRPr="0088780C" w:rsidRDefault="00A876F3" w:rsidP="001013AF">
      <w:pPr>
        <w:suppressLineNumbers/>
        <w:suppressAutoHyphens/>
        <w:kinsoku w:val="0"/>
        <w:overflowPunct w:val="0"/>
        <w:autoSpaceDE w:val="0"/>
        <w:autoSpaceDN w:val="0"/>
        <w:spacing w:line="276" w:lineRule="auto"/>
        <w:rPr>
          <w:rFonts w:eastAsia="MS Mincho"/>
          <w:b/>
          <w:snapToGrid w:val="0"/>
          <w:kern w:val="22"/>
          <w:szCs w:val="22"/>
        </w:rPr>
      </w:pPr>
    </w:p>
    <w:p w14:paraId="79526AE8" w14:textId="77777777" w:rsidR="00A876F3" w:rsidRPr="0088780C" w:rsidRDefault="00A876F3" w:rsidP="001013AF">
      <w:pPr>
        <w:suppressLineNumbers/>
        <w:suppressAutoHyphens/>
        <w:kinsoku w:val="0"/>
        <w:overflowPunct w:val="0"/>
        <w:autoSpaceDE w:val="0"/>
        <w:autoSpaceDN w:val="0"/>
        <w:spacing w:line="276" w:lineRule="auto"/>
        <w:rPr>
          <w:b/>
          <w:snapToGrid w:val="0"/>
          <w:kern w:val="22"/>
          <w:szCs w:val="22"/>
        </w:rPr>
      </w:pPr>
      <w:r w:rsidRPr="0088780C">
        <w:rPr>
          <w:rFonts w:eastAsia="MS Mincho"/>
          <w:b/>
          <w:noProof/>
          <w:snapToGrid w:val="0"/>
          <w:kern w:val="22"/>
          <w:szCs w:val="22"/>
          <w:lang w:eastAsia="zh-CN"/>
        </w:rPr>
        <w:drawing>
          <wp:inline distT="0" distB="0" distL="0" distR="0" wp14:anchorId="0EBA32EB" wp14:editId="18401CA4">
            <wp:extent cx="4762500" cy="1714500"/>
            <wp:effectExtent l="0" t="0" r="0" b="0"/>
            <wp:docPr id="35" name="Рисунок 2" descr="D:\Ulyana\Dissertation\psd\БММ-схема-стро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lyana\Dissertation\psd\БММ-схема-строения.jp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762500" cy="1714500"/>
                    </a:xfrm>
                    <a:prstGeom prst="rect">
                      <a:avLst/>
                    </a:prstGeom>
                    <a:noFill/>
                    <a:ln>
                      <a:noFill/>
                    </a:ln>
                  </pic:spPr>
                </pic:pic>
              </a:graphicData>
            </a:graphic>
          </wp:inline>
        </w:drawing>
      </w:r>
    </w:p>
    <w:p w14:paraId="69DC2E8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b/>
          <w:snapToGrid w:val="0"/>
          <w:kern w:val="22"/>
          <w:szCs w:val="22"/>
        </w:rPr>
        <w:t xml:space="preserve">Figure 2 The Scheme of </w:t>
      </w:r>
      <w:r w:rsidRPr="0088780C">
        <w:rPr>
          <w:rFonts w:eastAsia="MS Mincho"/>
          <w:b/>
          <w:snapToGrid w:val="0"/>
          <w:kern w:val="22"/>
          <w:szCs w:val="22"/>
        </w:rPr>
        <w:t>Maria Magdalene Bank, 1 – sand, 2 - shells, 3 – muddy sand, 4 – hard bottom, 5 - vegetation (Petrov, 1961)</w:t>
      </w:r>
    </w:p>
    <w:p w14:paraId="3EF0FE2E" w14:textId="0F8055E9" w:rsidR="00557494" w:rsidRPr="0088780C" w:rsidRDefault="00557494">
      <w:pPr>
        <w:jc w:val="left"/>
        <w:rPr>
          <w:snapToGrid w:val="0"/>
          <w:kern w:val="22"/>
          <w:szCs w:val="22"/>
        </w:rPr>
      </w:pPr>
      <w:r w:rsidRPr="0088780C">
        <w:rPr>
          <w:snapToGrid w:val="0"/>
          <w:kern w:val="22"/>
          <w:szCs w:val="22"/>
        </w:rPr>
        <w:br w:type="page"/>
      </w:r>
    </w:p>
    <w:p w14:paraId="496C912E" w14:textId="77777777" w:rsidR="00A876F3" w:rsidRPr="0088780C" w:rsidRDefault="00A876F3" w:rsidP="001013AF">
      <w:pPr>
        <w:suppressLineNumbers/>
        <w:suppressAutoHyphens/>
        <w:kinsoku w:val="0"/>
        <w:overflowPunct w:val="0"/>
        <w:autoSpaceDE w:val="0"/>
        <w:autoSpaceDN w:val="0"/>
        <w:spacing w:line="276" w:lineRule="auto"/>
        <w:rPr>
          <w:snapToGrid w:val="0"/>
          <w:kern w:val="22"/>
          <w:szCs w:val="22"/>
        </w:rPr>
      </w:pPr>
    </w:p>
    <w:p w14:paraId="3E53F318"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rFonts w:eastAsia="MS Mincho"/>
          <w:noProof/>
          <w:snapToGrid w:val="0"/>
          <w:kern w:val="22"/>
          <w:szCs w:val="22"/>
          <w:lang w:eastAsia="zh-CN"/>
        </w:rPr>
        <w:drawing>
          <wp:inline distT="0" distB="0" distL="0" distR="0" wp14:anchorId="6E978D0D" wp14:editId="470B24E2">
            <wp:extent cx="3838589" cy="2880000"/>
            <wp:effectExtent l="0" t="0" r="0" b="0"/>
            <wp:docPr id="36" name="Рисунок 3" descr="D:\Ulyana\Dissertation\psd\Foto\БММ 3  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lyana\Dissertation\psd\Foto\БММ 3  м.jp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3838589" cy="2880000"/>
                    </a:xfrm>
                    <a:prstGeom prst="rect">
                      <a:avLst/>
                    </a:prstGeom>
                    <a:noFill/>
                    <a:ln>
                      <a:noFill/>
                    </a:ln>
                  </pic:spPr>
                </pic:pic>
              </a:graphicData>
            </a:graphic>
          </wp:inline>
        </w:drawing>
      </w:r>
    </w:p>
    <w:p w14:paraId="35A1A50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b/>
          <w:snapToGrid w:val="0"/>
          <w:kern w:val="22"/>
          <w:szCs w:val="22"/>
        </w:rPr>
        <w:t xml:space="preserve">Figure 3. </w:t>
      </w:r>
      <w:r w:rsidRPr="0088780C">
        <w:rPr>
          <w:snapToGrid w:val="0"/>
          <w:kern w:val="22"/>
          <w:szCs w:val="22"/>
        </w:rPr>
        <w:t xml:space="preserve">The </w:t>
      </w:r>
      <w:r w:rsidRPr="0088780C">
        <w:rPr>
          <w:rFonts w:eastAsia="MS Mincho"/>
          <w:snapToGrid w:val="0"/>
          <w:kern w:val="22"/>
          <w:szCs w:val="22"/>
        </w:rPr>
        <w:t xml:space="preserve">Maria Magdalene Bank underwater landscape (3 m depth) dominated by </w:t>
      </w:r>
      <w:r w:rsidRPr="0088780C">
        <w:rPr>
          <w:rFonts w:eastAsia="MS Mincho"/>
          <w:i/>
          <w:snapToGrid w:val="0"/>
          <w:kern w:val="22"/>
          <w:szCs w:val="22"/>
        </w:rPr>
        <w:t>Cystoseira</w:t>
      </w:r>
      <w:r w:rsidRPr="0088780C">
        <w:rPr>
          <w:rFonts w:eastAsia="MS Mincho"/>
          <w:snapToGrid w:val="0"/>
          <w:kern w:val="22"/>
          <w:szCs w:val="22"/>
        </w:rPr>
        <w:t xml:space="preserve"> spp. (photo: </w:t>
      </w:r>
      <w:r w:rsidRPr="0088780C">
        <w:rPr>
          <w:snapToGrid w:val="0"/>
          <w:kern w:val="22"/>
          <w:szCs w:val="22"/>
        </w:rPr>
        <w:t>Ulyana V. Simakova).</w:t>
      </w:r>
    </w:p>
    <w:p w14:paraId="1544D80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D217B1D"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noProof/>
          <w:snapToGrid w:val="0"/>
          <w:kern w:val="22"/>
          <w:szCs w:val="22"/>
          <w:lang w:eastAsia="zh-CN"/>
        </w:rPr>
        <w:drawing>
          <wp:inline distT="0" distB="0" distL="0" distR="0" wp14:anchorId="1192C101" wp14:editId="4603011B">
            <wp:extent cx="3816000" cy="2863046"/>
            <wp:effectExtent l="0" t="0" r="0" b="0"/>
            <wp:docPr id="37" name="Рисунок 4" descr="D:\Ulyana\Dissertation\psd\Foto\БММ 10 м скальные выход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lyana\Dissertation\psd\Foto\БММ 10 м скальные выходы.jpg"/>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3816000" cy="2863046"/>
                    </a:xfrm>
                    <a:prstGeom prst="rect">
                      <a:avLst/>
                    </a:prstGeom>
                    <a:noFill/>
                    <a:ln>
                      <a:noFill/>
                    </a:ln>
                  </pic:spPr>
                </pic:pic>
              </a:graphicData>
            </a:graphic>
          </wp:inline>
        </w:drawing>
      </w:r>
    </w:p>
    <w:p w14:paraId="587CBBD5" w14:textId="5E007012"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b/>
          <w:snapToGrid w:val="0"/>
          <w:kern w:val="22"/>
          <w:szCs w:val="22"/>
        </w:rPr>
        <w:t xml:space="preserve">Figure 4. The </w:t>
      </w:r>
      <w:r w:rsidRPr="0088780C">
        <w:rPr>
          <w:rFonts w:eastAsia="MS Mincho"/>
          <w:b/>
          <w:snapToGrid w:val="0"/>
          <w:kern w:val="22"/>
          <w:szCs w:val="22"/>
        </w:rPr>
        <w:t xml:space="preserve">Maria Magdalene Bank underwater landscape (10 m depth) dominated by </w:t>
      </w:r>
      <w:r w:rsidRPr="0088780C">
        <w:rPr>
          <w:rFonts w:eastAsia="MS Mincho"/>
          <w:b/>
          <w:i/>
          <w:snapToGrid w:val="0"/>
          <w:kern w:val="22"/>
          <w:szCs w:val="22"/>
        </w:rPr>
        <w:t>Cystoseira</w:t>
      </w:r>
      <w:r w:rsidRPr="0088780C">
        <w:rPr>
          <w:rFonts w:eastAsia="MS Mincho"/>
          <w:b/>
          <w:snapToGrid w:val="0"/>
          <w:kern w:val="22"/>
          <w:szCs w:val="22"/>
        </w:rPr>
        <w:t xml:space="preserve"> spp. (photo: </w:t>
      </w:r>
      <w:r w:rsidRPr="0088780C">
        <w:rPr>
          <w:b/>
          <w:snapToGrid w:val="0"/>
          <w:kern w:val="22"/>
          <w:szCs w:val="22"/>
        </w:rPr>
        <w:t>Ulyana V. Simakova)</w:t>
      </w:r>
    </w:p>
    <w:p w14:paraId="443ED257"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39182607" w14:textId="650A5AC4" w:rsidR="00557494" w:rsidRPr="0088780C" w:rsidRDefault="00557494">
      <w:pPr>
        <w:jc w:val="left"/>
        <w:rPr>
          <w:rFonts w:eastAsia="MS Mincho"/>
          <w:bCs/>
          <w:snapToGrid w:val="0"/>
          <w:kern w:val="22"/>
          <w:szCs w:val="22"/>
        </w:rPr>
      </w:pPr>
      <w:r w:rsidRPr="0088780C">
        <w:rPr>
          <w:rFonts w:eastAsia="MS Mincho"/>
          <w:bCs/>
          <w:snapToGrid w:val="0"/>
          <w:kern w:val="22"/>
          <w:szCs w:val="22"/>
        </w:rPr>
        <w:br w:type="page"/>
      </w:r>
    </w:p>
    <w:p w14:paraId="5948EEDD"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6E77ACE3"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noProof/>
          <w:snapToGrid w:val="0"/>
          <w:kern w:val="22"/>
          <w:szCs w:val="22"/>
          <w:lang w:eastAsia="zh-CN"/>
        </w:rPr>
        <w:drawing>
          <wp:inline distT="0" distB="0" distL="0" distR="0" wp14:anchorId="7C4E360E" wp14:editId="5F7CC1B4">
            <wp:extent cx="5244130" cy="3248168"/>
            <wp:effectExtent l="19050" t="0" r="0" b="0"/>
            <wp:docPr id="38" name="Рисунок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87" cstate="print"/>
                    <a:srcRect/>
                    <a:stretch>
                      <a:fillRect/>
                    </a:stretch>
                  </pic:blipFill>
                  <pic:spPr bwMode="auto">
                    <a:xfrm>
                      <a:off x="0" y="0"/>
                      <a:ext cx="5246627" cy="3249715"/>
                    </a:xfrm>
                    <a:prstGeom prst="rect">
                      <a:avLst/>
                    </a:prstGeom>
                    <a:noFill/>
                    <a:ln w="9525">
                      <a:noFill/>
                      <a:miter lim="800000"/>
                      <a:headEnd/>
                      <a:tailEnd/>
                    </a:ln>
                  </pic:spPr>
                </pic:pic>
              </a:graphicData>
            </a:graphic>
          </wp:inline>
        </w:drawing>
      </w:r>
    </w:p>
    <w:p w14:paraId="00307236" w14:textId="77777777" w:rsidR="00A876F3" w:rsidRPr="0088780C" w:rsidRDefault="00A876F3" w:rsidP="001013AF">
      <w:pPr>
        <w:suppressLineNumbers/>
        <w:suppressAutoHyphens/>
        <w:kinsoku w:val="0"/>
        <w:overflowPunct w:val="0"/>
        <w:autoSpaceDE w:val="0"/>
        <w:autoSpaceDN w:val="0"/>
        <w:spacing w:line="276" w:lineRule="auto"/>
        <w:rPr>
          <w:b/>
          <w:snapToGrid w:val="0"/>
          <w:kern w:val="22"/>
          <w:szCs w:val="22"/>
        </w:rPr>
      </w:pPr>
      <w:r w:rsidRPr="0088780C">
        <w:rPr>
          <w:b/>
          <w:snapToGrid w:val="0"/>
          <w:kern w:val="22"/>
          <w:szCs w:val="22"/>
        </w:rPr>
        <w:t>Figure 5. The wintering areas and migration routes of Horse Mackerel (Drozdov, 2011)</w:t>
      </w:r>
    </w:p>
    <w:p w14:paraId="5D9A2AE7" w14:textId="77777777" w:rsidR="00A876F3" w:rsidRPr="0088780C" w:rsidRDefault="00A876F3" w:rsidP="001013AF">
      <w:pPr>
        <w:suppressLineNumbers/>
        <w:suppressAutoHyphens/>
        <w:kinsoku w:val="0"/>
        <w:overflowPunct w:val="0"/>
        <w:autoSpaceDE w:val="0"/>
        <w:autoSpaceDN w:val="0"/>
        <w:spacing w:line="276" w:lineRule="auto"/>
        <w:ind w:firstLine="720"/>
        <w:rPr>
          <w:snapToGrid w:val="0"/>
          <w:kern w:val="22"/>
          <w:szCs w:val="22"/>
        </w:rPr>
      </w:pPr>
    </w:p>
    <w:p w14:paraId="7E6CBCFA" w14:textId="77777777" w:rsidR="00A876F3" w:rsidRPr="0088780C" w:rsidRDefault="00A876F3" w:rsidP="001013AF">
      <w:pPr>
        <w:pStyle w:val="Heading1"/>
        <w:suppressLineNumbers/>
        <w:suppressAutoHyphens/>
        <w:kinsoku w:val="0"/>
        <w:overflowPunct w:val="0"/>
        <w:autoSpaceDE w:val="0"/>
        <w:autoSpaceDN w:val="0"/>
        <w:rPr>
          <w:snapToGrid w:val="0"/>
          <w:kern w:val="22"/>
          <w:szCs w:val="22"/>
        </w:rPr>
      </w:pPr>
      <w:r w:rsidRPr="0088780C">
        <w:rPr>
          <w:b w:val="0"/>
          <w:bCs/>
          <w:noProof/>
          <w:snapToGrid w:val="0"/>
          <w:kern w:val="22"/>
          <w:szCs w:val="22"/>
          <w:lang w:eastAsia="zh-CN"/>
        </w:rPr>
        <w:drawing>
          <wp:inline distT="0" distB="0" distL="0" distR="0" wp14:anchorId="501FF1BA" wp14:editId="74895684">
            <wp:extent cx="2880000" cy="3840000"/>
            <wp:effectExtent l="0" t="0" r="0" b="0"/>
            <wp:docPr id="39" name="Рисунок 5" descr="D:\Ulyana\Dissertation\psd\Foto\лощина 12 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lyana\Dissertation\psd\Foto\лощина 12 м.jp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880000" cy="3840000"/>
                    </a:xfrm>
                    <a:prstGeom prst="rect">
                      <a:avLst/>
                    </a:prstGeom>
                    <a:noFill/>
                    <a:ln>
                      <a:noFill/>
                    </a:ln>
                  </pic:spPr>
                </pic:pic>
              </a:graphicData>
            </a:graphic>
          </wp:inline>
        </w:drawing>
      </w:r>
    </w:p>
    <w:p w14:paraId="2C9AC1FA" w14:textId="1C588780"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b/>
          <w:snapToGrid w:val="0"/>
          <w:kern w:val="22"/>
          <w:szCs w:val="22"/>
        </w:rPr>
        <w:t xml:space="preserve">Figure 6. The attached </w:t>
      </w:r>
      <w:r w:rsidRPr="0088780C">
        <w:rPr>
          <w:b/>
          <w:i/>
          <w:snapToGrid w:val="0"/>
          <w:kern w:val="22"/>
          <w:szCs w:val="22"/>
        </w:rPr>
        <w:t>Phyllophora crispa</w:t>
      </w:r>
      <w:r w:rsidRPr="0088780C">
        <w:rPr>
          <w:b/>
          <w:snapToGrid w:val="0"/>
          <w:kern w:val="22"/>
          <w:szCs w:val="22"/>
        </w:rPr>
        <w:t xml:space="preserve"> community </w:t>
      </w:r>
      <w:r w:rsidRPr="0088780C">
        <w:rPr>
          <w:rFonts w:eastAsia="MS Mincho"/>
          <w:b/>
          <w:snapToGrid w:val="0"/>
          <w:kern w:val="22"/>
          <w:szCs w:val="22"/>
        </w:rPr>
        <w:t xml:space="preserve">(photo: </w:t>
      </w:r>
      <w:r w:rsidRPr="0088780C">
        <w:rPr>
          <w:b/>
          <w:snapToGrid w:val="0"/>
          <w:kern w:val="22"/>
          <w:szCs w:val="22"/>
        </w:rPr>
        <w:t>Ulyana V. Simakova)</w:t>
      </w:r>
    </w:p>
    <w:p w14:paraId="481050BD" w14:textId="51D84FEF" w:rsidR="00557494" w:rsidRPr="0088780C" w:rsidRDefault="00557494">
      <w:pPr>
        <w:jc w:val="left"/>
        <w:rPr>
          <w:snapToGrid w:val="0"/>
          <w:kern w:val="22"/>
          <w:szCs w:val="22"/>
        </w:rPr>
      </w:pPr>
      <w:r w:rsidRPr="0088780C">
        <w:rPr>
          <w:snapToGrid w:val="0"/>
          <w:kern w:val="22"/>
          <w:szCs w:val="22"/>
        </w:rPr>
        <w:br w:type="page"/>
      </w:r>
    </w:p>
    <w:p w14:paraId="34F62FFD"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39BC1C4" w14:textId="77777777" w:rsidR="00A876F3" w:rsidRPr="0088780C" w:rsidRDefault="00A876F3" w:rsidP="001013AF">
      <w:pPr>
        <w:suppressLineNumbers/>
        <w:suppressAutoHyphens/>
        <w:kinsoku w:val="0"/>
        <w:overflowPunct w:val="0"/>
        <w:autoSpaceDE w:val="0"/>
        <w:autoSpaceDN w:val="0"/>
        <w:spacing w:line="276" w:lineRule="auto"/>
        <w:rPr>
          <w:b/>
          <w:snapToGrid w:val="0"/>
          <w:kern w:val="22"/>
          <w:szCs w:val="22"/>
        </w:rPr>
      </w:pPr>
      <w:r w:rsidRPr="0088780C">
        <w:rPr>
          <w:b/>
          <w:noProof/>
          <w:snapToGrid w:val="0"/>
          <w:kern w:val="22"/>
          <w:szCs w:val="22"/>
          <w:lang w:eastAsia="zh-CN"/>
        </w:rPr>
        <w:drawing>
          <wp:inline distT="0" distB="0" distL="0" distR="0" wp14:anchorId="53C90003" wp14:editId="611248E2">
            <wp:extent cx="3705673" cy="2781300"/>
            <wp:effectExtent l="0" t="0" r="0" b="0"/>
            <wp:docPr id="40" name="Рисунок 6" descr="D:\Ulyana\Dissertation\psd\Foto\IMGP4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lyana\Dissertation\psd\Foto\IMGP4818.JP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705673" cy="2781300"/>
                    </a:xfrm>
                    <a:prstGeom prst="rect">
                      <a:avLst/>
                    </a:prstGeom>
                    <a:noFill/>
                    <a:ln>
                      <a:noFill/>
                    </a:ln>
                  </pic:spPr>
                </pic:pic>
              </a:graphicData>
            </a:graphic>
          </wp:inline>
        </w:drawing>
      </w:r>
    </w:p>
    <w:p w14:paraId="696579A2" w14:textId="0B52F66C"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b/>
          <w:snapToGrid w:val="0"/>
          <w:kern w:val="22"/>
          <w:szCs w:val="22"/>
        </w:rPr>
        <w:t xml:space="preserve">Figure 7. The unpopulated </w:t>
      </w:r>
      <w:r w:rsidRPr="0088780C">
        <w:rPr>
          <w:rFonts w:eastAsia="MS Mincho"/>
          <w:b/>
          <w:snapToGrid w:val="0"/>
          <w:kern w:val="22"/>
          <w:szCs w:val="22"/>
        </w:rPr>
        <w:t xml:space="preserve">coastline in the vicinity of Novorossiysk (photo: </w:t>
      </w:r>
      <w:r w:rsidRPr="0088780C">
        <w:rPr>
          <w:b/>
          <w:snapToGrid w:val="0"/>
          <w:kern w:val="22"/>
          <w:szCs w:val="22"/>
        </w:rPr>
        <w:t>Ulyana V. Simakova)</w:t>
      </w:r>
    </w:p>
    <w:p w14:paraId="74F8183C" w14:textId="77777777" w:rsidR="00A876F3" w:rsidRPr="0088780C" w:rsidRDefault="00A876F3" w:rsidP="001013AF">
      <w:pPr>
        <w:suppressLineNumbers/>
        <w:suppressAutoHyphens/>
        <w:kinsoku w:val="0"/>
        <w:overflowPunct w:val="0"/>
        <w:autoSpaceDE w:val="0"/>
        <w:autoSpaceDN w:val="0"/>
        <w:spacing w:line="276" w:lineRule="auto"/>
        <w:ind w:firstLine="720"/>
        <w:rPr>
          <w:snapToGrid w:val="0"/>
          <w:kern w:val="22"/>
          <w:szCs w:val="22"/>
        </w:rPr>
      </w:pPr>
    </w:p>
    <w:p w14:paraId="1E0A522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snapToGrid w:val="0"/>
          <w:kern w:val="22"/>
          <w:szCs w:val="22"/>
        </w:rPr>
        <w:br w:type="page"/>
      </w:r>
    </w:p>
    <w:p w14:paraId="0CFD9708" w14:textId="08C43433" w:rsidR="00A876F3" w:rsidRPr="0088780C" w:rsidRDefault="00A876F3" w:rsidP="00557494">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Area No. 12: Kolkheti Marine Area</w:t>
      </w:r>
    </w:p>
    <w:p w14:paraId="7797B59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21F5295"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Abstract</w:t>
      </w:r>
    </w:p>
    <w:p w14:paraId="56AFCC0F"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This area is characterized by a high density and relative richness of zooplankton species and bivalves. It is a preferred habitat for turbot and flounder species. In winter and spring, large aggregations of anchovies (</w:t>
      </w:r>
      <w:r w:rsidRPr="0088780C">
        <w:rPr>
          <w:i/>
          <w:snapToGrid w:val="0"/>
          <w:kern w:val="22"/>
          <w:szCs w:val="22"/>
        </w:rPr>
        <w:t>Engraulis encrasicolus</w:t>
      </w:r>
      <w:r w:rsidRPr="0088780C">
        <w:rPr>
          <w:snapToGrid w:val="0"/>
          <w:kern w:val="22"/>
          <w:szCs w:val="22"/>
        </w:rPr>
        <w:t>) use the area as a wintering and spawning area. It is also a habitat and spawning area of the endangered Acipenseridae species and serves as wintering ground for large numbers of migratory birds and Black Sea cetaceans. The area is an important feeding and nursery ground for cetacean species (</w:t>
      </w:r>
      <w:r w:rsidRPr="0088780C">
        <w:rPr>
          <w:i/>
          <w:snapToGrid w:val="0"/>
          <w:kern w:val="22"/>
          <w:szCs w:val="22"/>
        </w:rPr>
        <w:t xml:space="preserve">Tursiops truncatus ponticus, Delphinus delphis ponticus </w:t>
      </w:r>
      <w:r w:rsidRPr="0088780C">
        <w:rPr>
          <w:snapToGrid w:val="0"/>
          <w:kern w:val="22"/>
          <w:szCs w:val="22"/>
        </w:rPr>
        <w:t>and</w:t>
      </w:r>
      <w:r w:rsidRPr="0088780C">
        <w:rPr>
          <w:i/>
          <w:snapToGrid w:val="0"/>
          <w:kern w:val="22"/>
          <w:szCs w:val="22"/>
        </w:rPr>
        <w:t xml:space="preserve"> Phocoena phocoena relicta</w:t>
      </w:r>
      <w:r w:rsidRPr="0088780C">
        <w:rPr>
          <w:snapToGrid w:val="0"/>
          <w:kern w:val="22"/>
          <w:szCs w:val="22"/>
        </w:rPr>
        <w:t>) all year-round.</w:t>
      </w:r>
    </w:p>
    <w:p w14:paraId="3134428D" w14:textId="77777777" w:rsidR="00A876F3" w:rsidRPr="0088780C" w:rsidRDefault="00A876F3" w:rsidP="001013AF">
      <w:pPr>
        <w:suppressLineNumbers/>
        <w:suppressAutoHyphens/>
        <w:kinsoku w:val="0"/>
        <w:overflowPunct w:val="0"/>
        <w:autoSpaceDE w:val="0"/>
        <w:autoSpaceDN w:val="0"/>
        <w:rPr>
          <w:b/>
          <w:snapToGrid w:val="0"/>
          <w:kern w:val="22"/>
          <w:szCs w:val="22"/>
        </w:rPr>
      </w:pPr>
    </w:p>
    <w:p w14:paraId="3CE9F2AA"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Introduction</w:t>
      </w:r>
    </w:p>
    <w:p w14:paraId="760F3C9F" w14:textId="77777777"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r w:rsidRPr="0088780C">
        <w:rPr>
          <w:rFonts w:eastAsia="Calibri"/>
          <w:snapToGrid w:val="0"/>
          <w:kern w:val="22"/>
          <w:szCs w:val="22"/>
        </w:rPr>
        <w:t>The Georgian Black Sea includes a 320 km stretch of the Black Sea coast in the south-eastern and eastern parts of the sea, between the mouths of the rivers Sarpi and Psou. About 150 rivers flow into the Black Sea from the Georgian area (including minor rivers). Among these, the most full-flowing is the Rioni, which yields 406 m</w:t>
      </w:r>
      <w:r w:rsidRPr="0088780C">
        <w:rPr>
          <w:rFonts w:eastAsia="Calibri"/>
          <w:snapToGrid w:val="0"/>
          <w:kern w:val="22"/>
          <w:szCs w:val="22"/>
          <w:vertAlign w:val="superscript"/>
        </w:rPr>
        <w:t>3</w:t>
      </w:r>
      <w:r w:rsidRPr="0088780C">
        <w:rPr>
          <w:rFonts w:eastAsia="Calibri"/>
          <w:snapToGrid w:val="0"/>
          <w:kern w:val="22"/>
          <w:szCs w:val="22"/>
        </w:rPr>
        <w:t xml:space="preserve">/s of water and an average of 4.7 million tonnes of solid substances annually. The Caucasus chain protects this area from north winds. The average speed of the wind is lowest in Batumi. The volume of the tide-in and tide-out is insignificant. For instance, in the area it is 8-9 centimetres and is of semi-diurnal character. As compared to the oceans, the Black Sea, as the internal continental sea, is characterized by low force of waves. Stormy phenomena occur in cases of cyclone impact. The south and south-east winds are related to the Mediterranean cyclones. The Atlantic cyclones cause westward winds and waves that reach the Georgian coast in the form of strong billows. </w:t>
      </w:r>
    </w:p>
    <w:p w14:paraId="419589EF" w14:textId="77777777" w:rsidR="00A876F3" w:rsidRPr="0088780C" w:rsidRDefault="00A876F3" w:rsidP="001013AF">
      <w:pPr>
        <w:suppressLineNumbers/>
        <w:suppressAutoHyphens/>
        <w:kinsoku w:val="0"/>
        <w:overflowPunct w:val="0"/>
        <w:autoSpaceDE w:val="0"/>
        <w:autoSpaceDN w:val="0"/>
        <w:ind w:right="288"/>
        <w:rPr>
          <w:rFonts w:eastAsia="Calibri"/>
          <w:snapToGrid w:val="0"/>
          <w:kern w:val="22"/>
          <w:szCs w:val="22"/>
        </w:rPr>
      </w:pPr>
    </w:p>
    <w:p w14:paraId="20D97E80" w14:textId="77777777"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r w:rsidRPr="0088780C">
        <w:rPr>
          <w:rFonts w:eastAsia="Calibri"/>
          <w:snapToGrid w:val="0"/>
          <w:kern w:val="22"/>
          <w:szCs w:val="22"/>
        </w:rPr>
        <w:t>The Georgian part of the Black Sea coast includes the following natural habitats: 1) sandy shore with a thin layer of sea water; 2) delta (estuary); 3) coastal lagoon; 4) shallow water and bay; 5) sea rocks and stony coast (according to EU Directive 92/43/EEC) (Akhalkatsi, 2009).</w:t>
      </w:r>
    </w:p>
    <w:p w14:paraId="52D6C4D3" w14:textId="77777777"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p>
    <w:p w14:paraId="1449A1B4" w14:textId="2FDC00D4"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r w:rsidRPr="0088780C">
        <w:rPr>
          <w:rFonts w:eastAsia="Calibri"/>
          <w:snapToGrid w:val="0"/>
          <w:kern w:val="22"/>
          <w:szCs w:val="22"/>
        </w:rPr>
        <w:t>The bottom of the Black Sea is rather steep. The underwater relief of the bottom is widened by former gorges and deltas that are continuations of the superficial gorges of all significant rivers. The relief of the bottom consists of shelf, continental slopes and sea caves. By the Georgian coast the shelf has th</w:t>
      </w:r>
      <w:r w:rsidR="008F594E" w:rsidRPr="0088780C">
        <w:rPr>
          <w:rFonts w:eastAsia="Calibri"/>
          <w:snapToGrid w:val="0"/>
          <w:kern w:val="22"/>
          <w:szCs w:val="22"/>
        </w:rPr>
        <w:t>e form of a narrow dotted line.</w:t>
      </w:r>
    </w:p>
    <w:p w14:paraId="67CD4211" w14:textId="77777777"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p>
    <w:p w14:paraId="486C718C" w14:textId="182039EB"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r w:rsidRPr="0088780C">
        <w:rPr>
          <w:rFonts w:eastAsia="Calibri"/>
          <w:snapToGrid w:val="0"/>
          <w:kern w:val="22"/>
          <w:szCs w:val="22"/>
        </w:rPr>
        <w:t>The water temperature ranges from 9° C to 11° C in winter (southward). At 60 km from the coast, on the contrary, the water temperature increases nort</w:t>
      </w:r>
      <w:r w:rsidR="008F594E" w:rsidRPr="0088780C">
        <w:rPr>
          <w:rFonts w:eastAsia="Calibri"/>
          <w:snapToGrid w:val="0"/>
          <w:kern w:val="22"/>
          <w:szCs w:val="22"/>
        </w:rPr>
        <w:t>hward: from 19.4° C to 20.7° C.</w:t>
      </w:r>
    </w:p>
    <w:p w14:paraId="034CECDE" w14:textId="77777777"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p>
    <w:p w14:paraId="3927AE6E" w14:textId="77777777"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r w:rsidRPr="0088780C">
        <w:rPr>
          <w:rFonts w:eastAsia="Calibri"/>
          <w:snapToGrid w:val="0"/>
          <w:kern w:val="22"/>
          <w:szCs w:val="22"/>
        </w:rPr>
        <w:t>In January, the average temperature on the Georgian coast of the Black Sea is 4-7° C, while the average temperature in July is  22-23°C. Precipitation is ample in all seasons. Rain is especially typical of the southern part of Kolkhis, with over 2500 mm precipitation per year. Precipitation decreases to the north, ranging from 1650 mm (in the central part) to 1400 mm (in the north-western part).</w:t>
      </w:r>
    </w:p>
    <w:p w14:paraId="425B8B21" w14:textId="77777777"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p>
    <w:p w14:paraId="4CF54150" w14:textId="77777777"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r w:rsidRPr="0088780C">
        <w:rPr>
          <w:rFonts w:eastAsia="Calibri"/>
          <w:snapToGrid w:val="0"/>
          <w:kern w:val="22"/>
          <w:szCs w:val="22"/>
        </w:rPr>
        <w:t>The geomorphology of the Georgian coast is influenced by about 150 rivers of the region (including minor rivers). The entire annual flow comprises 50 km</w:t>
      </w:r>
      <w:r w:rsidRPr="0088780C">
        <w:rPr>
          <w:rFonts w:eastAsia="Calibri"/>
          <w:snapToGrid w:val="0"/>
          <w:kern w:val="22"/>
          <w:szCs w:val="22"/>
          <w:vertAlign w:val="superscript"/>
        </w:rPr>
        <w:t>3</w:t>
      </w:r>
      <w:r w:rsidRPr="0088780C">
        <w:rPr>
          <w:rFonts w:eastAsia="Calibri"/>
          <w:snapToGrid w:val="0"/>
          <w:kern w:val="22"/>
          <w:szCs w:val="22"/>
        </w:rPr>
        <w:t xml:space="preserve">. The inflow of Georgian rivers comprises 16% of the total continental inflow of the sea. The Georgian rivers flowing into the Black Sea are: Bzipi, Kodori, Enguri, Rioni, Khobi, Supsa, Natanebi, Chorokhi and other minor rivers. </w:t>
      </w:r>
    </w:p>
    <w:p w14:paraId="77D7691C" w14:textId="77777777"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p>
    <w:p w14:paraId="1DE84937" w14:textId="275A99EE" w:rsidR="00A876F3" w:rsidRPr="0088780C" w:rsidRDefault="00A876F3" w:rsidP="008F594E">
      <w:pPr>
        <w:suppressLineNumbers/>
        <w:suppressAutoHyphens/>
        <w:kinsoku w:val="0"/>
        <w:overflowPunct w:val="0"/>
        <w:autoSpaceDE w:val="0"/>
        <w:autoSpaceDN w:val="0"/>
        <w:ind w:right="-19"/>
        <w:rPr>
          <w:rFonts w:eastAsia="Calibri"/>
          <w:snapToGrid w:val="0"/>
          <w:kern w:val="22"/>
          <w:szCs w:val="22"/>
        </w:rPr>
      </w:pPr>
      <w:r w:rsidRPr="0088780C">
        <w:rPr>
          <w:rFonts w:eastAsia="Calibri"/>
          <w:snapToGrid w:val="0"/>
          <w:kern w:val="22"/>
          <w:szCs w:val="22"/>
        </w:rPr>
        <w:t>The most full-flowing river on the Georgian area is the Rioni, the largest river that flows entirely on Georgian territory. Its length is 327 km, and its basin measures 13,400 km² in area. Annually, the Rioni fills the Black Sea with a large mass of solid substances: an average of 4.7 million tonness per year (Beruchashvili &amp; Elizbarashvili, 2003). The mouth of the Rioni River is included in the described area.</w:t>
      </w:r>
    </w:p>
    <w:p w14:paraId="734D8823" w14:textId="77777777" w:rsidR="00A876F3" w:rsidRPr="0088780C" w:rsidRDefault="00A876F3" w:rsidP="001013AF">
      <w:pPr>
        <w:suppressLineNumbers/>
        <w:suppressAutoHyphens/>
        <w:kinsoku w:val="0"/>
        <w:overflowPunct w:val="0"/>
        <w:autoSpaceDE w:val="0"/>
        <w:autoSpaceDN w:val="0"/>
        <w:ind w:right="-19"/>
        <w:rPr>
          <w:b/>
          <w:snapToGrid w:val="0"/>
          <w:kern w:val="22"/>
          <w:szCs w:val="22"/>
        </w:rPr>
      </w:pPr>
    </w:p>
    <w:p w14:paraId="006C99A9" w14:textId="77777777" w:rsidR="00A876F3" w:rsidRPr="0088780C" w:rsidRDefault="00A876F3" w:rsidP="008F594E">
      <w:pPr>
        <w:keepNext/>
        <w:keepLines/>
        <w:suppressLineNumbers/>
        <w:suppressAutoHyphens/>
        <w:kinsoku w:val="0"/>
        <w:overflowPunct w:val="0"/>
        <w:autoSpaceDE w:val="0"/>
        <w:autoSpaceDN w:val="0"/>
        <w:rPr>
          <w:b/>
          <w:snapToGrid w:val="0"/>
          <w:kern w:val="22"/>
          <w:szCs w:val="22"/>
        </w:rPr>
      </w:pPr>
      <w:r w:rsidRPr="0088780C">
        <w:rPr>
          <w:b/>
          <w:snapToGrid w:val="0"/>
          <w:kern w:val="22"/>
          <w:szCs w:val="22"/>
        </w:rPr>
        <w:t>Location</w:t>
      </w:r>
    </w:p>
    <w:p w14:paraId="614F8E15" w14:textId="1C2B95E5" w:rsidR="00A876F3" w:rsidRPr="0088780C" w:rsidRDefault="00A876F3" w:rsidP="008F594E">
      <w:pPr>
        <w:keepNext/>
        <w:keepLines/>
        <w:suppressLineNumbers/>
        <w:suppressAutoHyphens/>
        <w:kinsoku w:val="0"/>
        <w:overflowPunct w:val="0"/>
        <w:autoSpaceDE w:val="0"/>
        <w:autoSpaceDN w:val="0"/>
        <w:rPr>
          <w:snapToGrid w:val="0"/>
          <w:kern w:val="22"/>
          <w:szCs w:val="22"/>
        </w:rPr>
      </w:pPr>
      <w:r w:rsidRPr="0088780C">
        <w:rPr>
          <w:snapToGrid w:val="0"/>
          <w:kern w:val="22"/>
          <w:szCs w:val="22"/>
        </w:rPr>
        <w:t>The area extends 502 km</w:t>
      </w:r>
      <w:r w:rsidRPr="0088780C">
        <w:rPr>
          <w:snapToGrid w:val="0"/>
          <w:kern w:val="22"/>
          <w:szCs w:val="22"/>
          <w:vertAlign w:val="superscript"/>
        </w:rPr>
        <w:t>2</w:t>
      </w:r>
      <w:r w:rsidRPr="0088780C">
        <w:rPr>
          <w:snapToGrid w:val="0"/>
          <w:kern w:val="22"/>
          <w:szCs w:val="22"/>
        </w:rPr>
        <w:t xml:space="preserve"> between Tikori River and the mouth </w:t>
      </w:r>
      <w:r w:rsidR="008F594E" w:rsidRPr="0088780C">
        <w:rPr>
          <w:snapToGrid w:val="0"/>
          <w:kern w:val="22"/>
          <w:szCs w:val="22"/>
        </w:rPr>
        <w:t>of the Rioni River (inclusive).</w:t>
      </w:r>
    </w:p>
    <w:p w14:paraId="440AA37B" w14:textId="77777777" w:rsidR="00A876F3" w:rsidRPr="0088780C" w:rsidRDefault="00A876F3" w:rsidP="008F594E">
      <w:pPr>
        <w:keepNext/>
        <w:keepLines/>
        <w:suppressLineNumbers/>
        <w:suppressAutoHyphens/>
        <w:kinsoku w:val="0"/>
        <w:overflowPunct w:val="0"/>
        <w:autoSpaceDE w:val="0"/>
        <w:autoSpaceDN w:val="0"/>
        <w:rPr>
          <w:snapToGrid w:val="0"/>
          <w:kern w:val="22"/>
          <w:szCs w:val="22"/>
        </w:rPr>
      </w:pPr>
      <w:r w:rsidRPr="0088780C">
        <w:rPr>
          <w:snapToGrid w:val="0"/>
          <w:kern w:val="22"/>
          <w:szCs w:val="22"/>
        </w:rPr>
        <w:t>Latitude</w:t>
      </w:r>
      <w:r w:rsidRPr="0088780C">
        <w:rPr>
          <w:snapToGrid w:val="0"/>
          <w:kern w:val="22"/>
          <w:szCs w:val="22"/>
        </w:rPr>
        <w:tab/>
        <w:t>Longitude</w:t>
      </w:r>
    </w:p>
    <w:p w14:paraId="672E818B" w14:textId="77777777" w:rsidR="00A876F3" w:rsidRPr="0088780C" w:rsidRDefault="00A876F3" w:rsidP="008F594E">
      <w:pPr>
        <w:keepNext/>
        <w:keepLines/>
        <w:suppressLineNumbers/>
        <w:suppressAutoHyphens/>
        <w:kinsoku w:val="0"/>
        <w:overflowPunct w:val="0"/>
        <w:autoSpaceDE w:val="0"/>
        <w:autoSpaceDN w:val="0"/>
        <w:rPr>
          <w:snapToGrid w:val="0"/>
          <w:kern w:val="22"/>
          <w:szCs w:val="22"/>
        </w:rPr>
      </w:pPr>
      <w:r w:rsidRPr="0088780C">
        <w:rPr>
          <w:snapToGrid w:val="0"/>
          <w:kern w:val="22"/>
          <w:szCs w:val="22"/>
        </w:rPr>
        <w:t>42.3688965</w:t>
      </w:r>
      <w:r w:rsidRPr="0088780C">
        <w:rPr>
          <w:snapToGrid w:val="0"/>
          <w:kern w:val="22"/>
          <w:szCs w:val="22"/>
        </w:rPr>
        <w:tab/>
        <w:t>41.5923238</w:t>
      </w:r>
    </w:p>
    <w:p w14:paraId="7E2CA5DB" w14:textId="77777777" w:rsidR="00A876F3" w:rsidRPr="0088780C" w:rsidRDefault="00A876F3" w:rsidP="008F594E">
      <w:pPr>
        <w:keepNext/>
        <w:keepLines/>
        <w:suppressLineNumbers/>
        <w:suppressAutoHyphens/>
        <w:kinsoku w:val="0"/>
        <w:overflowPunct w:val="0"/>
        <w:autoSpaceDE w:val="0"/>
        <w:autoSpaceDN w:val="0"/>
        <w:rPr>
          <w:snapToGrid w:val="0"/>
          <w:kern w:val="22"/>
          <w:szCs w:val="22"/>
        </w:rPr>
      </w:pPr>
      <w:r w:rsidRPr="0088780C">
        <w:rPr>
          <w:snapToGrid w:val="0"/>
          <w:kern w:val="22"/>
          <w:szCs w:val="22"/>
        </w:rPr>
        <w:t>42.3678906</w:t>
      </w:r>
      <w:r w:rsidRPr="0088780C">
        <w:rPr>
          <w:snapToGrid w:val="0"/>
          <w:kern w:val="22"/>
          <w:szCs w:val="22"/>
        </w:rPr>
        <w:tab/>
        <w:t>41.3485938</w:t>
      </w:r>
    </w:p>
    <w:p w14:paraId="11E3C623" w14:textId="77777777" w:rsidR="00A876F3" w:rsidRPr="0088780C" w:rsidRDefault="00A876F3" w:rsidP="008F594E">
      <w:pPr>
        <w:keepNext/>
        <w:keepLines/>
        <w:suppressLineNumbers/>
        <w:suppressAutoHyphens/>
        <w:kinsoku w:val="0"/>
        <w:overflowPunct w:val="0"/>
        <w:autoSpaceDE w:val="0"/>
        <w:autoSpaceDN w:val="0"/>
        <w:rPr>
          <w:snapToGrid w:val="0"/>
          <w:kern w:val="22"/>
          <w:szCs w:val="22"/>
        </w:rPr>
      </w:pPr>
      <w:r w:rsidRPr="0088780C">
        <w:rPr>
          <w:snapToGrid w:val="0"/>
          <w:kern w:val="22"/>
          <w:szCs w:val="22"/>
        </w:rPr>
        <w:t>42.1492143</w:t>
      </w:r>
      <w:r w:rsidRPr="0088780C">
        <w:rPr>
          <w:snapToGrid w:val="0"/>
          <w:kern w:val="22"/>
          <w:szCs w:val="22"/>
        </w:rPr>
        <w:tab/>
        <w:t>41.3730120</w:t>
      </w:r>
    </w:p>
    <w:p w14:paraId="6A34DEB1" w14:textId="77777777" w:rsidR="00A876F3" w:rsidRPr="0088780C" w:rsidRDefault="00A876F3" w:rsidP="008F594E">
      <w:pPr>
        <w:keepLines/>
        <w:suppressLineNumbers/>
        <w:suppressAutoHyphens/>
        <w:kinsoku w:val="0"/>
        <w:overflowPunct w:val="0"/>
        <w:autoSpaceDE w:val="0"/>
        <w:autoSpaceDN w:val="0"/>
        <w:ind w:right="-19"/>
        <w:rPr>
          <w:snapToGrid w:val="0"/>
          <w:kern w:val="22"/>
          <w:szCs w:val="22"/>
        </w:rPr>
      </w:pPr>
      <w:r w:rsidRPr="0088780C">
        <w:rPr>
          <w:snapToGrid w:val="0"/>
          <w:kern w:val="22"/>
          <w:szCs w:val="22"/>
        </w:rPr>
        <w:t>42.1781462</w:t>
      </w:r>
      <w:r w:rsidRPr="0088780C">
        <w:rPr>
          <w:snapToGrid w:val="0"/>
          <w:kern w:val="22"/>
          <w:szCs w:val="22"/>
        </w:rPr>
        <w:tab/>
        <w:t>41.6434212</w:t>
      </w:r>
    </w:p>
    <w:p w14:paraId="09500C10" w14:textId="77777777" w:rsidR="00A876F3" w:rsidRPr="0088780C" w:rsidRDefault="00A876F3" w:rsidP="001013AF">
      <w:pPr>
        <w:suppressLineNumbers/>
        <w:suppressAutoHyphens/>
        <w:kinsoku w:val="0"/>
        <w:overflowPunct w:val="0"/>
        <w:autoSpaceDE w:val="0"/>
        <w:autoSpaceDN w:val="0"/>
        <w:ind w:right="-19"/>
        <w:rPr>
          <w:b/>
          <w:snapToGrid w:val="0"/>
          <w:kern w:val="22"/>
          <w:szCs w:val="22"/>
        </w:rPr>
      </w:pPr>
    </w:p>
    <w:p w14:paraId="5EEB7A88" w14:textId="77777777" w:rsidR="00A876F3" w:rsidRPr="0088780C" w:rsidRDefault="00A876F3" w:rsidP="001013AF">
      <w:pPr>
        <w:suppressLineNumbers/>
        <w:suppressAutoHyphens/>
        <w:kinsoku w:val="0"/>
        <w:overflowPunct w:val="0"/>
        <w:autoSpaceDE w:val="0"/>
        <w:autoSpaceDN w:val="0"/>
        <w:ind w:right="-19"/>
        <w:rPr>
          <w:snapToGrid w:val="0"/>
          <w:kern w:val="22"/>
          <w:szCs w:val="22"/>
        </w:rPr>
      </w:pPr>
      <w:r w:rsidRPr="0088780C">
        <w:rPr>
          <w:b/>
          <w:snapToGrid w:val="0"/>
          <w:kern w:val="22"/>
          <w:szCs w:val="22"/>
        </w:rPr>
        <w:t>Feature description of the area</w:t>
      </w:r>
    </w:p>
    <w:p w14:paraId="0AC8A081" w14:textId="4E3C7E06" w:rsidR="00A876F3" w:rsidRPr="0088780C" w:rsidRDefault="00A876F3" w:rsidP="001013AF">
      <w:pPr>
        <w:suppressLineNumbers/>
        <w:suppressAutoHyphens/>
        <w:kinsoku w:val="0"/>
        <w:overflowPunct w:val="0"/>
        <w:autoSpaceDE w:val="0"/>
        <w:autoSpaceDN w:val="0"/>
        <w:ind w:right="-19"/>
        <w:rPr>
          <w:snapToGrid w:val="0"/>
          <w:kern w:val="22"/>
          <w:szCs w:val="22"/>
        </w:rPr>
      </w:pPr>
      <w:r w:rsidRPr="0088780C">
        <w:rPr>
          <w:snapToGrid w:val="0"/>
          <w:kern w:val="22"/>
          <w:szCs w:val="22"/>
        </w:rPr>
        <w:t xml:space="preserve">The area includes the marine part and adjacent waters of Kolkheti National </w:t>
      </w:r>
      <w:r w:rsidR="008F594E" w:rsidRPr="0088780C">
        <w:rPr>
          <w:snapToGrid w:val="0"/>
          <w:kern w:val="22"/>
          <w:szCs w:val="22"/>
        </w:rPr>
        <w:t>Park and the Rioni River mouth.</w:t>
      </w:r>
    </w:p>
    <w:p w14:paraId="4DC23A52" w14:textId="77777777" w:rsidR="00A876F3" w:rsidRPr="0088780C" w:rsidRDefault="00A876F3" w:rsidP="001013AF">
      <w:pPr>
        <w:suppressLineNumbers/>
        <w:suppressAutoHyphens/>
        <w:kinsoku w:val="0"/>
        <w:overflowPunct w:val="0"/>
        <w:autoSpaceDE w:val="0"/>
        <w:autoSpaceDN w:val="0"/>
        <w:ind w:right="-19"/>
        <w:rPr>
          <w:snapToGrid w:val="0"/>
          <w:kern w:val="22"/>
          <w:szCs w:val="22"/>
        </w:rPr>
      </w:pPr>
    </w:p>
    <w:p w14:paraId="2F44443E" w14:textId="77777777" w:rsidR="00A876F3" w:rsidRPr="0088780C" w:rsidRDefault="00A876F3" w:rsidP="001013AF">
      <w:pPr>
        <w:suppressLineNumbers/>
        <w:suppressAutoHyphens/>
        <w:kinsoku w:val="0"/>
        <w:overflowPunct w:val="0"/>
        <w:autoSpaceDE w:val="0"/>
        <w:autoSpaceDN w:val="0"/>
        <w:ind w:right="-19"/>
        <w:rPr>
          <w:snapToGrid w:val="0"/>
          <w:kern w:val="22"/>
          <w:szCs w:val="22"/>
        </w:rPr>
      </w:pPr>
      <w:r w:rsidRPr="0088780C">
        <w:rPr>
          <w:snapToGrid w:val="0"/>
          <w:kern w:val="22"/>
          <w:szCs w:val="22"/>
        </w:rPr>
        <w:t>The main habitats in the area are:</w:t>
      </w:r>
    </w:p>
    <w:p w14:paraId="68FAB9F0" w14:textId="77777777" w:rsidR="00A876F3" w:rsidRPr="0088780C" w:rsidRDefault="00A876F3" w:rsidP="001013AF">
      <w:pPr>
        <w:suppressLineNumbers/>
        <w:suppressAutoHyphens/>
        <w:kinsoku w:val="0"/>
        <w:overflowPunct w:val="0"/>
        <w:autoSpaceDE w:val="0"/>
        <w:autoSpaceDN w:val="0"/>
        <w:ind w:right="-19"/>
        <w:rPr>
          <w:snapToGrid w:val="0"/>
          <w:kern w:val="22"/>
          <w:szCs w:val="22"/>
          <w:u w:val="single"/>
        </w:rPr>
      </w:pPr>
      <w:r w:rsidRPr="0088780C">
        <w:rPr>
          <w:snapToGrid w:val="0"/>
          <w:kern w:val="22"/>
          <w:szCs w:val="22"/>
          <w:u w:val="single"/>
        </w:rPr>
        <w:t>Open Sea and Circulation Zone</w:t>
      </w:r>
    </w:p>
    <w:p w14:paraId="75BC2DF6" w14:textId="1441C646" w:rsidR="00A876F3" w:rsidRPr="0088780C" w:rsidRDefault="00A876F3" w:rsidP="001013AF">
      <w:pPr>
        <w:suppressLineNumbers/>
        <w:suppressAutoHyphens/>
        <w:kinsoku w:val="0"/>
        <w:overflowPunct w:val="0"/>
        <w:autoSpaceDE w:val="0"/>
        <w:autoSpaceDN w:val="0"/>
        <w:ind w:right="-19"/>
        <w:rPr>
          <w:snapToGrid w:val="0"/>
          <w:kern w:val="22"/>
          <w:szCs w:val="22"/>
        </w:rPr>
      </w:pPr>
      <w:r w:rsidRPr="0088780C">
        <w:rPr>
          <w:snapToGrid w:val="0"/>
          <w:kern w:val="22"/>
          <w:szCs w:val="22"/>
        </w:rPr>
        <w:t>The water level from the sand surface does not exceed 20 metres. It consists of sedimentary sand, but also contains larger stones and pebbles or smaller granules that form mud on the coastline. The sandy-rocky line stretches from Abkhazian coast to Guria and Achara (inclusive). The biotic elements are chiefly represented by algae, invertebrate sea animals and plankton. Various species of fish either inhabit or pass these places; all the three species of dolphin (</w:t>
      </w:r>
      <w:r w:rsidRPr="0088780C">
        <w:rPr>
          <w:i/>
          <w:snapToGrid w:val="0"/>
          <w:kern w:val="22"/>
          <w:szCs w:val="22"/>
        </w:rPr>
        <w:t>Tursiops truncatus, Delphinus delphis, Phocoena phocoena</w:t>
      </w:r>
      <w:r w:rsidR="008F594E" w:rsidRPr="0088780C">
        <w:rPr>
          <w:snapToGrid w:val="0"/>
          <w:kern w:val="22"/>
          <w:szCs w:val="22"/>
        </w:rPr>
        <w:t>) use the area.</w:t>
      </w:r>
    </w:p>
    <w:p w14:paraId="4F3C2749" w14:textId="77777777" w:rsidR="00A876F3" w:rsidRPr="0088780C" w:rsidRDefault="00A876F3" w:rsidP="001013AF">
      <w:pPr>
        <w:suppressLineNumbers/>
        <w:suppressAutoHyphens/>
        <w:kinsoku w:val="0"/>
        <w:overflowPunct w:val="0"/>
        <w:autoSpaceDE w:val="0"/>
        <w:autoSpaceDN w:val="0"/>
        <w:ind w:right="-19"/>
        <w:rPr>
          <w:snapToGrid w:val="0"/>
          <w:kern w:val="22"/>
          <w:szCs w:val="22"/>
          <w:u w:val="single"/>
        </w:rPr>
      </w:pPr>
    </w:p>
    <w:p w14:paraId="51BBEB2B" w14:textId="14CAF03E" w:rsidR="00A876F3" w:rsidRPr="0088780C" w:rsidRDefault="008F594E" w:rsidP="001013AF">
      <w:pPr>
        <w:suppressLineNumbers/>
        <w:suppressAutoHyphens/>
        <w:kinsoku w:val="0"/>
        <w:overflowPunct w:val="0"/>
        <w:autoSpaceDE w:val="0"/>
        <w:autoSpaceDN w:val="0"/>
        <w:ind w:right="-19"/>
        <w:rPr>
          <w:snapToGrid w:val="0"/>
          <w:kern w:val="22"/>
          <w:szCs w:val="22"/>
          <w:u w:val="single"/>
        </w:rPr>
      </w:pPr>
      <w:r w:rsidRPr="0088780C">
        <w:rPr>
          <w:snapToGrid w:val="0"/>
          <w:kern w:val="22"/>
          <w:szCs w:val="22"/>
          <w:u w:val="single"/>
        </w:rPr>
        <w:t>Deltas (estuaries)</w:t>
      </w:r>
    </w:p>
    <w:p w14:paraId="3139ADAF" w14:textId="77777777" w:rsidR="00A876F3" w:rsidRPr="0088780C" w:rsidRDefault="00A876F3" w:rsidP="001013AF">
      <w:pPr>
        <w:suppressLineNumbers/>
        <w:suppressAutoHyphens/>
        <w:kinsoku w:val="0"/>
        <w:overflowPunct w:val="0"/>
        <w:autoSpaceDE w:val="0"/>
        <w:autoSpaceDN w:val="0"/>
        <w:ind w:right="-19"/>
        <w:rPr>
          <w:snapToGrid w:val="0"/>
          <w:kern w:val="22"/>
          <w:szCs w:val="22"/>
        </w:rPr>
      </w:pPr>
      <w:r w:rsidRPr="0088780C">
        <w:rPr>
          <w:snapToGrid w:val="0"/>
          <w:kern w:val="22"/>
          <w:szCs w:val="22"/>
        </w:rPr>
        <w:t>A delta is the end of the river-bed where it joins the sea and is influenced by the tides. The delta of the river forms part of the coastline, where the bay contains mixed fresh and salty water. This zone is characterized by a large amount of sedimantary rocks brought to the coastline by the river. It constantly changes the type of tide and causes the formation of mud, decomposed rocks and other sediments. The largest delta is formed by the Rioni River.</w:t>
      </w:r>
    </w:p>
    <w:p w14:paraId="0CC8DCFB" w14:textId="77777777" w:rsidR="00A876F3" w:rsidRPr="0088780C" w:rsidRDefault="00A876F3" w:rsidP="001013AF">
      <w:pPr>
        <w:suppressLineNumbers/>
        <w:suppressAutoHyphens/>
        <w:kinsoku w:val="0"/>
        <w:overflowPunct w:val="0"/>
        <w:autoSpaceDE w:val="0"/>
        <w:autoSpaceDN w:val="0"/>
        <w:ind w:right="-19"/>
        <w:rPr>
          <w:snapToGrid w:val="0"/>
          <w:kern w:val="22"/>
          <w:szCs w:val="22"/>
        </w:rPr>
      </w:pPr>
    </w:p>
    <w:p w14:paraId="10D24AD3" w14:textId="77777777" w:rsidR="00A876F3" w:rsidRPr="0088780C" w:rsidRDefault="00A876F3" w:rsidP="001013AF">
      <w:pPr>
        <w:suppressLineNumbers/>
        <w:suppressAutoHyphens/>
        <w:kinsoku w:val="0"/>
        <w:overflowPunct w:val="0"/>
        <w:autoSpaceDE w:val="0"/>
        <w:autoSpaceDN w:val="0"/>
        <w:ind w:right="-19"/>
        <w:rPr>
          <w:snapToGrid w:val="0"/>
          <w:kern w:val="22"/>
          <w:szCs w:val="22"/>
          <w:u w:val="single"/>
        </w:rPr>
      </w:pPr>
      <w:r w:rsidRPr="0088780C">
        <w:rPr>
          <w:snapToGrid w:val="0"/>
          <w:kern w:val="22"/>
          <w:szCs w:val="22"/>
          <w:u w:val="single"/>
        </w:rPr>
        <w:t>Coastal Lagoon</w:t>
      </w:r>
    </w:p>
    <w:p w14:paraId="6E8D389F" w14:textId="6F1EA6D2" w:rsidR="00A876F3" w:rsidRPr="0088780C" w:rsidRDefault="00A876F3" w:rsidP="001013AF">
      <w:pPr>
        <w:suppressLineNumbers/>
        <w:suppressAutoHyphens/>
        <w:kinsoku w:val="0"/>
        <w:overflowPunct w:val="0"/>
        <w:autoSpaceDE w:val="0"/>
        <w:autoSpaceDN w:val="0"/>
        <w:ind w:right="-19"/>
        <w:rPr>
          <w:snapToGrid w:val="0"/>
          <w:kern w:val="22"/>
          <w:szCs w:val="22"/>
        </w:rPr>
      </w:pPr>
      <w:r w:rsidRPr="0088780C">
        <w:rPr>
          <w:snapToGrid w:val="0"/>
          <w:kern w:val="22"/>
          <w:szCs w:val="22"/>
        </w:rPr>
        <w:t>The lagoon is a part of the salty water of the sea. It has cut into land and is sepa</w:t>
      </w:r>
      <w:r w:rsidR="008F594E" w:rsidRPr="0088780C">
        <w:rPr>
          <w:snapToGrid w:val="0"/>
          <w:kern w:val="22"/>
          <w:szCs w:val="22"/>
        </w:rPr>
        <w:t>rated from the sea so that when</w:t>
      </w:r>
      <w:r w:rsidRPr="0088780C">
        <w:rPr>
          <w:snapToGrid w:val="0"/>
          <w:kern w:val="22"/>
          <w:szCs w:val="22"/>
        </w:rPr>
        <w:t xml:space="preserve"> the tide is high, the sea and the lagoon are connected and their waters are mixed. The lagoon is often separated from the coast by means of rocks or sandy hills. The salinity of water depends on the volume of precipitation. During hard rains, salinity is decreased. A coastal lagoon is found near Grigoleti Village.</w:t>
      </w:r>
    </w:p>
    <w:p w14:paraId="3AC21FE7" w14:textId="77777777" w:rsidR="00A876F3" w:rsidRPr="0088780C" w:rsidRDefault="00A876F3" w:rsidP="001013AF">
      <w:pPr>
        <w:suppressLineNumbers/>
        <w:suppressAutoHyphens/>
        <w:kinsoku w:val="0"/>
        <w:overflowPunct w:val="0"/>
        <w:autoSpaceDE w:val="0"/>
        <w:autoSpaceDN w:val="0"/>
        <w:ind w:right="-19"/>
        <w:rPr>
          <w:snapToGrid w:val="0"/>
          <w:kern w:val="22"/>
          <w:szCs w:val="22"/>
        </w:rPr>
      </w:pPr>
    </w:p>
    <w:p w14:paraId="444EA960" w14:textId="77777777" w:rsidR="00A876F3" w:rsidRPr="0088780C" w:rsidRDefault="00A876F3" w:rsidP="001013AF">
      <w:pPr>
        <w:suppressLineNumbers/>
        <w:suppressAutoHyphens/>
        <w:kinsoku w:val="0"/>
        <w:overflowPunct w:val="0"/>
        <w:autoSpaceDE w:val="0"/>
        <w:autoSpaceDN w:val="0"/>
        <w:ind w:right="-19"/>
        <w:rPr>
          <w:snapToGrid w:val="0"/>
          <w:kern w:val="22"/>
          <w:szCs w:val="22"/>
          <w:u w:val="single"/>
        </w:rPr>
      </w:pPr>
      <w:r w:rsidRPr="0088780C">
        <w:rPr>
          <w:snapToGrid w:val="0"/>
          <w:kern w:val="22"/>
          <w:szCs w:val="22"/>
          <w:u w:val="single"/>
        </w:rPr>
        <w:t>Shallow water and bay</w:t>
      </w:r>
    </w:p>
    <w:p w14:paraId="18C49428" w14:textId="77777777" w:rsidR="00A876F3" w:rsidRPr="0088780C" w:rsidRDefault="00A876F3" w:rsidP="001013AF">
      <w:pPr>
        <w:suppressLineNumbers/>
        <w:suppressAutoHyphens/>
        <w:kinsoku w:val="0"/>
        <w:overflowPunct w:val="0"/>
        <w:autoSpaceDE w:val="0"/>
        <w:autoSpaceDN w:val="0"/>
        <w:ind w:right="-19"/>
        <w:rPr>
          <w:snapToGrid w:val="0"/>
          <w:kern w:val="22"/>
          <w:szCs w:val="22"/>
        </w:rPr>
      </w:pPr>
      <w:r w:rsidRPr="0088780C">
        <w:rPr>
          <w:snapToGrid w:val="0"/>
          <w:kern w:val="22"/>
          <w:szCs w:val="22"/>
        </w:rPr>
        <w:t>A bay and shallow water occupy certain places on the coast. Unlike deltas, here fresh water is not mixed with the sea water. It is affected only by the movement of the sea waves, which brings sedimentary rocks from the bottom of the sea and constantly changes the structure of the bottom. This, in its turn, affects the biotic content of benthos (Akhalkatsi, 2010).</w:t>
      </w:r>
    </w:p>
    <w:p w14:paraId="4874728F" w14:textId="77777777" w:rsidR="00A876F3" w:rsidRPr="0088780C" w:rsidRDefault="00A876F3" w:rsidP="001013AF">
      <w:pPr>
        <w:suppressLineNumbers/>
        <w:suppressAutoHyphens/>
        <w:kinsoku w:val="0"/>
        <w:overflowPunct w:val="0"/>
        <w:autoSpaceDE w:val="0"/>
        <w:autoSpaceDN w:val="0"/>
        <w:ind w:right="-19"/>
        <w:rPr>
          <w:snapToGrid w:val="0"/>
          <w:kern w:val="22"/>
          <w:szCs w:val="22"/>
        </w:rPr>
      </w:pPr>
    </w:p>
    <w:p w14:paraId="365BC259" w14:textId="4C00B52D" w:rsidR="00A876F3" w:rsidRPr="0088780C" w:rsidRDefault="00A876F3" w:rsidP="001013AF">
      <w:pPr>
        <w:suppressLineNumbers/>
        <w:suppressAutoHyphens/>
        <w:kinsoku w:val="0"/>
        <w:overflowPunct w:val="0"/>
        <w:autoSpaceDE w:val="0"/>
        <w:autoSpaceDN w:val="0"/>
        <w:ind w:right="-19"/>
        <w:rPr>
          <w:snapToGrid w:val="0"/>
          <w:kern w:val="22"/>
          <w:szCs w:val="22"/>
        </w:rPr>
      </w:pPr>
      <w:r w:rsidRPr="0088780C">
        <w:rPr>
          <w:snapToGrid w:val="0"/>
          <w:kern w:val="22"/>
          <w:szCs w:val="22"/>
        </w:rPr>
        <w:t xml:space="preserve">The area includes Kolkheti National Park, which is established with the purpose of protecting and maintaining wetland ecosystems. The Kolkheti lowland became the subject of international interest first in 1996, when Georgia joined the Ramsar Convention on </w:t>
      </w:r>
      <w:r w:rsidR="00D8482D" w:rsidRPr="0088780C">
        <w:rPr>
          <w:snapToGrid w:val="0"/>
          <w:kern w:val="22"/>
          <w:szCs w:val="22"/>
        </w:rPr>
        <w:t>“</w:t>
      </w:r>
      <w:r w:rsidRPr="0088780C">
        <w:rPr>
          <w:snapToGrid w:val="0"/>
          <w:kern w:val="22"/>
          <w:szCs w:val="22"/>
        </w:rPr>
        <w:t>Wetlands of International Importance Especially as Waterfowl Habitat</w:t>
      </w:r>
      <w:r w:rsidR="00D8482D" w:rsidRPr="0088780C">
        <w:rPr>
          <w:snapToGrid w:val="0"/>
          <w:kern w:val="22"/>
          <w:szCs w:val="22"/>
        </w:rPr>
        <w:t>”</w:t>
      </w:r>
      <w:r w:rsidRPr="0088780C">
        <w:rPr>
          <w:snapToGrid w:val="0"/>
          <w:kern w:val="22"/>
          <w:szCs w:val="22"/>
        </w:rPr>
        <w:t>. In 2000, Kolkheti National Par</w:t>
      </w:r>
      <w:r w:rsidR="008F594E" w:rsidRPr="0088780C">
        <w:rPr>
          <w:snapToGrid w:val="0"/>
          <w:kern w:val="22"/>
          <w:szCs w:val="22"/>
        </w:rPr>
        <w:t>k began full-scale functioning.</w:t>
      </w:r>
    </w:p>
    <w:p w14:paraId="793BA778" w14:textId="77777777" w:rsidR="00A876F3" w:rsidRPr="0088780C" w:rsidRDefault="00A876F3" w:rsidP="001013AF">
      <w:pPr>
        <w:suppressLineNumbers/>
        <w:suppressAutoHyphens/>
        <w:kinsoku w:val="0"/>
        <w:overflowPunct w:val="0"/>
        <w:autoSpaceDE w:val="0"/>
        <w:autoSpaceDN w:val="0"/>
        <w:ind w:right="-19"/>
        <w:rPr>
          <w:snapToGrid w:val="0"/>
          <w:kern w:val="22"/>
          <w:szCs w:val="22"/>
        </w:rPr>
      </w:pPr>
    </w:p>
    <w:p w14:paraId="0094B051" w14:textId="77777777"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u w:val="single"/>
        </w:rPr>
      </w:pPr>
      <w:r w:rsidRPr="0088780C">
        <w:rPr>
          <w:rFonts w:eastAsia="Calibri"/>
          <w:snapToGrid w:val="0"/>
          <w:kern w:val="22"/>
          <w:szCs w:val="22"/>
          <w:u w:val="single"/>
        </w:rPr>
        <w:t>Biological communities</w:t>
      </w:r>
    </w:p>
    <w:p w14:paraId="633CC181" w14:textId="19CE5722" w:rsidR="00A876F3" w:rsidRPr="0088780C" w:rsidRDefault="00A876F3" w:rsidP="001013AF">
      <w:pPr>
        <w:suppressLineNumbers/>
        <w:suppressAutoHyphens/>
        <w:kinsoku w:val="0"/>
        <w:overflowPunct w:val="0"/>
        <w:autoSpaceDE w:val="0"/>
        <w:autoSpaceDN w:val="0"/>
        <w:ind w:right="-19"/>
        <w:rPr>
          <w:rFonts w:eastAsia="Calibri"/>
          <w:snapToGrid w:val="0"/>
          <w:kern w:val="22"/>
          <w:szCs w:val="22"/>
        </w:rPr>
      </w:pPr>
      <w:r w:rsidRPr="0088780C">
        <w:rPr>
          <w:rFonts w:eastAsia="Calibri"/>
          <w:snapToGrid w:val="0"/>
          <w:kern w:val="22"/>
          <w:szCs w:val="22"/>
        </w:rPr>
        <w:t>All species of Black Sea apex predators use the area as a feeding ground, in particular bottlenose dolphin (</w:t>
      </w:r>
      <w:r w:rsidRPr="0088780C">
        <w:rPr>
          <w:rFonts w:eastAsia="Calibri"/>
          <w:i/>
          <w:snapToGrid w:val="0"/>
          <w:kern w:val="22"/>
          <w:szCs w:val="22"/>
        </w:rPr>
        <w:t>Tursiops truncatus ponticus</w:t>
      </w:r>
      <w:r w:rsidRPr="0088780C">
        <w:rPr>
          <w:rFonts w:eastAsia="Calibri"/>
          <w:snapToGrid w:val="0"/>
          <w:kern w:val="22"/>
          <w:szCs w:val="22"/>
        </w:rPr>
        <w:t xml:space="preserve">), common short-beaked dolphin </w:t>
      </w:r>
      <w:r w:rsidRPr="0088780C">
        <w:rPr>
          <w:rFonts w:eastAsia="Calibri"/>
          <w:i/>
          <w:snapToGrid w:val="0"/>
          <w:kern w:val="22"/>
          <w:szCs w:val="22"/>
        </w:rPr>
        <w:t>(Delphinus delphis ponticus</w:t>
      </w:r>
      <w:r w:rsidRPr="0088780C">
        <w:rPr>
          <w:rFonts w:eastAsia="Calibri"/>
          <w:snapToGrid w:val="0"/>
          <w:kern w:val="22"/>
          <w:szCs w:val="22"/>
        </w:rPr>
        <w:t xml:space="preserve">), </w:t>
      </w:r>
      <w:r w:rsidR="003D6ED2" w:rsidRPr="0088780C">
        <w:rPr>
          <w:rFonts w:eastAsia="Calibri"/>
          <w:snapToGrid w:val="0"/>
          <w:kern w:val="22"/>
          <w:szCs w:val="22"/>
        </w:rPr>
        <w:t>harbour porpoise</w:t>
      </w:r>
      <w:r w:rsidRPr="0088780C">
        <w:rPr>
          <w:rFonts w:eastAsia="Calibri"/>
          <w:snapToGrid w:val="0"/>
          <w:kern w:val="22"/>
          <w:szCs w:val="22"/>
        </w:rPr>
        <w:t xml:space="preserve"> (</w:t>
      </w:r>
      <w:r w:rsidRPr="0088780C">
        <w:rPr>
          <w:rFonts w:eastAsia="Calibri"/>
          <w:i/>
          <w:snapToGrid w:val="0"/>
          <w:kern w:val="22"/>
          <w:szCs w:val="22"/>
        </w:rPr>
        <w:t>Phocoena phocoena relicta</w:t>
      </w:r>
      <w:r w:rsidRPr="0088780C">
        <w:rPr>
          <w:rFonts w:eastAsia="Calibri"/>
          <w:snapToGrid w:val="0"/>
          <w:kern w:val="22"/>
          <w:szCs w:val="22"/>
        </w:rPr>
        <w:t>) and yelkouan shearwater (</w:t>
      </w:r>
      <w:r w:rsidRPr="0088780C">
        <w:rPr>
          <w:rFonts w:eastAsia="Calibri"/>
          <w:i/>
          <w:snapToGrid w:val="0"/>
          <w:kern w:val="22"/>
          <w:szCs w:val="22"/>
        </w:rPr>
        <w:t>Puffinus yelkouan</w:t>
      </w:r>
      <w:r w:rsidR="008F594E" w:rsidRPr="0088780C">
        <w:rPr>
          <w:rFonts w:eastAsia="Calibri"/>
          <w:snapToGrid w:val="0"/>
          <w:kern w:val="22"/>
          <w:szCs w:val="22"/>
        </w:rPr>
        <w:t xml:space="preserve">). Newborn calves of </w:t>
      </w:r>
      <w:r w:rsidRPr="0088780C">
        <w:rPr>
          <w:rFonts w:eastAsia="Calibri"/>
          <w:snapToGrid w:val="0"/>
          <w:kern w:val="22"/>
          <w:szCs w:val="22"/>
        </w:rPr>
        <w:t>three cetacean species, the bottlenose dolphin (</w:t>
      </w:r>
      <w:r w:rsidRPr="0088780C">
        <w:rPr>
          <w:rFonts w:eastAsia="Calibri"/>
          <w:i/>
          <w:snapToGrid w:val="0"/>
          <w:kern w:val="22"/>
          <w:szCs w:val="22"/>
        </w:rPr>
        <w:t>Tursiops truncatus ponticus</w:t>
      </w:r>
      <w:r w:rsidRPr="0088780C">
        <w:rPr>
          <w:rFonts w:eastAsia="Calibri"/>
          <w:snapToGrid w:val="0"/>
          <w:kern w:val="22"/>
          <w:szCs w:val="22"/>
        </w:rPr>
        <w:t>), common dolphin (</w:t>
      </w:r>
      <w:r w:rsidRPr="0088780C">
        <w:rPr>
          <w:rFonts w:eastAsia="Calibri"/>
          <w:i/>
          <w:snapToGrid w:val="0"/>
          <w:kern w:val="22"/>
          <w:szCs w:val="22"/>
        </w:rPr>
        <w:t>Delphinus delphis ponticus</w:t>
      </w:r>
      <w:r w:rsidRPr="0088780C">
        <w:rPr>
          <w:rFonts w:eastAsia="Calibri"/>
          <w:snapToGrid w:val="0"/>
          <w:kern w:val="22"/>
          <w:szCs w:val="22"/>
        </w:rPr>
        <w:t xml:space="preserve">) and </w:t>
      </w:r>
      <w:r w:rsidR="003D6ED2" w:rsidRPr="0088780C">
        <w:rPr>
          <w:rFonts w:eastAsia="Calibri"/>
          <w:snapToGrid w:val="0"/>
          <w:kern w:val="22"/>
          <w:szCs w:val="22"/>
        </w:rPr>
        <w:t>harbour porpoise</w:t>
      </w:r>
      <w:r w:rsidRPr="0088780C">
        <w:rPr>
          <w:rFonts w:eastAsia="Calibri"/>
          <w:snapToGrid w:val="0"/>
          <w:kern w:val="22"/>
          <w:szCs w:val="22"/>
        </w:rPr>
        <w:t xml:space="preserve"> (Phocoena phocoena relicta), have been recorded in the area, and courtship behaviour of common and bottlenose dolphins were also observed. (Kopaliani et al. 2015). It has been concluded that the area serves as feeding, breeding and nursery grounds and is a core area for Black Sea cetaceans.</w:t>
      </w:r>
    </w:p>
    <w:p w14:paraId="2CD866E7" w14:textId="77777777" w:rsidR="00A876F3" w:rsidRPr="0088780C" w:rsidRDefault="00A876F3" w:rsidP="001013AF">
      <w:pPr>
        <w:suppressLineNumbers/>
        <w:suppressAutoHyphens/>
        <w:kinsoku w:val="0"/>
        <w:overflowPunct w:val="0"/>
        <w:autoSpaceDE w:val="0"/>
        <w:autoSpaceDN w:val="0"/>
        <w:rPr>
          <w:rFonts w:eastAsia="Calibri"/>
          <w:snapToGrid w:val="0"/>
          <w:kern w:val="22"/>
          <w:szCs w:val="22"/>
        </w:rPr>
      </w:pPr>
    </w:p>
    <w:p w14:paraId="04F08696" w14:textId="1A6F5D3F" w:rsidR="00A876F3" w:rsidRPr="0088780C" w:rsidRDefault="00A876F3" w:rsidP="001013AF">
      <w:pPr>
        <w:suppressLineNumbers/>
        <w:suppressAutoHyphens/>
        <w:kinsoku w:val="0"/>
        <w:overflowPunct w:val="0"/>
        <w:autoSpaceDE w:val="0"/>
        <w:autoSpaceDN w:val="0"/>
        <w:rPr>
          <w:rFonts w:eastAsia="Calibri"/>
          <w:snapToGrid w:val="0"/>
          <w:kern w:val="22"/>
          <w:szCs w:val="22"/>
        </w:rPr>
      </w:pPr>
      <w:r w:rsidRPr="0088780C">
        <w:rPr>
          <w:rFonts w:eastAsia="Calibri"/>
          <w:snapToGrid w:val="0"/>
          <w:kern w:val="22"/>
          <w:szCs w:val="22"/>
        </w:rPr>
        <w:t xml:space="preserve">According to an assessment that began in 2014, the Georgian Black Sea is used by 18 000 </w:t>
      </w:r>
      <w:r w:rsidR="003D6ED2" w:rsidRPr="0088780C">
        <w:rPr>
          <w:rFonts w:eastAsia="Calibri"/>
          <w:snapToGrid w:val="0"/>
          <w:kern w:val="22"/>
          <w:szCs w:val="22"/>
        </w:rPr>
        <w:t>harbour porpoise</w:t>
      </w:r>
      <w:r w:rsidRPr="0088780C">
        <w:rPr>
          <w:rFonts w:eastAsia="Calibri"/>
          <w:snapToGrid w:val="0"/>
          <w:kern w:val="22"/>
          <w:szCs w:val="22"/>
        </w:rPr>
        <w:t xml:space="preserve">s, 16000 common dolphins and 150 bottlenose dolphins in winter; 5000 </w:t>
      </w:r>
      <w:r w:rsidR="003D6ED2" w:rsidRPr="0088780C">
        <w:rPr>
          <w:rFonts w:eastAsia="Calibri"/>
          <w:snapToGrid w:val="0"/>
          <w:kern w:val="22"/>
          <w:szCs w:val="22"/>
        </w:rPr>
        <w:t>harbour porpoise</w:t>
      </w:r>
      <w:r w:rsidRPr="0088780C">
        <w:rPr>
          <w:rFonts w:eastAsia="Calibri"/>
          <w:snapToGrid w:val="0"/>
          <w:kern w:val="22"/>
          <w:szCs w:val="22"/>
        </w:rPr>
        <w:t xml:space="preserve">s, 3000 common dolphins and 150 bottlenose dolphins in spring; 500 </w:t>
      </w:r>
      <w:r w:rsidR="003D6ED2" w:rsidRPr="0088780C">
        <w:rPr>
          <w:rFonts w:eastAsia="Calibri"/>
          <w:snapToGrid w:val="0"/>
          <w:kern w:val="22"/>
          <w:szCs w:val="22"/>
        </w:rPr>
        <w:t>harbour porpoise</w:t>
      </w:r>
      <w:r w:rsidRPr="0088780C">
        <w:rPr>
          <w:rFonts w:eastAsia="Calibri"/>
          <w:snapToGrid w:val="0"/>
          <w:kern w:val="22"/>
          <w:szCs w:val="22"/>
        </w:rPr>
        <w:t xml:space="preserve">s, 6000 common dolphins and 100-150 bottlenose dolphins in summer; and 1000 </w:t>
      </w:r>
      <w:r w:rsidR="003D6ED2" w:rsidRPr="0088780C">
        <w:rPr>
          <w:rFonts w:eastAsia="Calibri"/>
          <w:snapToGrid w:val="0"/>
          <w:kern w:val="22"/>
          <w:szCs w:val="22"/>
        </w:rPr>
        <w:t>harbour porpoise</w:t>
      </w:r>
      <w:r w:rsidRPr="0088780C">
        <w:rPr>
          <w:rFonts w:eastAsia="Calibri"/>
          <w:snapToGrid w:val="0"/>
          <w:kern w:val="22"/>
          <w:szCs w:val="22"/>
        </w:rPr>
        <w:t xml:space="preserve">s in </w:t>
      </w:r>
      <w:r w:rsidR="008F594E" w:rsidRPr="0088780C">
        <w:rPr>
          <w:rFonts w:eastAsia="Calibri"/>
          <w:snapToGrid w:val="0"/>
          <w:kern w:val="22"/>
          <w:szCs w:val="22"/>
        </w:rPr>
        <w:t>autumn (Kopaliani et al. 2015).</w:t>
      </w:r>
    </w:p>
    <w:p w14:paraId="1A67D3BA" w14:textId="77777777" w:rsidR="00A876F3" w:rsidRPr="0088780C" w:rsidRDefault="00A876F3" w:rsidP="001013AF">
      <w:pPr>
        <w:suppressLineNumbers/>
        <w:suppressAutoHyphens/>
        <w:kinsoku w:val="0"/>
        <w:overflowPunct w:val="0"/>
        <w:autoSpaceDE w:val="0"/>
        <w:autoSpaceDN w:val="0"/>
        <w:rPr>
          <w:rFonts w:eastAsia="Calibri"/>
          <w:snapToGrid w:val="0"/>
          <w:kern w:val="22"/>
          <w:szCs w:val="22"/>
        </w:rPr>
      </w:pPr>
    </w:p>
    <w:p w14:paraId="1C3258FE" w14:textId="77777777" w:rsidR="00A876F3" w:rsidRPr="0088780C" w:rsidRDefault="00A876F3" w:rsidP="001013AF">
      <w:pPr>
        <w:suppressLineNumbers/>
        <w:suppressAutoHyphens/>
        <w:kinsoku w:val="0"/>
        <w:overflowPunct w:val="0"/>
        <w:autoSpaceDE w:val="0"/>
        <w:autoSpaceDN w:val="0"/>
        <w:rPr>
          <w:rFonts w:eastAsia="Calibri"/>
          <w:snapToGrid w:val="0"/>
          <w:kern w:val="22"/>
          <w:szCs w:val="22"/>
        </w:rPr>
      </w:pPr>
      <w:r w:rsidRPr="0088780C">
        <w:rPr>
          <w:rFonts w:eastAsia="Calibri"/>
          <w:snapToGrid w:val="0"/>
          <w:kern w:val="22"/>
          <w:szCs w:val="22"/>
        </w:rPr>
        <w:t>Endangered Acipenseridae species use the area for spawning (Guchmanidze 2009).</w:t>
      </w:r>
      <w:r w:rsidRPr="0088780C">
        <w:rPr>
          <w:snapToGrid w:val="0"/>
          <w:kern w:val="22"/>
          <w:szCs w:val="22"/>
        </w:rPr>
        <w:t xml:space="preserve"> </w:t>
      </w:r>
      <w:r w:rsidRPr="0088780C">
        <w:rPr>
          <w:rFonts w:eastAsia="Calibri"/>
          <w:snapToGrid w:val="0"/>
          <w:kern w:val="22"/>
          <w:szCs w:val="22"/>
        </w:rPr>
        <w:t xml:space="preserve">The endangered species under IUCN Red List are: </w:t>
      </w:r>
      <w:r w:rsidRPr="0088780C">
        <w:rPr>
          <w:rFonts w:eastAsia="Calibri"/>
          <w:i/>
          <w:snapToGrid w:val="0"/>
          <w:kern w:val="22"/>
          <w:szCs w:val="22"/>
        </w:rPr>
        <w:t xml:space="preserve">Acipenser gueldenstaedtii, Acipenser stellatus, Acipenser sturio, Acipenser nudiventris, Huso huso </w:t>
      </w:r>
      <w:r w:rsidRPr="0088780C">
        <w:rPr>
          <w:rFonts w:eastAsia="Calibri"/>
          <w:snapToGrid w:val="0"/>
          <w:kern w:val="22"/>
          <w:szCs w:val="22"/>
        </w:rPr>
        <w:t>and</w:t>
      </w:r>
      <w:r w:rsidRPr="0088780C">
        <w:rPr>
          <w:rFonts w:eastAsia="Calibri"/>
          <w:i/>
          <w:snapToGrid w:val="0"/>
          <w:kern w:val="22"/>
          <w:szCs w:val="22"/>
        </w:rPr>
        <w:t xml:space="preserve"> Acipenser persicus</w:t>
      </w:r>
      <w:r w:rsidRPr="0088780C">
        <w:rPr>
          <w:rFonts w:eastAsia="Calibri"/>
          <w:snapToGrid w:val="0"/>
          <w:kern w:val="22"/>
          <w:szCs w:val="22"/>
        </w:rPr>
        <w:t xml:space="preserve">. </w:t>
      </w:r>
      <w:r w:rsidRPr="0088780C">
        <w:rPr>
          <w:rFonts w:eastAsia="Calibri"/>
          <w:i/>
          <w:snapToGrid w:val="0"/>
          <w:kern w:val="22"/>
          <w:szCs w:val="22"/>
        </w:rPr>
        <w:t>Acipenser ruthenus</w:t>
      </w:r>
      <w:r w:rsidRPr="0088780C">
        <w:rPr>
          <w:rFonts w:eastAsia="Calibri"/>
          <w:snapToGrid w:val="0"/>
          <w:kern w:val="22"/>
          <w:szCs w:val="22"/>
        </w:rPr>
        <w:t xml:space="preserve"> is listed as a vulnerable species (IUCN Red List).</w:t>
      </w:r>
    </w:p>
    <w:p w14:paraId="528CDA9E" w14:textId="77777777" w:rsidR="00A876F3" w:rsidRPr="0088780C" w:rsidRDefault="00A876F3" w:rsidP="001013AF">
      <w:pPr>
        <w:suppressLineNumbers/>
        <w:suppressAutoHyphens/>
        <w:kinsoku w:val="0"/>
        <w:overflowPunct w:val="0"/>
        <w:autoSpaceDE w:val="0"/>
        <w:autoSpaceDN w:val="0"/>
        <w:rPr>
          <w:rFonts w:eastAsia="Calibri"/>
          <w:snapToGrid w:val="0"/>
          <w:kern w:val="22"/>
          <w:szCs w:val="22"/>
        </w:rPr>
      </w:pPr>
    </w:p>
    <w:p w14:paraId="00ABD125" w14:textId="3D58F5FB" w:rsidR="00A876F3" w:rsidRPr="0088780C" w:rsidRDefault="00A876F3" w:rsidP="001013AF">
      <w:pPr>
        <w:suppressLineNumbers/>
        <w:suppressAutoHyphens/>
        <w:kinsoku w:val="0"/>
        <w:overflowPunct w:val="0"/>
        <w:autoSpaceDE w:val="0"/>
        <w:autoSpaceDN w:val="0"/>
        <w:rPr>
          <w:rFonts w:eastAsia="Calibri"/>
          <w:snapToGrid w:val="0"/>
          <w:kern w:val="22"/>
          <w:szCs w:val="22"/>
        </w:rPr>
      </w:pPr>
      <w:r w:rsidRPr="0088780C">
        <w:rPr>
          <w:rFonts w:eastAsia="Calibri"/>
          <w:snapToGrid w:val="0"/>
          <w:kern w:val="22"/>
          <w:szCs w:val="22"/>
        </w:rPr>
        <w:t>An important benthos species, European flounder</w:t>
      </w:r>
      <w:r w:rsidRPr="0088780C">
        <w:rPr>
          <w:rFonts w:eastAsia="Calibri"/>
          <w:i/>
          <w:snapToGrid w:val="0"/>
          <w:kern w:val="22"/>
          <w:szCs w:val="22"/>
        </w:rPr>
        <w:t xml:space="preserve"> </w:t>
      </w:r>
      <w:r w:rsidRPr="0088780C">
        <w:rPr>
          <w:rFonts w:eastAsia="Calibri"/>
          <w:snapToGrid w:val="0"/>
          <w:kern w:val="22"/>
          <w:szCs w:val="22"/>
        </w:rPr>
        <w:t>(</w:t>
      </w:r>
      <w:r w:rsidRPr="0088780C">
        <w:rPr>
          <w:rFonts w:eastAsia="Calibri"/>
          <w:i/>
          <w:snapToGrid w:val="0"/>
          <w:kern w:val="22"/>
          <w:szCs w:val="22"/>
        </w:rPr>
        <w:t>Platichthys flesus</w:t>
      </w:r>
      <w:r w:rsidRPr="0088780C">
        <w:rPr>
          <w:rFonts w:eastAsia="Calibri"/>
          <w:snapToGrid w:val="0"/>
          <w:kern w:val="22"/>
          <w:szCs w:val="22"/>
        </w:rPr>
        <w:t xml:space="preserve">), inhabits the area, though its population is decreasing (Munroe, 2010). </w:t>
      </w:r>
      <w:r w:rsidRPr="0088780C">
        <w:rPr>
          <w:rFonts w:eastAsia="Calibri"/>
          <w:i/>
          <w:snapToGrid w:val="0"/>
          <w:kern w:val="22"/>
          <w:szCs w:val="22"/>
        </w:rPr>
        <w:t>Belone belone euxini</w:t>
      </w:r>
      <w:r w:rsidRPr="0088780C">
        <w:rPr>
          <w:rFonts w:eastAsia="Calibri"/>
          <w:snapToGrid w:val="0"/>
          <w:kern w:val="22"/>
          <w:szCs w:val="22"/>
        </w:rPr>
        <w:t xml:space="preserve"> and </w:t>
      </w:r>
      <w:r w:rsidRPr="0088780C">
        <w:rPr>
          <w:rFonts w:eastAsia="Calibri"/>
          <w:i/>
          <w:snapToGrid w:val="0"/>
          <w:kern w:val="22"/>
          <w:szCs w:val="22"/>
        </w:rPr>
        <w:t>Mullus barbatus</w:t>
      </w:r>
      <w:r w:rsidRPr="0088780C">
        <w:rPr>
          <w:rFonts w:eastAsia="Calibri"/>
          <w:snapToGrid w:val="0"/>
          <w:kern w:val="22"/>
          <w:szCs w:val="22"/>
        </w:rPr>
        <w:t>, both of which are endangered species protected under the Black Sea Red List, use this area.</w:t>
      </w:r>
    </w:p>
    <w:p w14:paraId="5A832193" w14:textId="77777777" w:rsidR="00A876F3" w:rsidRPr="0088780C" w:rsidRDefault="00A876F3" w:rsidP="001013AF">
      <w:pPr>
        <w:suppressLineNumbers/>
        <w:suppressAutoHyphens/>
        <w:kinsoku w:val="0"/>
        <w:overflowPunct w:val="0"/>
        <w:autoSpaceDE w:val="0"/>
        <w:autoSpaceDN w:val="0"/>
        <w:rPr>
          <w:rFonts w:eastAsia="Calibri"/>
          <w:snapToGrid w:val="0"/>
          <w:kern w:val="22"/>
          <w:szCs w:val="22"/>
        </w:rPr>
      </w:pPr>
    </w:p>
    <w:p w14:paraId="73ABF9E3" w14:textId="77777777" w:rsidR="00A876F3" w:rsidRPr="0088780C" w:rsidRDefault="00A876F3" w:rsidP="001013AF">
      <w:pPr>
        <w:suppressLineNumbers/>
        <w:suppressAutoHyphens/>
        <w:kinsoku w:val="0"/>
        <w:overflowPunct w:val="0"/>
        <w:autoSpaceDE w:val="0"/>
        <w:autoSpaceDN w:val="0"/>
        <w:rPr>
          <w:rFonts w:eastAsia="Calibri"/>
          <w:snapToGrid w:val="0"/>
          <w:kern w:val="22"/>
          <w:szCs w:val="22"/>
        </w:rPr>
      </w:pPr>
      <w:r w:rsidRPr="0088780C">
        <w:rPr>
          <w:rFonts w:eastAsia="Calibri"/>
          <w:snapToGrid w:val="0"/>
          <w:kern w:val="22"/>
          <w:szCs w:val="22"/>
        </w:rPr>
        <w:t>A significant representative of the pelagic community, the Black Sea herring</w:t>
      </w:r>
      <w:r w:rsidRPr="0088780C">
        <w:rPr>
          <w:rFonts w:eastAsia="Calibri"/>
          <w:i/>
          <w:snapToGrid w:val="0"/>
          <w:kern w:val="22"/>
          <w:szCs w:val="22"/>
        </w:rPr>
        <w:t xml:space="preserve"> (Alosa pontica), </w:t>
      </w:r>
      <w:r w:rsidRPr="0088780C">
        <w:rPr>
          <w:rFonts w:eastAsia="Calibri"/>
          <w:snapToGrid w:val="0"/>
          <w:kern w:val="22"/>
          <w:szCs w:val="22"/>
        </w:rPr>
        <w:t>which is included on the Georgian Red List, uses the area.</w:t>
      </w:r>
    </w:p>
    <w:p w14:paraId="279E7DF1" w14:textId="77777777" w:rsidR="00A876F3" w:rsidRPr="0088780C" w:rsidRDefault="00A876F3" w:rsidP="001013AF">
      <w:pPr>
        <w:suppressLineNumbers/>
        <w:suppressAutoHyphens/>
        <w:kinsoku w:val="0"/>
        <w:overflowPunct w:val="0"/>
        <w:autoSpaceDE w:val="0"/>
        <w:autoSpaceDN w:val="0"/>
        <w:rPr>
          <w:rFonts w:eastAsia="Calibri"/>
          <w:snapToGrid w:val="0"/>
          <w:kern w:val="22"/>
          <w:szCs w:val="22"/>
        </w:rPr>
      </w:pPr>
    </w:p>
    <w:p w14:paraId="06523F6D" w14:textId="7D498DBB" w:rsidR="00A876F3" w:rsidRPr="0088780C" w:rsidRDefault="00A876F3" w:rsidP="001013AF">
      <w:pPr>
        <w:suppressLineNumbers/>
        <w:suppressAutoHyphens/>
        <w:kinsoku w:val="0"/>
        <w:overflowPunct w:val="0"/>
        <w:autoSpaceDE w:val="0"/>
        <w:autoSpaceDN w:val="0"/>
        <w:adjustRightInd w:val="0"/>
        <w:rPr>
          <w:rFonts w:eastAsia="Calibri"/>
          <w:snapToGrid w:val="0"/>
          <w:color w:val="000000"/>
          <w:kern w:val="22"/>
          <w:szCs w:val="22"/>
        </w:rPr>
      </w:pPr>
      <w:r w:rsidRPr="0088780C">
        <w:rPr>
          <w:rFonts w:eastAsia="Calibri"/>
          <w:snapToGrid w:val="0"/>
          <w:color w:val="000000"/>
          <w:kern w:val="22"/>
          <w:szCs w:val="22"/>
        </w:rPr>
        <w:t>The Kolkheti lowland and adjacent foothills of Meskheti Ridge are important sites for migrating birds</w:t>
      </w:r>
      <w:r w:rsidRPr="0088780C">
        <w:rPr>
          <w:snapToGrid w:val="0"/>
          <w:kern w:val="22"/>
          <w:szCs w:val="22"/>
        </w:rPr>
        <w:t xml:space="preserve"> </w:t>
      </w:r>
      <w:r w:rsidRPr="0088780C">
        <w:rPr>
          <w:rFonts w:eastAsia="Calibri"/>
          <w:snapToGrid w:val="0"/>
          <w:color w:val="000000"/>
          <w:kern w:val="22"/>
          <w:szCs w:val="22"/>
        </w:rPr>
        <w:t>and are classified as Important Bird and Biodiversity Areas (BirdLife International 2017). The Caucasus, at the border of Europe and Asia, is important for two life cycle stages of wild seabird waterfowl (migration and wintering), and three flyways co</w:t>
      </w:r>
      <w:r w:rsidR="008F594E" w:rsidRPr="0088780C">
        <w:rPr>
          <w:rFonts w:eastAsia="Calibri"/>
          <w:snapToGrid w:val="0"/>
          <w:color w:val="000000"/>
          <w:kern w:val="22"/>
          <w:szCs w:val="22"/>
        </w:rPr>
        <w:t>nverge in the Caucasus region (t</w:t>
      </w:r>
      <w:r w:rsidRPr="0088780C">
        <w:rPr>
          <w:rFonts w:eastAsia="Calibri"/>
          <w:snapToGrid w:val="0"/>
          <w:color w:val="000000"/>
          <w:kern w:val="22"/>
          <w:szCs w:val="22"/>
        </w:rPr>
        <w:t>he Central Asian, East Africa-West Asia and Mediterranean/Black Sea). Tens of thousands of migratory waterfowl use Kolkheti marshes and lakes as well as river deltas and the adjacent sea as stepping stones and wintering areas. Among them is</w:t>
      </w:r>
      <w:r w:rsidRPr="0088780C">
        <w:rPr>
          <w:snapToGrid w:val="0"/>
          <w:kern w:val="22"/>
          <w:szCs w:val="22"/>
        </w:rPr>
        <w:t xml:space="preserve"> </w:t>
      </w:r>
      <w:r w:rsidRPr="0088780C">
        <w:rPr>
          <w:rFonts w:eastAsia="Calibri"/>
          <w:i/>
          <w:snapToGrid w:val="0"/>
          <w:color w:val="000000"/>
          <w:kern w:val="22"/>
          <w:szCs w:val="22"/>
        </w:rPr>
        <w:t>Puffinus yelkouan,</w:t>
      </w:r>
      <w:r w:rsidRPr="0088780C">
        <w:rPr>
          <w:rFonts w:eastAsia="Calibri"/>
          <w:snapToGrid w:val="0"/>
          <w:color w:val="000000"/>
          <w:kern w:val="22"/>
          <w:szCs w:val="22"/>
        </w:rPr>
        <w:t xml:space="preserve"> which is listed as a vulnerable species (IUCN Red List).</w:t>
      </w:r>
    </w:p>
    <w:p w14:paraId="1C57E6E8" w14:textId="77777777" w:rsidR="00A876F3" w:rsidRPr="0088780C" w:rsidRDefault="00A876F3" w:rsidP="001013AF">
      <w:pPr>
        <w:suppressLineNumbers/>
        <w:suppressAutoHyphens/>
        <w:kinsoku w:val="0"/>
        <w:overflowPunct w:val="0"/>
        <w:autoSpaceDE w:val="0"/>
        <w:autoSpaceDN w:val="0"/>
        <w:adjustRightInd w:val="0"/>
        <w:rPr>
          <w:rFonts w:eastAsia="Calibri"/>
          <w:snapToGrid w:val="0"/>
          <w:color w:val="000000"/>
          <w:kern w:val="22"/>
          <w:szCs w:val="22"/>
        </w:rPr>
      </w:pPr>
    </w:p>
    <w:p w14:paraId="73420F7F" w14:textId="454EBEAA" w:rsidR="00A876F3" w:rsidRPr="0088780C" w:rsidRDefault="00A876F3" w:rsidP="001013AF">
      <w:pPr>
        <w:suppressLineNumbers/>
        <w:suppressAutoHyphens/>
        <w:kinsoku w:val="0"/>
        <w:overflowPunct w:val="0"/>
        <w:autoSpaceDE w:val="0"/>
        <w:autoSpaceDN w:val="0"/>
        <w:rPr>
          <w:rFonts w:eastAsia="Calibri"/>
          <w:snapToGrid w:val="0"/>
          <w:kern w:val="22"/>
          <w:szCs w:val="22"/>
        </w:rPr>
      </w:pPr>
      <w:r w:rsidRPr="0088780C">
        <w:rPr>
          <w:rFonts w:eastAsia="Calibri"/>
          <w:snapToGrid w:val="0"/>
          <w:kern w:val="22"/>
          <w:szCs w:val="22"/>
        </w:rPr>
        <w:t>The described area is important for autumn and spring migration of waders and other shorebirds, including thousands of plovers (</w:t>
      </w:r>
      <w:r w:rsidRPr="0088780C">
        <w:rPr>
          <w:rFonts w:eastAsia="Calibri"/>
          <w:i/>
          <w:snapToGrid w:val="0"/>
          <w:kern w:val="22"/>
          <w:szCs w:val="22"/>
        </w:rPr>
        <w:t>Calidris spp., Pluvialis</w:t>
      </w:r>
      <w:r w:rsidRPr="0088780C">
        <w:rPr>
          <w:rFonts w:eastAsia="Calibri"/>
          <w:snapToGrid w:val="0"/>
          <w:kern w:val="22"/>
          <w:szCs w:val="22"/>
        </w:rPr>
        <w:t xml:space="preserve"> spp.), lapwings (</w:t>
      </w:r>
      <w:r w:rsidRPr="0088780C">
        <w:rPr>
          <w:rFonts w:eastAsia="Calibri"/>
          <w:i/>
          <w:snapToGrid w:val="0"/>
          <w:kern w:val="22"/>
          <w:szCs w:val="22"/>
        </w:rPr>
        <w:t>Vanellus spp</w:t>
      </w:r>
      <w:r w:rsidRPr="0088780C">
        <w:rPr>
          <w:rFonts w:eastAsia="Calibri"/>
          <w:snapToGrid w:val="0"/>
          <w:kern w:val="22"/>
          <w:szCs w:val="22"/>
        </w:rPr>
        <w:t>.), red knot (</w:t>
      </w:r>
      <w:r w:rsidRPr="0088780C">
        <w:rPr>
          <w:rFonts w:eastAsia="Calibri"/>
          <w:i/>
          <w:snapToGrid w:val="0"/>
          <w:kern w:val="22"/>
          <w:szCs w:val="22"/>
        </w:rPr>
        <w:t>Calidris canutus</w:t>
      </w:r>
      <w:r w:rsidRPr="0088780C">
        <w:rPr>
          <w:rFonts w:eastAsia="Calibri"/>
          <w:snapToGrid w:val="0"/>
          <w:kern w:val="22"/>
          <w:szCs w:val="22"/>
        </w:rPr>
        <w:t>), sanderling (</w:t>
      </w:r>
      <w:r w:rsidRPr="0088780C">
        <w:rPr>
          <w:rFonts w:eastAsia="Calibri"/>
          <w:i/>
          <w:snapToGrid w:val="0"/>
          <w:kern w:val="22"/>
          <w:szCs w:val="22"/>
        </w:rPr>
        <w:t>C. alba</w:t>
      </w:r>
      <w:r w:rsidRPr="0088780C">
        <w:rPr>
          <w:rFonts w:eastAsia="Calibri"/>
          <w:snapToGrid w:val="0"/>
          <w:kern w:val="22"/>
          <w:szCs w:val="22"/>
        </w:rPr>
        <w:t>), curlew sandpiper (</w:t>
      </w:r>
      <w:r w:rsidRPr="0088780C">
        <w:rPr>
          <w:rFonts w:eastAsia="Calibri"/>
          <w:i/>
          <w:snapToGrid w:val="0"/>
          <w:kern w:val="22"/>
          <w:szCs w:val="22"/>
        </w:rPr>
        <w:t>C. ferruginea</w:t>
      </w:r>
      <w:r w:rsidRPr="0088780C">
        <w:rPr>
          <w:rFonts w:eastAsia="Calibri"/>
          <w:snapToGrid w:val="0"/>
          <w:kern w:val="22"/>
          <w:szCs w:val="22"/>
        </w:rPr>
        <w:t>), turnstone (</w:t>
      </w:r>
      <w:r w:rsidRPr="0088780C">
        <w:rPr>
          <w:rFonts w:eastAsia="Calibri"/>
          <w:i/>
          <w:snapToGrid w:val="0"/>
          <w:kern w:val="22"/>
          <w:szCs w:val="22"/>
        </w:rPr>
        <w:t>Arenaria interpres</w:t>
      </w:r>
      <w:r w:rsidRPr="0088780C">
        <w:rPr>
          <w:rFonts w:eastAsia="Calibri"/>
          <w:snapToGrid w:val="0"/>
          <w:kern w:val="22"/>
          <w:szCs w:val="22"/>
        </w:rPr>
        <w:t>), dunlin (</w:t>
      </w:r>
      <w:r w:rsidRPr="0088780C">
        <w:rPr>
          <w:rFonts w:eastAsia="Calibri"/>
          <w:i/>
          <w:snapToGrid w:val="0"/>
          <w:kern w:val="22"/>
          <w:szCs w:val="22"/>
        </w:rPr>
        <w:t>Calidris alpina</w:t>
      </w:r>
      <w:r w:rsidRPr="0088780C">
        <w:rPr>
          <w:rFonts w:eastAsia="Calibri"/>
          <w:snapToGrid w:val="0"/>
          <w:kern w:val="22"/>
          <w:szCs w:val="22"/>
        </w:rPr>
        <w:t>), broad-billed sandpiper (</w:t>
      </w:r>
      <w:r w:rsidRPr="0088780C">
        <w:rPr>
          <w:rFonts w:eastAsia="Calibri"/>
          <w:i/>
          <w:snapToGrid w:val="0"/>
          <w:kern w:val="22"/>
          <w:szCs w:val="22"/>
        </w:rPr>
        <w:t>Limicola falcinellus</w:t>
      </w:r>
      <w:r w:rsidRPr="0088780C">
        <w:rPr>
          <w:rFonts w:eastAsia="Calibri"/>
          <w:snapToGrid w:val="0"/>
          <w:kern w:val="22"/>
          <w:szCs w:val="22"/>
        </w:rPr>
        <w:t>), Temminck’s stint (</w:t>
      </w:r>
      <w:r w:rsidRPr="0088780C">
        <w:rPr>
          <w:rFonts w:eastAsia="Calibri"/>
          <w:i/>
          <w:snapToGrid w:val="0"/>
          <w:kern w:val="22"/>
          <w:szCs w:val="22"/>
        </w:rPr>
        <w:t>Calidris temminckii</w:t>
      </w:r>
      <w:r w:rsidRPr="0088780C">
        <w:rPr>
          <w:rFonts w:eastAsia="Calibri"/>
          <w:snapToGrid w:val="0"/>
          <w:kern w:val="22"/>
          <w:szCs w:val="22"/>
        </w:rPr>
        <w:t>), little stint (</w:t>
      </w:r>
      <w:r w:rsidRPr="0088780C">
        <w:rPr>
          <w:rFonts w:eastAsia="Calibri"/>
          <w:i/>
          <w:snapToGrid w:val="0"/>
          <w:kern w:val="22"/>
          <w:szCs w:val="22"/>
        </w:rPr>
        <w:t>Calidris minuta</w:t>
      </w:r>
      <w:r w:rsidRPr="0088780C">
        <w:rPr>
          <w:rFonts w:eastAsia="Calibri"/>
          <w:snapToGrid w:val="0"/>
          <w:kern w:val="22"/>
          <w:szCs w:val="22"/>
        </w:rPr>
        <w:t>), sandpipers (</w:t>
      </w:r>
      <w:r w:rsidRPr="0088780C">
        <w:rPr>
          <w:rFonts w:eastAsia="Calibri"/>
          <w:i/>
          <w:snapToGrid w:val="0"/>
          <w:kern w:val="22"/>
          <w:szCs w:val="22"/>
        </w:rPr>
        <w:t xml:space="preserve">Tringa </w:t>
      </w:r>
      <w:r w:rsidRPr="0088780C">
        <w:rPr>
          <w:rFonts w:eastAsia="Calibri"/>
          <w:snapToGrid w:val="0"/>
          <w:kern w:val="22"/>
          <w:szCs w:val="22"/>
        </w:rPr>
        <w:t>spp.), godwits (</w:t>
      </w:r>
      <w:r w:rsidRPr="0088780C">
        <w:rPr>
          <w:rFonts w:eastAsia="Calibri"/>
          <w:i/>
          <w:snapToGrid w:val="0"/>
          <w:kern w:val="22"/>
          <w:szCs w:val="22"/>
        </w:rPr>
        <w:t>Limosa spp</w:t>
      </w:r>
      <w:r w:rsidRPr="0088780C">
        <w:rPr>
          <w:rFonts w:eastAsia="Calibri"/>
          <w:snapToGrid w:val="0"/>
          <w:kern w:val="22"/>
          <w:szCs w:val="22"/>
        </w:rPr>
        <w:t>.), curlews (</w:t>
      </w:r>
      <w:r w:rsidRPr="0088780C">
        <w:rPr>
          <w:rFonts w:eastAsia="Calibri"/>
          <w:i/>
          <w:snapToGrid w:val="0"/>
          <w:kern w:val="22"/>
          <w:szCs w:val="22"/>
        </w:rPr>
        <w:t>Numenius spp</w:t>
      </w:r>
      <w:r w:rsidRPr="0088780C">
        <w:rPr>
          <w:rFonts w:eastAsia="Calibri"/>
          <w:snapToGrid w:val="0"/>
          <w:kern w:val="22"/>
          <w:szCs w:val="22"/>
        </w:rPr>
        <w:t>.), snipes (</w:t>
      </w:r>
      <w:r w:rsidRPr="0088780C">
        <w:rPr>
          <w:rFonts w:eastAsia="Calibri"/>
          <w:i/>
          <w:snapToGrid w:val="0"/>
          <w:kern w:val="22"/>
          <w:szCs w:val="22"/>
          <w:u w:val="single"/>
        </w:rPr>
        <w:t>Gallinago spp</w:t>
      </w:r>
      <w:r w:rsidRPr="0088780C">
        <w:rPr>
          <w:rFonts w:eastAsia="Calibri"/>
          <w:snapToGrid w:val="0"/>
          <w:kern w:val="22"/>
          <w:szCs w:val="22"/>
        </w:rPr>
        <w:t>.), woodcock (</w:t>
      </w:r>
      <w:r w:rsidRPr="0088780C">
        <w:rPr>
          <w:rFonts w:eastAsia="Calibri"/>
          <w:i/>
          <w:snapToGrid w:val="0"/>
          <w:kern w:val="22"/>
          <w:szCs w:val="22"/>
        </w:rPr>
        <w:t>Scolopax rusticola</w:t>
      </w:r>
      <w:r w:rsidRPr="0088780C">
        <w:rPr>
          <w:rFonts w:eastAsia="Calibri"/>
          <w:snapToGrid w:val="0"/>
          <w:kern w:val="22"/>
          <w:szCs w:val="22"/>
        </w:rPr>
        <w:t>), ruff (</w:t>
      </w:r>
      <w:r w:rsidRPr="0088780C">
        <w:rPr>
          <w:rFonts w:eastAsia="Calibri"/>
          <w:i/>
          <w:snapToGrid w:val="0"/>
          <w:kern w:val="22"/>
          <w:szCs w:val="22"/>
        </w:rPr>
        <w:t>Philomachus pugnax</w:t>
      </w:r>
      <w:r w:rsidRPr="0088780C">
        <w:rPr>
          <w:rFonts w:eastAsia="Calibri"/>
          <w:snapToGrid w:val="0"/>
          <w:kern w:val="22"/>
          <w:szCs w:val="22"/>
        </w:rPr>
        <w:t>), gulls (</w:t>
      </w:r>
      <w:r w:rsidRPr="0088780C">
        <w:rPr>
          <w:rFonts w:eastAsia="Calibri"/>
          <w:i/>
          <w:snapToGrid w:val="0"/>
          <w:kern w:val="22"/>
          <w:szCs w:val="22"/>
        </w:rPr>
        <w:t>Larus</w:t>
      </w:r>
      <w:r w:rsidRPr="0088780C">
        <w:rPr>
          <w:rFonts w:eastAsia="Calibri"/>
          <w:snapToGrid w:val="0"/>
          <w:kern w:val="22"/>
          <w:szCs w:val="22"/>
        </w:rPr>
        <w:t xml:space="preserve"> spp.), terns </w:t>
      </w:r>
      <w:r w:rsidRPr="0088780C">
        <w:rPr>
          <w:rFonts w:eastAsia="Calibri"/>
          <w:i/>
          <w:snapToGrid w:val="0"/>
          <w:kern w:val="22"/>
          <w:szCs w:val="22"/>
        </w:rPr>
        <w:t>(Sterna spp., Chlidonias spp</w:t>
      </w:r>
      <w:r w:rsidRPr="0088780C">
        <w:rPr>
          <w:rFonts w:eastAsia="Calibri"/>
          <w:snapToGrid w:val="0"/>
          <w:kern w:val="22"/>
          <w:szCs w:val="22"/>
        </w:rPr>
        <w:t>.), crakes (</w:t>
      </w:r>
      <w:r w:rsidRPr="0088780C">
        <w:rPr>
          <w:rFonts w:eastAsia="Calibri"/>
          <w:i/>
          <w:snapToGrid w:val="0"/>
          <w:kern w:val="22"/>
          <w:szCs w:val="22"/>
        </w:rPr>
        <w:t>Rallus spp</w:t>
      </w:r>
      <w:r w:rsidRPr="0088780C">
        <w:rPr>
          <w:rFonts w:eastAsia="Calibri"/>
          <w:snapToGrid w:val="0"/>
          <w:kern w:val="22"/>
          <w:szCs w:val="22"/>
        </w:rPr>
        <w:t>.), moorhen (</w:t>
      </w:r>
      <w:r w:rsidRPr="0088780C">
        <w:rPr>
          <w:rFonts w:eastAsia="Calibri"/>
          <w:i/>
          <w:snapToGrid w:val="0"/>
          <w:kern w:val="22"/>
          <w:szCs w:val="22"/>
        </w:rPr>
        <w:t>Gellinula chloropus</w:t>
      </w:r>
      <w:r w:rsidRPr="0088780C">
        <w:rPr>
          <w:rFonts w:eastAsia="Calibri"/>
          <w:snapToGrid w:val="0"/>
          <w:kern w:val="22"/>
          <w:szCs w:val="22"/>
        </w:rPr>
        <w:t>), coot (</w:t>
      </w:r>
      <w:r w:rsidRPr="0088780C">
        <w:rPr>
          <w:rFonts w:eastAsia="Calibri"/>
          <w:i/>
          <w:snapToGrid w:val="0"/>
          <w:kern w:val="22"/>
          <w:szCs w:val="22"/>
        </w:rPr>
        <w:t>Fulica atra</w:t>
      </w:r>
      <w:r w:rsidRPr="0088780C">
        <w:rPr>
          <w:rFonts w:eastAsia="Calibri"/>
          <w:snapToGrid w:val="0"/>
          <w:kern w:val="22"/>
          <w:szCs w:val="22"/>
        </w:rPr>
        <w:t>), purple swamphen (</w:t>
      </w:r>
      <w:r w:rsidRPr="0088780C">
        <w:rPr>
          <w:rFonts w:eastAsia="Calibri"/>
          <w:i/>
          <w:snapToGrid w:val="0"/>
          <w:kern w:val="22"/>
          <w:szCs w:val="22"/>
        </w:rPr>
        <w:t>Porphyrio porphyrio</w:t>
      </w:r>
      <w:r w:rsidRPr="0088780C">
        <w:rPr>
          <w:rFonts w:eastAsia="Calibri"/>
          <w:snapToGrid w:val="0"/>
          <w:kern w:val="22"/>
          <w:szCs w:val="22"/>
        </w:rPr>
        <w:t>) and herons (</w:t>
      </w:r>
      <w:r w:rsidRPr="0088780C">
        <w:rPr>
          <w:rFonts w:eastAsia="Calibri"/>
          <w:i/>
          <w:snapToGrid w:val="0"/>
          <w:kern w:val="22"/>
          <w:szCs w:val="22"/>
        </w:rPr>
        <w:t>Botaurus spp., Egretta spp., Ardea spp</w:t>
      </w:r>
      <w:r w:rsidRPr="0088780C">
        <w:rPr>
          <w:rFonts w:eastAsia="Calibri"/>
          <w:snapToGrid w:val="0"/>
          <w:kern w:val="22"/>
          <w:szCs w:val="22"/>
        </w:rPr>
        <w:t>.). Some seabird species such as the Arctic loon (</w:t>
      </w:r>
      <w:r w:rsidRPr="0088780C">
        <w:rPr>
          <w:rFonts w:eastAsia="Calibri"/>
          <w:i/>
          <w:snapToGrid w:val="0"/>
          <w:kern w:val="22"/>
          <w:szCs w:val="22"/>
        </w:rPr>
        <w:t>Gavia arctica</w:t>
      </w:r>
      <w:r w:rsidRPr="0088780C">
        <w:rPr>
          <w:rFonts w:eastAsia="Calibri"/>
          <w:snapToGrid w:val="0"/>
          <w:kern w:val="22"/>
          <w:szCs w:val="22"/>
        </w:rPr>
        <w:t>), yelkouan shearwater (</w:t>
      </w:r>
      <w:r w:rsidRPr="0088780C">
        <w:rPr>
          <w:rFonts w:eastAsia="Calibri"/>
          <w:i/>
          <w:snapToGrid w:val="0"/>
          <w:kern w:val="22"/>
          <w:szCs w:val="22"/>
        </w:rPr>
        <w:t>Puffinus yelkouan</w:t>
      </w:r>
      <w:r w:rsidRPr="0088780C">
        <w:rPr>
          <w:rFonts w:eastAsia="Calibri"/>
          <w:snapToGrid w:val="0"/>
          <w:kern w:val="22"/>
          <w:szCs w:val="22"/>
        </w:rPr>
        <w:t>), black-tailed godwit (</w:t>
      </w:r>
      <w:r w:rsidRPr="0088780C">
        <w:rPr>
          <w:rFonts w:eastAsia="Calibri"/>
          <w:i/>
          <w:snapToGrid w:val="0"/>
          <w:kern w:val="22"/>
          <w:szCs w:val="22"/>
        </w:rPr>
        <w:t>Limosa limosa</w:t>
      </w:r>
      <w:r w:rsidRPr="0088780C">
        <w:rPr>
          <w:rFonts w:eastAsia="Calibri"/>
          <w:snapToGrid w:val="0"/>
          <w:kern w:val="22"/>
          <w:szCs w:val="22"/>
        </w:rPr>
        <w:t>), little gull (</w:t>
      </w:r>
      <w:r w:rsidRPr="0088780C">
        <w:rPr>
          <w:rFonts w:eastAsia="Calibri"/>
          <w:i/>
          <w:snapToGrid w:val="0"/>
          <w:kern w:val="22"/>
          <w:szCs w:val="22"/>
        </w:rPr>
        <w:t>Hydrocoloeus minutus</w:t>
      </w:r>
      <w:r w:rsidR="008F594E" w:rsidRPr="0088780C">
        <w:rPr>
          <w:rFonts w:eastAsia="Calibri"/>
          <w:snapToGrid w:val="0"/>
          <w:kern w:val="22"/>
          <w:szCs w:val="22"/>
        </w:rPr>
        <w:t>), Pallas’</w:t>
      </w:r>
      <w:r w:rsidRPr="0088780C">
        <w:rPr>
          <w:rFonts w:eastAsia="Calibri"/>
          <w:snapToGrid w:val="0"/>
          <w:kern w:val="22"/>
          <w:szCs w:val="22"/>
        </w:rPr>
        <w:t>s gull (</w:t>
      </w:r>
      <w:r w:rsidRPr="0088780C">
        <w:rPr>
          <w:rFonts w:eastAsia="Calibri"/>
          <w:i/>
          <w:snapToGrid w:val="0"/>
          <w:kern w:val="22"/>
          <w:szCs w:val="22"/>
        </w:rPr>
        <w:t>Larus ichthyaetus</w:t>
      </w:r>
      <w:r w:rsidRPr="0088780C">
        <w:rPr>
          <w:rFonts w:eastAsia="Calibri"/>
          <w:snapToGrid w:val="0"/>
          <w:kern w:val="22"/>
          <w:szCs w:val="22"/>
        </w:rPr>
        <w:t>), Mediterranean gull (</w:t>
      </w:r>
      <w:r w:rsidRPr="0088780C">
        <w:rPr>
          <w:rFonts w:eastAsia="Calibri"/>
          <w:i/>
          <w:snapToGrid w:val="0"/>
          <w:kern w:val="22"/>
          <w:szCs w:val="22"/>
        </w:rPr>
        <w:t>Larus melanocephalus</w:t>
      </w:r>
      <w:r w:rsidRPr="0088780C">
        <w:rPr>
          <w:rFonts w:eastAsia="Calibri"/>
          <w:snapToGrid w:val="0"/>
          <w:kern w:val="22"/>
          <w:szCs w:val="22"/>
        </w:rPr>
        <w:t>), and the lesser black-backed gull (</w:t>
      </w:r>
      <w:r w:rsidRPr="0088780C">
        <w:rPr>
          <w:rFonts w:eastAsia="Calibri"/>
          <w:i/>
          <w:snapToGrid w:val="0"/>
          <w:kern w:val="22"/>
          <w:szCs w:val="22"/>
        </w:rPr>
        <w:t>Larus fuscus</w:t>
      </w:r>
      <w:r w:rsidRPr="0088780C">
        <w:rPr>
          <w:rFonts w:eastAsia="Calibri"/>
          <w:snapToGrid w:val="0"/>
          <w:kern w:val="22"/>
          <w:szCs w:val="22"/>
        </w:rPr>
        <w:t>) also occur in the area. Disturbance from grazing animals, motorboat activities, reed burning, seashore development, uncontrolled hunting and poaching are major threats affecting wader and shorebird populations during migration (Lewis et al., 2013; Javakhisvili in Gurileidze et al., 2012).</w:t>
      </w:r>
    </w:p>
    <w:p w14:paraId="48596456" w14:textId="77777777" w:rsidR="00A876F3" w:rsidRPr="0088780C" w:rsidRDefault="00A876F3" w:rsidP="001013AF">
      <w:pPr>
        <w:suppressLineNumbers/>
        <w:suppressAutoHyphens/>
        <w:kinsoku w:val="0"/>
        <w:overflowPunct w:val="0"/>
        <w:autoSpaceDE w:val="0"/>
        <w:autoSpaceDN w:val="0"/>
        <w:adjustRightInd w:val="0"/>
        <w:rPr>
          <w:rFonts w:eastAsia="Calibri"/>
          <w:snapToGrid w:val="0"/>
          <w:kern w:val="22"/>
          <w:szCs w:val="22"/>
        </w:rPr>
      </w:pPr>
    </w:p>
    <w:p w14:paraId="286B11FB" w14:textId="75B4E8AF"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Calibri"/>
          <w:snapToGrid w:val="0"/>
          <w:kern w:val="22"/>
          <w:szCs w:val="22"/>
        </w:rPr>
        <w:t>According to direct observation, part of the described area is suitable habitat for oyster (</w:t>
      </w:r>
      <w:r w:rsidRPr="0088780C">
        <w:rPr>
          <w:rFonts w:eastAsia="Calibri"/>
          <w:i/>
          <w:snapToGrid w:val="0"/>
          <w:kern w:val="22"/>
          <w:szCs w:val="22"/>
        </w:rPr>
        <w:t>Ostrea edulis</w:t>
      </w:r>
      <w:r w:rsidRPr="0088780C">
        <w:rPr>
          <w:rFonts w:eastAsia="Calibri"/>
          <w:snapToGrid w:val="0"/>
          <w:kern w:val="22"/>
          <w:szCs w:val="22"/>
        </w:rPr>
        <w:t>). Being unique and important to marine biodiversity, as well as being a subtype of Natura 2000 habitat 1170 Reefs (</w:t>
      </w:r>
      <w:r w:rsidRPr="0088780C">
        <w:rPr>
          <w:rFonts w:eastAsia="MS Mincho"/>
          <w:snapToGrid w:val="0"/>
          <w:color w:val="000000"/>
          <w:kern w:val="22"/>
          <w:szCs w:val="22"/>
        </w:rPr>
        <w:t>for information on Na</w:t>
      </w:r>
      <w:r w:rsidR="008F594E" w:rsidRPr="0088780C">
        <w:rPr>
          <w:rFonts w:eastAsia="MS Mincho"/>
          <w:snapToGrid w:val="0"/>
          <w:color w:val="000000"/>
          <w:kern w:val="22"/>
          <w:szCs w:val="22"/>
        </w:rPr>
        <w:t>tura 2000 marine habitat types:</w:t>
      </w:r>
    </w:p>
    <w:p w14:paraId="2E9DA2C0" w14:textId="77777777" w:rsidR="00A876F3" w:rsidRPr="0088780C" w:rsidRDefault="00E7219D" w:rsidP="001013AF">
      <w:pPr>
        <w:suppressLineNumbers/>
        <w:suppressAutoHyphens/>
        <w:kinsoku w:val="0"/>
        <w:overflowPunct w:val="0"/>
        <w:autoSpaceDE w:val="0"/>
        <w:autoSpaceDN w:val="0"/>
        <w:rPr>
          <w:rFonts w:eastAsia="Calibri"/>
          <w:snapToGrid w:val="0"/>
          <w:kern w:val="22"/>
          <w:szCs w:val="22"/>
        </w:rPr>
      </w:pPr>
      <w:hyperlink r:id="rId190" w:history="1">
        <w:r w:rsidR="00A876F3" w:rsidRPr="0088780C">
          <w:rPr>
            <w:rStyle w:val="Hyperlink"/>
            <w:rFonts w:eastAsia="MS Mincho"/>
            <w:snapToGrid w:val="0"/>
            <w:kern w:val="22"/>
            <w:szCs w:val="22"/>
          </w:rPr>
          <w:t>http://ec.europa.eu/environment/nature/natura2000/marine/docs/appendix_1_habitat.pdf</w:t>
        </w:r>
      </w:hyperlink>
      <w:r w:rsidR="00A876F3" w:rsidRPr="0088780C">
        <w:rPr>
          <w:rFonts w:eastAsia="MS Mincho"/>
          <w:snapToGrid w:val="0"/>
          <w:color w:val="000000"/>
          <w:kern w:val="22"/>
          <w:szCs w:val="22"/>
        </w:rPr>
        <w:t>)</w:t>
      </w:r>
      <w:r w:rsidR="00A876F3" w:rsidRPr="0088780C">
        <w:rPr>
          <w:rFonts w:eastAsia="Calibri"/>
          <w:snapToGrid w:val="0"/>
          <w:kern w:val="22"/>
          <w:szCs w:val="22"/>
        </w:rPr>
        <w:t>, oyster reefs present high conservation interest in the region (Todorova and Micu, 2009)</w:t>
      </w:r>
    </w:p>
    <w:p w14:paraId="70796E0C" w14:textId="77777777" w:rsidR="00A876F3" w:rsidRPr="0088780C" w:rsidRDefault="00A876F3" w:rsidP="001013AF">
      <w:pPr>
        <w:suppressLineNumbers/>
        <w:suppressAutoHyphens/>
        <w:kinsoku w:val="0"/>
        <w:overflowPunct w:val="0"/>
        <w:autoSpaceDE w:val="0"/>
        <w:autoSpaceDN w:val="0"/>
        <w:rPr>
          <w:b/>
          <w:snapToGrid w:val="0"/>
          <w:kern w:val="22"/>
          <w:szCs w:val="22"/>
        </w:rPr>
      </w:pPr>
    </w:p>
    <w:p w14:paraId="7D7FBB71" w14:textId="25BD9959" w:rsidR="00A876F3" w:rsidRPr="0088780C" w:rsidRDefault="00A876F3" w:rsidP="008F594E">
      <w:pPr>
        <w:keepNext/>
        <w:suppressLineNumbers/>
        <w:suppressAutoHyphens/>
        <w:kinsoku w:val="0"/>
        <w:overflowPunct w:val="0"/>
        <w:autoSpaceDE w:val="0"/>
        <w:autoSpaceDN w:val="0"/>
        <w:adjustRightInd w:val="0"/>
        <w:ind w:right="288"/>
        <w:rPr>
          <w:rFonts w:eastAsia="MS Mincho"/>
          <w:b/>
          <w:snapToGrid w:val="0"/>
          <w:kern w:val="22"/>
          <w:szCs w:val="22"/>
        </w:rPr>
      </w:pPr>
      <w:r w:rsidRPr="0088780C">
        <w:rPr>
          <w:rFonts w:eastAsia="MS Mincho"/>
          <w:b/>
          <w:snapToGrid w:val="0"/>
          <w:kern w:val="22"/>
          <w:szCs w:val="22"/>
        </w:rPr>
        <w:t>Assessment of the area against CBD EBSA Criteria</w:t>
      </w:r>
    </w:p>
    <w:p w14:paraId="2846CC46" w14:textId="77777777" w:rsidR="00A876F3" w:rsidRPr="0088780C" w:rsidRDefault="00A876F3" w:rsidP="008F594E">
      <w:pPr>
        <w:keepNext/>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7"/>
        <w:gridCol w:w="4129"/>
        <w:gridCol w:w="29"/>
        <w:gridCol w:w="1019"/>
        <w:gridCol w:w="262"/>
        <w:gridCol w:w="29"/>
        <w:gridCol w:w="757"/>
        <w:gridCol w:w="111"/>
        <w:gridCol w:w="676"/>
        <w:gridCol w:w="90"/>
        <w:gridCol w:w="737"/>
      </w:tblGrid>
      <w:tr w:rsidR="00A876F3" w:rsidRPr="0088780C" w14:paraId="2F856A8D" w14:textId="77777777" w:rsidTr="008F594E">
        <w:trPr>
          <w:cantSplit/>
        </w:trPr>
        <w:tc>
          <w:tcPr>
            <w:tcW w:w="907" w:type="pct"/>
            <w:vMerge w:val="restart"/>
            <w:shd w:val="clear" w:color="auto" w:fill="auto"/>
          </w:tcPr>
          <w:p w14:paraId="3F175466"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7D0DA504"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156" w:type="pct"/>
            <w:vMerge w:val="restart"/>
            <w:shd w:val="clear" w:color="auto" w:fill="auto"/>
          </w:tcPr>
          <w:p w14:paraId="0F80941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52BE507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37" w:type="pct"/>
            <w:gridSpan w:val="9"/>
            <w:shd w:val="clear" w:color="auto" w:fill="auto"/>
          </w:tcPr>
          <w:p w14:paraId="6A2270D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4651145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504F6844" w14:textId="77777777" w:rsidTr="006972AD">
        <w:tc>
          <w:tcPr>
            <w:tcW w:w="907" w:type="pct"/>
            <w:vMerge/>
            <w:shd w:val="clear" w:color="auto" w:fill="auto"/>
          </w:tcPr>
          <w:p w14:paraId="2C55781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156" w:type="pct"/>
            <w:vMerge/>
            <w:shd w:val="clear" w:color="auto" w:fill="auto"/>
          </w:tcPr>
          <w:p w14:paraId="65EDE90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731141A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78107F8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2BF9528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2" w:type="pct"/>
            <w:gridSpan w:val="2"/>
            <w:shd w:val="clear" w:color="auto" w:fill="auto"/>
          </w:tcPr>
          <w:p w14:paraId="16E0FCD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595A4F31" w14:textId="77777777" w:rsidTr="006972AD">
        <w:trPr>
          <w:trHeight w:val="1826"/>
        </w:trPr>
        <w:tc>
          <w:tcPr>
            <w:tcW w:w="907" w:type="pct"/>
            <w:shd w:val="clear" w:color="auto" w:fill="auto"/>
          </w:tcPr>
          <w:p w14:paraId="115FD518"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156" w:type="pct"/>
            <w:shd w:val="clear" w:color="auto" w:fill="auto"/>
          </w:tcPr>
          <w:p w14:paraId="247EABC6" w14:textId="17A33084"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2A908B4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063C973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5D81B9B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2" w:type="pct"/>
            <w:gridSpan w:val="2"/>
            <w:shd w:val="clear" w:color="auto" w:fill="auto"/>
          </w:tcPr>
          <w:p w14:paraId="54BED68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p w14:paraId="38380D12"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c>
      </w:tr>
      <w:tr w:rsidR="00A876F3" w:rsidRPr="0088780C" w14:paraId="5EC86F51" w14:textId="77777777" w:rsidTr="006972AD">
        <w:tc>
          <w:tcPr>
            <w:tcW w:w="5000" w:type="pct"/>
            <w:gridSpan w:val="11"/>
            <w:shd w:val="clear" w:color="auto" w:fill="auto"/>
          </w:tcPr>
          <w:p w14:paraId="789CFAF7"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3954D2B6" w14:textId="24D0F4D2" w:rsidR="00A876F3" w:rsidRPr="0088780C" w:rsidRDefault="00A876F3" w:rsidP="001013AF">
            <w:pPr>
              <w:suppressLineNumbers/>
              <w:suppressAutoHyphens/>
              <w:kinsoku w:val="0"/>
              <w:overflowPunct w:val="0"/>
              <w:autoSpaceDE w:val="0"/>
              <w:autoSpaceDN w:val="0"/>
              <w:ind w:right="288"/>
              <w:rPr>
                <w:rFonts w:eastAsia="MS Mincho"/>
                <w:snapToGrid w:val="0"/>
                <w:color w:val="000000"/>
                <w:kern w:val="22"/>
                <w:szCs w:val="22"/>
              </w:rPr>
            </w:pPr>
            <w:r w:rsidRPr="0088780C">
              <w:rPr>
                <w:rFonts w:eastAsia="MS Mincho"/>
                <w:snapToGrid w:val="0"/>
                <w:color w:val="000000"/>
                <w:kern w:val="22"/>
                <w:szCs w:val="22"/>
              </w:rPr>
              <w:t>Three species of cetaceans (</w:t>
            </w:r>
            <w:r w:rsidRPr="0088780C">
              <w:rPr>
                <w:rFonts w:eastAsia="MS Mincho"/>
                <w:i/>
                <w:snapToGrid w:val="0"/>
                <w:color w:val="000000"/>
                <w:kern w:val="22"/>
                <w:szCs w:val="22"/>
              </w:rPr>
              <w:t>Tursiops truncatus ponticus, Delphinus delphis ponticus and Phocoena phocoena relicta</w:t>
            </w:r>
            <w:r w:rsidRPr="0088780C">
              <w:rPr>
                <w:rFonts w:eastAsia="MS Mincho"/>
                <w:snapToGrid w:val="0"/>
                <w:color w:val="000000"/>
                <w:kern w:val="22"/>
                <w:szCs w:val="22"/>
              </w:rPr>
              <w:t xml:space="preserve">) were found in the area in large numbers year-round. The Black Sea </w:t>
            </w:r>
            <w:r w:rsidR="003D6ED2" w:rsidRPr="0088780C">
              <w:rPr>
                <w:rFonts w:eastAsia="MS Mincho"/>
                <w:snapToGrid w:val="0"/>
                <w:color w:val="000000"/>
                <w:kern w:val="22"/>
                <w:szCs w:val="22"/>
              </w:rPr>
              <w:t>harbour porpoise</w:t>
            </w:r>
            <w:r w:rsidRPr="0088780C">
              <w:rPr>
                <w:rFonts w:eastAsia="MS Mincho"/>
                <w:snapToGrid w:val="0"/>
                <w:color w:val="000000"/>
                <w:kern w:val="22"/>
                <w:szCs w:val="22"/>
              </w:rPr>
              <w:t xml:space="preserve"> is listed as endangered on the IUCN Red List, as is the Black Sea bottlenose dolphin, while the short-beaked common dolphin population is classified as vulnerable (IUCN 2008; Birkun, 2006). The areas are important feeding grounds and wintering areas for Black Sea cetaceans. The largest aggregations of </w:t>
            </w:r>
            <w:r w:rsidR="003D6ED2" w:rsidRPr="0088780C">
              <w:rPr>
                <w:rFonts w:eastAsia="MS Mincho"/>
                <w:snapToGrid w:val="0"/>
                <w:color w:val="000000"/>
                <w:kern w:val="22"/>
                <w:szCs w:val="22"/>
              </w:rPr>
              <w:t>harbour porpoise</w:t>
            </w:r>
            <w:r w:rsidRPr="0088780C">
              <w:rPr>
                <w:rFonts w:eastAsia="MS Mincho"/>
                <w:snapToGrid w:val="0"/>
                <w:color w:val="000000"/>
                <w:kern w:val="22"/>
                <w:szCs w:val="22"/>
              </w:rPr>
              <w:t>s in the Black Sea are found there during the winter and spring (Kopaliani et al., 2015).</w:t>
            </w:r>
          </w:p>
          <w:p w14:paraId="06246910" w14:textId="77777777" w:rsidR="00A876F3" w:rsidRPr="0088780C" w:rsidRDefault="00A876F3" w:rsidP="001013AF">
            <w:pPr>
              <w:suppressLineNumbers/>
              <w:suppressAutoHyphens/>
              <w:kinsoku w:val="0"/>
              <w:overflowPunct w:val="0"/>
              <w:autoSpaceDE w:val="0"/>
              <w:autoSpaceDN w:val="0"/>
              <w:ind w:right="288"/>
              <w:rPr>
                <w:rFonts w:eastAsia="MS Mincho"/>
                <w:snapToGrid w:val="0"/>
                <w:color w:val="000000"/>
                <w:kern w:val="22"/>
                <w:szCs w:val="22"/>
              </w:rPr>
            </w:pPr>
          </w:p>
          <w:p w14:paraId="3DDF2F3A" w14:textId="7D2ADB79" w:rsidR="00A876F3" w:rsidRPr="0088780C" w:rsidRDefault="00A876F3" w:rsidP="001013AF">
            <w:pPr>
              <w:suppressLineNumbers/>
              <w:suppressAutoHyphens/>
              <w:kinsoku w:val="0"/>
              <w:overflowPunct w:val="0"/>
              <w:autoSpaceDE w:val="0"/>
              <w:autoSpaceDN w:val="0"/>
              <w:ind w:right="288"/>
              <w:rPr>
                <w:rFonts w:eastAsia="MS Mincho"/>
                <w:snapToGrid w:val="0"/>
                <w:color w:val="000000"/>
                <w:kern w:val="22"/>
                <w:szCs w:val="22"/>
              </w:rPr>
            </w:pPr>
            <w:r w:rsidRPr="0088780C">
              <w:rPr>
                <w:rFonts w:eastAsia="MS Mincho"/>
                <w:snapToGrid w:val="0"/>
                <w:color w:val="000000"/>
                <w:kern w:val="22"/>
                <w:szCs w:val="22"/>
              </w:rPr>
              <w:t xml:space="preserve">According to ACCOBAMS resolution 4.15 (2010), the area from Cape Anaklia to Sarpi is of special importance for Black Sea cetaceans, such as the common dolphin and the </w:t>
            </w:r>
            <w:r w:rsidR="003D6ED2" w:rsidRPr="0088780C">
              <w:rPr>
                <w:rFonts w:eastAsia="MS Mincho"/>
                <w:snapToGrid w:val="0"/>
                <w:color w:val="000000"/>
                <w:kern w:val="22"/>
                <w:szCs w:val="22"/>
              </w:rPr>
              <w:t>harbour porpoise</w:t>
            </w:r>
            <w:r w:rsidRPr="0088780C">
              <w:rPr>
                <w:rFonts w:eastAsia="MS Mincho"/>
                <w:snapToGrid w:val="0"/>
                <w:color w:val="000000"/>
                <w:kern w:val="22"/>
                <w:szCs w:val="22"/>
              </w:rPr>
              <w:t xml:space="preserve"> (ACCOBAMS-MOP4/2010/Res.4.</w:t>
            </w:r>
            <w:r w:rsidR="008F594E" w:rsidRPr="0088780C">
              <w:rPr>
                <w:rFonts w:eastAsia="MS Mincho"/>
                <w:snapToGrid w:val="0"/>
                <w:color w:val="000000"/>
                <w:kern w:val="22"/>
                <w:szCs w:val="22"/>
              </w:rPr>
              <w:t>15).</w:t>
            </w:r>
          </w:p>
          <w:p w14:paraId="3623A88D" w14:textId="77777777" w:rsidR="00A876F3" w:rsidRPr="0088780C" w:rsidRDefault="00A876F3" w:rsidP="001013AF">
            <w:pPr>
              <w:suppressLineNumbers/>
              <w:suppressAutoHyphens/>
              <w:kinsoku w:val="0"/>
              <w:overflowPunct w:val="0"/>
              <w:autoSpaceDE w:val="0"/>
              <w:autoSpaceDN w:val="0"/>
              <w:ind w:right="288"/>
              <w:rPr>
                <w:rFonts w:eastAsia="MS Mincho"/>
                <w:snapToGrid w:val="0"/>
                <w:color w:val="000000"/>
                <w:kern w:val="22"/>
                <w:szCs w:val="22"/>
              </w:rPr>
            </w:pPr>
          </w:p>
          <w:p w14:paraId="1105F2F5" w14:textId="77777777" w:rsidR="00A876F3" w:rsidRPr="0088780C" w:rsidRDefault="00A876F3" w:rsidP="001013AF">
            <w:pPr>
              <w:suppressLineNumbers/>
              <w:suppressAutoHyphens/>
              <w:kinsoku w:val="0"/>
              <w:overflowPunct w:val="0"/>
              <w:autoSpaceDE w:val="0"/>
              <w:autoSpaceDN w:val="0"/>
              <w:ind w:right="288"/>
              <w:rPr>
                <w:rFonts w:eastAsia="MS Mincho"/>
                <w:snapToGrid w:val="0"/>
                <w:color w:val="000000"/>
                <w:kern w:val="22"/>
                <w:szCs w:val="22"/>
              </w:rPr>
            </w:pPr>
            <w:r w:rsidRPr="0088780C">
              <w:rPr>
                <w:rFonts w:eastAsia="Calibri"/>
                <w:snapToGrid w:val="0"/>
                <w:kern w:val="22"/>
                <w:szCs w:val="22"/>
              </w:rPr>
              <w:t>The Kolkheti lowland and adjacent foothills of Meskheti Ridge are important sites for migrating birds and are classified as Important Bird and Biodiversity Areas (BirdLife International 2017). Tens of thousands of water birds</w:t>
            </w:r>
            <w:r w:rsidRPr="0088780C">
              <w:rPr>
                <w:rFonts w:eastAsia="Times New Roman"/>
                <w:snapToGrid w:val="0"/>
                <w:color w:val="111111"/>
                <w:kern w:val="22"/>
                <w:szCs w:val="22"/>
              </w:rPr>
              <w:t>, 900,000 predators belonging to 34 species and 16,000 small birds belonging to 84 species use the area during migration (Lewis et al. 2013). The area is a significant migration area for the birds of the western part of the Palearctic region (Javakhishvili Z. according to Gurielidze et al. 2012)</w:t>
            </w:r>
            <w:r w:rsidRPr="0088780C">
              <w:rPr>
                <w:rFonts w:eastAsia="Calibri"/>
                <w:snapToGrid w:val="0"/>
                <w:color w:val="000000"/>
                <w:kern w:val="22"/>
                <w:szCs w:val="22"/>
              </w:rPr>
              <w:t>.</w:t>
            </w:r>
          </w:p>
          <w:p w14:paraId="2C464A4A" w14:textId="77777777" w:rsidR="00A876F3" w:rsidRPr="0088780C" w:rsidRDefault="00A876F3" w:rsidP="001013AF">
            <w:pPr>
              <w:suppressLineNumbers/>
              <w:suppressAutoHyphens/>
              <w:kinsoku w:val="0"/>
              <w:overflowPunct w:val="0"/>
              <w:autoSpaceDE w:val="0"/>
              <w:autoSpaceDN w:val="0"/>
              <w:ind w:right="288"/>
              <w:rPr>
                <w:rFonts w:eastAsia="Calibri"/>
                <w:snapToGrid w:val="0"/>
                <w:color w:val="000000"/>
                <w:kern w:val="22"/>
                <w:szCs w:val="22"/>
              </w:rPr>
            </w:pPr>
          </w:p>
          <w:p w14:paraId="1F9CD5F2" w14:textId="7032A47E" w:rsidR="00A876F3" w:rsidRPr="0088780C" w:rsidRDefault="00A876F3" w:rsidP="001013AF">
            <w:pPr>
              <w:suppressLineNumbers/>
              <w:suppressAutoHyphens/>
              <w:kinsoku w:val="0"/>
              <w:overflowPunct w:val="0"/>
              <w:autoSpaceDE w:val="0"/>
              <w:autoSpaceDN w:val="0"/>
              <w:ind w:right="288"/>
              <w:rPr>
                <w:rFonts w:eastAsia="MS Mincho"/>
                <w:snapToGrid w:val="0"/>
                <w:color w:val="000000"/>
                <w:kern w:val="22"/>
                <w:szCs w:val="22"/>
              </w:rPr>
            </w:pPr>
            <w:r w:rsidRPr="0088780C">
              <w:rPr>
                <w:rFonts w:eastAsia="Calibri"/>
                <w:snapToGrid w:val="0"/>
                <w:color w:val="000000"/>
                <w:kern w:val="22"/>
                <w:szCs w:val="22"/>
              </w:rPr>
              <w:t xml:space="preserve">Kolkheti National Park is a wintering area of anchovies </w:t>
            </w:r>
            <w:r w:rsidRPr="0088780C">
              <w:rPr>
                <w:rFonts w:eastAsia="Calibri"/>
                <w:i/>
                <w:snapToGrid w:val="0"/>
                <w:color w:val="000000"/>
                <w:kern w:val="22"/>
                <w:szCs w:val="22"/>
              </w:rPr>
              <w:t>(Engraulis encrasicolus).</w:t>
            </w:r>
            <w:r w:rsidRPr="0088780C">
              <w:rPr>
                <w:rFonts w:eastAsia="MS Mincho"/>
                <w:snapToGrid w:val="0"/>
                <w:color w:val="000000"/>
                <w:kern w:val="22"/>
                <w:szCs w:val="22"/>
              </w:rPr>
              <w:t xml:space="preserve"> The Rioni River delta is an important habitat for Red List sturgeon species (Guchmanidze, 2009).</w:t>
            </w:r>
          </w:p>
        </w:tc>
      </w:tr>
      <w:tr w:rsidR="00A876F3" w:rsidRPr="0088780C" w14:paraId="6262FC14" w14:textId="77777777" w:rsidTr="006972AD">
        <w:tc>
          <w:tcPr>
            <w:tcW w:w="907" w:type="pct"/>
            <w:shd w:val="clear" w:color="auto" w:fill="auto"/>
          </w:tcPr>
          <w:p w14:paraId="4A635E6D"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156" w:type="pct"/>
            <w:shd w:val="clear" w:color="auto" w:fill="auto"/>
          </w:tcPr>
          <w:p w14:paraId="612A59E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30C8F39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2836234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3FF332F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2" w:type="pct"/>
            <w:gridSpan w:val="2"/>
            <w:shd w:val="clear" w:color="auto" w:fill="auto"/>
          </w:tcPr>
          <w:p w14:paraId="6FF6994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66341163" w14:textId="77777777" w:rsidTr="006972AD">
        <w:tc>
          <w:tcPr>
            <w:tcW w:w="5000" w:type="pct"/>
            <w:gridSpan w:val="11"/>
            <w:shd w:val="clear" w:color="auto" w:fill="auto"/>
          </w:tcPr>
          <w:p w14:paraId="0A6D699B"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227906B9" w14:textId="77777777" w:rsidR="00A876F3" w:rsidRPr="0088780C" w:rsidRDefault="00A876F3" w:rsidP="001013AF">
            <w:pPr>
              <w:suppressLineNumbers/>
              <w:suppressAutoHyphens/>
              <w:kinsoku w:val="0"/>
              <w:overflowPunct w:val="0"/>
              <w:autoSpaceDE w:val="0"/>
              <w:autoSpaceDN w:val="0"/>
              <w:ind w:right="288"/>
              <w:rPr>
                <w:rFonts w:eastAsia="MS Mincho"/>
                <w:snapToGrid w:val="0"/>
                <w:kern w:val="22"/>
                <w:szCs w:val="22"/>
              </w:rPr>
            </w:pPr>
            <w:r w:rsidRPr="0088780C">
              <w:rPr>
                <w:rFonts w:eastAsia="MS Mincho"/>
                <w:snapToGrid w:val="0"/>
                <w:kern w:val="22"/>
                <w:szCs w:val="22"/>
              </w:rPr>
              <w:t xml:space="preserve">Wintering, breeding and nursery grounds for Black Sea cetaceans (the endangered </w:t>
            </w:r>
            <w:r w:rsidRPr="0088780C">
              <w:rPr>
                <w:rFonts w:eastAsia="MS Mincho"/>
                <w:i/>
                <w:snapToGrid w:val="0"/>
                <w:kern w:val="22"/>
                <w:szCs w:val="22"/>
              </w:rPr>
              <w:t>Phocoena phocoena relicta</w:t>
            </w:r>
            <w:r w:rsidRPr="0088780C">
              <w:rPr>
                <w:rFonts w:eastAsia="MS Mincho"/>
                <w:snapToGrid w:val="0"/>
                <w:kern w:val="22"/>
                <w:szCs w:val="22"/>
              </w:rPr>
              <w:t xml:space="preserve"> and </w:t>
            </w:r>
            <w:r w:rsidRPr="0088780C">
              <w:rPr>
                <w:rFonts w:eastAsia="MS Mincho"/>
                <w:i/>
                <w:snapToGrid w:val="0"/>
                <w:kern w:val="22"/>
                <w:szCs w:val="22"/>
              </w:rPr>
              <w:t>Tursiops truncatus ponticus,</w:t>
            </w:r>
            <w:r w:rsidRPr="0088780C">
              <w:rPr>
                <w:rFonts w:eastAsia="MS Mincho"/>
                <w:snapToGrid w:val="0"/>
                <w:kern w:val="22"/>
                <w:szCs w:val="22"/>
              </w:rPr>
              <w:t xml:space="preserve"> and the vulnerable </w:t>
            </w:r>
            <w:r w:rsidRPr="0088780C">
              <w:rPr>
                <w:rFonts w:eastAsia="MS Mincho"/>
                <w:i/>
                <w:snapToGrid w:val="0"/>
                <w:kern w:val="22"/>
                <w:szCs w:val="22"/>
              </w:rPr>
              <w:t>Delphinus delphis ponticus</w:t>
            </w:r>
            <w:r w:rsidRPr="0088780C">
              <w:rPr>
                <w:rFonts w:eastAsia="MS Mincho"/>
                <w:snapToGrid w:val="0"/>
                <w:kern w:val="22"/>
                <w:szCs w:val="22"/>
              </w:rPr>
              <w:t>) (IUCN 2008; Birkun &amp; Frantzis, 2008; Kopaliani et al., 2015).</w:t>
            </w:r>
          </w:p>
          <w:p w14:paraId="1803AF84" w14:textId="77777777" w:rsidR="00A876F3" w:rsidRPr="0088780C" w:rsidRDefault="00A876F3" w:rsidP="001013AF">
            <w:pPr>
              <w:suppressLineNumbers/>
              <w:suppressAutoHyphens/>
              <w:kinsoku w:val="0"/>
              <w:overflowPunct w:val="0"/>
              <w:autoSpaceDE w:val="0"/>
              <w:autoSpaceDN w:val="0"/>
              <w:ind w:right="288"/>
              <w:rPr>
                <w:rFonts w:eastAsia="MS Mincho"/>
                <w:snapToGrid w:val="0"/>
                <w:kern w:val="22"/>
                <w:szCs w:val="22"/>
              </w:rPr>
            </w:pPr>
          </w:p>
          <w:p w14:paraId="6071194B" w14:textId="77777777" w:rsidR="00A876F3" w:rsidRPr="0088780C" w:rsidRDefault="00A876F3" w:rsidP="001013AF">
            <w:pPr>
              <w:suppressLineNumbers/>
              <w:suppressAutoHyphens/>
              <w:kinsoku w:val="0"/>
              <w:overflowPunct w:val="0"/>
              <w:autoSpaceDE w:val="0"/>
              <w:autoSpaceDN w:val="0"/>
              <w:ind w:right="288"/>
              <w:rPr>
                <w:rFonts w:eastAsia="MS Mincho"/>
                <w:snapToGrid w:val="0"/>
                <w:kern w:val="22"/>
                <w:szCs w:val="22"/>
              </w:rPr>
            </w:pPr>
            <w:r w:rsidRPr="0088780C">
              <w:rPr>
                <w:rFonts w:eastAsia="MS Mincho"/>
                <w:snapToGrid w:val="0"/>
                <w:kern w:val="22"/>
                <w:szCs w:val="22"/>
              </w:rPr>
              <w:t xml:space="preserve">The area is a wintering area and stepping stone for many thousands of migratory birds (Lewis et al. 2013), a spawning area for endangered </w:t>
            </w:r>
            <w:r w:rsidRPr="0088780C">
              <w:rPr>
                <w:rFonts w:eastAsia="MS Mincho"/>
                <w:i/>
                <w:snapToGrid w:val="0"/>
                <w:kern w:val="22"/>
                <w:szCs w:val="22"/>
              </w:rPr>
              <w:t xml:space="preserve">Acipenseridae </w:t>
            </w:r>
            <w:r w:rsidRPr="0088780C">
              <w:rPr>
                <w:rFonts w:eastAsia="MS Mincho"/>
                <w:snapToGrid w:val="0"/>
                <w:kern w:val="22"/>
                <w:szCs w:val="22"/>
              </w:rPr>
              <w:t>(Guchmanidze, 2009), a habitat and breeding area for European flounder</w:t>
            </w:r>
            <w:r w:rsidRPr="0088780C">
              <w:rPr>
                <w:rFonts w:eastAsia="MS Mincho"/>
                <w:i/>
                <w:snapToGrid w:val="0"/>
                <w:kern w:val="22"/>
                <w:szCs w:val="22"/>
              </w:rPr>
              <w:t xml:space="preserve"> </w:t>
            </w:r>
            <w:r w:rsidRPr="0088780C">
              <w:rPr>
                <w:rFonts w:eastAsia="MS Mincho"/>
                <w:snapToGrid w:val="0"/>
                <w:kern w:val="22"/>
                <w:szCs w:val="22"/>
              </w:rPr>
              <w:t>(</w:t>
            </w:r>
            <w:r w:rsidRPr="0088780C">
              <w:rPr>
                <w:rFonts w:eastAsia="MS Mincho"/>
                <w:i/>
                <w:snapToGrid w:val="0"/>
                <w:kern w:val="22"/>
                <w:szCs w:val="22"/>
              </w:rPr>
              <w:t>Platichthys flesus)</w:t>
            </w:r>
            <w:r w:rsidRPr="0088780C">
              <w:rPr>
                <w:rFonts w:eastAsia="MS Mincho"/>
                <w:snapToGrid w:val="0"/>
                <w:kern w:val="22"/>
                <w:szCs w:val="22"/>
              </w:rPr>
              <w:t xml:space="preserve"> , and a spawning area and wintering area for anchovy fish (</w:t>
            </w:r>
            <w:r w:rsidRPr="0088780C">
              <w:rPr>
                <w:rFonts w:eastAsia="MS Mincho"/>
                <w:i/>
                <w:snapToGrid w:val="0"/>
                <w:kern w:val="22"/>
                <w:szCs w:val="22"/>
              </w:rPr>
              <w:t>Engraulis encrasicolus</w:t>
            </w:r>
            <w:r w:rsidRPr="0088780C">
              <w:rPr>
                <w:rFonts w:eastAsia="MS Mincho"/>
                <w:snapToGrid w:val="0"/>
                <w:kern w:val="22"/>
                <w:szCs w:val="22"/>
              </w:rPr>
              <w:t>) (Chashchin A.K. 1996).</w:t>
            </w:r>
          </w:p>
          <w:p w14:paraId="6DE430E1" w14:textId="77777777" w:rsidR="00A876F3" w:rsidRPr="0088780C" w:rsidRDefault="00A876F3" w:rsidP="001013AF">
            <w:pPr>
              <w:suppressLineNumbers/>
              <w:suppressAutoHyphens/>
              <w:kinsoku w:val="0"/>
              <w:overflowPunct w:val="0"/>
              <w:autoSpaceDE w:val="0"/>
              <w:autoSpaceDN w:val="0"/>
              <w:ind w:right="288"/>
              <w:rPr>
                <w:rFonts w:eastAsia="MS Mincho"/>
                <w:snapToGrid w:val="0"/>
                <w:kern w:val="22"/>
                <w:szCs w:val="22"/>
              </w:rPr>
            </w:pPr>
          </w:p>
        </w:tc>
      </w:tr>
      <w:tr w:rsidR="00A876F3" w:rsidRPr="0088780C" w14:paraId="2B540093" w14:textId="77777777" w:rsidTr="008F594E">
        <w:trPr>
          <w:cantSplit/>
        </w:trPr>
        <w:tc>
          <w:tcPr>
            <w:tcW w:w="907" w:type="pct"/>
            <w:shd w:val="clear" w:color="auto" w:fill="auto"/>
          </w:tcPr>
          <w:p w14:paraId="768BE14C"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156" w:type="pct"/>
            <w:shd w:val="clear" w:color="auto" w:fill="auto"/>
          </w:tcPr>
          <w:p w14:paraId="6F4F14B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47DBD23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571C079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695CA2A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2" w:type="pct"/>
            <w:gridSpan w:val="2"/>
            <w:shd w:val="clear" w:color="auto" w:fill="auto"/>
          </w:tcPr>
          <w:p w14:paraId="21D9606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5D532493" w14:textId="77777777" w:rsidTr="006972AD">
        <w:tc>
          <w:tcPr>
            <w:tcW w:w="5000" w:type="pct"/>
            <w:gridSpan w:val="11"/>
            <w:shd w:val="clear" w:color="auto" w:fill="auto"/>
          </w:tcPr>
          <w:p w14:paraId="50A6C0DF"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28421111" w14:textId="26B063B0"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 xml:space="preserve">The area serves as feeding, breeding and nursery grounds and is one of the core areas for </w:t>
            </w:r>
            <w:r w:rsidRPr="0088780C">
              <w:rPr>
                <w:snapToGrid w:val="0"/>
                <w:kern w:val="22"/>
                <w:szCs w:val="22"/>
              </w:rPr>
              <w:t xml:space="preserve">the endangered Black Sea </w:t>
            </w:r>
            <w:r w:rsidR="003D6ED2" w:rsidRPr="0088780C">
              <w:rPr>
                <w:snapToGrid w:val="0"/>
                <w:kern w:val="22"/>
                <w:szCs w:val="22"/>
              </w:rPr>
              <w:t>harbour porpoise</w:t>
            </w:r>
            <w:r w:rsidRPr="0088780C">
              <w:rPr>
                <w:snapToGrid w:val="0"/>
                <w:kern w:val="22"/>
                <w:szCs w:val="22"/>
              </w:rPr>
              <w:t xml:space="preserve"> (</w:t>
            </w:r>
            <w:r w:rsidRPr="0088780C">
              <w:rPr>
                <w:rFonts w:eastAsia="MS Mincho"/>
                <w:bCs/>
                <w:i/>
                <w:snapToGrid w:val="0"/>
                <w:color w:val="000000"/>
                <w:kern w:val="22"/>
                <w:szCs w:val="22"/>
              </w:rPr>
              <w:t>Phocoena phocoena relicta)</w:t>
            </w:r>
            <w:r w:rsidRPr="0088780C">
              <w:rPr>
                <w:rFonts w:eastAsia="MS Mincho"/>
                <w:bCs/>
                <w:snapToGrid w:val="0"/>
                <w:color w:val="000000"/>
                <w:kern w:val="22"/>
                <w:szCs w:val="22"/>
              </w:rPr>
              <w:t xml:space="preserve"> and Black Sea bottlenose dolphin (</w:t>
            </w:r>
            <w:r w:rsidRPr="0088780C">
              <w:rPr>
                <w:rFonts w:eastAsia="MS Mincho"/>
                <w:bCs/>
                <w:i/>
                <w:snapToGrid w:val="0"/>
                <w:color w:val="000000"/>
                <w:kern w:val="22"/>
                <w:szCs w:val="22"/>
              </w:rPr>
              <w:t>Tursiops truncatus ponticus)</w:t>
            </w:r>
            <w:r w:rsidRPr="0088780C">
              <w:rPr>
                <w:rFonts w:eastAsia="MS Mincho"/>
                <w:bCs/>
                <w:snapToGrid w:val="0"/>
                <w:color w:val="000000"/>
                <w:kern w:val="22"/>
                <w:szCs w:val="22"/>
              </w:rPr>
              <w:t>, and the vulnerable short-beaked common dolphin (</w:t>
            </w:r>
            <w:r w:rsidRPr="0088780C">
              <w:rPr>
                <w:rFonts w:eastAsia="MS Mincho"/>
                <w:bCs/>
                <w:i/>
                <w:snapToGrid w:val="0"/>
                <w:color w:val="000000"/>
                <w:kern w:val="22"/>
                <w:szCs w:val="22"/>
              </w:rPr>
              <w:t>Delphinus delphis ponticus)</w:t>
            </w:r>
            <w:r w:rsidRPr="0088780C">
              <w:rPr>
                <w:rFonts w:eastAsia="MS Mincho"/>
                <w:bCs/>
                <w:snapToGrid w:val="0"/>
                <w:color w:val="000000"/>
                <w:kern w:val="22"/>
                <w:szCs w:val="22"/>
              </w:rPr>
              <w:t xml:space="preserve"> (IUCN 2008). According to the assessment started in 2014, the Georgian Black Sea is used by 18,000 </w:t>
            </w:r>
            <w:r w:rsidR="003D6ED2" w:rsidRPr="0088780C">
              <w:rPr>
                <w:rFonts w:eastAsia="MS Mincho"/>
                <w:bCs/>
                <w:snapToGrid w:val="0"/>
                <w:color w:val="000000"/>
                <w:kern w:val="22"/>
                <w:szCs w:val="22"/>
              </w:rPr>
              <w:t>harbour porpoise</w:t>
            </w:r>
            <w:r w:rsidRPr="0088780C">
              <w:rPr>
                <w:rFonts w:eastAsia="MS Mincho"/>
                <w:bCs/>
                <w:snapToGrid w:val="0"/>
                <w:color w:val="000000"/>
                <w:kern w:val="22"/>
                <w:szCs w:val="22"/>
              </w:rPr>
              <w:t xml:space="preserve">s, 16,000 common dolphins and 150 bottlenose dolphins in winter; 5,000 </w:t>
            </w:r>
            <w:r w:rsidR="003D6ED2" w:rsidRPr="0088780C">
              <w:rPr>
                <w:rFonts w:eastAsia="MS Mincho"/>
                <w:bCs/>
                <w:snapToGrid w:val="0"/>
                <w:color w:val="000000"/>
                <w:kern w:val="22"/>
                <w:szCs w:val="22"/>
              </w:rPr>
              <w:t>harbour porpoise</w:t>
            </w:r>
            <w:r w:rsidRPr="0088780C">
              <w:rPr>
                <w:rFonts w:eastAsia="MS Mincho"/>
                <w:bCs/>
                <w:snapToGrid w:val="0"/>
                <w:color w:val="000000"/>
                <w:kern w:val="22"/>
                <w:szCs w:val="22"/>
              </w:rPr>
              <w:t xml:space="preserve">s; 3,000 common dolphins and 150 bottlenose dolphins in spring, 500 </w:t>
            </w:r>
            <w:r w:rsidR="003D6ED2" w:rsidRPr="0088780C">
              <w:rPr>
                <w:rFonts w:eastAsia="MS Mincho"/>
                <w:bCs/>
                <w:snapToGrid w:val="0"/>
                <w:color w:val="000000"/>
                <w:kern w:val="22"/>
                <w:szCs w:val="22"/>
              </w:rPr>
              <w:t>harbour porpoise</w:t>
            </w:r>
            <w:r w:rsidRPr="0088780C">
              <w:rPr>
                <w:rFonts w:eastAsia="MS Mincho"/>
                <w:bCs/>
                <w:snapToGrid w:val="0"/>
                <w:color w:val="000000"/>
                <w:kern w:val="22"/>
                <w:szCs w:val="22"/>
              </w:rPr>
              <w:t xml:space="preserve">s, 6,000 common dolphins and 100-150 bottlenose dolphins in summer and 1,000 </w:t>
            </w:r>
            <w:r w:rsidR="003D6ED2" w:rsidRPr="0088780C">
              <w:rPr>
                <w:rFonts w:eastAsia="MS Mincho"/>
                <w:bCs/>
                <w:snapToGrid w:val="0"/>
                <w:color w:val="000000"/>
                <w:kern w:val="22"/>
                <w:szCs w:val="22"/>
              </w:rPr>
              <w:t>harbour porpoise</w:t>
            </w:r>
            <w:r w:rsidRPr="0088780C">
              <w:rPr>
                <w:rFonts w:eastAsia="MS Mincho"/>
                <w:bCs/>
                <w:snapToGrid w:val="0"/>
                <w:color w:val="000000"/>
                <w:kern w:val="22"/>
                <w:szCs w:val="22"/>
              </w:rPr>
              <w:t>s in autumn (Kopaliani et al. 2015).</w:t>
            </w:r>
          </w:p>
          <w:p w14:paraId="09957BC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p w14:paraId="46BABA3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The vulnerable seabirds yelkouan shearwater (</w:t>
            </w:r>
            <w:r w:rsidRPr="0088780C">
              <w:rPr>
                <w:rFonts w:eastAsia="MS Mincho"/>
                <w:bCs/>
                <w:i/>
                <w:snapToGrid w:val="0"/>
                <w:color w:val="000000"/>
                <w:kern w:val="22"/>
                <w:szCs w:val="22"/>
              </w:rPr>
              <w:t>Puffinus yelkouan</w:t>
            </w:r>
            <w:r w:rsidRPr="0088780C">
              <w:rPr>
                <w:rFonts w:eastAsia="MS Mincho"/>
                <w:bCs/>
                <w:snapToGrid w:val="0"/>
                <w:color w:val="000000"/>
                <w:kern w:val="22"/>
                <w:szCs w:val="22"/>
              </w:rPr>
              <w:t>), velvet scotter (</w:t>
            </w:r>
            <w:r w:rsidRPr="0088780C">
              <w:rPr>
                <w:rFonts w:eastAsia="MS Mincho"/>
                <w:bCs/>
                <w:i/>
                <w:snapToGrid w:val="0"/>
                <w:color w:val="000000"/>
                <w:kern w:val="22"/>
                <w:szCs w:val="22"/>
              </w:rPr>
              <w:t xml:space="preserve">Melanitta fusca) </w:t>
            </w:r>
            <w:r w:rsidRPr="0088780C">
              <w:rPr>
                <w:rFonts w:eastAsia="MS Mincho"/>
                <w:bCs/>
                <w:snapToGrid w:val="0"/>
                <w:color w:val="000000"/>
                <w:kern w:val="22"/>
                <w:szCs w:val="22"/>
              </w:rPr>
              <w:t>and dalmatian (</w:t>
            </w:r>
            <w:r w:rsidRPr="0088780C">
              <w:rPr>
                <w:rFonts w:eastAsia="MS Mincho"/>
                <w:bCs/>
                <w:i/>
                <w:snapToGrid w:val="0"/>
                <w:color w:val="000000"/>
                <w:kern w:val="22"/>
                <w:szCs w:val="22"/>
              </w:rPr>
              <w:t>Pelecanus crispus</w:t>
            </w:r>
            <w:r w:rsidRPr="0088780C">
              <w:rPr>
                <w:rFonts w:eastAsia="MS Mincho"/>
                <w:bCs/>
                <w:snapToGrid w:val="0"/>
                <w:color w:val="000000"/>
                <w:kern w:val="22"/>
                <w:szCs w:val="22"/>
              </w:rPr>
              <w:t>) occur in the area (BirdLife International, 2017).</w:t>
            </w:r>
          </w:p>
          <w:p w14:paraId="0486B4E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p w14:paraId="3ED71BD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It is a spawning area for endangered Acipenseridae (</w:t>
            </w:r>
            <w:r w:rsidRPr="0088780C">
              <w:rPr>
                <w:rFonts w:eastAsia="MS Mincho"/>
                <w:bCs/>
                <w:i/>
                <w:snapToGrid w:val="0"/>
                <w:color w:val="000000"/>
                <w:kern w:val="22"/>
                <w:szCs w:val="22"/>
              </w:rPr>
              <w:t xml:space="preserve">Acipenser gueldenstaedtii, Acipenser stellatus, Acipenser sturio, Acipenser nudiventris, Huso huso </w:t>
            </w:r>
            <w:r w:rsidRPr="0088780C">
              <w:rPr>
                <w:rFonts w:eastAsia="MS Mincho"/>
                <w:bCs/>
                <w:snapToGrid w:val="0"/>
                <w:color w:val="000000"/>
                <w:kern w:val="22"/>
                <w:szCs w:val="22"/>
              </w:rPr>
              <w:t>and</w:t>
            </w:r>
            <w:r w:rsidRPr="0088780C">
              <w:rPr>
                <w:rFonts w:eastAsia="MS Mincho"/>
                <w:bCs/>
                <w:i/>
                <w:snapToGrid w:val="0"/>
                <w:color w:val="000000"/>
                <w:kern w:val="22"/>
                <w:szCs w:val="22"/>
              </w:rPr>
              <w:t xml:space="preserve"> Acipenser persicus)</w:t>
            </w:r>
            <w:r w:rsidRPr="0088780C">
              <w:rPr>
                <w:rFonts w:eastAsia="MS Mincho"/>
                <w:bCs/>
                <w:snapToGrid w:val="0"/>
                <w:color w:val="000000"/>
                <w:kern w:val="22"/>
                <w:szCs w:val="22"/>
              </w:rPr>
              <w:t xml:space="preserve">. </w:t>
            </w:r>
            <w:r w:rsidRPr="0088780C">
              <w:rPr>
                <w:rFonts w:eastAsia="MS Mincho"/>
                <w:bCs/>
                <w:i/>
                <w:snapToGrid w:val="0"/>
                <w:color w:val="000000"/>
                <w:kern w:val="22"/>
                <w:szCs w:val="22"/>
              </w:rPr>
              <w:t>Acipenser ruthenus</w:t>
            </w:r>
            <w:r w:rsidRPr="0088780C">
              <w:rPr>
                <w:rFonts w:eastAsia="MS Mincho"/>
                <w:bCs/>
                <w:snapToGrid w:val="0"/>
                <w:color w:val="000000"/>
                <w:kern w:val="22"/>
                <w:szCs w:val="22"/>
              </w:rPr>
              <w:t xml:space="preserve"> is listed as a vulnerable species</w:t>
            </w:r>
            <w:r w:rsidRPr="0088780C">
              <w:rPr>
                <w:snapToGrid w:val="0"/>
                <w:kern w:val="22"/>
                <w:szCs w:val="22"/>
              </w:rPr>
              <w:t xml:space="preserve"> </w:t>
            </w:r>
            <w:r w:rsidRPr="0088780C">
              <w:rPr>
                <w:rFonts w:eastAsia="MS Mincho"/>
                <w:bCs/>
                <w:snapToGrid w:val="0"/>
                <w:color w:val="000000"/>
                <w:kern w:val="22"/>
                <w:szCs w:val="22"/>
              </w:rPr>
              <w:t>(IUCN 2008; Guchmanidze, 2009; Gurielidze et al., 2012)</w:t>
            </w:r>
          </w:p>
        </w:tc>
      </w:tr>
      <w:tr w:rsidR="00A876F3" w:rsidRPr="0088780C" w14:paraId="7F4C2692" w14:textId="77777777" w:rsidTr="006972AD">
        <w:tc>
          <w:tcPr>
            <w:tcW w:w="907" w:type="pct"/>
            <w:shd w:val="clear" w:color="auto" w:fill="auto"/>
          </w:tcPr>
          <w:p w14:paraId="59AEFAB6"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156" w:type="pct"/>
            <w:shd w:val="clear" w:color="auto" w:fill="auto"/>
          </w:tcPr>
          <w:p w14:paraId="28D4F3C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0C98129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410D549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3773E24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2" w:type="pct"/>
            <w:gridSpan w:val="2"/>
            <w:shd w:val="clear" w:color="auto" w:fill="auto"/>
          </w:tcPr>
          <w:p w14:paraId="73BB9B9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477C6E6A" w14:textId="77777777" w:rsidTr="006972AD">
        <w:tc>
          <w:tcPr>
            <w:tcW w:w="5000" w:type="pct"/>
            <w:gridSpan w:val="11"/>
            <w:shd w:val="clear" w:color="auto" w:fill="auto"/>
          </w:tcPr>
          <w:p w14:paraId="2770BD08"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2B10977A" w14:textId="77777777" w:rsidR="00A876F3" w:rsidRPr="0088780C" w:rsidRDefault="00A876F3" w:rsidP="001013AF">
            <w:pPr>
              <w:suppressLineNumbers/>
              <w:suppressAutoHyphens/>
              <w:kinsoku w:val="0"/>
              <w:overflowPunct w:val="0"/>
              <w:autoSpaceDE w:val="0"/>
              <w:autoSpaceDN w:val="0"/>
              <w:adjustRightInd w:val="0"/>
              <w:ind w:right="288"/>
              <w:rPr>
                <w:rFonts w:eastAsia="MS Mincho"/>
                <w:snapToGrid w:val="0"/>
                <w:color w:val="000000"/>
                <w:kern w:val="22"/>
                <w:szCs w:val="22"/>
              </w:rPr>
            </w:pPr>
            <w:r w:rsidRPr="0088780C">
              <w:rPr>
                <w:rFonts w:eastAsia="MS Mincho"/>
                <w:snapToGrid w:val="0"/>
                <w:color w:val="000000"/>
                <w:kern w:val="22"/>
                <w:szCs w:val="22"/>
              </w:rPr>
              <w:t>For threatened species: wintering, breeding and nursery grounds for Black Sea cetaceans; habitat and spawning area for endangered Acipenseridae (</w:t>
            </w:r>
            <w:r w:rsidRPr="0088780C">
              <w:rPr>
                <w:rFonts w:eastAsia="MS Mincho"/>
                <w:snapToGrid w:val="0"/>
                <w:kern w:val="22"/>
                <w:szCs w:val="22"/>
              </w:rPr>
              <w:t xml:space="preserve">Birkun and Frantzis, 2008; </w:t>
            </w:r>
            <w:r w:rsidRPr="0088780C">
              <w:rPr>
                <w:rFonts w:eastAsia="MS Mincho"/>
                <w:snapToGrid w:val="0"/>
                <w:color w:val="000000"/>
                <w:kern w:val="22"/>
                <w:szCs w:val="22"/>
              </w:rPr>
              <w:t>Guchmanidze, 2009; Kopaliani et al., 2015).</w:t>
            </w:r>
          </w:p>
          <w:p w14:paraId="368FE64F" w14:textId="77777777" w:rsidR="00A876F3" w:rsidRPr="0088780C" w:rsidRDefault="00A876F3" w:rsidP="001013AF">
            <w:pPr>
              <w:suppressLineNumbers/>
              <w:suppressAutoHyphens/>
              <w:kinsoku w:val="0"/>
              <w:overflowPunct w:val="0"/>
              <w:autoSpaceDE w:val="0"/>
              <w:autoSpaceDN w:val="0"/>
              <w:adjustRightInd w:val="0"/>
              <w:ind w:right="288"/>
              <w:rPr>
                <w:rFonts w:eastAsia="MS Mincho"/>
                <w:snapToGrid w:val="0"/>
                <w:color w:val="000000"/>
                <w:kern w:val="22"/>
                <w:szCs w:val="22"/>
              </w:rPr>
            </w:pPr>
          </w:p>
          <w:p w14:paraId="49832703" w14:textId="77777777" w:rsidR="00A876F3" w:rsidRPr="0088780C" w:rsidRDefault="00A876F3" w:rsidP="001013AF">
            <w:pPr>
              <w:suppressLineNumbers/>
              <w:suppressAutoHyphens/>
              <w:kinsoku w:val="0"/>
              <w:overflowPunct w:val="0"/>
              <w:autoSpaceDE w:val="0"/>
              <w:autoSpaceDN w:val="0"/>
              <w:adjustRightInd w:val="0"/>
              <w:ind w:right="288"/>
              <w:rPr>
                <w:rFonts w:eastAsia="MS Mincho"/>
                <w:snapToGrid w:val="0"/>
                <w:color w:val="000000"/>
                <w:kern w:val="22"/>
                <w:szCs w:val="22"/>
              </w:rPr>
            </w:pPr>
            <w:r w:rsidRPr="0088780C">
              <w:rPr>
                <w:rFonts w:eastAsia="MS Mincho"/>
                <w:snapToGrid w:val="0"/>
                <w:color w:val="000000"/>
                <w:kern w:val="22"/>
                <w:szCs w:val="22"/>
              </w:rPr>
              <w:t>Vulnerable, long-lived species with low fecundity and late sexual maturity are particularly vulnerable due to factors increasing adult mortality rates (BirdLife International, 2017).</w:t>
            </w:r>
          </w:p>
        </w:tc>
      </w:tr>
      <w:tr w:rsidR="00A876F3" w:rsidRPr="0088780C" w14:paraId="7861ACD8" w14:textId="77777777" w:rsidTr="006972AD">
        <w:tc>
          <w:tcPr>
            <w:tcW w:w="907" w:type="pct"/>
            <w:shd w:val="clear" w:color="auto" w:fill="auto"/>
          </w:tcPr>
          <w:p w14:paraId="0BA4A79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156" w:type="pct"/>
            <w:shd w:val="clear" w:color="auto" w:fill="auto"/>
          </w:tcPr>
          <w:p w14:paraId="46BCE4A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579BB97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0C28222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7AB2933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2" w:type="pct"/>
            <w:gridSpan w:val="2"/>
            <w:shd w:val="clear" w:color="auto" w:fill="auto"/>
          </w:tcPr>
          <w:p w14:paraId="2FC6CAD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3FFC9DD2" w14:textId="77777777" w:rsidTr="006972AD">
        <w:tc>
          <w:tcPr>
            <w:tcW w:w="5000" w:type="pct"/>
            <w:gridSpan w:val="11"/>
            <w:shd w:val="clear" w:color="auto" w:fill="auto"/>
          </w:tcPr>
          <w:p w14:paraId="5630C085"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27569771" w14:textId="010C38FB"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 xml:space="preserve">The Kolkheti area contains species with comparatively higher natural biological productivity, such as the anchovy </w:t>
            </w:r>
            <w:r w:rsidRPr="0088780C">
              <w:rPr>
                <w:snapToGrid w:val="0"/>
                <w:color w:val="545454"/>
                <w:kern w:val="22"/>
                <w:szCs w:val="22"/>
                <w:shd w:val="clear" w:color="auto" w:fill="FFFFFF"/>
              </w:rPr>
              <w:t>(</w:t>
            </w:r>
            <w:r w:rsidRPr="0088780C">
              <w:rPr>
                <w:rStyle w:val="Emphasis"/>
                <w:b w:val="0"/>
                <w:bCs w:val="0"/>
                <w:i/>
                <w:iCs/>
                <w:snapToGrid w:val="0"/>
                <w:color w:val="000000" w:themeColor="text1"/>
                <w:kern w:val="22"/>
                <w:szCs w:val="22"/>
                <w:shd w:val="clear" w:color="auto" w:fill="FFFFFF"/>
              </w:rPr>
              <w:t>Engraulis</w:t>
            </w:r>
            <w:r w:rsidRPr="0088780C">
              <w:rPr>
                <w:rStyle w:val="apple-converted-space"/>
                <w:i/>
                <w:iCs/>
                <w:snapToGrid w:val="0"/>
                <w:color w:val="000000" w:themeColor="text1"/>
                <w:kern w:val="22"/>
                <w:szCs w:val="22"/>
                <w:shd w:val="clear" w:color="auto" w:fill="FFFFFF"/>
              </w:rPr>
              <w:t> </w:t>
            </w:r>
            <w:r w:rsidRPr="0088780C">
              <w:rPr>
                <w:i/>
                <w:iCs/>
                <w:snapToGrid w:val="0"/>
                <w:color w:val="000000" w:themeColor="text1"/>
                <w:kern w:val="22"/>
                <w:szCs w:val="22"/>
                <w:shd w:val="clear" w:color="auto" w:fill="FFFFFF"/>
              </w:rPr>
              <w:t>encrasicolus</w:t>
            </w:r>
            <w:r w:rsidRPr="0088780C">
              <w:rPr>
                <w:snapToGrid w:val="0"/>
                <w:color w:val="000000" w:themeColor="text1"/>
                <w:kern w:val="22"/>
                <w:szCs w:val="22"/>
                <w:shd w:val="clear" w:color="auto" w:fill="FFFFFF"/>
              </w:rPr>
              <w:t>)</w:t>
            </w:r>
            <w:r w:rsidR="008F594E" w:rsidRPr="0088780C">
              <w:rPr>
                <w:rStyle w:val="apple-converted-space"/>
              </w:rPr>
              <w:t xml:space="preserve">, </w:t>
            </w:r>
            <w:r w:rsidRPr="0088780C">
              <w:rPr>
                <w:snapToGrid w:val="0"/>
                <w:color w:val="000000" w:themeColor="text1"/>
                <w:kern w:val="22"/>
                <w:szCs w:val="22"/>
              </w:rPr>
              <w:t>which is a major commercial fish species of the Black Sea (Chashchin 1996).</w:t>
            </w:r>
          </w:p>
        </w:tc>
      </w:tr>
      <w:tr w:rsidR="00A876F3" w:rsidRPr="0088780C" w14:paraId="4993948B" w14:textId="77777777" w:rsidTr="006972AD">
        <w:tc>
          <w:tcPr>
            <w:tcW w:w="907" w:type="pct"/>
            <w:shd w:val="clear" w:color="auto" w:fill="auto"/>
          </w:tcPr>
          <w:p w14:paraId="593F5DF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156" w:type="pct"/>
            <w:shd w:val="clear" w:color="auto" w:fill="auto"/>
          </w:tcPr>
          <w:p w14:paraId="6F050DBE"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2FED2EA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3922B30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033AD38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2" w:type="pct"/>
            <w:gridSpan w:val="2"/>
            <w:shd w:val="clear" w:color="auto" w:fill="auto"/>
          </w:tcPr>
          <w:p w14:paraId="02D1E6E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70ABA096" w14:textId="77777777" w:rsidTr="006972AD">
        <w:tc>
          <w:tcPr>
            <w:tcW w:w="5000" w:type="pct"/>
            <w:gridSpan w:val="11"/>
            <w:shd w:val="clear" w:color="auto" w:fill="auto"/>
          </w:tcPr>
          <w:p w14:paraId="3DB66F8F"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1AE295B2" w14:textId="6C5BAAEB" w:rsidR="00A876F3" w:rsidRPr="0088780C" w:rsidRDefault="00A876F3" w:rsidP="007C2196">
            <w:pPr>
              <w:suppressLineNumbers/>
              <w:suppressAutoHyphens/>
              <w:kinsoku w:val="0"/>
              <w:overflowPunct w:val="0"/>
              <w:autoSpaceDE w:val="0"/>
              <w:autoSpaceDN w:val="0"/>
              <w:ind w:left="-24" w:right="288"/>
              <w:rPr>
                <w:rFonts w:eastAsia="Calibri"/>
                <w:snapToGrid w:val="0"/>
                <w:kern w:val="22"/>
                <w:szCs w:val="22"/>
              </w:rPr>
            </w:pPr>
            <w:r w:rsidRPr="0088780C">
              <w:rPr>
                <w:rFonts w:eastAsia="Calibri"/>
                <w:snapToGrid w:val="0"/>
                <w:kern w:val="22"/>
                <w:szCs w:val="22"/>
              </w:rPr>
              <w:t>Marine mammals are represented by three species of cetaceans: the bottlenose dolphin (</w:t>
            </w:r>
            <w:r w:rsidRPr="0088780C">
              <w:rPr>
                <w:rFonts w:eastAsia="Calibri"/>
                <w:i/>
                <w:snapToGrid w:val="0"/>
                <w:kern w:val="22"/>
                <w:szCs w:val="22"/>
              </w:rPr>
              <w:t>Tursiops truncatus ponticus</w:t>
            </w:r>
            <w:r w:rsidRPr="0088780C">
              <w:rPr>
                <w:rFonts w:eastAsia="Calibri"/>
                <w:snapToGrid w:val="0"/>
                <w:kern w:val="22"/>
                <w:szCs w:val="22"/>
              </w:rPr>
              <w:t>), common dolphin (</w:t>
            </w:r>
            <w:r w:rsidRPr="0088780C">
              <w:rPr>
                <w:rFonts w:eastAsia="Calibri"/>
                <w:i/>
                <w:snapToGrid w:val="0"/>
                <w:kern w:val="22"/>
                <w:szCs w:val="22"/>
              </w:rPr>
              <w:t>Delphinus delphis ponticus</w:t>
            </w:r>
            <w:r w:rsidRPr="0088780C">
              <w:rPr>
                <w:rFonts w:eastAsia="Calibri"/>
                <w:snapToGrid w:val="0"/>
                <w:kern w:val="22"/>
                <w:szCs w:val="22"/>
              </w:rPr>
              <w:t xml:space="preserve">) and </w:t>
            </w:r>
            <w:r w:rsidR="003D6ED2" w:rsidRPr="0088780C">
              <w:rPr>
                <w:rFonts w:eastAsia="Calibri"/>
                <w:snapToGrid w:val="0"/>
                <w:kern w:val="22"/>
                <w:szCs w:val="22"/>
              </w:rPr>
              <w:t>harbour porpoise</w:t>
            </w:r>
            <w:r w:rsidRPr="0088780C">
              <w:rPr>
                <w:rFonts w:eastAsia="Calibri"/>
                <w:snapToGrid w:val="0"/>
                <w:kern w:val="22"/>
                <w:szCs w:val="22"/>
              </w:rPr>
              <w:t xml:space="preserve"> (Phocoena phocoena relicta) (Kleinenberg, 1956). The described area is important for autumn and spring migration of waders and other shorebirds, including thousands of plovers (</w:t>
            </w:r>
            <w:r w:rsidRPr="0088780C">
              <w:rPr>
                <w:rFonts w:eastAsia="Calibri"/>
                <w:i/>
                <w:snapToGrid w:val="0"/>
                <w:kern w:val="22"/>
                <w:szCs w:val="22"/>
              </w:rPr>
              <w:t>Calidris spp., Pluvialis</w:t>
            </w:r>
            <w:r w:rsidRPr="0088780C">
              <w:rPr>
                <w:rFonts w:eastAsia="Calibri"/>
                <w:snapToGrid w:val="0"/>
                <w:kern w:val="22"/>
                <w:szCs w:val="22"/>
              </w:rPr>
              <w:t xml:space="preserve"> spp.), lapwings (</w:t>
            </w:r>
            <w:r w:rsidRPr="0088780C">
              <w:rPr>
                <w:rFonts w:eastAsia="Calibri"/>
                <w:i/>
                <w:snapToGrid w:val="0"/>
                <w:kern w:val="22"/>
                <w:szCs w:val="22"/>
              </w:rPr>
              <w:t>Vanellus spp</w:t>
            </w:r>
            <w:r w:rsidRPr="0088780C">
              <w:rPr>
                <w:rFonts w:eastAsia="Calibri"/>
                <w:snapToGrid w:val="0"/>
                <w:kern w:val="22"/>
                <w:szCs w:val="22"/>
              </w:rPr>
              <w:t>.), red knots (</w:t>
            </w:r>
            <w:r w:rsidRPr="0088780C">
              <w:rPr>
                <w:rFonts w:eastAsia="Calibri"/>
                <w:i/>
                <w:snapToGrid w:val="0"/>
                <w:kern w:val="22"/>
                <w:szCs w:val="22"/>
              </w:rPr>
              <w:t>Calidris canutus</w:t>
            </w:r>
            <w:r w:rsidRPr="0088780C">
              <w:rPr>
                <w:rFonts w:eastAsia="Calibri"/>
                <w:snapToGrid w:val="0"/>
                <w:kern w:val="22"/>
                <w:szCs w:val="22"/>
              </w:rPr>
              <w:t>), sanderling (</w:t>
            </w:r>
            <w:r w:rsidRPr="0088780C">
              <w:rPr>
                <w:rFonts w:eastAsia="Calibri"/>
                <w:i/>
                <w:snapToGrid w:val="0"/>
                <w:kern w:val="22"/>
                <w:szCs w:val="22"/>
              </w:rPr>
              <w:t>C. alba</w:t>
            </w:r>
            <w:r w:rsidRPr="0088780C">
              <w:rPr>
                <w:rFonts w:eastAsia="Calibri"/>
                <w:snapToGrid w:val="0"/>
                <w:kern w:val="22"/>
                <w:szCs w:val="22"/>
              </w:rPr>
              <w:t>), curlew sandpipers (</w:t>
            </w:r>
            <w:r w:rsidRPr="0088780C">
              <w:rPr>
                <w:rFonts w:eastAsia="Calibri"/>
                <w:i/>
                <w:snapToGrid w:val="0"/>
                <w:kern w:val="22"/>
                <w:szCs w:val="22"/>
              </w:rPr>
              <w:t>C. ferruginea</w:t>
            </w:r>
            <w:r w:rsidRPr="0088780C">
              <w:rPr>
                <w:rFonts w:eastAsia="Calibri"/>
                <w:snapToGrid w:val="0"/>
                <w:kern w:val="22"/>
                <w:szCs w:val="22"/>
              </w:rPr>
              <w:t>), turnstones (</w:t>
            </w:r>
            <w:r w:rsidRPr="0088780C">
              <w:rPr>
                <w:rFonts w:eastAsia="Calibri"/>
                <w:i/>
                <w:snapToGrid w:val="0"/>
                <w:kern w:val="22"/>
                <w:szCs w:val="22"/>
              </w:rPr>
              <w:t>Arenaria interpres</w:t>
            </w:r>
            <w:r w:rsidRPr="0088780C">
              <w:rPr>
                <w:rFonts w:eastAsia="Calibri"/>
                <w:snapToGrid w:val="0"/>
                <w:kern w:val="22"/>
                <w:szCs w:val="22"/>
              </w:rPr>
              <w:t>), dunlins (</w:t>
            </w:r>
            <w:r w:rsidRPr="0088780C">
              <w:rPr>
                <w:rFonts w:eastAsia="Calibri"/>
                <w:i/>
                <w:snapToGrid w:val="0"/>
                <w:kern w:val="22"/>
                <w:szCs w:val="22"/>
              </w:rPr>
              <w:t>Calidris alpina</w:t>
            </w:r>
            <w:r w:rsidRPr="0088780C">
              <w:rPr>
                <w:rFonts w:eastAsia="Calibri"/>
                <w:snapToGrid w:val="0"/>
                <w:kern w:val="22"/>
                <w:szCs w:val="22"/>
              </w:rPr>
              <w:t>), broad-billed sandpipers (</w:t>
            </w:r>
            <w:r w:rsidRPr="0088780C">
              <w:rPr>
                <w:rFonts w:eastAsia="Calibri"/>
                <w:i/>
                <w:snapToGrid w:val="0"/>
                <w:kern w:val="22"/>
                <w:szCs w:val="22"/>
              </w:rPr>
              <w:t>Limicola falcinellus</w:t>
            </w:r>
            <w:r w:rsidRPr="0088780C">
              <w:rPr>
                <w:rFonts w:eastAsia="Calibri"/>
                <w:snapToGrid w:val="0"/>
                <w:kern w:val="22"/>
                <w:szCs w:val="22"/>
              </w:rPr>
              <w:t>), Temminck’s stints (</w:t>
            </w:r>
            <w:r w:rsidRPr="0088780C">
              <w:rPr>
                <w:rFonts w:eastAsia="Calibri"/>
                <w:i/>
                <w:snapToGrid w:val="0"/>
                <w:kern w:val="22"/>
                <w:szCs w:val="22"/>
              </w:rPr>
              <w:t>Calidris temminckii</w:t>
            </w:r>
            <w:r w:rsidRPr="0088780C">
              <w:rPr>
                <w:rFonts w:eastAsia="Calibri"/>
                <w:snapToGrid w:val="0"/>
                <w:kern w:val="22"/>
                <w:szCs w:val="22"/>
              </w:rPr>
              <w:t>), little stints (</w:t>
            </w:r>
            <w:r w:rsidRPr="0088780C">
              <w:rPr>
                <w:rFonts w:eastAsia="Calibri"/>
                <w:i/>
                <w:snapToGrid w:val="0"/>
                <w:kern w:val="22"/>
                <w:szCs w:val="22"/>
              </w:rPr>
              <w:t>Calidris minuta</w:t>
            </w:r>
            <w:r w:rsidRPr="0088780C">
              <w:rPr>
                <w:rFonts w:eastAsia="Calibri"/>
                <w:snapToGrid w:val="0"/>
                <w:kern w:val="22"/>
                <w:szCs w:val="22"/>
              </w:rPr>
              <w:t>), sandpipers (</w:t>
            </w:r>
            <w:r w:rsidRPr="0088780C">
              <w:rPr>
                <w:rFonts w:eastAsia="Calibri"/>
                <w:i/>
                <w:snapToGrid w:val="0"/>
                <w:kern w:val="22"/>
                <w:szCs w:val="22"/>
              </w:rPr>
              <w:t xml:space="preserve">Tringa </w:t>
            </w:r>
            <w:r w:rsidRPr="0088780C">
              <w:rPr>
                <w:rFonts w:eastAsia="Calibri"/>
                <w:snapToGrid w:val="0"/>
                <w:kern w:val="22"/>
                <w:szCs w:val="22"/>
              </w:rPr>
              <w:t>spp.), godwits (</w:t>
            </w:r>
            <w:r w:rsidRPr="0088780C">
              <w:rPr>
                <w:rFonts w:eastAsia="Calibri"/>
                <w:i/>
                <w:snapToGrid w:val="0"/>
                <w:kern w:val="22"/>
                <w:szCs w:val="22"/>
              </w:rPr>
              <w:t>Limosa spp</w:t>
            </w:r>
            <w:r w:rsidRPr="0088780C">
              <w:rPr>
                <w:rFonts w:eastAsia="Calibri"/>
                <w:snapToGrid w:val="0"/>
                <w:kern w:val="22"/>
                <w:szCs w:val="22"/>
              </w:rPr>
              <w:t>.), curlews (</w:t>
            </w:r>
            <w:r w:rsidRPr="0088780C">
              <w:rPr>
                <w:rFonts w:eastAsia="Calibri"/>
                <w:i/>
                <w:snapToGrid w:val="0"/>
                <w:kern w:val="22"/>
                <w:szCs w:val="22"/>
              </w:rPr>
              <w:t>Numenius spp</w:t>
            </w:r>
            <w:r w:rsidRPr="0088780C">
              <w:rPr>
                <w:rFonts w:eastAsia="Calibri"/>
                <w:snapToGrid w:val="0"/>
                <w:kern w:val="22"/>
                <w:szCs w:val="22"/>
              </w:rPr>
              <w:t>.), snipes (</w:t>
            </w:r>
            <w:r w:rsidRPr="0088780C">
              <w:rPr>
                <w:rFonts w:eastAsia="Calibri"/>
                <w:i/>
                <w:snapToGrid w:val="0"/>
                <w:kern w:val="22"/>
                <w:szCs w:val="22"/>
                <w:u w:val="single"/>
              </w:rPr>
              <w:t>Gallinago spp</w:t>
            </w:r>
            <w:r w:rsidRPr="0088780C">
              <w:rPr>
                <w:rFonts w:eastAsia="Calibri"/>
                <w:snapToGrid w:val="0"/>
                <w:kern w:val="22"/>
                <w:szCs w:val="22"/>
              </w:rPr>
              <w:t>.), woodcocks (</w:t>
            </w:r>
            <w:r w:rsidRPr="0088780C">
              <w:rPr>
                <w:rFonts w:eastAsia="Calibri"/>
                <w:i/>
                <w:snapToGrid w:val="0"/>
                <w:kern w:val="22"/>
                <w:szCs w:val="22"/>
              </w:rPr>
              <w:t>Scolopax rusticola</w:t>
            </w:r>
            <w:r w:rsidRPr="0088780C">
              <w:rPr>
                <w:rFonts w:eastAsia="Calibri"/>
                <w:snapToGrid w:val="0"/>
                <w:kern w:val="22"/>
                <w:szCs w:val="22"/>
              </w:rPr>
              <w:t>), ruffs (</w:t>
            </w:r>
            <w:r w:rsidRPr="0088780C">
              <w:rPr>
                <w:rFonts w:eastAsia="Calibri"/>
                <w:i/>
                <w:snapToGrid w:val="0"/>
                <w:kern w:val="22"/>
                <w:szCs w:val="22"/>
              </w:rPr>
              <w:t>Philomachus pugnax</w:t>
            </w:r>
            <w:r w:rsidRPr="0088780C">
              <w:rPr>
                <w:rFonts w:eastAsia="Calibri"/>
                <w:snapToGrid w:val="0"/>
                <w:kern w:val="22"/>
                <w:szCs w:val="22"/>
              </w:rPr>
              <w:t>), gulls (</w:t>
            </w:r>
            <w:r w:rsidRPr="0088780C">
              <w:rPr>
                <w:rFonts w:eastAsia="Calibri"/>
                <w:i/>
                <w:snapToGrid w:val="0"/>
                <w:kern w:val="22"/>
                <w:szCs w:val="22"/>
              </w:rPr>
              <w:t>Larus</w:t>
            </w:r>
            <w:r w:rsidRPr="0088780C">
              <w:rPr>
                <w:rFonts w:eastAsia="Calibri"/>
                <w:snapToGrid w:val="0"/>
                <w:kern w:val="22"/>
                <w:szCs w:val="22"/>
              </w:rPr>
              <w:t xml:space="preserve"> spp.), terns </w:t>
            </w:r>
            <w:r w:rsidRPr="0088780C">
              <w:rPr>
                <w:rFonts w:eastAsia="Calibri"/>
                <w:i/>
                <w:snapToGrid w:val="0"/>
                <w:kern w:val="22"/>
                <w:szCs w:val="22"/>
              </w:rPr>
              <w:t>(Sterna spp., Chlidonias spp</w:t>
            </w:r>
            <w:r w:rsidRPr="0088780C">
              <w:rPr>
                <w:rFonts w:eastAsia="Calibri"/>
                <w:snapToGrid w:val="0"/>
                <w:kern w:val="22"/>
                <w:szCs w:val="22"/>
              </w:rPr>
              <w:t>.), crakes (</w:t>
            </w:r>
            <w:r w:rsidRPr="0088780C">
              <w:rPr>
                <w:rFonts w:eastAsia="Calibri"/>
                <w:i/>
                <w:snapToGrid w:val="0"/>
                <w:kern w:val="22"/>
                <w:szCs w:val="22"/>
              </w:rPr>
              <w:t>Rallus spp</w:t>
            </w:r>
            <w:r w:rsidRPr="0088780C">
              <w:rPr>
                <w:rFonts w:eastAsia="Calibri"/>
                <w:snapToGrid w:val="0"/>
                <w:kern w:val="22"/>
                <w:szCs w:val="22"/>
              </w:rPr>
              <w:t>.), moorhens (</w:t>
            </w:r>
            <w:r w:rsidRPr="0088780C">
              <w:rPr>
                <w:rFonts w:eastAsia="Calibri"/>
                <w:i/>
                <w:snapToGrid w:val="0"/>
                <w:kern w:val="22"/>
                <w:szCs w:val="22"/>
              </w:rPr>
              <w:t>Gellinula chloropus</w:t>
            </w:r>
            <w:r w:rsidRPr="0088780C">
              <w:rPr>
                <w:rFonts w:eastAsia="Calibri"/>
                <w:snapToGrid w:val="0"/>
                <w:kern w:val="22"/>
                <w:szCs w:val="22"/>
              </w:rPr>
              <w:t>), coots (</w:t>
            </w:r>
            <w:r w:rsidRPr="0088780C">
              <w:rPr>
                <w:rFonts w:eastAsia="Calibri"/>
                <w:i/>
                <w:snapToGrid w:val="0"/>
                <w:kern w:val="22"/>
                <w:szCs w:val="22"/>
              </w:rPr>
              <w:t>Fulica atra</w:t>
            </w:r>
            <w:r w:rsidRPr="0088780C">
              <w:rPr>
                <w:rFonts w:eastAsia="Calibri"/>
                <w:snapToGrid w:val="0"/>
                <w:kern w:val="22"/>
                <w:szCs w:val="22"/>
              </w:rPr>
              <w:t>), purple swamphens (</w:t>
            </w:r>
            <w:r w:rsidRPr="0088780C">
              <w:rPr>
                <w:rFonts w:eastAsia="Calibri"/>
                <w:i/>
                <w:snapToGrid w:val="0"/>
                <w:kern w:val="22"/>
                <w:szCs w:val="22"/>
              </w:rPr>
              <w:t>Porphyrio porphyrio</w:t>
            </w:r>
            <w:r w:rsidRPr="0088780C">
              <w:rPr>
                <w:rFonts w:eastAsia="Calibri"/>
                <w:snapToGrid w:val="0"/>
                <w:kern w:val="22"/>
                <w:szCs w:val="22"/>
              </w:rPr>
              <w:t>) and herons (</w:t>
            </w:r>
            <w:r w:rsidRPr="0088780C">
              <w:rPr>
                <w:rFonts w:eastAsia="Calibri"/>
                <w:i/>
                <w:snapToGrid w:val="0"/>
                <w:kern w:val="22"/>
                <w:szCs w:val="22"/>
              </w:rPr>
              <w:t>Botaurus spp., Egretta spp., Ardea spp</w:t>
            </w:r>
            <w:r w:rsidRPr="0088780C">
              <w:rPr>
                <w:rFonts w:eastAsia="Calibri"/>
                <w:snapToGrid w:val="0"/>
                <w:kern w:val="22"/>
                <w:szCs w:val="22"/>
              </w:rPr>
              <w:t>.). Some seabird species such as the Arctic loon (</w:t>
            </w:r>
            <w:r w:rsidRPr="0088780C">
              <w:rPr>
                <w:rFonts w:eastAsia="Calibri"/>
                <w:i/>
                <w:snapToGrid w:val="0"/>
                <w:kern w:val="22"/>
                <w:szCs w:val="22"/>
              </w:rPr>
              <w:t>Gavia arctica</w:t>
            </w:r>
            <w:r w:rsidRPr="0088780C">
              <w:rPr>
                <w:rFonts w:eastAsia="Calibri"/>
                <w:snapToGrid w:val="0"/>
                <w:kern w:val="22"/>
                <w:szCs w:val="22"/>
              </w:rPr>
              <w:t>), yelkouan shearwater (</w:t>
            </w:r>
            <w:r w:rsidRPr="0088780C">
              <w:rPr>
                <w:rFonts w:eastAsia="Calibri"/>
                <w:i/>
                <w:snapToGrid w:val="0"/>
                <w:kern w:val="22"/>
                <w:szCs w:val="22"/>
              </w:rPr>
              <w:t>Puffinus yelkouan</w:t>
            </w:r>
            <w:r w:rsidRPr="0088780C">
              <w:rPr>
                <w:rFonts w:eastAsia="Calibri"/>
                <w:snapToGrid w:val="0"/>
                <w:kern w:val="22"/>
                <w:szCs w:val="22"/>
              </w:rPr>
              <w:t>), black-tailed godwit (</w:t>
            </w:r>
            <w:r w:rsidRPr="0088780C">
              <w:rPr>
                <w:rFonts w:eastAsia="Calibri"/>
                <w:i/>
                <w:snapToGrid w:val="0"/>
                <w:kern w:val="22"/>
                <w:szCs w:val="22"/>
              </w:rPr>
              <w:t>Limosa limosa</w:t>
            </w:r>
            <w:r w:rsidRPr="0088780C">
              <w:rPr>
                <w:rFonts w:eastAsia="Calibri"/>
                <w:snapToGrid w:val="0"/>
                <w:kern w:val="22"/>
                <w:szCs w:val="22"/>
              </w:rPr>
              <w:t>), little gull (</w:t>
            </w:r>
            <w:r w:rsidRPr="0088780C">
              <w:rPr>
                <w:rFonts w:eastAsia="Calibri"/>
                <w:i/>
                <w:snapToGrid w:val="0"/>
                <w:kern w:val="22"/>
                <w:szCs w:val="22"/>
              </w:rPr>
              <w:t>Hydrocoloeus minutus</w:t>
            </w:r>
            <w:r w:rsidRPr="0088780C">
              <w:rPr>
                <w:rFonts w:eastAsia="Calibri"/>
                <w:snapToGrid w:val="0"/>
                <w:kern w:val="22"/>
                <w:szCs w:val="22"/>
              </w:rPr>
              <w:t>), Pallas's gull (</w:t>
            </w:r>
            <w:r w:rsidRPr="0088780C">
              <w:rPr>
                <w:rFonts w:eastAsia="Calibri"/>
                <w:i/>
                <w:snapToGrid w:val="0"/>
                <w:kern w:val="22"/>
                <w:szCs w:val="22"/>
              </w:rPr>
              <w:t>Larus ichthyaetus</w:t>
            </w:r>
            <w:r w:rsidRPr="0088780C">
              <w:rPr>
                <w:rFonts w:eastAsia="Calibri"/>
                <w:snapToGrid w:val="0"/>
                <w:kern w:val="22"/>
                <w:szCs w:val="22"/>
              </w:rPr>
              <w:t>), Mediterranean gull (</w:t>
            </w:r>
            <w:r w:rsidRPr="0088780C">
              <w:rPr>
                <w:rFonts w:eastAsia="Calibri"/>
                <w:i/>
                <w:snapToGrid w:val="0"/>
                <w:kern w:val="22"/>
                <w:szCs w:val="22"/>
              </w:rPr>
              <w:t>Larus melanocephalus</w:t>
            </w:r>
            <w:r w:rsidRPr="0088780C">
              <w:rPr>
                <w:rFonts w:eastAsia="Calibri"/>
                <w:snapToGrid w:val="0"/>
                <w:kern w:val="22"/>
                <w:szCs w:val="22"/>
              </w:rPr>
              <w:t>), and the lesser black-backed gull (</w:t>
            </w:r>
            <w:r w:rsidRPr="0088780C">
              <w:rPr>
                <w:rFonts w:eastAsia="Calibri"/>
                <w:i/>
                <w:snapToGrid w:val="0"/>
                <w:kern w:val="22"/>
                <w:szCs w:val="22"/>
              </w:rPr>
              <w:t>Larus fuscus</w:t>
            </w:r>
            <w:r w:rsidRPr="0088780C">
              <w:rPr>
                <w:rFonts w:eastAsia="Calibri"/>
                <w:snapToGrid w:val="0"/>
                <w:kern w:val="22"/>
                <w:szCs w:val="22"/>
              </w:rPr>
              <w:t>) also occur in the area. Disturbance from grazing animals, motorboat activities, reed burning, seashore development, uncontrolled hunting and poaching are major threats affecting wader and shorebird populations during migration (Lewis et al., 2013; Javakhisvili in Gurileidze et al., 2012).</w:t>
            </w:r>
          </w:p>
          <w:p w14:paraId="019591DA" w14:textId="77777777" w:rsidR="00A876F3" w:rsidRPr="0088780C" w:rsidRDefault="00A876F3" w:rsidP="001013AF">
            <w:pPr>
              <w:suppressLineNumbers/>
              <w:suppressAutoHyphens/>
              <w:kinsoku w:val="0"/>
              <w:overflowPunct w:val="0"/>
              <w:autoSpaceDE w:val="0"/>
              <w:autoSpaceDN w:val="0"/>
              <w:ind w:left="-24" w:right="288"/>
              <w:rPr>
                <w:rFonts w:eastAsia="Calibri"/>
                <w:snapToGrid w:val="0"/>
                <w:kern w:val="22"/>
                <w:szCs w:val="22"/>
              </w:rPr>
            </w:pPr>
          </w:p>
          <w:p w14:paraId="620916E9" w14:textId="77777777" w:rsidR="00A876F3" w:rsidRPr="0088780C" w:rsidRDefault="00A876F3" w:rsidP="001013AF">
            <w:pPr>
              <w:suppressLineNumbers/>
              <w:suppressAutoHyphens/>
              <w:kinsoku w:val="0"/>
              <w:overflowPunct w:val="0"/>
              <w:autoSpaceDE w:val="0"/>
              <w:autoSpaceDN w:val="0"/>
              <w:ind w:left="-24" w:right="288"/>
              <w:rPr>
                <w:rFonts w:eastAsia="Calibri"/>
                <w:snapToGrid w:val="0"/>
                <w:kern w:val="22"/>
                <w:szCs w:val="22"/>
              </w:rPr>
            </w:pPr>
            <w:r w:rsidRPr="0088780C">
              <w:rPr>
                <w:rFonts w:eastAsia="Calibri"/>
                <w:snapToGrid w:val="0"/>
                <w:kern w:val="22"/>
                <w:szCs w:val="22"/>
              </w:rPr>
              <w:t>The ichtyofauna of the national park is represented by 88 species, out of which 23 species are transiting, 21 species live in fresh water and 44 species live in the Black Sea. The cartilaginous fish include the Atlantic sturgeon and beluga, while the bony fish include the Black Sea salmon, herring striped mullet, pike and bonito (Komakhidze, 1998; Guchmanidze, 2009; Gurielidze et al., 2012).</w:t>
            </w:r>
          </w:p>
          <w:p w14:paraId="11C0C3C3" w14:textId="77777777" w:rsidR="00A876F3" w:rsidRPr="0088780C" w:rsidRDefault="00A876F3" w:rsidP="001013AF">
            <w:pPr>
              <w:suppressLineNumbers/>
              <w:suppressAutoHyphens/>
              <w:kinsoku w:val="0"/>
              <w:overflowPunct w:val="0"/>
              <w:autoSpaceDE w:val="0"/>
              <w:autoSpaceDN w:val="0"/>
              <w:ind w:left="-24" w:right="288"/>
              <w:rPr>
                <w:rFonts w:eastAsia="Calibri"/>
                <w:snapToGrid w:val="0"/>
                <w:kern w:val="22"/>
                <w:szCs w:val="22"/>
              </w:rPr>
            </w:pPr>
          </w:p>
          <w:p w14:paraId="2B22C9FC" w14:textId="77777777" w:rsidR="00A876F3" w:rsidRPr="0088780C" w:rsidRDefault="00A876F3" w:rsidP="001013AF">
            <w:pPr>
              <w:suppressLineNumbers/>
              <w:suppressAutoHyphens/>
              <w:kinsoku w:val="0"/>
              <w:overflowPunct w:val="0"/>
              <w:autoSpaceDE w:val="0"/>
              <w:autoSpaceDN w:val="0"/>
              <w:ind w:left="-24" w:right="288"/>
              <w:rPr>
                <w:rFonts w:eastAsia="Calibri"/>
                <w:snapToGrid w:val="0"/>
                <w:kern w:val="22"/>
                <w:szCs w:val="22"/>
              </w:rPr>
            </w:pPr>
            <w:r w:rsidRPr="0088780C">
              <w:rPr>
                <w:rFonts w:eastAsia="Calibri"/>
                <w:snapToGrid w:val="0"/>
                <w:kern w:val="22"/>
                <w:szCs w:val="22"/>
              </w:rPr>
              <w:t>Six species of fish included on the Red List of Georgia are widespread in the water ecosystems of Kolkheti National Park, such as: beluga (</w:t>
            </w:r>
            <w:r w:rsidRPr="0088780C">
              <w:rPr>
                <w:rFonts w:eastAsia="Calibri"/>
                <w:i/>
                <w:snapToGrid w:val="0"/>
                <w:kern w:val="22"/>
                <w:szCs w:val="22"/>
              </w:rPr>
              <w:t>Huso huso</w:t>
            </w:r>
            <w:r w:rsidRPr="0088780C">
              <w:rPr>
                <w:rFonts w:eastAsia="Calibri"/>
                <w:snapToGrid w:val="0"/>
                <w:kern w:val="22"/>
                <w:szCs w:val="22"/>
              </w:rPr>
              <w:t>), sea sturgeon (</w:t>
            </w:r>
            <w:r w:rsidRPr="0088780C">
              <w:rPr>
                <w:rFonts w:eastAsia="Calibri"/>
                <w:i/>
                <w:snapToGrid w:val="0"/>
                <w:kern w:val="22"/>
                <w:szCs w:val="22"/>
              </w:rPr>
              <w:t>Acipenser sturio</w:t>
            </w:r>
            <w:r w:rsidRPr="0088780C">
              <w:rPr>
                <w:rFonts w:eastAsia="Calibri"/>
                <w:snapToGrid w:val="0"/>
                <w:kern w:val="22"/>
                <w:szCs w:val="22"/>
              </w:rPr>
              <w:t>), starry sturgeon (</w:t>
            </w:r>
            <w:r w:rsidRPr="0088780C">
              <w:rPr>
                <w:rFonts w:eastAsia="Calibri"/>
                <w:i/>
                <w:snapToGrid w:val="0"/>
                <w:kern w:val="22"/>
                <w:szCs w:val="22"/>
              </w:rPr>
              <w:t>Acipenser stellatus</w:t>
            </w:r>
            <w:r w:rsidRPr="0088780C">
              <w:rPr>
                <w:rFonts w:eastAsia="Calibri"/>
                <w:snapToGrid w:val="0"/>
                <w:kern w:val="22"/>
                <w:szCs w:val="22"/>
              </w:rPr>
              <w:t>), sea trout (</w:t>
            </w:r>
            <w:r w:rsidRPr="0088780C">
              <w:rPr>
                <w:rFonts w:eastAsia="Calibri"/>
                <w:i/>
                <w:snapToGrid w:val="0"/>
                <w:kern w:val="22"/>
                <w:szCs w:val="22"/>
              </w:rPr>
              <w:t>Salmo fario (truta) morpha</w:t>
            </w:r>
            <w:r w:rsidRPr="0088780C">
              <w:rPr>
                <w:rFonts w:eastAsia="Calibri"/>
                <w:snapToGrid w:val="0"/>
                <w:kern w:val="22"/>
                <w:szCs w:val="22"/>
              </w:rPr>
              <w:t>), sand goby (</w:t>
            </w:r>
            <w:r w:rsidRPr="0088780C">
              <w:rPr>
                <w:rFonts w:eastAsia="Calibri"/>
                <w:i/>
                <w:snapToGrid w:val="0"/>
                <w:kern w:val="22"/>
                <w:szCs w:val="22"/>
              </w:rPr>
              <w:t>Gobius (Neogobius) fluvatilis</w:t>
            </w:r>
            <w:r w:rsidRPr="0088780C">
              <w:rPr>
                <w:rFonts w:eastAsia="Calibri"/>
                <w:snapToGrid w:val="0"/>
                <w:kern w:val="22"/>
                <w:szCs w:val="22"/>
              </w:rPr>
              <w:t>) and roach (</w:t>
            </w:r>
            <w:r w:rsidRPr="0088780C">
              <w:rPr>
                <w:rFonts w:eastAsia="Calibri"/>
                <w:i/>
                <w:snapToGrid w:val="0"/>
                <w:kern w:val="22"/>
                <w:szCs w:val="22"/>
              </w:rPr>
              <w:t>Rutilus frisii</w:t>
            </w:r>
            <w:r w:rsidRPr="0088780C">
              <w:rPr>
                <w:rFonts w:eastAsia="Calibri"/>
                <w:snapToGrid w:val="0"/>
                <w:kern w:val="22"/>
                <w:szCs w:val="22"/>
              </w:rPr>
              <w:t>) (Ninua et al. 2013). Based on direct observation, the area is a suitable habitat for oyster (</w:t>
            </w:r>
            <w:r w:rsidRPr="0088780C">
              <w:rPr>
                <w:rFonts w:eastAsia="Calibri"/>
                <w:i/>
                <w:snapToGrid w:val="0"/>
                <w:kern w:val="22"/>
                <w:szCs w:val="22"/>
              </w:rPr>
              <w:t>Ostrea edulis</w:t>
            </w:r>
            <w:r w:rsidRPr="0088780C">
              <w:rPr>
                <w:rFonts w:eastAsia="Calibri"/>
                <w:snapToGrid w:val="0"/>
                <w:kern w:val="22"/>
                <w:szCs w:val="22"/>
              </w:rPr>
              <w:t>).</w:t>
            </w:r>
          </w:p>
        </w:tc>
      </w:tr>
      <w:tr w:rsidR="00A876F3" w:rsidRPr="0088780C" w14:paraId="17798A96" w14:textId="77777777" w:rsidTr="006972AD">
        <w:tc>
          <w:tcPr>
            <w:tcW w:w="907" w:type="pct"/>
            <w:shd w:val="clear" w:color="auto" w:fill="auto"/>
          </w:tcPr>
          <w:p w14:paraId="033C84BF"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171" w:type="pct"/>
            <w:gridSpan w:val="2"/>
            <w:shd w:val="clear" w:color="auto" w:fill="auto"/>
          </w:tcPr>
          <w:p w14:paraId="43BD366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4CDBFA6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tc>
        <w:tc>
          <w:tcPr>
            <w:tcW w:w="453" w:type="pct"/>
            <w:gridSpan w:val="2"/>
            <w:shd w:val="clear" w:color="auto" w:fill="auto"/>
          </w:tcPr>
          <w:p w14:paraId="2E22707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tc>
        <w:tc>
          <w:tcPr>
            <w:tcW w:w="400" w:type="pct"/>
            <w:gridSpan w:val="2"/>
            <w:shd w:val="clear" w:color="auto" w:fill="auto"/>
          </w:tcPr>
          <w:p w14:paraId="7A40D19A"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X</w:t>
            </w:r>
          </w:p>
        </w:tc>
        <w:tc>
          <w:tcPr>
            <w:tcW w:w="385" w:type="pct"/>
            <w:shd w:val="clear" w:color="auto" w:fill="auto"/>
          </w:tcPr>
          <w:p w14:paraId="23B5FB6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tc>
      </w:tr>
      <w:tr w:rsidR="00A876F3" w:rsidRPr="0088780C" w14:paraId="525961B7" w14:textId="77777777" w:rsidTr="006972AD">
        <w:tc>
          <w:tcPr>
            <w:tcW w:w="5000" w:type="pct"/>
            <w:gridSpan w:val="11"/>
            <w:shd w:val="clear" w:color="auto" w:fill="auto"/>
          </w:tcPr>
          <w:p w14:paraId="2CC667DF"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528BA583"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anthropogenic activity in this area is not high relative to other parts of the Black Sea. </w:t>
            </w:r>
          </w:p>
        </w:tc>
      </w:tr>
    </w:tbl>
    <w:p w14:paraId="4A067C20"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75D4BEE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DAB7CC0" w14:textId="77777777" w:rsidR="00A876F3" w:rsidRPr="0088780C" w:rsidRDefault="00A876F3" w:rsidP="007C2196">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36DDC8D0" w14:textId="77777777"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Akhalkatsi M. 2010. Habitats of Georgia. Natura 2000. Tbilisi.</w:t>
      </w:r>
    </w:p>
    <w:p w14:paraId="756D9F2A" w14:textId="77777777"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Beruchashvili N. &amp; Elizbarasvili N. 2003. Geography of Georgia. Tbilisi (in Georgian).</w:t>
      </w:r>
    </w:p>
    <w:p w14:paraId="097FF2AA" w14:textId="21F609A1"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 xml:space="preserve">BirdLife International. 2017. Important Bird Areas factsheet: Kolkheti. Downloaded from http://datazone.birdlife.org/site/factsheet/kolkheti-iba-georgia/details on 26/04/2017.Birkun Jr., A.A. &amp; Frantzis, A. 2008. </w:t>
      </w:r>
      <w:r w:rsidR="007C2196" w:rsidRPr="0088780C">
        <w:rPr>
          <w:rFonts w:eastAsia="MS Mincho"/>
          <w:snapToGrid w:val="0"/>
          <w:kern w:val="22"/>
          <w:szCs w:val="22"/>
        </w:rPr>
        <w:t>Phocoena phocoena ssp. relicta.</w:t>
      </w:r>
    </w:p>
    <w:p w14:paraId="0C8D2686" w14:textId="1F4563E6"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Chashchin A.K. 1996. The Black Sea populations of anchovy. SCI. MAR.., 60 (Supl.2): 219-228.</w:t>
      </w:r>
    </w:p>
    <w:p w14:paraId="1E0B9017" w14:textId="7814E69A"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 xml:space="preserve">Guchmanidze A. 2009. Current and historical status of sturgeon in Georgia. In Status and Protection of Globally Threatened Species in the Caucasus. N. Zazanashvili and D. Mallon, Eds. Tbilisi: CEPF, </w:t>
      </w:r>
      <w:r w:rsidR="007C2196" w:rsidRPr="0088780C">
        <w:rPr>
          <w:rFonts w:eastAsia="MS Mincho"/>
          <w:snapToGrid w:val="0"/>
          <w:kern w:val="22"/>
          <w:szCs w:val="22"/>
        </w:rPr>
        <w:t>WWF. Contour Ltd., pp. 171-177.</w:t>
      </w:r>
    </w:p>
    <w:p w14:paraId="3CA378AE" w14:textId="20FDAD55"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Gurielidze, Z., Kopaliani, N., Devidze, N., Shakarashvili, M. and Javakhishvili,  Z. 2012. Black Sea Analysis. Situation Analyses. Supported by German Agency for International Cooperation/ Die Deutsche Gesellschaft für Internationale Zusammenarbei</w:t>
      </w:r>
      <w:r w:rsidR="007C2196" w:rsidRPr="0088780C">
        <w:rPr>
          <w:rFonts w:eastAsia="MS Mincho"/>
          <w:snapToGrid w:val="0"/>
          <w:kern w:val="22"/>
          <w:szCs w:val="22"/>
        </w:rPr>
        <w:t>t) (GIZ). NBSAP Implementation.</w:t>
      </w:r>
    </w:p>
    <w:p w14:paraId="66597922" w14:textId="77777777" w:rsidR="00A876F3" w:rsidRPr="0088780C" w:rsidRDefault="00A876F3" w:rsidP="007C2196">
      <w:pPr>
        <w:suppressLineNumbers/>
        <w:suppressAutoHyphens/>
        <w:kinsoku w:val="0"/>
        <w:overflowPunct w:val="0"/>
        <w:autoSpaceDE w:val="0"/>
        <w:autoSpaceDN w:val="0"/>
        <w:spacing w:after="60"/>
        <w:ind w:left="720" w:hanging="720"/>
        <w:jc w:val="left"/>
        <w:rPr>
          <w:rFonts w:eastAsia="MS Mincho"/>
          <w:snapToGrid w:val="0"/>
          <w:kern w:val="22"/>
          <w:szCs w:val="22"/>
        </w:rPr>
      </w:pPr>
      <w:r w:rsidRPr="0088780C">
        <w:rPr>
          <w:rFonts w:eastAsia="MS Mincho"/>
          <w:snapToGrid w:val="0"/>
          <w:kern w:val="22"/>
          <w:szCs w:val="22"/>
        </w:rPr>
        <w:t>IUCN Red List of Threatened Species 2008: e.T17030A6737111. http://dx.doi.org/10.2305/IUCN.UK.2008.RLTS.T17030A6737111.en. Downloaded on 26 April 2017.</w:t>
      </w:r>
    </w:p>
    <w:p w14:paraId="118909F6" w14:textId="77777777"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Kleinenberg, S.E. (1956). Mammals of the Black and Azov. Seas: Research Experience for Biology and Hunting. USSR Acad. Science Publ. House, Moscow. 288p (in Russian)</w:t>
      </w:r>
    </w:p>
    <w:p w14:paraId="514FD877" w14:textId="278AA6E9"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Komakhidze, A. (ed.), 1998. Black Sea biological diversity - Georgia, Black Sea. United Nations Environmental Series, No</w:t>
      </w:r>
      <w:r w:rsidR="007C2196" w:rsidRPr="0088780C">
        <w:rPr>
          <w:rFonts w:eastAsia="MS Mincho"/>
          <w:snapToGrid w:val="0"/>
          <w:kern w:val="22"/>
          <w:szCs w:val="22"/>
        </w:rPr>
        <w:t>. </w:t>
      </w:r>
      <w:r w:rsidRPr="0088780C">
        <w:rPr>
          <w:rFonts w:eastAsia="MS Mincho"/>
          <w:snapToGrid w:val="0"/>
          <w:kern w:val="22"/>
          <w:szCs w:val="22"/>
        </w:rPr>
        <w:t>8, United Nations Publications, 354 pages</w:t>
      </w:r>
    </w:p>
    <w:p w14:paraId="7F302C9C" w14:textId="77777777"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Kopaliani N., Gurielidze Z., Devidze N., Ninua L., Dekanoidze D., Javakhishvili Z., Paposhvili N., Qerdikoshvili N. 2015. Monitoring of Black Sea Cetacean in Georgian Waters (Report). Supported by Kolkheti National Fund. Adopted by Ministry of Natural Resources and Environment Protection of Georgia.</w:t>
      </w:r>
    </w:p>
    <w:p w14:paraId="762C65A3" w14:textId="77777777"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Kopaliani, N., Gurielidze, Z., Devidze, N., Shakarashvili, M. 2016. Action Plan for the Conservation of Black Sea Cetacean. Supported by Kolkheti National Fund. Adopted by Ministry of Natural Resources and Environment Protection of Georgia.</w:t>
      </w:r>
    </w:p>
    <w:p w14:paraId="20441FEB" w14:textId="77777777" w:rsidR="00A876F3" w:rsidRPr="0088780C" w:rsidRDefault="00A876F3" w:rsidP="007C2196">
      <w:pPr>
        <w:suppressLineNumbers/>
        <w:suppressAutoHyphens/>
        <w:kinsoku w:val="0"/>
        <w:overflowPunct w:val="0"/>
        <w:autoSpaceDE w:val="0"/>
        <w:autoSpaceDN w:val="0"/>
        <w:spacing w:after="60"/>
        <w:ind w:left="720" w:hanging="720"/>
        <w:jc w:val="left"/>
        <w:rPr>
          <w:rFonts w:eastAsia="MS Mincho"/>
          <w:snapToGrid w:val="0"/>
          <w:kern w:val="22"/>
          <w:szCs w:val="22"/>
        </w:rPr>
      </w:pPr>
      <w:r w:rsidRPr="0088780C">
        <w:rPr>
          <w:rFonts w:eastAsia="MS Mincho"/>
          <w:snapToGrid w:val="0"/>
          <w:kern w:val="22"/>
          <w:szCs w:val="22"/>
        </w:rPr>
        <w:t>Lewis N. S., Javakhishvili Z., Russell C. A., Machablishvili A, Lexmond P, Verhagen J. H., Vuong O., Onashvili T., Donduashvili M., Smith D.J., Fouchier R.A. M. 2013.</w:t>
      </w:r>
      <w:r w:rsidRPr="0088780C">
        <w:rPr>
          <w:snapToGrid w:val="0"/>
          <w:kern w:val="22"/>
          <w:szCs w:val="22"/>
        </w:rPr>
        <w:t xml:space="preserve"> </w:t>
      </w:r>
      <w:r w:rsidRPr="0088780C">
        <w:rPr>
          <w:rFonts w:eastAsia="MS Mincho"/>
          <w:snapToGrid w:val="0"/>
          <w:kern w:val="22"/>
          <w:szCs w:val="22"/>
        </w:rPr>
        <w:t>Avian Influenza Virus Surveillance in Wild Birds in Georgia: 2009–2011.</w:t>
      </w:r>
      <w:r w:rsidRPr="0088780C">
        <w:rPr>
          <w:snapToGrid w:val="0"/>
          <w:kern w:val="22"/>
          <w:szCs w:val="22"/>
        </w:rPr>
        <w:t xml:space="preserve"> </w:t>
      </w:r>
      <w:r w:rsidRPr="0088780C">
        <w:rPr>
          <w:rFonts w:eastAsia="MS Mincho"/>
          <w:snapToGrid w:val="0"/>
          <w:kern w:val="22"/>
          <w:szCs w:val="22"/>
        </w:rPr>
        <w:t>http://journals.plos.org/plosone/article/authors?id=10.1371/journal.pone.0058534.</w:t>
      </w:r>
      <w:r w:rsidRPr="0088780C">
        <w:rPr>
          <w:snapToGrid w:val="0"/>
          <w:kern w:val="22"/>
          <w:szCs w:val="22"/>
        </w:rPr>
        <w:t xml:space="preserve"> </w:t>
      </w:r>
      <w:r w:rsidRPr="0088780C">
        <w:rPr>
          <w:rFonts w:eastAsia="MS Mincho"/>
          <w:snapToGrid w:val="0"/>
          <w:kern w:val="22"/>
          <w:szCs w:val="22"/>
        </w:rPr>
        <w:t>Downloaded on 26 April 2017.</w:t>
      </w:r>
    </w:p>
    <w:p w14:paraId="70893E07" w14:textId="77777777"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Munroe, T.A. 2010. Platichthys flesus. The IUCN Red List of Threatened Species 2010: e.T135717A4191586. http://dx.doi.org/10.2305/IUCN.UK.2010-4.RLTS.T135717A4191586.en. Downloaded on 26 April 2017.</w:t>
      </w:r>
    </w:p>
    <w:p w14:paraId="5C1D9391" w14:textId="77777777"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Ninua N., Japoshvili B., Bochorishvili V. 2013. Fishes of Georgia. Tbilisi, pp. 1-180. ISBN 978-9941-</w:t>
      </w:r>
    </w:p>
    <w:p w14:paraId="75B319C8" w14:textId="77777777"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lang w:val="ru-RU"/>
        </w:rPr>
      </w:pPr>
      <w:r w:rsidRPr="0088780C">
        <w:rPr>
          <w:rFonts w:eastAsia="MS Mincho"/>
          <w:snapToGrid w:val="0"/>
          <w:kern w:val="22"/>
          <w:szCs w:val="22"/>
          <w:lang w:val="ru-RU"/>
        </w:rPr>
        <w:t>Доклади на Българската академия на науките</w:t>
      </w:r>
    </w:p>
    <w:p w14:paraId="72F11460" w14:textId="77777777" w:rsidR="00A876F3" w:rsidRPr="0088780C" w:rsidRDefault="00A876F3" w:rsidP="007C219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 xml:space="preserve">Todorova, V. and  Micu, D. 2009. Unicue oyster reefes discovered in the Bulgarian Black Sea. </w:t>
      </w:r>
      <w:r w:rsidRPr="0088780C">
        <w:rPr>
          <w:rFonts w:eastAsia="MS Mincho"/>
          <w:snapToGrid w:val="0"/>
          <w:kern w:val="22"/>
          <w:szCs w:val="22"/>
          <w:lang w:val="ru-RU"/>
        </w:rPr>
        <w:t>Доклади на Българската академия на науките</w:t>
      </w:r>
      <w:r w:rsidRPr="0088780C">
        <w:rPr>
          <w:rFonts w:eastAsia="MS Mincho"/>
          <w:snapToGrid w:val="0"/>
          <w:kern w:val="22"/>
          <w:szCs w:val="22"/>
        </w:rPr>
        <w:t>. Tome 62, No 7.</w:t>
      </w:r>
    </w:p>
    <w:p w14:paraId="25A7977F" w14:textId="77777777" w:rsidR="00A876F3" w:rsidRPr="0088780C" w:rsidRDefault="00A876F3" w:rsidP="001013AF">
      <w:pPr>
        <w:suppressLineNumbers/>
        <w:suppressAutoHyphens/>
        <w:kinsoku w:val="0"/>
        <w:overflowPunct w:val="0"/>
        <w:autoSpaceDE w:val="0"/>
        <w:autoSpaceDN w:val="0"/>
        <w:ind w:left="720" w:hanging="720"/>
        <w:rPr>
          <w:rFonts w:eastAsia="MS Mincho"/>
          <w:snapToGrid w:val="0"/>
          <w:kern w:val="22"/>
          <w:szCs w:val="22"/>
        </w:rPr>
      </w:pPr>
      <w:r w:rsidRPr="0088780C">
        <w:rPr>
          <w:rFonts w:eastAsia="MS Mincho"/>
          <w:snapToGrid w:val="0"/>
          <w:kern w:val="22"/>
          <w:szCs w:val="22"/>
        </w:rPr>
        <w:br w:type="page"/>
      </w:r>
    </w:p>
    <w:p w14:paraId="296B96EA" w14:textId="77777777" w:rsidR="00A876F3" w:rsidRPr="0088780C" w:rsidRDefault="00A876F3" w:rsidP="001013AF">
      <w:pPr>
        <w:suppressLineNumbers/>
        <w:suppressAutoHyphens/>
        <w:kinsoku w:val="0"/>
        <w:overflowPunct w:val="0"/>
        <w:autoSpaceDE w:val="0"/>
        <w:autoSpaceDN w:val="0"/>
        <w:ind w:left="720" w:hanging="720"/>
        <w:rPr>
          <w:rFonts w:eastAsia="MS Mincho"/>
          <w:snapToGrid w:val="0"/>
          <w:kern w:val="22"/>
          <w:szCs w:val="22"/>
        </w:rPr>
      </w:pPr>
    </w:p>
    <w:p w14:paraId="1F895631" w14:textId="77777777" w:rsidR="00A876F3" w:rsidRPr="0088780C" w:rsidRDefault="00A876F3" w:rsidP="001013AF">
      <w:pPr>
        <w:suppressLineNumbers/>
        <w:suppressAutoHyphens/>
        <w:kinsoku w:val="0"/>
        <w:overflowPunct w:val="0"/>
        <w:autoSpaceDE w:val="0"/>
        <w:autoSpaceDN w:val="0"/>
        <w:spacing w:line="360" w:lineRule="auto"/>
        <w:rPr>
          <w:snapToGrid w:val="0"/>
          <w:kern w:val="22"/>
          <w:szCs w:val="22"/>
        </w:rPr>
      </w:pPr>
      <w:r w:rsidRPr="0088780C">
        <w:rPr>
          <w:rFonts w:eastAsia="MS Mincho"/>
          <w:b/>
          <w:snapToGrid w:val="0"/>
          <w:kern w:val="22"/>
          <w:szCs w:val="22"/>
        </w:rPr>
        <w:t>Maps and Figures</w:t>
      </w:r>
    </w:p>
    <w:p w14:paraId="72BC5EB4" w14:textId="77777777" w:rsidR="00A876F3" w:rsidRPr="0088780C" w:rsidRDefault="00A876F3" w:rsidP="001013AF">
      <w:pPr>
        <w:suppressLineNumbers/>
        <w:suppressAutoHyphens/>
        <w:kinsoku w:val="0"/>
        <w:overflowPunct w:val="0"/>
        <w:autoSpaceDE w:val="0"/>
        <w:autoSpaceDN w:val="0"/>
        <w:spacing w:line="360" w:lineRule="auto"/>
        <w:rPr>
          <w:snapToGrid w:val="0"/>
          <w:kern w:val="22"/>
          <w:szCs w:val="22"/>
        </w:rPr>
      </w:pPr>
      <w:r w:rsidRPr="0088780C">
        <w:rPr>
          <w:noProof/>
          <w:snapToGrid w:val="0"/>
          <w:kern w:val="22"/>
          <w:szCs w:val="22"/>
          <w:lang w:eastAsia="zh-CN"/>
        </w:rPr>
        <w:drawing>
          <wp:inline distT="0" distB="0" distL="0" distR="0" wp14:anchorId="1582DF1F" wp14:editId="58B653A5">
            <wp:extent cx="5486400" cy="4572000"/>
            <wp:effectExtent l="0" t="0" r="0" b="0"/>
            <wp:docPr id="64563" name="Picture 64563" descr="C:\Users\grekin\AppData\Local\Microsoft\Windows\Temporary Internet Files\Content.Word\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grekin\AppData\Local\Microsoft\Windows\Temporary Internet Files\Content.Word\12.pn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3F8A157A" w14:textId="77777777" w:rsidR="00A876F3" w:rsidRPr="0088780C" w:rsidRDefault="00A876F3" w:rsidP="001013AF">
      <w:pPr>
        <w:suppressLineNumbers/>
        <w:suppressAutoHyphens/>
        <w:kinsoku w:val="0"/>
        <w:overflowPunct w:val="0"/>
        <w:autoSpaceDE w:val="0"/>
        <w:autoSpaceDN w:val="0"/>
        <w:spacing w:line="360" w:lineRule="auto"/>
        <w:rPr>
          <w:b/>
          <w:snapToGrid w:val="0"/>
          <w:kern w:val="22"/>
          <w:szCs w:val="22"/>
        </w:rPr>
      </w:pPr>
      <w:r w:rsidRPr="0088780C">
        <w:rPr>
          <w:b/>
          <w:snapToGrid w:val="0"/>
          <w:kern w:val="22"/>
          <w:szCs w:val="22"/>
        </w:rPr>
        <w:t xml:space="preserve">Figure 1. </w:t>
      </w:r>
      <w:r w:rsidRPr="0088780C">
        <w:rPr>
          <w:rFonts w:eastAsia="MS Mincho"/>
          <w:b/>
          <w:snapToGrid w:val="0"/>
          <w:color w:val="000000" w:themeColor="text1"/>
          <w:kern w:val="22"/>
          <w:szCs w:val="22"/>
        </w:rPr>
        <w:t>Area meeting the EBSA criteria</w:t>
      </w:r>
    </w:p>
    <w:p w14:paraId="2F66CD5A"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br w:type="page"/>
      </w:r>
    </w:p>
    <w:p w14:paraId="15E0BBFB" w14:textId="77777777" w:rsidR="00A876F3" w:rsidRPr="0088780C" w:rsidRDefault="00A876F3" w:rsidP="001013AF">
      <w:pPr>
        <w:suppressLineNumbers/>
        <w:suppressAutoHyphens/>
        <w:kinsoku w:val="0"/>
        <w:overflowPunct w:val="0"/>
        <w:autoSpaceDE w:val="0"/>
        <w:autoSpaceDN w:val="0"/>
        <w:spacing w:line="360" w:lineRule="auto"/>
        <w:rPr>
          <w:snapToGrid w:val="0"/>
          <w:kern w:val="22"/>
          <w:szCs w:val="22"/>
        </w:rPr>
      </w:pPr>
      <w:r w:rsidRPr="0088780C">
        <w:rPr>
          <w:noProof/>
          <w:snapToGrid w:val="0"/>
          <w:kern w:val="22"/>
          <w:szCs w:val="22"/>
          <w:lang w:eastAsia="zh-CN"/>
        </w:rPr>
        <w:drawing>
          <wp:inline distT="0" distB="0" distL="0" distR="0" wp14:anchorId="65B3C14C" wp14:editId="3C0B7114">
            <wp:extent cx="5170075" cy="7758346"/>
            <wp:effectExtent l="0" t="0" r="0" b="0"/>
            <wp:docPr id="13324" name="Picture 13324" descr="U:\Working Folders\40-00-STTM\35-00-Marine &amp; Coastal\35_03 Workshops\EBSA 13- Black and Caspian Seas\Report\Descriptions sent to authors\FROM AUTHORS\12 and 13\Map#2PHOCOENA Wi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Working Folders\40-00-STTM\35-00-Marine &amp; Coastal\35_03 Workshops\EBSA 13- Black and Caspian Seas\Report\Descriptions sent to authors\FROM AUTHORS\12 and 13\Map#2PHOCOENA Winter.jp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172409" cy="7761848"/>
                    </a:xfrm>
                    <a:prstGeom prst="rect">
                      <a:avLst/>
                    </a:prstGeom>
                    <a:noFill/>
                    <a:ln>
                      <a:noFill/>
                    </a:ln>
                  </pic:spPr>
                </pic:pic>
              </a:graphicData>
            </a:graphic>
          </wp:inline>
        </w:drawing>
      </w:r>
    </w:p>
    <w:p w14:paraId="69984E31" w14:textId="77777777" w:rsidR="00A876F3" w:rsidRPr="0088780C" w:rsidRDefault="00A876F3" w:rsidP="001013AF">
      <w:pPr>
        <w:suppressLineNumbers/>
        <w:suppressAutoHyphens/>
        <w:kinsoku w:val="0"/>
        <w:overflowPunct w:val="0"/>
        <w:autoSpaceDE w:val="0"/>
        <w:autoSpaceDN w:val="0"/>
        <w:rPr>
          <w:b/>
          <w:snapToGrid w:val="0"/>
          <w:spacing w:val="-4"/>
          <w:kern w:val="22"/>
          <w:szCs w:val="22"/>
        </w:rPr>
      </w:pPr>
      <w:r w:rsidRPr="0088780C">
        <w:rPr>
          <w:b/>
          <w:snapToGrid w:val="0"/>
          <w:spacing w:val="-4"/>
          <w:kern w:val="22"/>
          <w:szCs w:val="22"/>
        </w:rPr>
        <w:t xml:space="preserve">Figure 2. </w:t>
      </w:r>
      <w:r w:rsidRPr="0088780C">
        <w:rPr>
          <w:b/>
          <w:i/>
          <w:snapToGrid w:val="0"/>
          <w:spacing w:val="-4"/>
          <w:kern w:val="22"/>
          <w:szCs w:val="22"/>
        </w:rPr>
        <w:t>Phocoena phocoena relicta</w:t>
      </w:r>
      <w:r w:rsidRPr="0088780C">
        <w:rPr>
          <w:b/>
          <w:snapToGrid w:val="0"/>
          <w:spacing w:val="-4"/>
          <w:kern w:val="22"/>
          <w:szCs w:val="22"/>
        </w:rPr>
        <w:t xml:space="preserve"> distribution in Georgian Black Sea in winter (Kopaliani et al. 2015)</w:t>
      </w:r>
    </w:p>
    <w:p w14:paraId="12FCAEFB"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Legend: The largest agreggations were found in Kolkheti Marine Area</w:t>
      </w:r>
    </w:p>
    <w:p w14:paraId="02D18C5C" w14:textId="77777777" w:rsidR="00A876F3" w:rsidRPr="0088780C" w:rsidRDefault="00A876F3" w:rsidP="001013AF">
      <w:pPr>
        <w:suppressLineNumbers/>
        <w:suppressAutoHyphens/>
        <w:kinsoku w:val="0"/>
        <w:overflowPunct w:val="0"/>
        <w:autoSpaceDE w:val="0"/>
        <w:autoSpaceDN w:val="0"/>
        <w:ind w:firstLine="720"/>
        <w:rPr>
          <w:snapToGrid w:val="0"/>
          <w:kern w:val="22"/>
          <w:szCs w:val="22"/>
        </w:rPr>
      </w:pPr>
      <w:r w:rsidRPr="0088780C">
        <w:rPr>
          <w:snapToGrid w:val="0"/>
          <w:kern w:val="22"/>
          <w:szCs w:val="22"/>
        </w:rPr>
        <w:t xml:space="preserve"> The smallest circle – from 1 to 10 individuals</w:t>
      </w:r>
    </w:p>
    <w:p w14:paraId="3C02493D" w14:textId="77777777" w:rsidR="00A876F3" w:rsidRPr="0088780C" w:rsidRDefault="00A876F3" w:rsidP="001013AF">
      <w:pPr>
        <w:suppressLineNumbers/>
        <w:suppressAutoHyphens/>
        <w:kinsoku w:val="0"/>
        <w:overflowPunct w:val="0"/>
        <w:autoSpaceDE w:val="0"/>
        <w:autoSpaceDN w:val="0"/>
        <w:ind w:firstLine="720"/>
        <w:rPr>
          <w:snapToGrid w:val="0"/>
          <w:kern w:val="22"/>
          <w:szCs w:val="22"/>
        </w:rPr>
      </w:pPr>
      <w:r w:rsidRPr="0088780C">
        <w:rPr>
          <w:snapToGrid w:val="0"/>
          <w:kern w:val="22"/>
          <w:szCs w:val="22"/>
        </w:rPr>
        <w:t xml:space="preserve"> The largest circle – from 100 to 500 individuals</w:t>
      </w:r>
    </w:p>
    <w:p w14:paraId="3763A603"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4E494F0" w14:textId="77777777" w:rsidR="00A876F3" w:rsidRPr="0088780C" w:rsidRDefault="00A876F3" w:rsidP="001013AF">
      <w:pPr>
        <w:suppressLineNumbers/>
        <w:suppressAutoHyphens/>
        <w:kinsoku w:val="0"/>
        <w:overflowPunct w:val="0"/>
        <w:autoSpaceDE w:val="0"/>
        <w:autoSpaceDN w:val="0"/>
        <w:spacing w:line="360" w:lineRule="auto"/>
        <w:rPr>
          <w:snapToGrid w:val="0"/>
          <w:kern w:val="22"/>
          <w:szCs w:val="22"/>
        </w:rPr>
      </w:pPr>
      <w:r w:rsidRPr="0088780C">
        <w:rPr>
          <w:noProof/>
          <w:snapToGrid w:val="0"/>
          <w:kern w:val="22"/>
          <w:szCs w:val="22"/>
          <w:lang w:eastAsia="zh-CN"/>
        </w:rPr>
        <w:drawing>
          <wp:inline distT="0" distB="0" distL="0" distR="0" wp14:anchorId="1DFDD865" wp14:editId="2E636326">
            <wp:extent cx="5760085" cy="7681251"/>
            <wp:effectExtent l="0" t="0" r="0" b="0"/>
            <wp:docPr id="13325" name="Picture 13325" descr="U:\Working Folders\40-00-STTM\35-00-Marine &amp; Coastal\35_03 Workshops\EBSA 13- Black and Caspian Seas\Report\Descriptions sent to authors\FROM AUTHORS\12 and 13\Map#3Delphinus Winte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Working Folders\40-00-STTM\35-00-Marine &amp; Coastal\35_03 Workshops\EBSA 13- Black and Caspian Seas\Report\Descriptions sent to authors\FROM AUTHORS\12 and 13\Map#3Delphinus Winter .jp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760085" cy="7681251"/>
                    </a:xfrm>
                    <a:prstGeom prst="rect">
                      <a:avLst/>
                    </a:prstGeom>
                    <a:noFill/>
                    <a:ln>
                      <a:noFill/>
                    </a:ln>
                  </pic:spPr>
                </pic:pic>
              </a:graphicData>
            </a:graphic>
          </wp:inline>
        </w:drawing>
      </w:r>
    </w:p>
    <w:p w14:paraId="5032787A" w14:textId="77777777" w:rsidR="00A876F3" w:rsidRPr="0088780C" w:rsidRDefault="00A876F3" w:rsidP="001013AF">
      <w:pPr>
        <w:suppressLineNumbers/>
        <w:suppressAutoHyphens/>
        <w:kinsoku w:val="0"/>
        <w:overflowPunct w:val="0"/>
        <w:autoSpaceDE w:val="0"/>
        <w:autoSpaceDN w:val="0"/>
        <w:spacing w:line="360" w:lineRule="auto"/>
        <w:rPr>
          <w:b/>
          <w:snapToGrid w:val="0"/>
          <w:kern w:val="22"/>
          <w:szCs w:val="22"/>
        </w:rPr>
      </w:pPr>
      <w:r w:rsidRPr="0088780C">
        <w:rPr>
          <w:b/>
          <w:snapToGrid w:val="0"/>
          <w:kern w:val="22"/>
          <w:szCs w:val="22"/>
        </w:rPr>
        <w:t xml:space="preserve">Figure 3. </w:t>
      </w:r>
      <w:r w:rsidRPr="0088780C">
        <w:rPr>
          <w:b/>
          <w:i/>
          <w:snapToGrid w:val="0"/>
          <w:kern w:val="22"/>
          <w:szCs w:val="22"/>
        </w:rPr>
        <w:t>Delphinus delphis ponticus</w:t>
      </w:r>
      <w:r w:rsidRPr="0088780C">
        <w:rPr>
          <w:b/>
          <w:snapToGrid w:val="0"/>
          <w:kern w:val="22"/>
          <w:szCs w:val="22"/>
        </w:rPr>
        <w:t xml:space="preserve"> distribution in Georgian Black Sea in winter</w:t>
      </w:r>
    </w:p>
    <w:p w14:paraId="3B44D07D"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Legend: The smallest circle – from 1 to 10 individuals</w:t>
      </w:r>
    </w:p>
    <w:p w14:paraId="629542D3" w14:textId="22916311"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 The largest circle – from 20 to 100 individuals</w:t>
      </w:r>
      <w:r w:rsidRPr="0088780C">
        <w:rPr>
          <w:snapToGrid w:val="0"/>
          <w:kern w:val="22"/>
          <w:szCs w:val="22"/>
        </w:rPr>
        <w:br w:type="page"/>
      </w:r>
    </w:p>
    <w:p w14:paraId="13317D22"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35DF7515" wp14:editId="589B7D05">
            <wp:extent cx="5135496" cy="7704956"/>
            <wp:effectExtent l="0" t="0" r="8255" b="0"/>
            <wp:docPr id="13326" name="Picture 13326" descr="U:\Working Folders\40-00-STTM\35-00-Marine &amp; Coastal\35_03 Workshops\EBSA 13- Black and Caspian Seas\Report\Descriptions sent to authors\FROM AUTHORS\12 and 13\Map#4 PHOCOENA  Sp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Working Folders\40-00-STTM\35-00-Marine &amp; Coastal\35_03 Workshops\EBSA 13- Black and Caspian Seas\Report\Descriptions sent to authors\FROM AUTHORS\12 and 13\Map#4 PHOCOENA  Spring.jp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139187" cy="7710493"/>
                    </a:xfrm>
                    <a:prstGeom prst="rect">
                      <a:avLst/>
                    </a:prstGeom>
                    <a:noFill/>
                    <a:ln>
                      <a:noFill/>
                    </a:ln>
                  </pic:spPr>
                </pic:pic>
              </a:graphicData>
            </a:graphic>
          </wp:inline>
        </w:drawing>
      </w:r>
    </w:p>
    <w:p w14:paraId="6C9A4B14"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 xml:space="preserve">Figure 4. </w:t>
      </w:r>
      <w:r w:rsidRPr="0088780C">
        <w:rPr>
          <w:b/>
          <w:i/>
          <w:snapToGrid w:val="0"/>
          <w:kern w:val="22"/>
          <w:szCs w:val="22"/>
        </w:rPr>
        <w:t>Phocoena phocoena relicta</w:t>
      </w:r>
      <w:r w:rsidRPr="0088780C">
        <w:rPr>
          <w:b/>
          <w:snapToGrid w:val="0"/>
          <w:kern w:val="22"/>
          <w:szCs w:val="22"/>
        </w:rPr>
        <w:t xml:space="preserve"> distribution in Georgian Black Sea in spring</w:t>
      </w:r>
    </w:p>
    <w:p w14:paraId="763F3446" w14:textId="77777777" w:rsidR="00A876F3" w:rsidRPr="0088780C" w:rsidRDefault="00A876F3" w:rsidP="00455159">
      <w:pPr>
        <w:suppressLineNumbers/>
        <w:suppressAutoHyphens/>
        <w:kinsoku w:val="0"/>
        <w:overflowPunct w:val="0"/>
        <w:autoSpaceDE w:val="0"/>
        <w:autoSpaceDN w:val="0"/>
        <w:rPr>
          <w:snapToGrid w:val="0"/>
          <w:kern w:val="22"/>
          <w:sz w:val="16"/>
          <w:szCs w:val="16"/>
        </w:rPr>
      </w:pPr>
    </w:p>
    <w:p w14:paraId="71C564ED"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Legend: The largest agreggations were found in Kolkheti Marine Area</w:t>
      </w:r>
    </w:p>
    <w:p w14:paraId="3CBDCFE9" w14:textId="77777777" w:rsidR="00A876F3" w:rsidRPr="0088780C" w:rsidRDefault="00A876F3" w:rsidP="001013AF">
      <w:pPr>
        <w:suppressLineNumbers/>
        <w:suppressAutoHyphens/>
        <w:kinsoku w:val="0"/>
        <w:overflowPunct w:val="0"/>
        <w:autoSpaceDE w:val="0"/>
        <w:autoSpaceDN w:val="0"/>
        <w:ind w:firstLine="720"/>
        <w:rPr>
          <w:snapToGrid w:val="0"/>
          <w:kern w:val="22"/>
          <w:szCs w:val="22"/>
        </w:rPr>
      </w:pPr>
      <w:r w:rsidRPr="0088780C">
        <w:rPr>
          <w:snapToGrid w:val="0"/>
          <w:kern w:val="22"/>
          <w:szCs w:val="22"/>
        </w:rPr>
        <w:t xml:space="preserve"> The smallest circle – from 1 to 10 individuals</w:t>
      </w:r>
    </w:p>
    <w:p w14:paraId="3738F049" w14:textId="5B335EA0" w:rsidR="00A876F3" w:rsidRPr="0088780C" w:rsidRDefault="00A876F3" w:rsidP="00455159">
      <w:pPr>
        <w:suppressLineNumbers/>
        <w:suppressAutoHyphens/>
        <w:kinsoku w:val="0"/>
        <w:overflowPunct w:val="0"/>
        <w:autoSpaceDE w:val="0"/>
        <w:autoSpaceDN w:val="0"/>
        <w:ind w:firstLine="720"/>
        <w:rPr>
          <w:snapToGrid w:val="0"/>
          <w:kern w:val="22"/>
          <w:szCs w:val="22"/>
        </w:rPr>
      </w:pPr>
      <w:r w:rsidRPr="0088780C">
        <w:rPr>
          <w:snapToGrid w:val="0"/>
          <w:kern w:val="22"/>
          <w:szCs w:val="22"/>
        </w:rPr>
        <w:t xml:space="preserve"> The largest circle – from 50 to 100 individuals</w:t>
      </w:r>
      <w:r w:rsidRPr="0088780C">
        <w:rPr>
          <w:snapToGrid w:val="0"/>
          <w:kern w:val="22"/>
          <w:szCs w:val="22"/>
        </w:rPr>
        <w:br w:type="page"/>
      </w:r>
    </w:p>
    <w:p w14:paraId="1E66F770"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60181337" wp14:editId="16A5FC20">
            <wp:extent cx="5503082" cy="8256457"/>
            <wp:effectExtent l="0" t="0" r="2540" b="0"/>
            <wp:docPr id="13327" name="Picture 13327" descr="U:\Working Folders\40-00-STTM\35-00-Marine &amp; Coastal\35_03 Workshops\EBSA 13- Black and Caspian Seas\Report\Descriptions sent to authors\FROM AUTHORS\12 and 13\Map #5 DELPHINUS Sp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Working Folders\40-00-STTM\35-00-Marine &amp; Coastal\35_03 Workshops\EBSA 13- Black and Caspian Seas\Report\Descriptions sent to authors\FROM AUTHORS\12 and 13\Map #5 DELPHINUS Spring.jp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505123" cy="8259520"/>
                    </a:xfrm>
                    <a:prstGeom prst="rect">
                      <a:avLst/>
                    </a:prstGeom>
                    <a:noFill/>
                    <a:ln>
                      <a:noFill/>
                    </a:ln>
                  </pic:spPr>
                </pic:pic>
              </a:graphicData>
            </a:graphic>
          </wp:inline>
        </w:drawing>
      </w:r>
    </w:p>
    <w:p w14:paraId="6F2F5223"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 xml:space="preserve">Figure 5. </w:t>
      </w:r>
      <w:r w:rsidRPr="0088780C">
        <w:rPr>
          <w:b/>
          <w:i/>
          <w:snapToGrid w:val="0"/>
          <w:kern w:val="22"/>
          <w:szCs w:val="22"/>
        </w:rPr>
        <w:t>Delphinus delphis ponticus</w:t>
      </w:r>
      <w:r w:rsidRPr="0088780C">
        <w:rPr>
          <w:b/>
          <w:snapToGrid w:val="0"/>
          <w:kern w:val="22"/>
          <w:szCs w:val="22"/>
        </w:rPr>
        <w:t xml:space="preserve"> distribution in Georgian Black Sea in spring</w:t>
      </w:r>
    </w:p>
    <w:p w14:paraId="5CC21311" w14:textId="1C625615" w:rsidR="00455159" w:rsidRPr="0088780C" w:rsidRDefault="00455159" w:rsidP="001013AF">
      <w:pPr>
        <w:suppressLineNumbers/>
        <w:suppressAutoHyphens/>
        <w:kinsoku w:val="0"/>
        <w:overflowPunct w:val="0"/>
        <w:autoSpaceDE w:val="0"/>
        <w:autoSpaceDN w:val="0"/>
        <w:rPr>
          <w:snapToGrid w:val="0"/>
          <w:kern w:val="22"/>
          <w:szCs w:val="22"/>
        </w:rPr>
      </w:pPr>
      <w:r w:rsidRPr="0088780C">
        <w:rPr>
          <w:snapToGrid w:val="0"/>
          <w:kern w:val="22"/>
          <w:szCs w:val="22"/>
        </w:rPr>
        <w:t>(</w:t>
      </w:r>
      <w:r w:rsidRPr="0088780C">
        <w:rPr>
          <w:i/>
          <w:iCs/>
          <w:snapToGrid w:val="0"/>
          <w:kern w:val="22"/>
          <w:szCs w:val="22"/>
        </w:rPr>
        <w:t>For preceding page</w:t>
      </w:r>
      <w:r w:rsidRPr="0088780C">
        <w:rPr>
          <w:snapToGrid w:val="0"/>
          <w:kern w:val="22"/>
          <w:szCs w:val="22"/>
        </w:rPr>
        <w:t>)</w:t>
      </w:r>
    </w:p>
    <w:p w14:paraId="056EE960"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Legend: The smallest circle – from 1 to 10 individuals</w:t>
      </w:r>
    </w:p>
    <w:p w14:paraId="0AFBC7A4" w14:textId="77777777" w:rsidR="00A876F3" w:rsidRPr="0088780C" w:rsidRDefault="00A876F3" w:rsidP="001013AF">
      <w:pPr>
        <w:suppressLineNumbers/>
        <w:suppressAutoHyphens/>
        <w:kinsoku w:val="0"/>
        <w:overflowPunct w:val="0"/>
        <w:autoSpaceDE w:val="0"/>
        <w:autoSpaceDN w:val="0"/>
        <w:ind w:firstLine="720"/>
        <w:rPr>
          <w:snapToGrid w:val="0"/>
          <w:kern w:val="22"/>
          <w:szCs w:val="22"/>
        </w:rPr>
      </w:pPr>
      <w:r w:rsidRPr="0088780C">
        <w:rPr>
          <w:snapToGrid w:val="0"/>
          <w:kern w:val="22"/>
          <w:szCs w:val="22"/>
        </w:rPr>
        <w:t xml:space="preserve"> The largest circle – from 20 to 50 individuals</w:t>
      </w:r>
    </w:p>
    <w:p w14:paraId="7826A828" w14:textId="038D347B" w:rsidR="00A876F3" w:rsidRPr="0088780C" w:rsidRDefault="00A876F3" w:rsidP="00455159">
      <w:pPr>
        <w:suppressLineNumbers/>
        <w:suppressAutoHyphens/>
        <w:kinsoku w:val="0"/>
        <w:overflowPunct w:val="0"/>
        <w:autoSpaceDE w:val="0"/>
        <w:autoSpaceDN w:val="0"/>
        <w:jc w:val="center"/>
        <w:rPr>
          <w:rFonts w:eastAsia="MS Mincho"/>
          <w:b/>
          <w:snapToGrid w:val="0"/>
          <w:kern w:val="22"/>
          <w:szCs w:val="22"/>
        </w:rPr>
      </w:pPr>
      <w:r w:rsidRPr="0088780C">
        <w:rPr>
          <w:snapToGrid w:val="0"/>
          <w:kern w:val="22"/>
          <w:szCs w:val="22"/>
        </w:rPr>
        <w:br w:type="page"/>
      </w: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13: Sarpi</w:t>
      </w:r>
    </w:p>
    <w:p w14:paraId="7E0DEE9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78795AF" w14:textId="5B2305C9"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Abstract</w:t>
      </w:r>
    </w:p>
    <w:p w14:paraId="278651A3"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snapToGrid w:val="0"/>
          <w:kern w:val="22"/>
          <w:szCs w:val="22"/>
        </w:rPr>
        <w:t xml:space="preserve">The area covers </w:t>
      </w:r>
      <w:r w:rsidRPr="0088780C">
        <w:rPr>
          <w:rFonts w:eastAsia="MS Mincho"/>
          <w:snapToGrid w:val="0"/>
          <w:color w:val="000000"/>
          <w:kern w:val="22"/>
          <w:szCs w:val="22"/>
        </w:rPr>
        <w:t>sea rocks and stony coast. It is the largest rocky habitat on the Georgian coast. The fields of marine algae (</w:t>
      </w:r>
      <w:r w:rsidRPr="0088780C">
        <w:rPr>
          <w:rFonts w:eastAsia="MS Mincho"/>
          <w:i/>
          <w:snapToGrid w:val="0"/>
          <w:color w:val="000000"/>
          <w:kern w:val="22"/>
          <w:szCs w:val="22"/>
        </w:rPr>
        <w:t xml:space="preserve">Cystoseira barbata </w:t>
      </w:r>
      <w:r w:rsidRPr="0088780C">
        <w:rPr>
          <w:rFonts w:eastAsia="MS Mincho"/>
          <w:snapToGrid w:val="0"/>
          <w:color w:val="000000"/>
          <w:kern w:val="22"/>
          <w:szCs w:val="22"/>
        </w:rPr>
        <w:t>and</w:t>
      </w:r>
      <w:r w:rsidRPr="0088780C">
        <w:rPr>
          <w:rFonts w:eastAsia="MS Mincho"/>
          <w:i/>
          <w:snapToGrid w:val="0"/>
          <w:color w:val="000000"/>
          <w:kern w:val="22"/>
          <w:szCs w:val="22"/>
        </w:rPr>
        <w:t xml:space="preserve"> Ceramium rubrum</w:t>
      </w:r>
      <w:r w:rsidRPr="0088780C">
        <w:rPr>
          <w:rFonts w:eastAsia="MS Mincho"/>
          <w:snapToGrid w:val="0"/>
          <w:color w:val="000000"/>
          <w:kern w:val="22"/>
          <w:szCs w:val="22"/>
        </w:rPr>
        <w:t>) located here provide shelter for many fish and invertebrate species. Mussels (</w:t>
      </w:r>
      <w:r w:rsidRPr="0088780C">
        <w:rPr>
          <w:rFonts w:eastAsia="MS Mincho"/>
          <w:i/>
          <w:snapToGrid w:val="0"/>
          <w:color w:val="000000"/>
          <w:kern w:val="22"/>
          <w:szCs w:val="22"/>
        </w:rPr>
        <w:t>Mytilus galloprovincialis</w:t>
      </w:r>
      <w:r w:rsidRPr="0088780C">
        <w:rPr>
          <w:rFonts w:eastAsia="MS Mincho"/>
          <w:snapToGrid w:val="0"/>
          <w:color w:val="000000"/>
          <w:kern w:val="22"/>
          <w:szCs w:val="22"/>
        </w:rPr>
        <w:t xml:space="preserve">) and other bivalves attach themselves to the sea rocks. The rocky area provides shelter and feeding grounds for different species of fish. </w:t>
      </w:r>
      <w:r w:rsidRPr="0088780C">
        <w:rPr>
          <w:iCs/>
          <w:snapToGrid w:val="0"/>
          <w:color w:val="000000"/>
          <w:kern w:val="22"/>
          <w:szCs w:val="22"/>
        </w:rPr>
        <w:t>Some of them, such as peacock wrasse (</w:t>
      </w:r>
      <w:r w:rsidRPr="0088780C">
        <w:rPr>
          <w:i/>
          <w:iCs/>
          <w:snapToGrid w:val="0"/>
          <w:color w:val="000000"/>
          <w:kern w:val="22"/>
          <w:szCs w:val="22"/>
        </w:rPr>
        <w:t>Symphodus tinca),</w:t>
      </w:r>
      <w:r w:rsidRPr="0088780C">
        <w:rPr>
          <w:iCs/>
          <w:snapToGrid w:val="0"/>
          <w:color w:val="000000"/>
          <w:kern w:val="22"/>
          <w:szCs w:val="22"/>
        </w:rPr>
        <w:t xml:space="preserve"> are more common near Sarpi than in any other area in the region. </w:t>
      </w:r>
      <w:r w:rsidRPr="0088780C">
        <w:rPr>
          <w:rFonts w:eastAsia="MS Mincho"/>
          <w:snapToGrid w:val="0"/>
          <w:color w:val="000000"/>
          <w:kern w:val="22"/>
          <w:szCs w:val="22"/>
        </w:rPr>
        <w:t>The area overlaps with a non-breeding area of global importance for the yelkouan shearwater (</w:t>
      </w:r>
      <w:r w:rsidRPr="0088780C">
        <w:rPr>
          <w:rFonts w:eastAsia="MS Mincho"/>
          <w:i/>
          <w:snapToGrid w:val="0"/>
          <w:color w:val="000000"/>
          <w:kern w:val="22"/>
          <w:szCs w:val="22"/>
        </w:rPr>
        <w:t>Puffinus yelkouan</w:t>
      </w:r>
      <w:r w:rsidRPr="0088780C">
        <w:rPr>
          <w:rFonts w:eastAsia="MS Mincho"/>
          <w:snapToGrid w:val="0"/>
          <w:color w:val="000000"/>
          <w:kern w:val="22"/>
          <w:szCs w:val="22"/>
        </w:rPr>
        <w:t>). It is also located in proximity to colonies of the Mediterranean endemic subspecies of European shag (</w:t>
      </w:r>
      <w:r w:rsidRPr="0088780C">
        <w:rPr>
          <w:rFonts w:eastAsia="MS Mincho"/>
          <w:i/>
          <w:snapToGrid w:val="0"/>
          <w:color w:val="000000"/>
          <w:kern w:val="22"/>
          <w:szCs w:val="22"/>
        </w:rPr>
        <w:t>Phalacrocorax aristotelis desmarestii</w:t>
      </w:r>
      <w:r w:rsidRPr="0088780C">
        <w:rPr>
          <w:rFonts w:eastAsia="MS Mincho"/>
          <w:snapToGrid w:val="0"/>
          <w:color w:val="000000"/>
          <w:kern w:val="22"/>
          <w:szCs w:val="22"/>
        </w:rPr>
        <w:t>), thus being potentially important for this subspecies during the breeding season. Black Sea cetaceans use the area for feeding and possibly for breeding.</w:t>
      </w:r>
    </w:p>
    <w:p w14:paraId="66F6A5D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F44275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14A5AAA5" w14:textId="7E17969C"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depth of the Sarpi rocky habitat ranges from 100 cm to 100 metres. The turbidity of the water is low due to the rocky bottom. The area was proposed in Georgia’s National Biodiversity Strategy and Action Plan (NBSAP;objective c6-06.1; 2014) as an area of special protection. Nevertheless, no specific res</w:t>
      </w:r>
      <w:r w:rsidR="00455159" w:rsidRPr="0088780C">
        <w:rPr>
          <w:rFonts w:eastAsia="MS Mincho"/>
          <w:snapToGrid w:val="0"/>
          <w:kern w:val="22"/>
          <w:szCs w:val="22"/>
        </w:rPr>
        <w:t>earch has been carried out yet.</w:t>
      </w:r>
    </w:p>
    <w:p w14:paraId="32902959"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F8F1804"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b/>
          <w:snapToGrid w:val="0"/>
          <w:kern w:val="22"/>
          <w:szCs w:val="22"/>
        </w:rPr>
        <w:t>Location</w:t>
      </w:r>
    </w:p>
    <w:p w14:paraId="0F9945BF"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area is located at the following coordinates: </w:t>
      </w:r>
    </w:p>
    <w:tbl>
      <w:tblPr>
        <w:tblW w:w="4440" w:type="dxa"/>
        <w:tblInd w:w="99" w:type="dxa"/>
        <w:tblLook w:val="04A0" w:firstRow="1" w:lastRow="0" w:firstColumn="1" w:lastColumn="0" w:noHBand="0" w:noVBand="1"/>
      </w:tblPr>
      <w:tblGrid>
        <w:gridCol w:w="2360"/>
        <w:gridCol w:w="2080"/>
      </w:tblGrid>
      <w:tr w:rsidR="00A876F3" w:rsidRPr="0088780C" w14:paraId="0CCF92FD" w14:textId="77777777" w:rsidTr="006972AD">
        <w:trPr>
          <w:trHeight w:val="300"/>
        </w:trPr>
        <w:tc>
          <w:tcPr>
            <w:tcW w:w="2360" w:type="dxa"/>
            <w:tcBorders>
              <w:top w:val="nil"/>
              <w:left w:val="nil"/>
              <w:bottom w:val="nil"/>
              <w:right w:val="nil"/>
            </w:tcBorders>
            <w:shd w:val="clear" w:color="auto" w:fill="auto"/>
            <w:noWrap/>
            <w:hideMark/>
          </w:tcPr>
          <w:p w14:paraId="7D1AED29" w14:textId="77777777" w:rsidR="00A876F3" w:rsidRPr="0088780C" w:rsidRDefault="00A876F3" w:rsidP="001013AF">
            <w:pPr>
              <w:suppressLineNumbers/>
              <w:suppressAutoHyphens/>
              <w:kinsoku w:val="0"/>
              <w:overflowPunct w:val="0"/>
              <w:autoSpaceDE w:val="0"/>
              <w:autoSpaceDN w:val="0"/>
              <w:rPr>
                <w:rFonts w:eastAsia="Times New Roman"/>
                <w:i/>
                <w:iCs/>
                <w:snapToGrid w:val="0"/>
                <w:color w:val="000000"/>
                <w:kern w:val="22"/>
                <w:szCs w:val="22"/>
              </w:rPr>
            </w:pPr>
            <w:r w:rsidRPr="0088780C">
              <w:rPr>
                <w:rFonts w:eastAsia="Times New Roman"/>
                <w:i/>
                <w:iCs/>
                <w:snapToGrid w:val="0"/>
                <w:color w:val="000000"/>
                <w:kern w:val="22"/>
                <w:szCs w:val="22"/>
              </w:rPr>
              <w:t>Latitude</w:t>
            </w:r>
          </w:p>
        </w:tc>
        <w:tc>
          <w:tcPr>
            <w:tcW w:w="2080" w:type="dxa"/>
            <w:tcBorders>
              <w:top w:val="nil"/>
              <w:left w:val="nil"/>
              <w:bottom w:val="nil"/>
              <w:right w:val="nil"/>
            </w:tcBorders>
            <w:shd w:val="clear" w:color="auto" w:fill="auto"/>
            <w:noWrap/>
            <w:hideMark/>
          </w:tcPr>
          <w:p w14:paraId="16F33F49" w14:textId="69F9D163" w:rsidR="00A876F3" w:rsidRPr="0088780C" w:rsidRDefault="00A876F3" w:rsidP="00455159">
            <w:pPr>
              <w:suppressLineNumbers/>
              <w:suppressAutoHyphens/>
              <w:kinsoku w:val="0"/>
              <w:overflowPunct w:val="0"/>
              <w:autoSpaceDE w:val="0"/>
              <w:autoSpaceDN w:val="0"/>
              <w:rPr>
                <w:rFonts w:eastAsia="Times New Roman"/>
                <w:i/>
                <w:iCs/>
                <w:snapToGrid w:val="0"/>
                <w:color w:val="000000"/>
                <w:kern w:val="22"/>
                <w:szCs w:val="22"/>
              </w:rPr>
            </w:pPr>
            <w:r w:rsidRPr="0088780C">
              <w:rPr>
                <w:rFonts w:eastAsia="Times New Roman"/>
                <w:i/>
                <w:iCs/>
                <w:snapToGrid w:val="0"/>
                <w:color w:val="000000"/>
                <w:kern w:val="22"/>
                <w:szCs w:val="22"/>
              </w:rPr>
              <w:t>Longitude</w:t>
            </w:r>
          </w:p>
        </w:tc>
      </w:tr>
      <w:tr w:rsidR="00A876F3" w:rsidRPr="0088780C" w14:paraId="7F913705" w14:textId="77777777" w:rsidTr="006972AD">
        <w:trPr>
          <w:trHeight w:val="300"/>
        </w:trPr>
        <w:tc>
          <w:tcPr>
            <w:tcW w:w="2360" w:type="dxa"/>
            <w:tcBorders>
              <w:top w:val="nil"/>
              <w:left w:val="nil"/>
              <w:bottom w:val="nil"/>
              <w:right w:val="nil"/>
            </w:tcBorders>
            <w:shd w:val="clear" w:color="auto" w:fill="auto"/>
            <w:noWrap/>
            <w:hideMark/>
          </w:tcPr>
          <w:p w14:paraId="1246A19F"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kern w:val="22"/>
                <w:szCs w:val="22"/>
              </w:rPr>
            </w:pPr>
            <w:r w:rsidRPr="0088780C">
              <w:rPr>
                <w:rFonts w:eastAsia="Times New Roman"/>
                <w:snapToGrid w:val="0"/>
                <w:color w:val="000000"/>
                <w:kern w:val="22"/>
                <w:szCs w:val="22"/>
              </w:rPr>
              <w:t>41.5447181</w:t>
            </w:r>
          </w:p>
        </w:tc>
        <w:tc>
          <w:tcPr>
            <w:tcW w:w="2080" w:type="dxa"/>
            <w:tcBorders>
              <w:top w:val="nil"/>
              <w:left w:val="nil"/>
              <w:bottom w:val="nil"/>
              <w:right w:val="nil"/>
            </w:tcBorders>
            <w:shd w:val="clear" w:color="auto" w:fill="auto"/>
            <w:noWrap/>
            <w:hideMark/>
          </w:tcPr>
          <w:p w14:paraId="3AB2FC98"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kern w:val="22"/>
                <w:szCs w:val="22"/>
              </w:rPr>
            </w:pPr>
            <w:r w:rsidRPr="0088780C">
              <w:rPr>
                <w:rFonts w:eastAsia="Times New Roman"/>
                <w:snapToGrid w:val="0"/>
                <w:color w:val="000000"/>
                <w:kern w:val="22"/>
                <w:szCs w:val="22"/>
              </w:rPr>
              <w:t>41.5606554</w:t>
            </w:r>
          </w:p>
        </w:tc>
      </w:tr>
      <w:tr w:rsidR="00A876F3" w:rsidRPr="0088780C" w14:paraId="4D3C5FBB" w14:textId="77777777" w:rsidTr="006972AD">
        <w:trPr>
          <w:trHeight w:val="300"/>
        </w:trPr>
        <w:tc>
          <w:tcPr>
            <w:tcW w:w="2360" w:type="dxa"/>
            <w:tcBorders>
              <w:top w:val="nil"/>
              <w:left w:val="nil"/>
              <w:bottom w:val="nil"/>
              <w:right w:val="nil"/>
            </w:tcBorders>
            <w:shd w:val="clear" w:color="auto" w:fill="auto"/>
            <w:noWrap/>
            <w:hideMark/>
          </w:tcPr>
          <w:p w14:paraId="00F8B8ED"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kern w:val="22"/>
                <w:szCs w:val="22"/>
              </w:rPr>
            </w:pPr>
            <w:r w:rsidRPr="0088780C">
              <w:rPr>
                <w:rFonts w:eastAsia="Times New Roman"/>
                <w:snapToGrid w:val="0"/>
                <w:color w:val="000000"/>
                <w:kern w:val="22"/>
                <w:szCs w:val="22"/>
              </w:rPr>
              <w:t>41.5266607</w:t>
            </w:r>
          </w:p>
        </w:tc>
        <w:tc>
          <w:tcPr>
            <w:tcW w:w="2080" w:type="dxa"/>
            <w:tcBorders>
              <w:top w:val="nil"/>
              <w:left w:val="nil"/>
              <w:bottom w:val="nil"/>
              <w:right w:val="nil"/>
            </w:tcBorders>
            <w:shd w:val="clear" w:color="auto" w:fill="auto"/>
            <w:noWrap/>
            <w:hideMark/>
          </w:tcPr>
          <w:p w14:paraId="60DB042F"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kern w:val="22"/>
                <w:szCs w:val="22"/>
              </w:rPr>
            </w:pPr>
            <w:r w:rsidRPr="0088780C">
              <w:rPr>
                <w:rFonts w:eastAsia="Times New Roman"/>
                <w:snapToGrid w:val="0"/>
                <w:color w:val="000000"/>
                <w:kern w:val="22"/>
                <w:szCs w:val="22"/>
              </w:rPr>
              <w:t>41.5485533</w:t>
            </w:r>
          </w:p>
        </w:tc>
      </w:tr>
    </w:tbl>
    <w:p w14:paraId="20317A61"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25308ED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52E593E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Sea rock areas are important due to macrophytes found only in this habitat. Two macrophyte species have been found here: brown seaweed (</w:t>
      </w:r>
      <w:r w:rsidRPr="0088780C">
        <w:rPr>
          <w:rFonts w:eastAsia="MS Mincho"/>
          <w:i/>
          <w:snapToGrid w:val="0"/>
          <w:kern w:val="22"/>
          <w:szCs w:val="22"/>
        </w:rPr>
        <w:t>Cystoseira barbata)</w:t>
      </w:r>
      <w:r w:rsidRPr="0088780C">
        <w:rPr>
          <w:rFonts w:eastAsia="MS Mincho"/>
          <w:snapToGrid w:val="0"/>
          <w:kern w:val="22"/>
          <w:szCs w:val="22"/>
        </w:rPr>
        <w:t xml:space="preserve"> and red seaweed (</w:t>
      </w:r>
      <w:r w:rsidRPr="0088780C">
        <w:rPr>
          <w:rFonts w:eastAsia="MS Mincho"/>
          <w:i/>
          <w:snapToGrid w:val="0"/>
          <w:kern w:val="22"/>
          <w:szCs w:val="22"/>
        </w:rPr>
        <w:t>Ceramium rubrum</w:t>
      </w:r>
      <w:r w:rsidRPr="0088780C">
        <w:rPr>
          <w:rFonts w:eastAsia="MS Mincho"/>
          <w:snapToGrid w:val="0"/>
          <w:kern w:val="22"/>
          <w:szCs w:val="22"/>
        </w:rPr>
        <w:t xml:space="preserve">). They provide shelter and feeding grounds for different species of crustaceans (e.g., </w:t>
      </w:r>
      <w:r w:rsidRPr="0088780C">
        <w:rPr>
          <w:rFonts w:eastAsia="MS Mincho"/>
          <w:i/>
          <w:snapToGrid w:val="0"/>
          <w:kern w:val="22"/>
          <w:szCs w:val="22"/>
        </w:rPr>
        <w:t xml:space="preserve">Pachygrapsus marmoratus, Clibanarius erythropus, Eriphia verrucosa </w:t>
      </w:r>
      <w:r w:rsidRPr="0088780C">
        <w:rPr>
          <w:rFonts w:eastAsia="MS Mincho"/>
          <w:snapToGrid w:val="0"/>
          <w:kern w:val="22"/>
          <w:szCs w:val="22"/>
        </w:rPr>
        <w:t>and</w:t>
      </w:r>
      <w:r w:rsidRPr="0088780C">
        <w:rPr>
          <w:rFonts w:eastAsia="MS Mincho"/>
          <w:i/>
          <w:snapToGrid w:val="0"/>
          <w:kern w:val="22"/>
          <w:szCs w:val="22"/>
        </w:rPr>
        <w:t xml:space="preserve"> Palaemon elegans</w:t>
      </w:r>
      <w:r w:rsidRPr="0088780C">
        <w:rPr>
          <w:rFonts w:eastAsia="MS Mincho"/>
          <w:snapToGrid w:val="0"/>
          <w:kern w:val="22"/>
          <w:szCs w:val="22"/>
        </w:rPr>
        <w:t>), mollusks and fish. Special mention should be made of mussels (</w:t>
      </w:r>
      <w:r w:rsidRPr="0088780C">
        <w:rPr>
          <w:rFonts w:eastAsia="MS Mincho"/>
          <w:i/>
          <w:snapToGrid w:val="0"/>
          <w:kern w:val="22"/>
          <w:szCs w:val="22"/>
        </w:rPr>
        <w:t>Mytilus galloprovincialis)</w:t>
      </w:r>
      <w:r w:rsidRPr="0088780C">
        <w:rPr>
          <w:rFonts w:eastAsia="MS Mincho"/>
          <w:snapToGrid w:val="0"/>
          <w:kern w:val="22"/>
          <w:szCs w:val="22"/>
        </w:rPr>
        <w:t xml:space="preserve"> and rapa whelk (</w:t>
      </w:r>
      <w:r w:rsidRPr="0088780C">
        <w:rPr>
          <w:rFonts w:eastAsia="MS Mincho"/>
          <w:i/>
          <w:snapToGrid w:val="0"/>
          <w:kern w:val="22"/>
          <w:szCs w:val="22"/>
        </w:rPr>
        <w:t>Rapana venosa</w:t>
      </w:r>
      <w:r w:rsidRPr="0088780C">
        <w:rPr>
          <w:rFonts w:eastAsia="MS Mincho"/>
          <w:snapToGrid w:val="0"/>
          <w:kern w:val="22"/>
          <w:szCs w:val="22"/>
        </w:rPr>
        <w:t xml:space="preserve">), the latter being an invasive alien species in the Black Sea. Regarding the actinia species, mention should be made of </w:t>
      </w:r>
      <w:r w:rsidRPr="0088780C">
        <w:rPr>
          <w:rFonts w:eastAsia="MS Mincho"/>
          <w:i/>
          <w:snapToGrid w:val="0"/>
          <w:kern w:val="22"/>
          <w:szCs w:val="22"/>
        </w:rPr>
        <w:t>Actinia equina</w:t>
      </w:r>
      <w:r w:rsidRPr="0088780C">
        <w:rPr>
          <w:rFonts w:eastAsia="MS Mincho"/>
          <w:snapToGrid w:val="0"/>
          <w:kern w:val="22"/>
          <w:szCs w:val="22"/>
        </w:rPr>
        <w:t>. Widespread fish species are: peacock wrasse (</w:t>
      </w:r>
      <w:r w:rsidRPr="0088780C">
        <w:rPr>
          <w:rFonts w:eastAsia="MS Mincho"/>
          <w:i/>
          <w:snapToGrid w:val="0"/>
          <w:kern w:val="22"/>
          <w:szCs w:val="22"/>
        </w:rPr>
        <w:t xml:space="preserve">Symphodus tinca), </w:t>
      </w:r>
      <w:r w:rsidRPr="0088780C">
        <w:rPr>
          <w:snapToGrid w:val="0"/>
          <w:color w:val="000000" w:themeColor="text1"/>
          <w:kern w:val="22"/>
          <w:szCs w:val="22"/>
          <w:shd w:val="clear" w:color="auto" w:fill="FFFFFF"/>
        </w:rPr>
        <w:t>ocellated wrasse</w:t>
      </w:r>
      <w:r w:rsidRPr="0088780C">
        <w:rPr>
          <w:rFonts w:eastAsia="MS Mincho"/>
          <w:i/>
          <w:snapToGrid w:val="0"/>
          <w:kern w:val="22"/>
          <w:szCs w:val="22"/>
        </w:rPr>
        <w:t xml:space="preserve"> (Symphodus ocellatus), </w:t>
      </w:r>
      <w:r w:rsidRPr="0088780C">
        <w:rPr>
          <w:rFonts w:eastAsia="MS Mincho"/>
          <w:snapToGrid w:val="0"/>
          <w:kern w:val="22"/>
          <w:szCs w:val="22"/>
        </w:rPr>
        <w:t xml:space="preserve">triplefin </w:t>
      </w:r>
      <w:r w:rsidRPr="0088780C">
        <w:rPr>
          <w:rFonts w:eastAsia="MS Mincho"/>
          <w:i/>
          <w:snapToGrid w:val="0"/>
          <w:kern w:val="22"/>
          <w:szCs w:val="22"/>
        </w:rPr>
        <w:t xml:space="preserve">(Tripterygion tripteronotus), </w:t>
      </w:r>
      <w:r w:rsidRPr="0088780C">
        <w:rPr>
          <w:rFonts w:eastAsia="MS Mincho"/>
          <w:snapToGrid w:val="0"/>
          <w:kern w:val="22"/>
          <w:szCs w:val="22"/>
        </w:rPr>
        <w:t>damselfish</w:t>
      </w:r>
      <w:r w:rsidRPr="0088780C">
        <w:rPr>
          <w:rFonts w:eastAsia="MS Mincho"/>
          <w:i/>
          <w:snapToGrid w:val="0"/>
          <w:kern w:val="22"/>
          <w:szCs w:val="22"/>
        </w:rPr>
        <w:t xml:space="preserve"> (Chromis chromis) </w:t>
      </w:r>
      <w:r w:rsidRPr="0088780C">
        <w:rPr>
          <w:rFonts w:eastAsia="MS Mincho"/>
          <w:snapToGrid w:val="0"/>
          <w:kern w:val="22"/>
          <w:szCs w:val="22"/>
        </w:rPr>
        <w:t>and</w:t>
      </w:r>
      <w:r w:rsidRPr="0088780C">
        <w:rPr>
          <w:rFonts w:eastAsia="MS Mincho"/>
          <w:i/>
          <w:snapToGrid w:val="0"/>
          <w:kern w:val="22"/>
          <w:szCs w:val="22"/>
        </w:rPr>
        <w:t xml:space="preserve"> </w:t>
      </w:r>
      <w:r w:rsidRPr="0088780C">
        <w:rPr>
          <w:rFonts w:eastAsia="MS Mincho"/>
          <w:snapToGrid w:val="0"/>
          <w:kern w:val="22"/>
          <w:szCs w:val="22"/>
        </w:rPr>
        <w:t>brown meagre</w:t>
      </w:r>
      <w:r w:rsidRPr="0088780C">
        <w:rPr>
          <w:rFonts w:eastAsia="MS Mincho"/>
          <w:i/>
          <w:snapToGrid w:val="0"/>
          <w:kern w:val="22"/>
          <w:szCs w:val="22"/>
        </w:rPr>
        <w:t xml:space="preserve"> (Sciaena umbra)</w:t>
      </w:r>
      <w:r w:rsidRPr="0088780C">
        <w:rPr>
          <w:rFonts w:eastAsia="MS Mincho"/>
          <w:snapToGrid w:val="0"/>
          <w:kern w:val="22"/>
          <w:szCs w:val="22"/>
        </w:rPr>
        <w:t xml:space="preserve"> (Gurielidze et al. 2012).</w:t>
      </w:r>
    </w:p>
    <w:p w14:paraId="4C678957"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3B0C9D95"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Feature condition and future outlook of the area</w:t>
      </w:r>
    </w:p>
    <w:p w14:paraId="6E0621D6"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This area is important for the mussel </w:t>
      </w:r>
      <w:r w:rsidRPr="0088780C">
        <w:rPr>
          <w:rFonts w:eastAsia="MS Mincho"/>
          <w:i/>
          <w:snapToGrid w:val="0"/>
          <w:kern w:val="22"/>
          <w:szCs w:val="22"/>
        </w:rPr>
        <w:t>Mytilus galloprovincialis</w:t>
      </w:r>
      <w:r w:rsidRPr="0088780C">
        <w:rPr>
          <w:rFonts w:eastAsia="MS Mincho"/>
          <w:snapToGrid w:val="0"/>
          <w:kern w:val="22"/>
          <w:szCs w:val="22"/>
        </w:rPr>
        <w:t xml:space="preserve">, a species with declining population. </w:t>
      </w:r>
      <w:r w:rsidRPr="0088780C">
        <w:rPr>
          <w:rFonts w:eastAsia="MS Mincho"/>
          <w:i/>
          <w:snapToGrid w:val="0"/>
          <w:kern w:val="22"/>
          <w:szCs w:val="22"/>
        </w:rPr>
        <w:t>Mytilus galloprovincialis</w:t>
      </w:r>
      <w:r w:rsidRPr="0088780C">
        <w:rPr>
          <w:rFonts w:eastAsia="MS Mincho"/>
          <w:snapToGrid w:val="0"/>
          <w:kern w:val="22"/>
          <w:szCs w:val="22"/>
        </w:rPr>
        <w:t xml:space="preserve"> is the main prey species for the invasive rapa whelk (Snigirov et al., 2013). </w:t>
      </w:r>
      <w:r w:rsidRPr="0088780C">
        <w:rPr>
          <w:rFonts w:eastAsia="MS Mincho"/>
          <w:snapToGrid w:val="0"/>
          <w:kern w:val="22"/>
          <w:szCs w:val="22"/>
        </w:rPr>
        <w:tab/>
      </w:r>
    </w:p>
    <w:p w14:paraId="7C4CFE3B" w14:textId="2FE2A06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snapToGrid w:val="0"/>
          <w:kern w:val="22"/>
          <w:szCs w:val="22"/>
        </w:rPr>
        <w:t>The rocky habitat of Sarpi provides shelter for many species of mollusks and other invertebrates as well as for fish. The area overlaps with a marine Important Bird and Biodiversity Area (IBA; BirdLife International 2017a), designated primarily for its importance as a wintering area for the vulnerable yelkouan shearwater (</w:t>
      </w:r>
      <w:r w:rsidRPr="0088780C">
        <w:rPr>
          <w:rFonts w:eastAsia="MS Mincho"/>
          <w:i/>
          <w:snapToGrid w:val="0"/>
          <w:kern w:val="22"/>
          <w:szCs w:val="22"/>
        </w:rPr>
        <w:t>Puffinus yelkouan</w:t>
      </w:r>
      <w:r w:rsidRPr="0088780C">
        <w:rPr>
          <w:rFonts w:eastAsia="MS Mincho"/>
          <w:snapToGrid w:val="0"/>
          <w:kern w:val="22"/>
          <w:szCs w:val="22"/>
        </w:rPr>
        <w:t>). The yelkouan shearwater is a Mediterranean endemic (BirdLife International, 2017b), and 30 to 40 per cent of the population migrates to the Black Sea during the non-breeding season (Raine et al. 2012; Péron et al. 2013, Seabird Tracking Database 2017). The importance of the area for this species was confirmed by bird counts, the most recent of which,  conducted in 2014, reported values of more than 800 individuals.</w:t>
      </w:r>
    </w:p>
    <w:p w14:paraId="30C2286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395B557" w14:textId="6D6B9B5E" w:rsidR="00A876F3" w:rsidRPr="0088780C" w:rsidRDefault="00A876F3" w:rsidP="00455159">
      <w:pPr>
        <w:keepNext/>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w:t>
      </w:r>
      <w:r w:rsidR="00455159" w:rsidRPr="0088780C">
        <w:rPr>
          <w:rFonts w:eastAsia="MS Mincho"/>
          <w:b/>
          <w:snapToGrid w:val="0"/>
          <w:kern w:val="22"/>
          <w:szCs w:val="22"/>
        </w:rPr>
        <w:t xml:space="preserve"> area against CBD EBSA Criteria</w:t>
      </w:r>
    </w:p>
    <w:p w14:paraId="415A98FB" w14:textId="77777777" w:rsidR="00A876F3" w:rsidRPr="0088780C" w:rsidRDefault="00A876F3" w:rsidP="00455159">
      <w:pPr>
        <w:keepNext/>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4DC35F65" w14:textId="77777777" w:rsidTr="00455159">
        <w:trPr>
          <w:cantSplit/>
        </w:trPr>
        <w:tc>
          <w:tcPr>
            <w:tcW w:w="779" w:type="pct"/>
            <w:vMerge w:val="restart"/>
            <w:shd w:val="clear" w:color="auto" w:fill="auto"/>
          </w:tcPr>
          <w:p w14:paraId="4BABAEDF" w14:textId="77777777" w:rsidR="00A876F3" w:rsidRPr="0088780C" w:rsidRDefault="00A876F3" w:rsidP="00455159">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14608B1D" w14:textId="77777777" w:rsidR="00A876F3" w:rsidRPr="0088780C" w:rsidRDefault="00A876F3" w:rsidP="00455159">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56C592C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749DB64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6167EDD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6B1CDFD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071EE295" w14:textId="77777777" w:rsidTr="006972AD">
        <w:tc>
          <w:tcPr>
            <w:tcW w:w="779" w:type="pct"/>
            <w:vMerge/>
            <w:shd w:val="clear" w:color="auto" w:fill="auto"/>
          </w:tcPr>
          <w:p w14:paraId="5B2F72F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46596BC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6F89990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0CC0573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49DDCEB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5D50FDA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2702FE11" w14:textId="77777777" w:rsidTr="006972AD">
        <w:tc>
          <w:tcPr>
            <w:tcW w:w="779" w:type="pct"/>
            <w:shd w:val="clear" w:color="auto" w:fill="auto"/>
          </w:tcPr>
          <w:p w14:paraId="46E7207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2BD5EAEC" w14:textId="101406D0"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48A22A3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103A489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26FF7CB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325FF9E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r>
      <w:tr w:rsidR="00A876F3" w:rsidRPr="0088780C" w14:paraId="627F71AD" w14:textId="77777777" w:rsidTr="006972AD">
        <w:tc>
          <w:tcPr>
            <w:tcW w:w="5000" w:type="pct"/>
            <w:gridSpan w:val="11"/>
            <w:shd w:val="clear" w:color="auto" w:fill="auto"/>
          </w:tcPr>
          <w:p w14:paraId="38D9A246"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rFonts w:eastAsia="MS Mincho"/>
                <w:i/>
                <w:snapToGrid w:val="0"/>
                <w:color w:val="000000"/>
                <w:kern w:val="22"/>
                <w:szCs w:val="22"/>
              </w:rPr>
              <w:t>Explanation for ranking</w:t>
            </w:r>
          </w:p>
          <w:p w14:paraId="103337F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 xml:space="preserve">Territory covers </w:t>
            </w:r>
            <w:r w:rsidRPr="0088780C">
              <w:rPr>
                <w:rFonts w:eastAsia="MS Mincho"/>
                <w:snapToGrid w:val="0"/>
                <w:color w:val="000000"/>
                <w:kern w:val="22"/>
                <w:szCs w:val="22"/>
              </w:rPr>
              <w:t xml:space="preserve">sea rocks and stony coast (according to EU Directive 92/43/EEC). Marine algae </w:t>
            </w:r>
            <w:r w:rsidRPr="0088780C">
              <w:rPr>
                <w:rFonts w:eastAsia="MS Mincho"/>
                <w:i/>
                <w:snapToGrid w:val="0"/>
                <w:color w:val="000000"/>
                <w:kern w:val="22"/>
                <w:szCs w:val="22"/>
              </w:rPr>
              <w:t xml:space="preserve">Cystoseira barbata </w:t>
            </w:r>
            <w:r w:rsidRPr="0088780C">
              <w:rPr>
                <w:rFonts w:eastAsia="MS Mincho"/>
                <w:snapToGrid w:val="0"/>
                <w:color w:val="000000"/>
                <w:kern w:val="22"/>
                <w:szCs w:val="22"/>
              </w:rPr>
              <w:t xml:space="preserve">and </w:t>
            </w:r>
            <w:r w:rsidRPr="0088780C">
              <w:rPr>
                <w:rFonts w:eastAsia="MS Mincho"/>
                <w:i/>
                <w:snapToGrid w:val="0"/>
                <w:color w:val="000000"/>
                <w:kern w:val="22"/>
                <w:szCs w:val="22"/>
              </w:rPr>
              <w:t xml:space="preserve">Ceramium rubrum </w:t>
            </w:r>
            <w:r w:rsidRPr="0088780C">
              <w:rPr>
                <w:rFonts w:eastAsia="MS Mincho"/>
                <w:snapToGrid w:val="0"/>
                <w:color w:val="000000"/>
                <w:kern w:val="22"/>
                <w:szCs w:val="22"/>
              </w:rPr>
              <w:t>fields provide shelter for many fish and invertebrate species (Akhalkatsi, 2013).</w:t>
            </w:r>
          </w:p>
          <w:p w14:paraId="17F5CA3B"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4B5BFD51" w14:textId="39B0C4DE"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Sea rocks are used by the mussel </w:t>
            </w:r>
            <w:r w:rsidRPr="0088780C">
              <w:rPr>
                <w:rFonts w:eastAsia="MS Mincho"/>
                <w:i/>
                <w:snapToGrid w:val="0"/>
                <w:color w:val="000000"/>
                <w:kern w:val="22"/>
                <w:szCs w:val="22"/>
              </w:rPr>
              <w:t>Mytilus galloprovincialis</w:t>
            </w:r>
            <w:r w:rsidRPr="0088780C">
              <w:rPr>
                <w:rFonts w:eastAsia="MS Mincho"/>
                <w:snapToGrid w:val="0"/>
                <w:color w:val="000000"/>
                <w:kern w:val="22"/>
                <w:szCs w:val="22"/>
              </w:rPr>
              <w:t xml:space="preserve"> and other bivalves for anchoring purposes (Gurielidze et al., 2012)</w:t>
            </w:r>
            <w:r w:rsidR="00455159" w:rsidRPr="0088780C">
              <w:rPr>
                <w:rFonts w:eastAsia="MS Mincho"/>
                <w:snapToGrid w:val="0"/>
                <w:color w:val="000000"/>
                <w:kern w:val="22"/>
                <w:szCs w:val="22"/>
              </w:rPr>
              <w:t>.</w:t>
            </w:r>
          </w:p>
          <w:p w14:paraId="2311FBF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03FD2AE0" w14:textId="4D7D43E0" w:rsidR="00A876F3" w:rsidRPr="0088780C" w:rsidRDefault="00A876F3" w:rsidP="001013AF">
            <w:pPr>
              <w:suppressLineNumbers/>
              <w:suppressAutoHyphens/>
              <w:kinsoku w:val="0"/>
              <w:overflowPunct w:val="0"/>
              <w:autoSpaceDE w:val="0"/>
              <w:autoSpaceDN w:val="0"/>
              <w:adjustRightInd w:val="0"/>
              <w:rPr>
                <w:iCs/>
                <w:snapToGrid w:val="0"/>
                <w:color w:val="000000"/>
                <w:kern w:val="22"/>
                <w:szCs w:val="22"/>
              </w:rPr>
            </w:pPr>
            <w:r w:rsidRPr="0088780C">
              <w:rPr>
                <w:rFonts w:eastAsia="MS Mincho"/>
                <w:snapToGrid w:val="0"/>
                <w:color w:val="000000"/>
                <w:kern w:val="22"/>
                <w:szCs w:val="22"/>
              </w:rPr>
              <w:t>The rocky area is a shelter and feeding area for red mullet (</w:t>
            </w:r>
            <w:r w:rsidRPr="0088780C">
              <w:rPr>
                <w:rFonts w:eastAsia="MS Mincho"/>
                <w:i/>
                <w:snapToGrid w:val="0"/>
                <w:color w:val="000000"/>
                <w:kern w:val="22"/>
                <w:szCs w:val="22"/>
              </w:rPr>
              <w:t xml:space="preserve">Mullus barbatus), </w:t>
            </w:r>
            <w:r w:rsidRPr="0088780C">
              <w:rPr>
                <w:rFonts w:eastAsia="MS Mincho"/>
                <w:snapToGrid w:val="0"/>
                <w:color w:val="000000"/>
                <w:kern w:val="22"/>
                <w:szCs w:val="22"/>
              </w:rPr>
              <w:t>black mullet</w:t>
            </w:r>
            <w:r w:rsidRPr="0088780C">
              <w:rPr>
                <w:rFonts w:eastAsia="MS Mincho"/>
                <w:i/>
                <w:snapToGrid w:val="0"/>
                <w:color w:val="000000"/>
                <w:kern w:val="22"/>
                <w:szCs w:val="22"/>
              </w:rPr>
              <w:t xml:space="preserve"> (Mugil cephalus), </w:t>
            </w:r>
            <w:r w:rsidRPr="0088780C">
              <w:rPr>
                <w:rFonts w:eastAsia="MS Mincho"/>
                <w:snapToGrid w:val="0"/>
                <w:color w:val="000000"/>
                <w:kern w:val="22"/>
                <w:szCs w:val="22"/>
              </w:rPr>
              <w:t>shi drum (</w:t>
            </w:r>
            <w:r w:rsidRPr="0088780C">
              <w:rPr>
                <w:i/>
                <w:iCs/>
                <w:snapToGrid w:val="0"/>
                <w:color w:val="000000"/>
                <w:kern w:val="22"/>
                <w:szCs w:val="22"/>
              </w:rPr>
              <w:t xml:space="preserve">Umbrina cirrosa), </w:t>
            </w:r>
            <w:r w:rsidRPr="0088780C">
              <w:rPr>
                <w:iCs/>
                <w:snapToGrid w:val="0"/>
                <w:color w:val="000000"/>
                <w:kern w:val="22"/>
                <w:szCs w:val="22"/>
              </w:rPr>
              <w:t>annular seabream</w:t>
            </w:r>
            <w:r w:rsidRPr="0088780C">
              <w:rPr>
                <w:i/>
                <w:iCs/>
                <w:snapToGrid w:val="0"/>
                <w:color w:val="000000"/>
                <w:kern w:val="22"/>
                <w:szCs w:val="22"/>
              </w:rPr>
              <w:t xml:space="preserve"> (Diplodus annularis) </w:t>
            </w:r>
            <w:r w:rsidRPr="0088780C">
              <w:rPr>
                <w:iCs/>
                <w:snapToGrid w:val="0"/>
                <w:color w:val="000000"/>
                <w:kern w:val="22"/>
                <w:szCs w:val="22"/>
              </w:rPr>
              <w:t>and other Black Sea fish species. Some fish species, e.g. peacock wrasse (</w:t>
            </w:r>
            <w:r w:rsidRPr="0088780C">
              <w:rPr>
                <w:i/>
                <w:iCs/>
                <w:snapToGrid w:val="0"/>
                <w:color w:val="000000"/>
                <w:kern w:val="22"/>
                <w:szCs w:val="22"/>
              </w:rPr>
              <w:t>Symphodus tinca</w:t>
            </w:r>
            <w:r w:rsidRPr="0088780C">
              <w:rPr>
                <w:iCs/>
                <w:snapToGrid w:val="0"/>
                <w:color w:val="000000"/>
                <w:kern w:val="22"/>
                <w:szCs w:val="22"/>
              </w:rPr>
              <w:t xml:space="preserve"> (LC, IUCN Red List) are primarily found near Sarpi (Gurielidze</w:t>
            </w:r>
            <w:r w:rsidRPr="0088780C">
              <w:rPr>
                <w:iCs/>
                <w:snapToGrid w:val="0"/>
                <w:color w:val="000000"/>
                <w:kern w:val="22"/>
                <w:szCs w:val="22"/>
                <w:vertAlign w:val="superscript"/>
              </w:rPr>
              <w:t>(b)</w:t>
            </w:r>
            <w:r w:rsidRPr="0088780C">
              <w:rPr>
                <w:iCs/>
                <w:snapToGrid w:val="0"/>
                <w:color w:val="000000"/>
                <w:kern w:val="22"/>
                <w:szCs w:val="22"/>
              </w:rPr>
              <w:t xml:space="preserve"> et al., 2012; Ninua et al. 2013)</w:t>
            </w:r>
            <w:r w:rsidR="00455159" w:rsidRPr="0088780C">
              <w:rPr>
                <w:iCs/>
                <w:snapToGrid w:val="0"/>
                <w:color w:val="000000"/>
                <w:kern w:val="22"/>
                <w:szCs w:val="22"/>
              </w:rPr>
              <w:t>.</w:t>
            </w:r>
          </w:p>
          <w:p w14:paraId="2262808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37EAB5BB" w14:textId="59A1D04D"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Breeding and feeding areas for bottlenose dolphins (</w:t>
            </w:r>
            <w:r w:rsidRPr="0088780C">
              <w:rPr>
                <w:rFonts w:eastAsia="MS Mincho"/>
                <w:i/>
                <w:snapToGrid w:val="0"/>
                <w:color w:val="000000"/>
                <w:kern w:val="22"/>
                <w:szCs w:val="22"/>
              </w:rPr>
              <w:t>Tursiops truncatus ponticus</w:t>
            </w:r>
            <w:r w:rsidRPr="0088780C">
              <w:rPr>
                <w:rFonts w:eastAsia="MS Mincho"/>
                <w:snapToGrid w:val="0"/>
                <w:color w:val="000000"/>
                <w:kern w:val="22"/>
                <w:szCs w:val="22"/>
              </w:rPr>
              <w:t>) and common dolphins (</w:t>
            </w:r>
            <w:r w:rsidRPr="0088780C">
              <w:rPr>
                <w:rFonts w:eastAsia="MS Mincho"/>
                <w:i/>
                <w:snapToGrid w:val="0"/>
                <w:color w:val="000000"/>
                <w:kern w:val="22"/>
                <w:szCs w:val="22"/>
              </w:rPr>
              <w:t>Delphinus delphis ponticus</w:t>
            </w:r>
            <w:r w:rsidRPr="0088780C">
              <w:rPr>
                <w:rFonts w:eastAsia="MS Mincho"/>
                <w:snapToGrid w:val="0"/>
                <w:color w:val="000000"/>
                <w:kern w:val="22"/>
                <w:szCs w:val="22"/>
              </w:rPr>
              <w:t xml:space="preserve">); </w:t>
            </w:r>
            <w:r w:rsidR="003D6ED2" w:rsidRPr="0088780C">
              <w:rPr>
                <w:rFonts w:eastAsia="MS Mincho"/>
                <w:snapToGrid w:val="0"/>
                <w:color w:val="000000"/>
                <w:kern w:val="22"/>
                <w:szCs w:val="22"/>
              </w:rPr>
              <w:t>harbour porpoise</w:t>
            </w:r>
            <w:r w:rsidRPr="0088780C">
              <w:rPr>
                <w:rFonts w:eastAsia="MS Mincho"/>
                <w:snapToGrid w:val="0"/>
                <w:color w:val="000000"/>
                <w:kern w:val="22"/>
                <w:szCs w:val="22"/>
              </w:rPr>
              <w:t xml:space="preserve"> (</w:t>
            </w:r>
            <w:r w:rsidRPr="0088780C">
              <w:rPr>
                <w:rFonts w:eastAsia="MS Mincho"/>
                <w:i/>
                <w:snapToGrid w:val="0"/>
                <w:color w:val="000000"/>
                <w:kern w:val="22"/>
                <w:szCs w:val="22"/>
              </w:rPr>
              <w:t>Phocoena phocoena relicta</w:t>
            </w:r>
            <w:r w:rsidRPr="0088780C">
              <w:rPr>
                <w:rFonts w:eastAsia="MS Mincho"/>
                <w:snapToGrid w:val="0"/>
                <w:color w:val="000000"/>
                <w:kern w:val="22"/>
                <w:szCs w:val="22"/>
              </w:rPr>
              <w:t>) also use the area (Kopaliani et al.2015)</w:t>
            </w:r>
            <w:r w:rsidR="00455159" w:rsidRPr="0088780C">
              <w:rPr>
                <w:rFonts w:eastAsia="MS Mincho"/>
                <w:snapToGrid w:val="0"/>
                <w:color w:val="000000"/>
                <w:kern w:val="22"/>
                <w:szCs w:val="22"/>
              </w:rPr>
              <w:t>.</w:t>
            </w:r>
          </w:p>
          <w:p w14:paraId="424AA13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4417DCD3"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The area overlaps with a marine Important Bird and Biodiversity Area (IBA; BirdLife International 2017a), primarily designated for its importance as a wintering area for the vulnerable yelkouan shearwater (</w:t>
            </w:r>
            <w:r w:rsidRPr="0088780C">
              <w:rPr>
                <w:rFonts w:eastAsia="MS Mincho"/>
                <w:i/>
                <w:snapToGrid w:val="0"/>
                <w:color w:val="000000"/>
                <w:kern w:val="22"/>
                <w:szCs w:val="22"/>
              </w:rPr>
              <w:t>Puffinus yelkouan</w:t>
            </w:r>
            <w:r w:rsidRPr="0088780C">
              <w:rPr>
                <w:rFonts w:eastAsia="MS Mincho"/>
                <w:snapToGrid w:val="0"/>
                <w:color w:val="000000"/>
                <w:kern w:val="22"/>
                <w:szCs w:val="22"/>
              </w:rPr>
              <w:t>). The yelkouan shearwater is a Mediterranean endemic (BirdLife International, 2017b), 30-40% of which migrate to the Black Sea during the non-breeding season (Raine et al. 2012, Péron et al. 2013, Seabird Tracking Database 2017). The importance of the area for this species was confirmed by bird counts, the most recent of which were conducted in 2014 and reported values of more than 800 individuals.</w:t>
            </w:r>
          </w:p>
        </w:tc>
      </w:tr>
      <w:tr w:rsidR="00A876F3" w:rsidRPr="0088780C" w14:paraId="4632EFF3" w14:textId="77777777" w:rsidTr="006972AD">
        <w:tc>
          <w:tcPr>
            <w:tcW w:w="779" w:type="pct"/>
            <w:shd w:val="clear" w:color="auto" w:fill="auto"/>
          </w:tcPr>
          <w:p w14:paraId="4E38F0AF" w14:textId="77777777" w:rsidR="00A876F3" w:rsidRPr="0088780C" w:rsidRDefault="00A876F3" w:rsidP="00455159">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7976468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497DC5B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79181C8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2D0A853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6" w:type="pct"/>
            <w:gridSpan w:val="2"/>
            <w:shd w:val="clear" w:color="auto" w:fill="auto"/>
          </w:tcPr>
          <w:p w14:paraId="07A453E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4BDBFF80" w14:textId="77777777" w:rsidTr="006972AD">
        <w:tc>
          <w:tcPr>
            <w:tcW w:w="5000" w:type="pct"/>
            <w:gridSpan w:val="11"/>
            <w:shd w:val="clear" w:color="auto" w:fill="auto"/>
          </w:tcPr>
          <w:p w14:paraId="2B2C17DE"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559C6A47"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Breeding and feeding area for the bottlenose dolphin (</w:t>
            </w:r>
            <w:r w:rsidRPr="0088780C">
              <w:rPr>
                <w:rFonts w:eastAsia="MS Mincho"/>
                <w:i/>
                <w:snapToGrid w:val="0"/>
                <w:color w:val="000000"/>
                <w:kern w:val="22"/>
                <w:szCs w:val="22"/>
              </w:rPr>
              <w:t>Tursiops truncatus ponticus);</w:t>
            </w:r>
            <w:r w:rsidRPr="0088780C">
              <w:rPr>
                <w:rFonts w:eastAsia="MS Mincho"/>
                <w:snapToGrid w:val="0"/>
                <w:color w:val="000000"/>
                <w:kern w:val="22"/>
                <w:szCs w:val="22"/>
              </w:rPr>
              <w:t xml:space="preserve"> feeding area for the common dolphin (</w:t>
            </w:r>
            <w:r w:rsidRPr="0088780C">
              <w:rPr>
                <w:rFonts w:eastAsia="MS Mincho"/>
                <w:i/>
                <w:snapToGrid w:val="0"/>
                <w:color w:val="000000"/>
                <w:kern w:val="22"/>
                <w:szCs w:val="22"/>
              </w:rPr>
              <w:t>Delphinus delphis ponticus)</w:t>
            </w:r>
            <w:r w:rsidRPr="0088780C">
              <w:rPr>
                <w:rFonts w:eastAsia="MS Mincho"/>
                <w:snapToGrid w:val="0"/>
                <w:color w:val="000000"/>
                <w:kern w:val="22"/>
                <w:szCs w:val="22"/>
              </w:rPr>
              <w:t xml:space="preserve"> (Kopaliani, 2015).</w:t>
            </w:r>
          </w:p>
          <w:p w14:paraId="6CA5FC55"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36CE4137"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area overlaps with a non-breeding area of global importance for the yelkouan shearwater </w:t>
            </w:r>
            <w:r w:rsidRPr="0088780C">
              <w:rPr>
                <w:rFonts w:eastAsia="MS Mincho"/>
                <w:i/>
                <w:snapToGrid w:val="0"/>
                <w:color w:val="000000"/>
                <w:kern w:val="22"/>
                <w:szCs w:val="22"/>
              </w:rPr>
              <w:t>(Puffinus yelkouan)</w:t>
            </w:r>
            <w:r w:rsidRPr="0088780C">
              <w:rPr>
                <w:rFonts w:eastAsia="MS Mincho"/>
                <w:snapToGrid w:val="0"/>
                <w:color w:val="000000"/>
                <w:kern w:val="22"/>
                <w:szCs w:val="22"/>
              </w:rPr>
              <w:t xml:space="preserve">. It is also located in the proximity of colonies of the Mediterranean endemic subspecies of European shag </w:t>
            </w:r>
            <w:r w:rsidRPr="0088780C">
              <w:rPr>
                <w:rFonts w:eastAsia="MS Mincho"/>
                <w:i/>
                <w:snapToGrid w:val="0"/>
                <w:color w:val="000000"/>
                <w:kern w:val="22"/>
                <w:szCs w:val="22"/>
              </w:rPr>
              <w:t>Phalacrocorax aristotelis desmarestii</w:t>
            </w:r>
            <w:r w:rsidRPr="0088780C">
              <w:rPr>
                <w:rFonts w:eastAsia="MS Mincho"/>
                <w:snapToGrid w:val="0"/>
                <w:color w:val="000000"/>
                <w:kern w:val="22"/>
                <w:szCs w:val="22"/>
              </w:rPr>
              <w:t xml:space="preserve"> (Doğa Derneği 2014), thus being potentially important for this subspecies during the breeding season.</w:t>
            </w:r>
          </w:p>
          <w:p w14:paraId="21A8AA0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5E8FC095" w14:textId="2FC0F15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The area provides shelter and feeding ground for fish species (Ninua et al., 2013).</w:t>
            </w:r>
          </w:p>
        </w:tc>
      </w:tr>
      <w:tr w:rsidR="00A876F3" w:rsidRPr="0088780C" w14:paraId="4856EB3C" w14:textId="77777777" w:rsidTr="006972AD">
        <w:tc>
          <w:tcPr>
            <w:tcW w:w="779" w:type="pct"/>
            <w:shd w:val="clear" w:color="auto" w:fill="auto"/>
          </w:tcPr>
          <w:p w14:paraId="51E5B681" w14:textId="77777777" w:rsidR="00A876F3" w:rsidRPr="0088780C" w:rsidRDefault="00A876F3" w:rsidP="003A2926">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7497470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6A8BF0E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15A53AA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7EC84B7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65033D6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r>
      <w:tr w:rsidR="00A876F3" w:rsidRPr="0088780C" w14:paraId="7BBB6EFB" w14:textId="77777777" w:rsidTr="006972AD">
        <w:tc>
          <w:tcPr>
            <w:tcW w:w="5000" w:type="pct"/>
            <w:gridSpan w:val="11"/>
            <w:shd w:val="clear" w:color="auto" w:fill="auto"/>
          </w:tcPr>
          <w:p w14:paraId="498B48B1"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7F709DB7"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Feeding ground for endangered and vulnerable species of cetaceans  </w:t>
            </w:r>
            <w:r w:rsidRPr="0088780C">
              <w:rPr>
                <w:rFonts w:eastAsia="MS Mincho"/>
                <w:i/>
                <w:snapToGrid w:val="0"/>
                <w:color w:val="000000"/>
                <w:kern w:val="22"/>
                <w:szCs w:val="22"/>
              </w:rPr>
              <w:t>(Tursiops truncatus ponticus, Delphinus delphis ponticus, Phocoena phocoena relicta)</w:t>
            </w:r>
            <w:r w:rsidRPr="0088780C">
              <w:rPr>
                <w:rFonts w:eastAsia="MS Mincho"/>
                <w:snapToGrid w:val="0"/>
                <w:color w:val="000000"/>
                <w:kern w:val="22"/>
                <w:szCs w:val="22"/>
              </w:rPr>
              <w:t xml:space="preserve"> (Kopaliani et al. 2015).</w:t>
            </w:r>
          </w:p>
          <w:p w14:paraId="1E5F7982"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4FC525C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 globally threatened seabird species, the yelkouan shearwater (</w:t>
            </w:r>
            <w:r w:rsidRPr="0088780C">
              <w:rPr>
                <w:rFonts w:eastAsia="MS Mincho"/>
                <w:i/>
                <w:snapToGrid w:val="0"/>
                <w:color w:val="000000"/>
                <w:kern w:val="22"/>
                <w:szCs w:val="22"/>
              </w:rPr>
              <w:t>Puffinus yelkouan</w:t>
            </w:r>
            <w:r w:rsidRPr="0088780C">
              <w:rPr>
                <w:rFonts w:eastAsia="MS Mincho"/>
                <w:snapToGrid w:val="0"/>
                <w:color w:val="000000"/>
                <w:kern w:val="22"/>
                <w:szCs w:val="22"/>
              </w:rPr>
              <w:t>), which is listed as vulnerable by IUCN, is known to occur in the area (BirdLife International 2017b). The area also overlaps with the distribution range of another vulnerable species, the velvet scoter (</w:t>
            </w:r>
            <w:r w:rsidRPr="0088780C">
              <w:rPr>
                <w:rFonts w:eastAsia="MS Mincho"/>
                <w:i/>
                <w:snapToGrid w:val="0"/>
                <w:color w:val="000000"/>
                <w:kern w:val="22"/>
                <w:szCs w:val="22"/>
              </w:rPr>
              <w:t>Melanitta fusca</w:t>
            </w:r>
            <w:r w:rsidRPr="0088780C">
              <w:rPr>
                <w:rFonts w:eastAsia="MS Mincho"/>
                <w:snapToGrid w:val="0"/>
                <w:color w:val="000000"/>
                <w:kern w:val="22"/>
                <w:szCs w:val="22"/>
              </w:rPr>
              <w:t>) (BirdLife International 2017c). These two species are also included on Annex I of the EU Birds Directive.</w:t>
            </w:r>
          </w:p>
          <w:p w14:paraId="5AFC1301" w14:textId="77777777" w:rsidR="003A2926" w:rsidRPr="0088780C" w:rsidRDefault="003A2926" w:rsidP="001013AF">
            <w:pPr>
              <w:suppressLineNumbers/>
              <w:suppressAutoHyphens/>
              <w:kinsoku w:val="0"/>
              <w:overflowPunct w:val="0"/>
              <w:autoSpaceDE w:val="0"/>
              <w:autoSpaceDN w:val="0"/>
              <w:adjustRightInd w:val="0"/>
              <w:rPr>
                <w:rFonts w:eastAsia="MS Mincho"/>
                <w:snapToGrid w:val="0"/>
                <w:color w:val="000000"/>
                <w:kern w:val="22"/>
                <w:szCs w:val="22"/>
              </w:rPr>
            </w:pPr>
          </w:p>
          <w:p w14:paraId="5947FE71"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rFonts w:eastAsia="MS Mincho"/>
                <w:snapToGrid w:val="0"/>
                <w:color w:val="000000"/>
                <w:kern w:val="22"/>
                <w:szCs w:val="22"/>
              </w:rPr>
              <w:t>Fish species: gar fish (</w:t>
            </w:r>
            <w:r w:rsidRPr="0088780C">
              <w:rPr>
                <w:rFonts w:eastAsia="MS Mincho"/>
                <w:i/>
                <w:snapToGrid w:val="0"/>
                <w:color w:val="000000"/>
                <w:kern w:val="22"/>
                <w:szCs w:val="22"/>
              </w:rPr>
              <w:t>Belone belone euxini)</w:t>
            </w:r>
            <w:r w:rsidRPr="0088780C">
              <w:rPr>
                <w:rFonts w:eastAsia="MS Mincho"/>
                <w:snapToGrid w:val="0"/>
                <w:color w:val="000000"/>
                <w:kern w:val="22"/>
                <w:szCs w:val="22"/>
              </w:rPr>
              <w:t xml:space="preserve">, </w:t>
            </w:r>
            <w:r w:rsidRPr="0088780C">
              <w:rPr>
                <w:snapToGrid w:val="0"/>
                <w:kern w:val="22"/>
                <w:szCs w:val="22"/>
                <w:shd w:val="clear" w:color="auto" w:fill="FFFFFF"/>
              </w:rPr>
              <w:t>red mullet</w:t>
            </w:r>
            <w:r w:rsidRPr="0088780C">
              <w:rPr>
                <w:rFonts w:eastAsia="MS Mincho"/>
                <w:snapToGrid w:val="0"/>
                <w:kern w:val="22"/>
                <w:szCs w:val="22"/>
              </w:rPr>
              <w:t xml:space="preserve"> (</w:t>
            </w:r>
            <w:r w:rsidRPr="0088780C">
              <w:rPr>
                <w:rFonts w:eastAsia="MS Mincho"/>
                <w:i/>
                <w:snapToGrid w:val="0"/>
                <w:kern w:val="22"/>
                <w:szCs w:val="22"/>
              </w:rPr>
              <w:t>Mullus barbatus</w:t>
            </w:r>
            <w:r w:rsidRPr="0088780C">
              <w:rPr>
                <w:rFonts w:eastAsia="MS Mincho"/>
                <w:snapToGrid w:val="0"/>
                <w:kern w:val="22"/>
                <w:szCs w:val="22"/>
              </w:rPr>
              <w:t>), Black Sea herring (</w:t>
            </w:r>
            <w:r w:rsidRPr="0088780C">
              <w:rPr>
                <w:rFonts w:eastAsia="MS Mincho"/>
                <w:i/>
                <w:snapToGrid w:val="0"/>
                <w:kern w:val="22"/>
                <w:szCs w:val="22"/>
              </w:rPr>
              <w:t>Alosa immaculata</w:t>
            </w:r>
            <w:r w:rsidRPr="0088780C">
              <w:rPr>
                <w:rFonts w:eastAsia="MS Mincho"/>
                <w:snapToGrid w:val="0"/>
                <w:kern w:val="22"/>
                <w:szCs w:val="22"/>
              </w:rPr>
              <w:t>), sea horse</w:t>
            </w:r>
            <w:r w:rsidRPr="0088780C">
              <w:rPr>
                <w:snapToGrid w:val="0"/>
                <w:kern w:val="22"/>
                <w:szCs w:val="22"/>
              </w:rPr>
              <w:t xml:space="preserve"> (</w:t>
            </w:r>
            <w:r w:rsidRPr="0088780C">
              <w:rPr>
                <w:rFonts w:eastAsia="MS Mincho"/>
                <w:i/>
                <w:snapToGrid w:val="0"/>
                <w:kern w:val="22"/>
                <w:szCs w:val="22"/>
              </w:rPr>
              <w:t>Hippocampus guttulatus)</w:t>
            </w:r>
            <w:r w:rsidRPr="0088780C">
              <w:rPr>
                <w:rFonts w:eastAsia="MS Mincho"/>
                <w:snapToGrid w:val="0"/>
                <w:kern w:val="22"/>
                <w:szCs w:val="22"/>
              </w:rPr>
              <w:t xml:space="preserve"> (NT; IUCN) and others</w:t>
            </w:r>
            <w:r w:rsidRPr="0088780C">
              <w:rPr>
                <w:snapToGrid w:val="0"/>
                <w:kern w:val="22"/>
                <w:szCs w:val="22"/>
              </w:rPr>
              <w:t xml:space="preserve"> inhabit the area and use it as a feeding ground and shelter.</w:t>
            </w:r>
          </w:p>
          <w:p w14:paraId="39F90E24"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22A053CC"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 area provides habitat</w:t>
            </w:r>
            <w:r w:rsidRPr="0088780C">
              <w:rPr>
                <w:i/>
                <w:snapToGrid w:val="0"/>
                <w:kern w:val="22"/>
                <w:szCs w:val="22"/>
              </w:rPr>
              <w:t xml:space="preserve"> </w:t>
            </w:r>
            <w:r w:rsidRPr="0088780C">
              <w:rPr>
                <w:snapToGrid w:val="0"/>
                <w:kern w:val="22"/>
                <w:szCs w:val="22"/>
              </w:rPr>
              <w:t xml:space="preserve">for </w:t>
            </w:r>
            <w:r w:rsidRPr="0088780C">
              <w:rPr>
                <w:i/>
                <w:snapToGrid w:val="0"/>
                <w:kern w:val="22"/>
                <w:szCs w:val="22"/>
              </w:rPr>
              <w:t xml:space="preserve">Cystoseira barbata </w:t>
            </w:r>
            <w:r w:rsidRPr="0088780C">
              <w:rPr>
                <w:snapToGrid w:val="0"/>
                <w:kern w:val="22"/>
                <w:szCs w:val="22"/>
              </w:rPr>
              <w:t xml:space="preserve">and </w:t>
            </w:r>
            <w:r w:rsidRPr="0088780C">
              <w:rPr>
                <w:i/>
                <w:snapToGrid w:val="0"/>
                <w:kern w:val="22"/>
                <w:szCs w:val="22"/>
              </w:rPr>
              <w:t xml:space="preserve">Ceramium rubrum, </w:t>
            </w:r>
            <w:r w:rsidRPr="0088780C">
              <w:rPr>
                <w:snapToGrid w:val="0"/>
                <w:kern w:val="22"/>
                <w:szCs w:val="22"/>
              </w:rPr>
              <w:t>which are declining and degrading throughout the range  (Ryabushko et al., 2014).</w:t>
            </w:r>
          </w:p>
        </w:tc>
      </w:tr>
      <w:tr w:rsidR="00A876F3" w:rsidRPr="0088780C" w14:paraId="1A948311" w14:textId="77777777" w:rsidTr="006972AD">
        <w:tc>
          <w:tcPr>
            <w:tcW w:w="779" w:type="pct"/>
            <w:shd w:val="clear" w:color="auto" w:fill="auto"/>
          </w:tcPr>
          <w:p w14:paraId="609D840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15DEC94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1EDD50C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0" w:type="pct"/>
            <w:gridSpan w:val="2"/>
            <w:shd w:val="clear" w:color="auto" w:fill="auto"/>
          </w:tcPr>
          <w:p w14:paraId="2B700EC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04F2A14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6" w:type="pct"/>
            <w:gridSpan w:val="2"/>
            <w:shd w:val="clear" w:color="auto" w:fill="auto"/>
          </w:tcPr>
          <w:p w14:paraId="6B22369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4225AA9D" w14:textId="77777777" w:rsidTr="006972AD">
        <w:tc>
          <w:tcPr>
            <w:tcW w:w="5000" w:type="pct"/>
            <w:gridSpan w:val="11"/>
            <w:shd w:val="clear" w:color="auto" w:fill="auto"/>
          </w:tcPr>
          <w:p w14:paraId="4E74D8C0"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73AC12B7"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The area is important to the vulnerable yelkouan shearwater (</w:t>
            </w:r>
            <w:r w:rsidRPr="0088780C">
              <w:rPr>
                <w:rFonts w:eastAsia="MS Mincho"/>
                <w:i/>
                <w:snapToGrid w:val="0"/>
                <w:color w:val="000000"/>
                <w:kern w:val="22"/>
                <w:szCs w:val="22"/>
              </w:rPr>
              <w:t>Puffinus yelkouan)</w:t>
            </w:r>
            <w:r w:rsidRPr="0088780C">
              <w:rPr>
                <w:rFonts w:eastAsia="MS Mincho"/>
                <w:snapToGrid w:val="0"/>
                <w:color w:val="000000"/>
                <w:kern w:val="22"/>
                <w:szCs w:val="22"/>
              </w:rPr>
              <w:t>, a long-lived species with low fecundity and late sexual maturity, which is particularly vulnerable to factors increasing adult mortality rates, such as by-catch in fisheries and other at-sea threats (often considered the major causes of population decline ( Anderson et al. 2011; Oppel et al. 2011).</w:t>
            </w:r>
          </w:p>
          <w:p w14:paraId="2B56F5EF" w14:textId="183E6821"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area is also used by endangered species of Black Sea cetaceans </w:t>
            </w:r>
            <w:r w:rsidRPr="0088780C">
              <w:rPr>
                <w:rFonts w:eastAsia="MS Mincho"/>
                <w:i/>
                <w:snapToGrid w:val="0"/>
                <w:color w:val="000000"/>
                <w:kern w:val="22"/>
                <w:szCs w:val="22"/>
              </w:rPr>
              <w:t>(Tursiops truncatus ponticus)</w:t>
            </w:r>
            <w:r w:rsidRPr="0088780C">
              <w:rPr>
                <w:rFonts w:eastAsia="MS Mincho"/>
                <w:snapToGrid w:val="0"/>
                <w:color w:val="000000"/>
                <w:kern w:val="22"/>
                <w:szCs w:val="22"/>
              </w:rPr>
              <w:t xml:space="preserve"> and </w:t>
            </w:r>
            <w:r w:rsidR="003D6ED2" w:rsidRPr="0088780C">
              <w:rPr>
                <w:rFonts w:eastAsia="MS Mincho"/>
                <w:snapToGrid w:val="0"/>
                <w:color w:val="000000"/>
                <w:kern w:val="22"/>
                <w:szCs w:val="22"/>
              </w:rPr>
              <w:t>harbour porpoise</w:t>
            </w:r>
            <w:r w:rsidRPr="0088780C">
              <w:rPr>
                <w:rFonts w:eastAsia="MS Mincho"/>
                <w:snapToGrid w:val="0"/>
                <w:color w:val="000000"/>
                <w:kern w:val="22"/>
                <w:szCs w:val="22"/>
              </w:rPr>
              <w:t xml:space="preserve">s </w:t>
            </w:r>
            <w:r w:rsidRPr="0088780C">
              <w:rPr>
                <w:rFonts w:eastAsia="MS Mincho"/>
                <w:i/>
                <w:snapToGrid w:val="0"/>
                <w:color w:val="000000"/>
                <w:kern w:val="22"/>
                <w:szCs w:val="22"/>
              </w:rPr>
              <w:t>(Phocoena phocoena relicta</w:t>
            </w:r>
            <w:r w:rsidRPr="0088780C">
              <w:rPr>
                <w:rFonts w:eastAsia="MS Mincho"/>
                <w:snapToGrid w:val="0"/>
                <w:color w:val="000000"/>
                <w:kern w:val="22"/>
                <w:szCs w:val="22"/>
              </w:rPr>
              <w:t xml:space="preserve">) and vulnerable common dolphin </w:t>
            </w:r>
            <w:r w:rsidRPr="0088780C">
              <w:rPr>
                <w:rFonts w:eastAsia="MS Mincho"/>
                <w:i/>
                <w:snapToGrid w:val="0"/>
                <w:color w:val="000000"/>
                <w:kern w:val="22"/>
                <w:szCs w:val="22"/>
              </w:rPr>
              <w:t>(Delphinus delphis ponticus).</w:t>
            </w:r>
          </w:p>
        </w:tc>
      </w:tr>
      <w:tr w:rsidR="00A876F3" w:rsidRPr="0088780C" w14:paraId="61BDE3D5" w14:textId="77777777" w:rsidTr="006972AD">
        <w:tc>
          <w:tcPr>
            <w:tcW w:w="779" w:type="pct"/>
            <w:shd w:val="clear" w:color="auto" w:fill="auto"/>
          </w:tcPr>
          <w:p w14:paraId="3A0F2C3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73210CE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55F8031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10" w:type="pct"/>
            <w:gridSpan w:val="2"/>
            <w:shd w:val="clear" w:color="auto" w:fill="auto"/>
          </w:tcPr>
          <w:p w14:paraId="269B137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2646D07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6" w:type="pct"/>
            <w:gridSpan w:val="2"/>
            <w:shd w:val="clear" w:color="auto" w:fill="auto"/>
          </w:tcPr>
          <w:p w14:paraId="05B73D7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r>
      <w:tr w:rsidR="00A876F3" w:rsidRPr="0088780C" w14:paraId="6D056DD7" w14:textId="77777777" w:rsidTr="006972AD">
        <w:tc>
          <w:tcPr>
            <w:tcW w:w="5000" w:type="pct"/>
            <w:gridSpan w:val="11"/>
            <w:shd w:val="clear" w:color="auto" w:fill="auto"/>
          </w:tcPr>
          <w:p w14:paraId="4CDA47E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r>
      <w:tr w:rsidR="00A876F3" w:rsidRPr="0088780C" w14:paraId="326C09FE" w14:textId="77777777" w:rsidTr="006972AD">
        <w:tc>
          <w:tcPr>
            <w:tcW w:w="779" w:type="pct"/>
            <w:shd w:val="clear" w:color="auto" w:fill="auto"/>
          </w:tcPr>
          <w:p w14:paraId="0453B3C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1A25086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19C01DD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p w14:paraId="7A46042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tc>
        <w:tc>
          <w:tcPr>
            <w:tcW w:w="410" w:type="pct"/>
            <w:gridSpan w:val="2"/>
            <w:shd w:val="clear" w:color="auto" w:fill="auto"/>
          </w:tcPr>
          <w:p w14:paraId="6B19D20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11" w:type="pct"/>
            <w:gridSpan w:val="2"/>
            <w:shd w:val="clear" w:color="auto" w:fill="auto"/>
          </w:tcPr>
          <w:p w14:paraId="589A9D8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436" w:type="pct"/>
            <w:gridSpan w:val="2"/>
            <w:shd w:val="clear" w:color="auto" w:fill="auto"/>
          </w:tcPr>
          <w:p w14:paraId="3E99EED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22AA734E" w14:textId="77777777" w:rsidTr="006972AD">
        <w:tc>
          <w:tcPr>
            <w:tcW w:w="5000" w:type="pct"/>
            <w:gridSpan w:val="11"/>
            <w:shd w:val="clear" w:color="auto" w:fill="auto"/>
          </w:tcPr>
          <w:p w14:paraId="75C819FB"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snapToGrid w:val="0"/>
                <w:color w:val="000000"/>
                <w:kern w:val="22"/>
                <w:szCs w:val="22"/>
                <w:u w:val="single"/>
              </w:rPr>
              <w:t>Fish species</w:t>
            </w:r>
            <w:r w:rsidRPr="0088780C">
              <w:rPr>
                <w:rFonts w:eastAsia="MS Mincho"/>
                <w:i/>
                <w:snapToGrid w:val="0"/>
                <w:color w:val="000000"/>
                <w:kern w:val="22"/>
                <w:szCs w:val="22"/>
              </w:rPr>
              <w:t>:</w:t>
            </w:r>
          </w:p>
          <w:p w14:paraId="1899A1A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Tub gurnard (</w:t>
            </w:r>
            <w:r w:rsidRPr="0088780C">
              <w:rPr>
                <w:rFonts w:eastAsia="MS Mincho"/>
                <w:i/>
                <w:snapToGrid w:val="0"/>
                <w:color w:val="000000"/>
                <w:kern w:val="22"/>
                <w:szCs w:val="22"/>
              </w:rPr>
              <w:t>Chelidonichthys lucerna</w:t>
            </w:r>
            <w:r w:rsidRPr="0088780C">
              <w:rPr>
                <w:rFonts w:eastAsia="MS Mincho"/>
                <w:snapToGrid w:val="0"/>
                <w:color w:val="000000"/>
                <w:kern w:val="22"/>
                <w:szCs w:val="22"/>
              </w:rPr>
              <w:t xml:space="preserve">) </w:t>
            </w:r>
          </w:p>
          <w:p w14:paraId="58DC4E7A"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Gar fish </w:t>
            </w:r>
            <w:r w:rsidRPr="0088780C">
              <w:rPr>
                <w:rFonts w:eastAsia="MS Mincho"/>
                <w:i/>
                <w:snapToGrid w:val="0"/>
                <w:color w:val="000000"/>
                <w:kern w:val="22"/>
                <w:szCs w:val="22"/>
              </w:rPr>
              <w:t>(Belone belone euxini)</w:t>
            </w:r>
          </w:p>
          <w:p w14:paraId="16BB75F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Black Sea turbot (</w:t>
            </w:r>
            <w:r w:rsidRPr="0088780C">
              <w:rPr>
                <w:rFonts w:eastAsia="MS Mincho"/>
                <w:i/>
                <w:snapToGrid w:val="0"/>
                <w:color w:val="000000"/>
                <w:kern w:val="22"/>
                <w:szCs w:val="22"/>
              </w:rPr>
              <w:t>Scophthalmus maeoticus)</w:t>
            </w:r>
          </w:p>
          <w:p w14:paraId="30AA325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Black Sea shad (</w:t>
            </w:r>
            <w:r w:rsidRPr="0088780C">
              <w:rPr>
                <w:rFonts w:eastAsia="MS Mincho"/>
                <w:i/>
                <w:snapToGrid w:val="0"/>
                <w:color w:val="000000"/>
                <w:kern w:val="22"/>
                <w:szCs w:val="22"/>
              </w:rPr>
              <w:t>Alosa maeotica</w:t>
            </w:r>
            <w:r w:rsidRPr="0088780C">
              <w:rPr>
                <w:rFonts w:eastAsia="MS Mincho"/>
                <w:snapToGrid w:val="0"/>
                <w:color w:val="000000"/>
                <w:kern w:val="22"/>
                <w:szCs w:val="22"/>
              </w:rPr>
              <w:t>)</w:t>
            </w:r>
          </w:p>
          <w:p w14:paraId="0C592B3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Black sea salmon (</w:t>
            </w:r>
            <w:r w:rsidRPr="0088780C">
              <w:rPr>
                <w:rFonts w:eastAsia="MS Mincho"/>
                <w:i/>
                <w:snapToGrid w:val="0"/>
                <w:color w:val="000000"/>
                <w:kern w:val="22"/>
                <w:szCs w:val="22"/>
              </w:rPr>
              <w:t>Salmo labrax</w:t>
            </w:r>
            <w:r w:rsidRPr="0088780C">
              <w:rPr>
                <w:rFonts w:eastAsia="MS Mincho"/>
                <w:snapToGrid w:val="0"/>
                <w:color w:val="000000"/>
                <w:kern w:val="22"/>
                <w:szCs w:val="22"/>
              </w:rPr>
              <w:t>)</w:t>
            </w:r>
          </w:p>
          <w:p w14:paraId="53DC8685"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color w:val="222222"/>
                <w:kern w:val="22"/>
                <w:szCs w:val="22"/>
                <w:shd w:val="clear" w:color="auto" w:fill="FFFFFF"/>
              </w:rPr>
              <w:t>The</w:t>
            </w:r>
            <w:r w:rsidRPr="0088780C">
              <w:rPr>
                <w:rStyle w:val="apple-converted-space"/>
                <w:snapToGrid w:val="0"/>
                <w:color w:val="222222"/>
                <w:kern w:val="22"/>
                <w:szCs w:val="22"/>
                <w:shd w:val="clear" w:color="auto" w:fill="FFFFFF"/>
              </w:rPr>
              <w:t> </w:t>
            </w:r>
            <w:r w:rsidRPr="0088780C">
              <w:rPr>
                <w:snapToGrid w:val="0"/>
                <w:color w:val="222222"/>
                <w:kern w:val="22"/>
                <w:szCs w:val="22"/>
                <w:shd w:val="clear" w:color="auto" w:fill="FFFFFF"/>
              </w:rPr>
              <w:t>round goby</w:t>
            </w:r>
            <w:r w:rsidRPr="0088780C">
              <w:rPr>
                <w:rFonts w:eastAsia="MS Mincho"/>
                <w:snapToGrid w:val="0"/>
                <w:color w:val="000000"/>
                <w:kern w:val="22"/>
                <w:szCs w:val="22"/>
              </w:rPr>
              <w:t xml:space="preserve"> (</w:t>
            </w:r>
            <w:r w:rsidRPr="0088780C">
              <w:rPr>
                <w:rFonts w:eastAsia="MS Mincho"/>
                <w:i/>
                <w:snapToGrid w:val="0"/>
                <w:color w:val="000000"/>
                <w:kern w:val="22"/>
                <w:szCs w:val="22"/>
              </w:rPr>
              <w:t>Neogobius melanostomus</w:t>
            </w:r>
            <w:r w:rsidRPr="0088780C">
              <w:rPr>
                <w:rFonts w:eastAsia="MS Mincho"/>
                <w:snapToGrid w:val="0"/>
                <w:color w:val="000000"/>
                <w:kern w:val="22"/>
                <w:szCs w:val="22"/>
              </w:rPr>
              <w:t xml:space="preserve"> ) (NT, IUCN)</w:t>
            </w:r>
          </w:p>
          <w:p w14:paraId="4E21817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Seahorse (</w:t>
            </w:r>
            <w:r w:rsidRPr="0088780C">
              <w:rPr>
                <w:rFonts w:eastAsia="MS Mincho"/>
                <w:i/>
                <w:snapToGrid w:val="0"/>
                <w:color w:val="000000"/>
                <w:kern w:val="22"/>
                <w:szCs w:val="22"/>
              </w:rPr>
              <w:t>Hippocampus guttulatus</w:t>
            </w:r>
            <w:r w:rsidRPr="0088780C">
              <w:rPr>
                <w:rFonts w:eastAsia="MS Mincho"/>
                <w:snapToGrid w:val="0"/>
                <w:color w:val="000000"/>
                <w:kern w:val="22"/>
                <w:szCs w:val="22"/>
              </w:rPr>
              <w:t>)  (NT, IUCN)</w:t>
            </w:r>
          </w:p>
          <w:p w14:paraId="7670BAAC"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Scorpion fish (</w:t>
            </w:r>
            <w:r w:rsidRPr="0088780C">
              <w:rPr>
                <w:rFonts w:eastAsia="MS Mincho"/>
                <w:i/>
                <w:snapToGrid w:val="0"/>
                <w:color w:val="000000"/>
                <w:kern w:val="22"/>
                <w:szCs w:val="22"/>
              </w:rPr>
              <w:t>Scorpaena porcus</w:t>
            </w:r>
            <w:r w:rsidRPr="0088780C">
              <w:rPr>
                <w:rFonts w:eastAsia="MS Mincho"/>
                <w:snapToGrid w:val="0"/>
                <w:color w:val="000000"/>
                <w:kern w:val="22"/>
                <w:szCs w:val="22"/>
              </w:rPr>
              <w:t>)</w:t>
            </w:r>
          </w:p>
          <w:p w14:paraId="5DB64FC5" w14:textId="16B3858D"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Pe</w:t>
            </w:r>
            <w:r w:rsidR="003A2926" w:rsidRPr="0088780C">
              <w:rPr>
                <w:rFonts w:eastAsia="MS Mincho"/>
                <w:snapToGrid w:val="0"/>
                <w:color w:val="000000"/>
                <w:kern w:val="22"/>
                <w:szCs w:val="22"/>
              </w:rPr>
              <w:t>acock wrasse (Symphodus tinca),</w:t>
            </w:r>
          </w:p>
          <w:p w14:paraId="361F1900" w14:textId="1749C4F2"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Ocellated wrasse (</w:t>
            </w:r>
            <w:r w:rsidRPr="0088780C">
              <w:rPr>
                <w:rFonts w:eastAsia="MS Mincho"/>
                <w:i/>
                <w:snapToGrid w:val="0"/>
                <w:color w:val="000000"/>
                <w:kern w:val="22"/>
                <w:szCs w:val="22"/>
              </w:rPr>
              <w:t>Symphodus ocellatus</w:t>
            </w:r>
            <w:r w:rsidR="003A2926" w:rsidRPr="0088780C">
              <w:rPr>
                <w:rFonts w:eastAsia="MS Mincho"/>
                <w:snapToGrid w:val="0"/>
                <w:color w:val="000000"/>
                <w:kern w:val="22"/>
                <w:szCs w:val="22"/>
              </w:rPr>
              <w:t>)</w:t>
            </w:r>
          </w:p>
          <w:p w14:paraId="620EE612" w14:textId="3DFFFA32"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Triplefin (</w:t>
            </w:r>
            <w:r w:rsidRPr="0088780C">
              <w:rPr>
                <w:rFonts w:eastAsia="MS Mincho"/>
                <w:i/>
                <w:snapToGrid w:val="0"/>
                <w:color w:val="000000"/>
                <w:kern w:val="22"/>
                <w:szCs w:val="22"/>
              </w:rPr>
              <w:t>Tripterygion tripteronotus</w:t>
            </w:r>
            <w:r w:rsidR="003A2926" w:rsidRPr="0088780C">
              <w:rPr>
                <w:rFonts w:eastAsia="MS Mincho"/>
                <w:snapToGrid w:val="0"/>
                <w:color w:val="000000"/>
                <w:kern w:val="22"/>
                <w:szCs w:val="22"/>
              </w:rPr>
              <w:t>)</w:t>
            </w:r>
          </w:p>
          <w:p w14:paraId="709D2EE8" w14:textId="255CBA01"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Damselfish (</w:t>
            </w:r>
            <w:r w:rsidRPr="0088780C">
              <w:rPr>
                <w:rFonts w:eastAsia="MS Mincho"/>
                <w:i/>
                <w:snapToGrid w:val="0"/>
                <w:color w:val="000000"/>
                <w:kern w:val="22"/>
                <w:szCs w:val="22"/>
              </w:rPr>
              <w:t>Chromis chromis</w:t>
            </w:r>
            <w:r w:rsidR="003A2926" w:rsidRPr="0088780C">
              <w:rPr>
                <w:rFonts w:eastAsia="MS Mincho"/>
                <w:snapToGrid w:val="0"/>
                <w:color w:val="000000"/>
                <w:kern w:val="22"/>
                <w:szCs w:val="22"/>
              </w:rPr>
              <w:t>)</w:t>
            </w:r>
          </w:p>
          <w:p w14:paraId="591D697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Brown meagre (</w:t>
            </w:r>
            <w:r w:rsidRPr="0088780C">
              <w:rPr>
                <w:rFonts w:eastAsia="MS Mincho"/>
                <w:i/>
                <w:snapToGrid w:val="0"/>
                <w:color w:val="000000"/>
                <w:kern w:val="22"/>
                <w:szCs w:val="22"/>
              </w:rPr>
              <w:t>Sciaena umbra</w:t>
            </w:r>
            <w:r w:rsidRPr="0088780C">
              <w:rPr>
                <w:rFonts w:eastAsia="MS Mincho"/>
                <w:snapToGrid w:val="0"/>
                <w:color w:val="000000"/>
                <w:kern w:val="22"/>
                <w:szCs w:val="22"/>
              </w:rPr>
              <w:t>)</w:t>
            </w:r>
          </w:p>
          <w:p w14:paraId="58643613"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 (Ninua et al., 2013)</w:t>
            </w:r>
          </w:p>
          <w:p w14:paraId="177B5F0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u w:val="single"/>
              </w:rPr>
              <w:t>Bird species</w:t>
            </w:r>
            <w:r w:rsidRPr="0088780C">
              <w:rPr>
                <w:rFonts w:eastAsia="MS Mincho"/>
                <w:snapToGrid w:val="0"/>
                <w:color w:val="000000"/>
                <w:kern w:val="22"/>
                <w:szCs w:val="22"/>
              </w:rPr>
              <w:t>:</w:t>
            </w:r>
          </w:p>
          <w:p w14:paraId="72FA61F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Gulls, cormorants, grebes, yelkouan shearwater (BirdLife International)</w:t>
            </w:r>
          </w:p>
          <w:p w14:paraId="0A8E392C"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u w:val="single"/>
              </w:rPr>
            </w:pPr>
            <w:r w:rsidRPr="0088780C">
              <w:rPr>
                <w:rFonts w:eastAsia="MS Mincho"/>
                <w:snapToGrid w:val="0"/>
                <w:color w:val="000000"/>
                <w:kern w:val="22"/>
                <w:szCs w:val="22"/>
                <w:u w:val="single"/>
              </w:rPr>
              <w:t>Marine mammals:</w:t>
            </w:r>
          </w:p>
          <w:p w14:paraId="0D34160B" w14:textId="4528E4BE"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Bottlenose dolphins, common dolphins and </w:t>
            </w:r>
            <w:r w:rsidR="003D6ED2" w:rsidRPr="0088780C">
              <w:rPr>
                <w:rFonts w:eastAsia="MS Mincho"/>
                <w:snapToGrid w:val="0"/>
                <w:color w:val="000000"/>
                <w:kern w:val="22"/>
                <w:szCs w:val="22"/>
              </w:rPr>
              <w:t>harbour porpoise</w:t>
            </w:r>
            <w:r w:rsidRPr="0088780C">
              <w:rPr>
                <w:rFonts w:eastAsia="MS Mincho"/>
                <w:snapToGrid w:val="0"/>
                <w:color w:val="000000"/>
                <w:kern w:val="22"/>
                <w:szCs w:val="22"/>
              </w:rPr>
              <w:t>s</w:t>
            </w:r>
          </w:p>
          <w:p w14:paraId="223E5B4C"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u w:val="single"/>
              </w:rPr>
              <w:t>Other species</w:t>
            </w:r>
            <w:r w:rsidRPr="0088780C">
              <w:rPr>
                <w:rFonts w:eastAsia="MS Mincho"/>
                <w:snapToGrid w:val="0"/>
                <w:color w:val="000000"/>
                <w:kern w:val="22"/>
                <w:szCs w:val="22"/>
              </w:rPr>
              <w:t>:</w:t>
            </w:r>
          </w:p>
          <w:p w14:paraId="4D41280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Bivalves, polyps (</w:t>
            </w:r>
            <w:r w:rsidRPr="0088780C">
              <w:rPr>
                <w:rFonts w:eastAsia="MS Mincho"/>
                <w:i/>
                <w:snapToGrid w:val="0"/>
                <w:color w:val="000000"/>
                <w:kern w:val="22"/>
                <w:szCs w:val="22"/>
              </w:rPr>
              <w:t>Actinia equina</w:t>
            </w:r>
            <w:r w:rsidRPr="0088780C">
              <w:rPr>
                <w:rFonts w:eastAsia="MS Mincho"/>
                <w:snapToGrid w:val="0"/>
                <w:color w:val="000000"/>
                <w:kern w:val="22"/>
                <w:szCs w:val="22"/>
              </w:rPr>
              <w:t xml:space="preserve">); ascidians, crustaceans </w:t>
            </w:r>
            <w:r w:rsidRPr="0088780C">
              <w:rPr>
                <w:rFonts w:eastAsia="MS Mincho"/>
                <w:i/>
                <w:snapToGrid w:val="0"/>
                <w:color w:val="000000"/>
                <w:kern w:val="22"/>
                <w:szCs w:val="22"/>
              </w:rPr>
              <w:t>(Pachygrapsus marmoratus, Clibanarius erythropus, Eriphia verrucosa, Palaemon elegans etc.),</w:t>
            </w:r>
            <w:r w:rsidRPr="0088780C">
              <w:rPr>
                <w:rFonts w:eastAsia="MS Mincho"/>
                <w:snapToGrid w:val="0"/>
                <w:color w:val="000000"/>
                <w:kern w:val="22"/>
                <w:szCs w:val="22"/>
              </w:rPr>
              <w:t xml:space="preserve"> (Gurielidze et al. 2012)</w:t>
            </w:r>
          </w:p>
          <w:p w14:paraId="57A9A84D" w14:textId="715881F1"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tc>
      </w:tr>
      <w:tr w:rsidR="00A876F3" w:rsidRPr="0088780C" w14:paraId="322F26E8" w14:textId="77777777" w:rsidTr="006972AD">
        <w:tc>
          <w:tcPr>
            <w:tcW w:w="783" w:type="pct"/>
            <w:shd w:val="clear" w:color="auto" w:fill="auto"/>
          </w:tcPr>
          <w:p w14:paraId="00164F4E"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72ED2040"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0DFB2AF2"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tc>
        <w:tc>
          <w:tcPr>
            <w:tcW w:w="453" w:type="pct"/>
            <w:gridSpan w:val="2"/>
            <w:shd w:val="clear" w:color="auto" w:fill="auto"/>
          </w:tcPr>
          <w:p w14:paraId="77AB3232"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tc>
        <w:tc>
          <w:tcPr>
            <w:tcW w:w="400" w:type="pct"/>
            <w:gridSpan w:val="2"/>
            <w:shd w:val="clear" w:color="auto" w:fill="auto"/>
          </w:tcPr>
          <w:p w14:paraId="7DB18F6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c>
          <w:tcPr>
            <w:tcW w:w="385" w:type="pct"/>
            <w:shd w:val="clear" w:color="auto" w:fill="auto"/>
          </w:tcPr>
          <w:p w14:paraId="1FD7BB0A"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tc>
      </w:tr>
      <w:tr w:rsidR="00A876F3" w:rsidRPr="0088780C" w14:paraId="63E6D31F" w14:textId="77777777" w:rsidTr="006972AD">
        <w:tc>
          <w:tcPr>
            <w:tcW w:w="5000" w:type="pct"/>
            <w:gridSpan w:val="11"/>
            <w:shd w:val="clear" w:color="auto" w:fill="auto"/>
          </w:tcPr>
          <w:p w14:paraId="55F45591"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rPr>
            </w:pPr>
            <w:r w:rsidRPr="0088780C">
              <w:rPr>
                <w:rFonts w:eastAsia="MS Mincho"/>
                <w:i/>
                <w:snapToGrid w:val="0"/>
                <w:color w:val="000000"/>
                <w:kern w:val="22"/>
                <w:szCs w:val="22"/>
              </w:rPr>
              <w:t>Explanation for ranking</w:t>
            </w:r>
          </w:p>
          <w:p w14:paraId="198379DD" w14:textId="6B7DE2A0"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located near populated places—Kvariati and Sarpi—but bordered by steep rocks and protected from human influence.</w:t>
            </w:r>
          </w:p>
        </w:tc>
      </w:tr>
    </w:tbl>
    <w:p w14:paraId="293E432D"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rPr>
      </w:pPr>
    </w:p>
    <w:p w14:paraId="54A3D2F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BE026DE" w14:textId="77777777" w:rsidR="00A876F3" w:rsidRPr="0088780C" w:rsidRDefault="00A876F3" w:rsidP="003A2926">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513FD8C8"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Akhalkatsi M. 2010. Habitats of Georgia. Natura 2000. Tbilisi.</w:t>
      </w:r>
    </w:p>
    <w:p w14:paraId="196C4B19"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Anderson, O.R.J., Small, C., Croxall, J.P., Dunn, E.K., Sullivan, B.J., Yates, O. &amp; Black, A., 2011. Global seabird bycatch in longline fisheries. Endangered Species Research 14: 91–106.</w:t>
      </w:r>
    </w:p>
    <w:p w14:paraId="6A89BAC6"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 xml:space="preserve">BirdLife International, 2017a. Important Bird Areas factsheet: Chorokhi Delta. Downloaded from </w:t>
      </w:r>
      <w:hyperlink r:id="rId196" w:history="1">
        <w:r w:rsidRPr="0088780C">
          <w:rPr>
            <w:rStyle w:val="Hyperlink"/>
            <w:rFonts w:eastAsia="MS Mincho"/>
            <w:bCs/>
            <w:snapToGrid w:val="0"/>
            <w:kern w:val="22"/>
            <w:szCs w:val="22"/>
          </w:rPr>
          <w:t>http://datazone.birdlife.org/site/factsheet/45505 on 26/04/2017</w:t>
        </w:r>
      </w:hyperlink>
      <w:r w:rsidRPr="0088780C">
        <w:rPr>
          <w:rFonts w:eastAsia="MS Mincho"/>
          <w:bCs/>
          <w:snapToGrid w:val="0"/>
          <w:color w:val="000000"/>
          <w:kern w:val="22"/>
          <w:szCs w:val="22"/>
        </w:rPr>
        <w:t>.</w:t>
      </w:r>
    </w:p>
    <w:p w14:paraId="40CF1CB7"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 xml:space="preserve">BirdLife International, 2017b. Species factsheet: </w:t>
      </w:r>
      <w:r w:rsidRPr="0088780C">
        <w:rPr>
          <w:rFonts w:eastAsia="MS Mincho"/>
          <w:bCs/>
          <w:i/>
          <w:snapToGrid w:val="0"/>
          <w:color w:val="000000"/>
          <w:kern w:val="22"/>
          <w:szCs w:val="22"/>
        </w:rPr>
        <w:t>Puffinus yelkouan</w:t>
      </w:r>
      <w:r w:rsidRPr="0088780C">
        <w:rPr>
          <w:rFonts w:eastAsia="MS Mincho"/>
          <w:bCs/>
          <w:snapToGrid w:val="0"/>
          <w:color w:val="000000"/>
          <w:kern w:val="22"/>
          <w:szCs w:val="22"/>
        </w:rPr>
        <w:t>. Downloaded from http://www.birdlife.org on 10/03/2017.</w:t>
      </w:r>
    </w:p>
    <w:p w14:paraId="648D69B3"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BirdLife International, 2017c. Species factsheet: Melanittafusca. Downloaded from http://www.birdlife.org on 10/03/2017.</w:t>
      </w:r>
    </w:p>
    <w:p w14:paraId="201CF456"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Doğa Derneği. 2014. Black Sea Seabirds Project Layman’s Report, Istanbul.</w:t>
      </w:r>
    </w:p>
    <w:p w14:paraId="11D647D5"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Gurielidze, Z., Kopaliani, N., Devidze, N., Shakarashvili, M. and Javakhishvili, Z. 2012. Black Sea Analysis. Situation Analyses. Supported by German Agency for International Cooperation/ Die Deutsche Gesellschaft für Internationale Zusammenarbeit) (GIZ). NBSAP Implementation.</w:t>
      </w:r>
    </w:p>
    <w:p w14:paraId="648E7FE2"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Gurielidze Z 2012. S7. Extension of Marine Habitats. Report for GIZ (German Agency for International Cooperation/ Die Deutsche Gesellschaft für Internationale Zusammenarbeit)</w:t>
      </w:r>
    </w:p>
    <w:p w14:paraId="49CCE235"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Kopaliani, N., Guielidze, Z., Devidze, N., Shakarashvili, M. 2016. Action Plan for the Conservation of Black Sea Cetacean. Supported by Kolkheti National Fund. Adopted by Ministry of Natural Resources and Environment Protection of Georgia.</w:t>
      </w:r>
    </w:p>
    <w:p w14:paraId="540EF4AD"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Ninua N., Japoshvili B., Bochorishvili V. 2013. Fishes of Georgia. Tbilisi, pp. 1-180. ISBN 978-9941</w:t>
      </w:r>
    </w:p>
    <w:p w14:paraId="5CCD807D"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Oppel S., Raine, A.F., Borg, J.J., Raine, H., Bonnaud, E., Bourgeois, K., Breton, AR., 2011. Is the Yelkouan shearwater Puffinus yelkouan threatened by low adult survival probabilities? Biological Conservation 114: 2255- 2263.</w:t>
      </w:r>
    </w:p>
    <w:p w14:paraId="52C72DFA"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Péron, C., Grémillet, D., Prudor, A., Pettex, E., Saraux, C., Soriano-Redondo, A., Authier, M., Fort J., 2013. Importance of coastal Marine Protected Areas for the conservation of pelagic seabirds: The case of Vulnerable yelkouan shearwaters in the Mediterranean Sea. Biological Conservation 168: 210-221.</w:t>
      </w:r>
    </w:p>
    <w:p w14:paraId="3E3B9F3F" w14:textId="77777777"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Raine, A.F., Borg, J.J., Raine, H., Phillips, R.A., 2012. Migration strategies of the Yelkouan Shearwater Puffinusyelkouan. Journal of Ornithology 154: 411-422.</w:t>
      </w:r>
    </w:p>
    <w:p w14:paraId="1058FC0C" w14:textId="1084BE8E" w:rsidR="00A876F3" w:rsidRPr="0088780C" w:rsidRDefault="00A876F3" w:rsidP="003A2926">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Ryabushko A., Prazukin V., Popova E., Nekhoroshev M. 2014. Fucoxanthin of the brown alga Cystoseira barbata (Stackh.) C. Agardh from the Black Sea.J. Black Sea/Mediterranean Environment. Vol. 20, No. 2: 108˗113 (2014)</w:t>
      </w:r>
      <w:r w:rsidR="003A2926" w:rsidRPr="0088780C">
        <w:rPr>
          <w:rFonts w:eastAsia="MS Mincho"/>
          <w:snapToGrid w:val="0"/>
          <w:kern w:val="22"/>
          <w:szCs w:val="22"/>
        </w:rPr>
        <w:t>.</w:t>
      </w:r>
    </w:p>
    <w:p w14:paraId="40CA08C3" w14:textId="4F8F154B"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Seabird Tracking Database 2017. Tracking Ocean Wanderers – BirdLife Seabird Tracking Database www. http://seabirdtracking.org/, accessed on 10/03/2017</w:t>
      </w:r>
      <w:r w:rsidR="003A2926" w:rsidRPr="0088780C">
        <w:rPr>
          <w:rFonts w:eastAsia="MS Mincho"/>
          <w:bCs/>
          <w:snapToGrid w:val="0"/>
          <w:color w:val="000000"/>
          <w:kern w:val="22"/>
          <w:szCs w:val="22"/>
        </w:rPr>
        <w:t>.</w:t>
      </w:r>
    </w:p>
    <w:p w14:paraId="21BF07B8" w14:textId="3F30BD11" w:rsidR="00A876F3" w:rsidRPr="0088780C" w:rsidRDefault="00A876F3" w:rsidP="003A2926">
      <w:pPr>
        <w:suppressLineNumbers/>
        <w:suppressAutoHyphens/>
        <w:kinsoku w:val="0"/>
        <w:overflowPunct w:val="0"/>
        <w:autoSpaceDE w:val="0"/>
        <w:autoSpaceDN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Snigirov S, Medinets V, Chichkin V and Sylantyev S. 2013.</w:t>
      </w:r>
      <w:r w:rsidRPr="0088780C">
        <w:rPr>
          <w:snapToGrid w:val="0"/>
          <w:kern w:val="22"/>
          <w:szCs w:val="22"/>
        </w:rPr>
        <w:t xml:space="preserve"> </w:t>
      </w:r>
      <w:r w:rsidRPr="0088780C">
        <w:rPr>
          <w:rFonts w:eastAsia="MS Mincho"/>
          <w:bCs/>
          <w:snapToGrid w:val="0"/>
          <w:color w:val="000000"/>
          <w:kern w:val="22"/>
          <w:szCs w:val="22"/>
        </w:rPr>
        <w:t>Rapa whelk controls demersal community structure off Zmiinyi Island, Black Sea. Aquatic Invasions (2013) Volume 8, Issue 3: 289–297 doi: http://dx.doi.org/10.3391/ai.2013.8.3.05</w:t>
      </w:r>
      <w:r w:rsidR="003A2926" w:rsidRPr="0088780C">
        <w:rPr>
          <w:rFonts w:eastAsia="MS Mincho"/>
          <w:bCs/>
          <w:snapToGrid w:val="0"/>
          <w:color w:val="000000"/>
          <w:kern w:val="22"/>
          <w:szCs w:val="22"/>
        </w:rPr>
        <w:t>.</w:t>
      </w:r>
    </w:p>
    <w:p w14:paraId="3897E06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3587CE7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3608944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22D5AF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78C6149D" wp14:editId="6211C5B1">
            <wp:extent cx="5486400" cy="4572000"/>
            <wp:effectExtent l="0" t="0" r="0" b="0"/>
            <wp:docPr id="64564" name="Picture 64564" descr="C:\Users\grekin\AppData\Local\Microsoft\Windows\Temporary Internet Files\Content.Word\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grekin\AppData\Local\Microsoft\Windows\Temporary Internet Files\Content.Word\13.png"/>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210749D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p>
    <w:p w14:paraId="2FA77E1E" w14:textId="1FDADCAD" w:rsidR="007A35AB" w:rsidRPr="0088780C" w:rsidRDefault="007A35AB">
      <w:pPr>
        <w:jc w:val="left"/>
        <w:rPr>
          <w:rFonts w:eastAsia="MS Mincho"/>
          <w:bCs/>
          <w:snapToGrid w:val="0"/>
          <w:color w:val="000000"/>
          <w:kern w:val="22"/>
          <w:szCs w:val="22"/>
        </w:rPr>
      </w:pPr>
      <w:r w:rsidRPr="0088780C">
        <w:rPr>
          <w:rFonts w:eastAsia="MS Mincho"/>
          <w:bCs/>
          <w:snapToGrid w:val="0"/>
          <w:color w:val="000000"/>
          <w:kern w:val="22"/>
          <w:szCs w:val="22"/>
        </w:rPr>
        <w:br w:type="page"/>
      </w:r>
    </w:p>
    <w:p w14:paraId="4F7C23F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87D5F4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5ED9FE7A" wp14:editId="6C046CBA">
            <wp:extent cx="5760085" cy="3493770"/>
            <wp:effectExtent l="19050" t="0" r="0" b="0"/>
            <wp:docPr id="4120" name="Picture 1" descr="sarpi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rpi0001.jpg"/>
                    <pic:cNvPicPr/>
                  </pic:nvPicPr>
                  <pic:blipFill>
                    <a:blip r:embed="rId198"/>
                    <a:stretch>
                      <a:fillRect/>
                    </a:stretch>
                  </pic:blipFill>
                  <pic:spPr>
                    <a:xfrm>
                      <a:off x="0" y="0"/>
                      <a:ext cx="5760085" cy="3493770"/>
                    </a:xfrm>
                    <a:prstGeom prst="rect">
                      <a:avLst/>
                    </a:prstGeom>
                  </pic:spPr>
                </pic:pic>
              </a:graphicData>
            </a:graphic>
          </wp:inline>
        </w:drawing>
      </w:r>
    </w:p>
    <w:p w14:paraId="2CBBF8E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247DFC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 2. Dolphin distribution in the Sarpi area</w:t>
      </w:r>
    </w:p>
    <w:p w14:paraId="29A3986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419876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626B21F3" w14:textId="6B5608EA" w:rsidR="00A876F3" w:rsidRPr="0088780C" w:rsidRDefault="00A876F3" w:rsidP="001013AF">
      <w:pPr>
        <w:suppressLineNumbers/>
        <w:tabs>
          <w:tab w:val="left" w:pos="7890"/>
        </w:tab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14: </w:t>
      </w:r>
      <w:r w:rsidRPr="0088780C">
        <w:rPr>
          <w:b/>
          <w:snapToGrid w:val="0"/>
          <w:kern w:val="22"/>
          <w:szCs w:val="22"/>
        </w:rPr>
        <w:t>Artvin-Arhavi</w:t>
      </w:r>
    </w:p>
    <w:p w14:paraId="43024A5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9EA7DA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Abstract</w:t>
      </w:r>
    </w:p>
    <w:p w14:paraId="43E3B3F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area is mainly important for marine pelagic and demersal fish species and cetacean species. </w:t>
      </w:r>
      <w:r w:rsidRPr="0088780C">
        <w:rPr>
          <w:snapToGrid w:val="0"/>
          <w:kern w:val="22"/>
          <w:szCs w:val="22"/>
        </w:rPr>
        <w:t xml:space="preserve">In terms of birds, the area overlaps with a marine </w:t>
      </w:r>
      <w:r w:rsidRPr="0088780C">
        <w:rPr>
          <w:rFonts w:eastAsia="MS Mincho"/>
          <w:snapToGrid w:val="0"/>
          <w:kern w:val="22"/>
          <w:szCs w:val="22"/>
        </w:rPr>
        <w:t xml:space="preserve">Important Bird and Biodiversity Area; this IBA is of regional importance for two seabird species: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xml:space="preserve">. A third species is also known to occur: mew gull </w:t>
      </w:r>
      <w:r w:rsidRPr="0088780C">
        <w:rPr>
          <w:rFonts w:eastAsia="MS Mincho"/>
          <w:i/>
          <w:snapToGrid w:val="0"/>
          <w:kern w:val="22"/>
          <w:szCs w:val="22"/>
        </w:rPr>
        <w:t>Larus canus</w:t>
      </w:r>
      <w:r w:rsidRPr="0088780C">
        <w:rPr>
          <w:rFonts w:eastAsia="MS Mincho"/>
          <w:snapToGrid w:val="0"/>
          <w:kern w:val="22"/>
          <w:szCs w:val="22"/>
        </w:rPr>
        <w:t xml:space="preserve">. </w:t>
      </w:r>
      <w:r w:rsidRPr="0088780C">
        <w:rPr>
          <w:snapToGrid w:val="0"/>
          <w:kern w:val="22"/>
          <w:szCs w:val="22"/>
        </w:rPr>
        <w:t>Harbour porpoises have been found all along the Turkish Black Sea coast and are especially abundant along the eastern coast, where several rivers enter the Black Sea.</w:t>
      </w:r>
    </w:p>
    <w:p w14:paraId="117C7A2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F66049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Introduction</w:t>
      </w:r>
    </w:p>
    <w:p w14:paraId="37CA6B45" w14:textId="39471AE4"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rFonts w:eastAsia="MS Mincho"/>
          <w:snapToGrid w:val="0"/>
          <w:kern w:val="22"/>
          <w:sz w:val="22"/>
          <w:szCs w:val="22"/>
          <w:lang w:val="en-GB"/>
        </w:rPr>
        <w:t xml:space="preserve">Artvin Arhavi is a town within the district of Artvin, Turkey, located in the eastern part of the Black Sea. </w:t>
      </w:r>
      <w:r w:rsidRPr="0088780C">
        <w:rPr>
          <w:snapToGrid w:val="0"/>
          <w:color w:val="222222"/>
          <w:kern w:val="22"/>
          <w:sz w:val="22"/>
          <w:szCs w:val="22"/>
          <w:shd w:val="clear" w:color="auto" w:fill="FFFFFF"/>
          <w:lang w:val="en-GB"/>
        </w:rPr>
        <w:t>The coast is about 10 km long. The climate i</w:t>
      </w:r>
      <w:r w:rsidRPr="0088780C">
        <w:rPr>
          <w:snapToGrid w:val="0"/>
          <w:color w:val="222222"/>
          <w:kern w:val="22"/>
          <w:sz w:val="22"/>
          <w:szCs w:val="22"/>
          <w:lang w:val="en-GB"/>
        </w:rPr>
        <w:t xml:space="preserve">s typical of the Black Sea, with warm summers and cool winters. Mean sea surface temperature is considerably different from the western part of the sea due to </w:t>
      </w:r>
      <w:r w:rsidRPr="0088780C">
        <w:rPr>
          <w:snapToGrid w:val="0"/>
          <w:kern w:val="22"/>
          <w:sz w:val="22"/>
          <w:szCs w:val="22"/>
          <w:lang w:val="en-GB"/>
        </w:rPr>
        <w:t>the greater exposure of the western Black Sea to the cold air outbreaks from continental Europe, whereas the eastern basin is protected from such cold outbreaks by the mountain chains along the southern and eastern coastlines. The relatively deep interior part of the sea is also slightly cooler than the peripheral zone due to the persistent upwelling motion associated with the cyclonic circulation system (</w:t>
      </w:r>
      <w:hyperlink r:id="rId199" w:history="1">
        <w:r w:rsidRPr="0088780C">
          <w:rPr>
            <w:rStyle w:val="Hyperlink"/>
            <w:snapToGrid w:val="0"/>
            <w:kern w:val="22"/>
            <w:sz w:val="22"/>
            <w:szCs w:val="22"/>
            <w:lang w:val="en-GB"/>
          </w:rPr>
          <w:t>http://giovanni.sci.gsfc.nasa.gov</w:t>
        </w:r>
      </w:hyperlink>
      <w:r w:rsidR="006F2992" w:rsidRPr="0088780C">
        <w:rPr>
          <w:snapToGrid w:val="0"/>
          <w:kern w:val="22"/>
          <w:sz w:val="22"/>
          <w:szCs w:val="22"/>
          <w:lang w:val="en-GB"/>
        </w:rPr>
        <w:t>, 2017).</w:t>
      </w:r>
    </w:p>
    <w:p w14:paraId="77DF64A5" w14:textId="77777777" w:rsidR="006F2992" w:rsidRPr="0088780C" w:rsidRDefault="006F2992"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6B82173F" w14:textId="5EA0F16B"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In terms of cetaceans, the primary overwintering area of common dolphin is the </w:t>
      </w:r>
      <w:r w:rsidR="00953367" w:rsidRPr="0088780C">
        <w:rPr>
          <w:snapToGrid w:val="0"/>
          <w:kern w:val="22"/>
          <w:sz w:val="22"/>
          <w:szCs w:val="22"/>
          <w:lang w:val="en-GB"/>
        </w:rPr>
        <w:t>south-east</w:t>
      </w:r>
      <w:r w:rsidRPr="0088780C">
        <w:rPr>
          <w:snapToGrid w:val="0"/>
          <w:kern w:val="22"/>
          <w:sz w:val="22"/>
          <w:szCs w:val="22"/>
          <w:lang w:val="en-GB"/>
        </w:rPr>
        <w:t>ern Black Sea (Birkun 2008). According to Birkun (2008), the population size of common dolphins in the Black Sea is at least several tens of thousands.</w:t>
      </w:r>
    </w:p>
    <w:p w14:paraId="78C2BC47"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61BDDB50" w14:textId="5F5A6BD0"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According to Çelikkale et al. (1989) all three species of dolphin harbour porpoises have been found all along the Turkish Black Sea coast and are especially abundant in the eastern coast, where several rivers enter the Black Sea. Also, the primary overwintering area of harbour porpoises and bottlenose dolphin is the </w:t>
      </w:r>
      <w:r w:rsidR="00953367" w:rsidRPr="0088780C">
        <w:rPr>
          <w:snapToGrid w:val="0"/>
          <w:kern w:val="22"/>
          <w:sz w:val="22"/>
          <w:szCs w:val="22"/>
          <w:lang w:val="en-GB"/>
        </w:rPr>
        <w:t>south-east</w:t>
      </w:r>
      <w:r w:rsidRPr="0088780C">
        <w:rPr>
          <w:snapToGrid w:val="0"/>
          <w:kern w:val="22"/>
          <w:sz w:val="22"/>
          <w:szCs w:val="22"/>
          <w:lang w:val="en-GB"/>
        </w:rPr>
        <w:t>ern Black Sea (Saydam 2015).</w:t>
      </w:r>
    </w:p>
    <w:p w14:paraId="4B937F14"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747EF522"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In general, the zooplankton of the southern Black Sea is dominated by </w:t>
      </w:r>
      <w:r w:rsidRPr="0088780C">
        <w:rPr>
          <w:i/>
          <w:snapToGrid w:val="0"/>
          <w:kern w:val="22"/>
          <w:sz w:val="22"/>
          <w:szCs w:val="22"/>
          <w:lang w:val="en-GB"/>
        </w:rPr>
        <w:t>Noctiluca scintillans, Oithona similis, Acartia clausi, Pseudocalanus elongatus</w:t>
      </w:r>
      <w:r w:rsidRPr="0088780C">
        <w:rPr>
          <w:snapToGrid w:val="0"/>
          <w:kern w:val="22"/>
          <w:sz w:val="22"/>
          <w:szCs w:val="22"/>
          <w:lang w:val="en-GB"/>
        </w:rPr>
        <w:t xml:space="preserve"> and </w:t>
      </w:r>
      <w:r w:rsidRPr="0088780C">
        <w:rPr>
          <w:i/>
          <w:snapToGrid w:val="0"/>
          <w:kern w:val="22"/>
          <w:sz w:val="22"/>
          <w:szCs w:val="22"/>
          <w:lang w:val="en-GB"/>
        </w:rPr>
        <w:t>Penilia avirostris</w:t>
      </w:r>
      <w:r w:rsidRPr="0088780C">
        <w:rPr>
          <w:snapToGrid w:val="0"/>
          <w:kern w:val="22"/>
          <w:sz w:val="22"/>
          <w:szCs w:val="22"/>
          <w:lang w:val="en-GB"/>
        </w:rPr>
        <w:t xml:space="preserve"> (Erkan et al., 2000). The cold water species (</w:t>
      </w:r>
      <w:r w:rsidRPr="0088780C">
        <w:rPr>
          <w:i/>
          <w:snapToGrid w:val="0"/>
          <w:kern w:val="22"/>
          <w:sz w:val="22"/>
          <w:szCs w:val="22"/>
          <w:lang w:val="en-GB"/>
        </w:rPr>
        <w:t>Calanus euxinus, Pseudocalanus elongatus, Oithona similis</w:t>
      </w:r>
      <w:r w:rsidRPr="0088780C">
        <w:rPr>
          <w:snapToGrid w:val="0"/>
          <w:kern w:val="22"/>
          <w:sz w:val="22"/>
          <w:szCs w:val="22"/>
          <w:lang w:val="en-GB"/>
        </w:rPr>
        <w:t xml:space="preserve"> and </w:t>
      </w:r>
      <w:r w:rsidRPr="0088780C">
        <w:rPr>
          <w:i/>
          <w:snapToGrid w:val="0"/>
          <w:kern w:val="22"/>
          <w:sz w:val="22"/>
          <w:szCs w:val="22"/>
          <w:lang w:val="en-GB"/>
        </w:rPr>
        <w:t>Pleopis polyphemoides</w:t>
      </w:r>
      <w:r w:rsidRPr="0088780C">
        <w:rPr>
          <w:snapToGrid w:val="0"/>
          <w:kern w:val="22"/>
          <w:sz w:val="22"/>
          <w:szCs w:val="22"/>
          <w:lang w:val="en-GB"/>
        </w:rPr>
        <w:t xml:space="preserve">) dominate winter spring assemblages, while </w:t>
      </w:r>
      <w:r w:rsidRPr="0088780C">
        <w:rPr>
          <w:i/>
          <w:snapToGrid w:val="0"/>
          <w:kern w:val="22"/>
          <w:sz w:val="22"/>
          <w:szCs w:val="22"/>
          <w:lang w:val="en-GB"/>
        </w:rPr>
        <w:t>Penilia avirostris, Acartia clausi, Paracalanus parvus</w:t>
      </w:r>
      <w:r w:rsidRPr="0088780C">
        <w:rPr>
          <w:snapToGrid w:val="0"/>
          <w:kern w:val="22"/>
          <w:sz w:val="22"/>
          <w:szCs w:val="22"/>
          <w:lang w:val="en-GB"/>
        </w:rPr>
        <w:t xml:space="preserve"> and </w:t>
      </w:r>
      <w:r w:rsidRPr="0088780C">
        <w:rPr>
          <w:i/>
          <w:snapToGrid w:val="0"/>
          <w:kern w:val="22"/>
          <w:sz w:val="22"/>
          <w:szCs w:val="22"/>
          <w:lang w:val="en-GB"/>
        </w:rPr>
        <w:t>Centropages</w:t>
      </w:r>
      <w:r w:rsidRPr="0088780C">
        <w:rPr>
          <w:snapToGrid w:val="0"/>
          <w:kern w:val="22"/>
          <w:sz w:val="22"/>
          <w:szCs w:val="22"/>
          <w:lang w:val="en-GB"/>
        </w:rPr>
        <w:t xml:space="preserve"> </w:t>
      </w:r>
      <w:r w:rsidRPr="0088780C">
        <w:rPr>
          <w:i/>
          <w:snapToGrid w:val="0"/>
          <w:kern w:val="22"/>
          <w:sz w:val="22"/>
          <w:szCs w:val="22"/>
          <w:lang w:val="en-GB"/>
        </w:rPr>
        <w:t>spp</w:t>
      </w:r>
      <w:r w:rsidRPr="0088780C">
        <w:rPr>
          <w:snapToGrid w:val="0"/>
          <w:kern w:val="22"/>
          <w:sz w:val="22"/>
          <w:szCs w:val="22"/>
          <w:lang w:val="en-GB"/>
        </w:rPr>
        <w:t>. are the major summer species (Ünal, 2002).</w:t>
      </w:r>
    </w:p>
    <w:p w14:paraId="458F1582"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1D38F552"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Studies conducted on the crustaceans of sandy muddy biotopes on the seabeds of central and eastern Black Sea indicate that species diversity is relatively high in shallow waters (&lt;50 m) and that diversity decreases in direct correlation with increasing depth (Kirkim et al., 2006). </w:t>
      </w:r>
      <w:r w:rsidRPr="0088780C">
        <w:rPr>
          <w:i/>
          <w:snapToGrid w:val="0"/>
          <w:kern w:val="22"/>
          <w:sz w:val="22"/>
          <w:szCs w:val="22"/>
          <w:lang w:val="en-GB"/>
        </w:rPr>
        <w:t>Lucinella divaricata, Chamelea gallina, Donax venustus</w:t>
      </w:r>
      <w:r w:rsidRPr="0088780C">
        <w:rPr>
          <w:snapToGrid w:val="0"/>
          <w:kern w:val="22"/>
          <w:sz w:val="22"/>
          <w:szCs w:val="22"/>
          <w:lang w:val="en-GB"/>
        </w:rPr>
        <w:t xml:space="preserve"> and </w:t>
      </w:r>
      <w:r w:rsidRPr="0088780C">
        <w:rPr>
          <w:i/>
          <w:snapToGrid w:val="0"/>
          <w:kern w:val="22"/>
          <w:sz w:val="22"/>
          <w:szCs w:val="22"/>
          <w:lang w:val="en-GB"/>
        </w:rPr>
        <w:t>Mytilaster lineatus</w:t>
      </w:r>
      <w:r w:rsidRPr="0088780C">
        <w:rPr>
          <w:snapToGrid w:val="0"/>
          <w:kern w:val="22"/>
          <w:sz w:val="22"/>
          <w:szCs w:val="22"/>
          <w:lang w:val="en-GB"/>
        </w:rPr>
        <w:t xml:space="preserve"> were commonly found by Mutlu (1994) in sediments with high sand content (93%). Silty sea floors support high mollusc diversity (Mutlu, 1994).</w:t>
      </w:r>
    </w:p>
    <w:p w14:paraId="5024FEEF" w14:textId="77777777" w:rsidR="006F2992" w:rsidRPr="0088780C" w:rsidRDefault="006F2992"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2D27FD24" w14:textId="1E0E5325"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Sezgin et al. (2010) investigated the diversity of macrozoobenthos of the eastern Black Sea region of Turkey at 39 stations (13m -79 m depth range) and reported that the polychaete </w:t>
      </w:r>
      <w:r w:rsidRPr="0088780C">
        <w:rPr>
          <w:i/>
          <w:snapToGrid w:val="0"/>
          <w:kern w:val="22"/>
          <w:sz w:val="22"/>
          <w:szCs w:val="22"/>
          <w:lang w:val="en-GB"/>
        </w:rPr>
        <w:t xml:space="preserve">Melinna palmata, </w:t>
      </w:r>
      <w:r w:rsidRPr="0088780C">
        <w:rPr>
          <w:snapToGrid w:val="0"/>
          <w:kern w:val="22"/>
          <w:sz w:val="22"/>
          <w:szCs w:val="22"/>
          <w:lang w:val="en-GB"/>
        </w:rPr>
        <w:t>and the mollusks</w:t>
      </w:r>
      <w:r w:rsidRPr="0088780C">
        <w:rPr>
          <w:i/>
          <w:snapToGrid w:val="0"/>
          <w:kern w:val="22"/>
          <w:sz w:val="22"/>
          <w:szCs w:val="22"/>
          <w:lang w:val="en-GB"/>
        </w:rPr>
        <w:t xml:space="preserve"> Lentidium mediterraneum, Lucinella divaricata</w:t>
      </w:r>
      <w:r w:rsidRPr="0088780C">
        <w:rPr>
          <w:snapToGrid w:val="0"/>
          <w:kern w:val="22"/>
          <w:sz w:val="22"/>
          <w:szCs w:val="22"/>
          <w:lang w:val="en-GB"/>
        </w:rPr>
        <w:t xml:space="preserve"> and </w:t>
      </w:r>
      <w:r w:rsidRPr="0088780C">
        <w:rPr>
          <w:i/>
          <w:snapToGrid w:val="0"/>
          <w:kern w:val="22"/>
          <w:sz w:val="22"/>
          <w:szCs w:val="22"/>
          <w:lang w:val="en-GB"/>
        </w:rPr>
        <w:t>Chamelea gallina</w:t>
      </w:r>
      <w:r w:rsidRPr="0088780C">
        <w:rPr>
          <w:snapToGrid w:val="0"/>
          <w:kern w:val="22"/>
          <w:sz w:val="22"/>
          <w:szCs w:val="22"/>
          <w:lang w:val="en-GB"/>
        </w:rPr>
        <w:t xml:space="preserve"> were the most dominant species, while polychaetes </w:t>
      </w:r>
      <w:r w:rsidRPr="0088780C">
        <w:rPr>
          <w:i/>
          <w:snapToGrid w:val="0"/>
          <w:kern w:val="22"/>
          <w:sz w:val="22"/>
          <w:szCs w:val="22"/>
          <w:lang w:val="en-GB"/>
        </w:rPr>
        <w:t xml:space="preserve">M. palmata, Micronephths stammeri, A. fragilis mediterranea, </w:t>
      </w:r>
      <w:r w:rsidRPr="0088780C">
        <w:rPr>
          <w:snapToGrid w:val="0"/>
          <w:kern w:val="22"/>
          <w:sz w:val="22"/>
          <w:szCs w:val="22"/>
          <w:lang w:val="en-GB"/>
        </w:rPr>
        <w:t>and mollusks</w:t>
      </w:r>
      <w:r w:rsidR="001E44F9" w:rsidRPr="0088780C">
        <w:rPr>
          <w:i/>
          <w:snapToGrid w:val="0"/>
          <w:kern w:val="22"/>
          <w:sz w:val="22"/>
          <w:szCs w:val="22"/>
          <w:lang w:val="en-GB"/>
        </w:rPr>
        <w:t xml:space="preserve"> C. </w:t>
      </w:r>
      <w:r w:rsidRPr="0088780C">
        <w:rPr>
          <w:i/>
          <w:snapToGrid w:val="0"/>
          <w:kern w:val="22"/>
          <w:sz w:val="22"/>
          <w:szCs w:val="22"/>
          <w:lang w:val="en-GB"/>
        </w:rPr>
        <w:t>gallina</w:t>
      </w:r>
      <w:r w:rsidRPr="0088780C">
        <w:rPr>
          <w:snapToGrid w:val="0"/>
          <w:kern w:val="22"/>
          <w:sz w:val="22"/>
          <w:szCs w:val="22"/>
          <w:lang w:val="en-GB"/>
        </w:rPr>
        <w:t xml:space="preserve"> and </w:t>
      </w:r>
      <w:r w:rsidRPr="0088780C">
        <w:rPr>
          <w:i/>
          <w:snapToGrid w:val="0"/>
          <w:kern w:val="22"/>
          <w:sz w:val="22"/>
          <w:szCs w:val="22"/>
          <w:lang w:val="en-GB"/>
        </w:rPr>
        <w:t>Pitar rudis</w:t>
      </w:r>
      <w:r w:rsidRPr="0088780C">
        <w:rPr>
          <w:snapToGrid w:val="0"/>
          <w:kern w:val="22"/>
          <w:sz w:val="22"/>
          <w:szCs w:val="22"/>
          <w:lang w:val="en-GB"/>
        </w:rPr>
        <w:t xml:space="preserve"> were recorded as frequent in the area. They also observed that the total numbers of soft bottom species for each group decreased with depth and that depth has a major influence on the faunal community composition, in particular above the 50 m depth contour.</w:t>
      </w:r>
    </w:p>
    <w:p w14:paraId="72272A5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38F2FE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 xml:space="preserve">In terms of birds, the area overlaps with a marine </w:t>
      </w:r>
      <w:r w:rsidRPr="0088780C">
        <w:rPr>
          <w:rFonts w:eastAsia="MS Mincho"/>
          <w:snapToGrid w:val="0"/>
          <w:kern w:val="22"/>
          <w:szCs w:val="22"/>
        </w:rPr>
        <w:t>Important Bird and Biodiversity Area (IBA; BirdLife International 2017) that is of regional importance for two seabird species: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A third species, mew gull (</w:t>
      </w:r>
      <w:r w:rsidRPr="0088780C">
        <w:rPr>
          <w:rFonts w:eastAsia="MS Mincho"/>
          <w:i/>
          <w:snapToGrid w:val="0"/>
          <w:kern w:val="22"/>
          <w:szCs w:val="22"/>
        </w:rPr>
        <w:t>Larus canus),</w:t>
      </w:r>
      <w:r w:rsidRPr="0088780C">
        <w:rPr>
          <w:rFonts w:eastAsia="MS Mincho"/>
          <w:snapToGrid w:val="0"/>
          <w:kern w:val="22"/>
          <w:szCs w:val="22"/>
        </w:rPr>
        <w:t xml:space="preserve"> is also known to occur (</w:t>
      </w:r>
      <w:r w:rsidRPr="0088780C">
        <w:rPr>
          <w:snapToGrid w:val="0"/>
          <w:kern w:val="22"/>
          <w:szCs w:val="22"/>
        </w:rPr>
        <w:t>BirdLife International 2017)</w:t>
      </w:r>
      <w:r w:rsidRPr="0088780C">
        <w:rPr>
          <w:rFonts w:eastAsia="MS Mincho"/>
          <w:snapToGrid w:val="0"/>
          <w:kern w:val="22"/>
          <w:szCs w:val="22"/>
        </w:rPr>
        <w:t>.</w:t>
      </w:r>
    </w:p>
    <w:p w14:paraId="072DA00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C61616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Location</w:t>
      </w:r>
    </w:p>
    <w:p w14:paraId="3EE33225" w14:textId="783E48F7" w:rsidR="00A876F3" w:rsidRPr="0088780C" w:rsidRDefault="00A876F3" w:rsidP="001013AF">
      <w:pPr>
        <w:suppressLineNumbers/>
        <w:suppressAutoHyphens/>
        <w:kinsoku w:val="0"/>
        <w:overflowPunct w:val="0"/>
        <w:autoSpaceDE w:val="0"/>
        <w:autoSpaceDN w:val="0"/>
        <w:rPr>
          <w:snapToGrid w:val="0"/>
          <w:spacing w:val="-2"/>
          <w:kern w:val="22"/>
          <w:szCs w:val="22"/>
        </w:rPr>
      </w:pPr>
      <w:r w:rsidRPr="0088780C">
        <w:rPr>
          <w:snapToGrid w:val="0"/>
          <w:color w:val="222222"/>
          <w:spacing w:val="-2"/>
          <w:kern w:val="22"/>
          <w:szCs w:val="22"/>
          <w:shd w:val="clear" w:color="auto" w:fill="FFFFFF"/>
        </w:rPr>
        <w:t>Artvin-Arhavi</w:t>
      </w:r>
      <w:r w:rsidRPr="0088780C">
        <w:rPr>
          <w:snapToGrid w:val="0"/>
          <w:spacing w:val="-2"/>
          <w:kern w:val="22"/>
          <w:szCs w:val="22"/>
        </w:rPr>
        <w:t xml:space="preserve"> is named for the town of </w:t>
      </w:r>
      <w:r w:rsidRPr="0088780C">
        <w:rPr>
          <w:snapToGrid w:val="0"/>
          <w:color w:val="222222"/>
          <w:spacing w:val="-2"/>
          <w:kern w:val="22"/>
          <w:szCs w:val="22"/>
          <w:shd w:val="clear" w:color="auto" w:fill="FFFFFF"/>
        </w:rPr>
        <w:t>Arhavi, in the district of</w:t>
      </w:r>
      <w:r w:rsidR="001E44F9" w:rsidRPr="0088780C">
        <w:rPr>
          <w:rStyle w:val="apple-converted-space"/>
          <w:snapToGrid w:val="0"/>
          <w:color w:val="222222"/>
          <w:spacing w:val="-2"/>
          <w:kern w:val="22"/>
          <w:szCs w:val="22"/>
          <w:shd w:val="clear" w:color="auto" w:fill="FFFFFF"/>
        </w:rPr>
        <w:t xml:space="preserve"> </w:t>
      </w:r>
      <w:r w:rsidRPr="0088780C">
        <w:rPr>
          <w:snapToGrid w:val="0"/>
          <w:spacing w:val="-2"/>
          <w:kern w:val="22"/>
          <w:szCs w:val="22"/>
          <w:shd w:val="clear" w:color="auto" w:fill="FFFFFF"/>
        </w:rPr>
        <w:t xml:space="preserve">Artvin Province, Turkey. </w:t>
      </w:r>
      <w:r w:rsidRPr="0088780C">
        <w:rPr>
          <w:snapToGrid w:val="0"/>
          <w:color w:val="222222"/>
          <w:spacing w:val="-2"/>
          <w:kern w:val="22"/>
          <w:szCs w:val="22"/>
          <w:shd w:val="clear" w:color="auto" w:fill="FFFFFF"/>
        </w:rPr>
        <w:t xml:space="preserve">The area is located </w:t>
      </w:r>
      <w:r w:rsidRPr="0088780C">
        <w:rPr>
          <w:snapToGrid w:val="0"/>
          <w:spacing w:val="-2"/>
          <w:kern w:val="22"/>
          <w:szCs w:val="22"/>
        </w:rPr>
        <w:t>close to Yukarı Hacılar village</w:t>
      </w:r>
      <w:r w:rsidRPr="0088780C">
        <w:rPr>
          <w:rStyle w:val="apple-converted-space"/>
          <w:snapToGrid w:val="0"/>
          <w:color w:val="222222"/>
          <w:spacing w:val="-2"/>
          <w:kern w:val="22"/>
          <w:szCs w:val="22"/>
          <w:shd w:val="clear" w:color="auto" w:fill="FFFFFF"/>
        </w:rPr>
        <w:t>, between</w:t>
      </w:r>
      <w:r w:rsidRPr="0088780C">
        <w:rPr>
          <w:snapToGrid w:val="0"/>
          <w:spacing w:val="-2"/>
          <w:kern w:val="22"/>
          <w:szCs w:val="22"/>
        </w:rPr>
        <w:t xml:space="preserve"> Hopa town, to the east of Arhavi county town, and </w:t>
      </w:r>
      <w:r w:rsidRPr="0088780C">
        <w:rPr>
          <w:snapToGrid w:val="0"/>
          <w:color w:val="222222"/>
          <w:spacing w:val="-2"/>
          <w:kern w:val="22"/>
          <w:szCs w:val="22"/>
          <w:shd w:val="clear" w:color="auto" w:fill="FFFFFF"/>
        </w:rPr>
        <w:t>Fındıklı, north of Yusufeli, in the</w:t>
      </w:r>
      <w:r w:rsidR="001E44F9" w:rsidRPr="0088780C">
        <w:rPr>
          <w:rStyle w:val="apple-converted-space"/>
          <w:snapToGrid w:val="0"/>
          <w:color w:val="222222"/>
          <w:spacing w:val="-2"/>
          <w:kern w:val="22"/>
          <w:szCs w:val="22"/>
          <w:shd w:val="clear" w:color="auto" w:fill="FFFFFF"/>
        </w:rPr>
        <w:t xml:space="preserve"> </w:t>
      </w:r>
      <w:r w:rsidRPr="0088780C">
        <w:rPr>
          <w:rStyle w:val="apple-converted-space"/>
          <w:snapToGrid w:val="0"/>
          <w:color w:val="222222"/>
          <w:spacing w:val="-2"/>
          <w:kern w:val="22"/>
          <w:szCs w:val="22"/>
          <w:shd w:val="clear" w:color="auto" w:fill="FFFFFF"/>
        </w:rPr>
        <w:t>south-eastern part of the Black Sea</w:t>
      </w:r>
      <w:r w:rsidRPr="0088780C">
        <w:rPr>
          <w:snapToGrid w:val="0"/>
          <w:spacing w:val="-2"/>
          <w:kern w:val="22"/>
          <w:szCs w:val="22"/>
        </w:rPr>
        <w:t xml:space="preserve">. </w:t>
      </w:r>
      <w:r w:rsidRPr="0088780C">
        <w:rPr>
          <w:snapToGrid w:val="0"/>
          <w:color w:val="222222"/>
          <w:spacing w:val="-2"/>
          <w:kern w:val="22"/>
          <w:szCs w:val="22"/>
          <w:shd w:val="clear" w:color="auto" w:fill="FFFFFF"/>
        </w:rPr>
        <w:t xml:space="preserve">The </w:t>
      </w:r>
      <w:r w:rsidRPr="0088780C">
        <w:rPr>
          <w:snapToGrid w:val="0"/>
          <w:spacing w:val="-2"/>
          <w:kern w:val="22"/>
          <w:szCs w:val="22"/>
        </w:rPr>
        <w:t>coordinates</w:t>
      </w:r>
      <w:r w:rsidRPr="0088780C" w:rsidDel="009B6E7F">
        <w:rPr>
          <w:snapToGrid w:val="0"/>
          <w:color w:val="222222"/>
          <w:spacing w:val="-2"/>
          <w:kern w:val="22"/>
          <w:szCs w:val="22"/>
          <w:shd w:val="clear" w:color="auto" w:fill="FFFFFF"/>
        </w:rPr>
        <w:t xml:space="preserve"> </w:t>
      </w:r>
      <w:r w:rsidRPr="0088780C">
        <w:rPr>
          <w:snapToGrid w:val="0"/>
          <w:color w:val="222222"/>
          <w:spacing w:val="-2"/>
          <w:kern w:val="22"/>
          <w:szCs w:val="22"/>
          <w:shd w:val="clear" w:color="auto" w:fill="FFFFFF"/>
        </w:rPr>
        <w:t xml:space="preserve">of the area are: </w:t>
      </w:r>
      <w:r w:rsidRPr="0088780C">
        <w:rPr>
          <w:snapToGrid w:val="0"/>
          <w:spacing w:val="-2"/>
          <w:kern w:val="22"/>
          <w:szCs w:val="22"/>
        </w:rPr>
        <w:t xml:space="preserve">41 21.48' N- 41 18.824' E, 41 22.116' N- 41 18.824' E, 41 22.659' N- 41 20.216' E, 41 22.14' N- 41 20.216' </w:t>
      </w:r>
      <w:r w:rsidR="001E44F9" w:rsidRPr="0088780C">
        <w:rPr>
          <w:snapToGrid w:val="0"/>
          <w:spacing w:val="-2"/>
          <w:kern w:val="22"/>
          <w:szCs w:val="22"/>
        </w:rPr>
        <w:t>E.</w:t>
      </w:r>
    </w:p>
    <w:p w14:paraId="2D077B0D" w14:textId="0D0F85C3" w:rsidR="00A876F3" w:rsidRPr="0088780C" w:rsidRDefault="00A876F3" w:rsidP="001013AF">
      <w:pPr>
        <w:suppressLineNumbers/>
        <w:suppressAutoHyphens/>
        <w:kinsoku w:val="0"/>
        <w:overflowPunct w:val="0"/>
        <w:autoSpaceDE w:val="0"/>
        <w:autoSpaceDN w:val="0"/>
        <w:rPr>
          <w:snapToGrid w:val="0"/>
          <w:color w:val="222222"/>
          <w:kern w:val="22"/>
          <w:szCs w:val="22"/>
          <w:shd w:val="clear" w:color="auto" w:fill="FFFFFF"/>
        </w:rPr>
      </w:pPr>
    </w:p>
    <w:p w14:paraId="130871C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460085ED" w14:textId="49A7CBBF"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rFonts w:eastAsiaTheme="minorHAnsi"/>
          <w:iCs/>
          <w:snapToGrid w:val="0"/>
          <w:color w:val="000000"/>
          <w:kern w:val="22"/>
          <w:sz w:val="22"/>
          <w:szCs w:val="22"/>
          <w:lang w:val="en-GB"/>
        </w:rPr>
      </w:pPr>
      <w:r w:rsidRPr="0088780C">
        <w:rPr>
          <w:rFonts w:eastAsiaTheme="minorHAnsi"/>
          <w:iCs/>
          <w:snapToGrid w:val="0"/>
          <w:color w:val="000000"/>
          <w:kern w:val="22"/>
          <w:sz w:val="22"/>
          <w:szCs w:val="22"/>
          <w:lang w:val="en-GB"/>
        </w:rPr>
        <w:t>The eastern part of the area is a social area where people go to swim. With the protection of the sea, the coastal area will be under integrated protection and will provide sustainable conservation. It is an important breeding area for fish species (Erüz, 2007) and cetaceans habitat (Saydam, 2015).</w:t>
      </w:r>
    </w:p>
    <w:p w14:paraId="45403454" w14:textId="77777777" w:rsidR="001E44F9" w:rsidRPr="0088780C" w:rsidRDefault="001E44F9"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1D1EB143" w14:textId="4DBC0219"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 xml:space="preserve">The area overlaps with a marine </w:t>
      </w:r>
      <w:r w:rsidRPr="0088780C">
        <w:rPr>
          <w:rFonts w:eastAsia="MS Mincho"/>
          <w:snapToGrid w:val="0"/>
          <w:kern w:val="22"/>
          <w:szCs w:val="22"/>
        </w:rPr>
        <w:t xml:space="preserve">Important Bird and Biodiversity Area (IBA; BirdLife International 2017) that is </w:t>
      </w:r>
      <w:r w:rsidRPr="0088780C">
        <w:rPr>
          <w:rFonts w:eastAsia="MS Mincho"/>
          <w:bCs/>
          <w:snapToGrid w:val="0"/>
          <w:color w:val="000000"/>
          <w:kern w:val="22"/>
          <w:szCs w:val="22"/>
        </w:rPr>
        <w:t xml:space="preserve">regionally important as a wintering area for the </w:t>
      </w:r>
      <w:r w:rsidRPr="0088780C">
        <w:rPr>
          <w:rFonts w:eastAsia="MS Mincho"/>
          <w:snapToGrid w:val="0"/>
          <w:kern w:val="22"/>
          <w:szCs w:val="22"/>
        </w:rPr>
        <w:t xml:space="preserve">velvet scoter </w:t>
      </w:r>
      <w:r w:rsidRPr="0088780C">
        <w:rPr>
          <w:rFonts w:eastAsia="MS Mincho"/>
          <w:i/>
          <w:snapToGrid w:val="0"/>
          <w:kern w:val="22"/>
          <w:szCs w:val="22"/>
        </w:rPr>
        <w:t>Melanitta fusca</w:t>
      </w:r>
      <w:r w:rsidRPr="0088780C">
        <w:rPr>
          <w:rFonts w:eastAsia="MS Mincho"/>
          <w:bCs/>
          <w:snapToGrid w:val="0"/>
          <w:color w:val="000000"/>
          <w:kern w:val="22"/>
          <w:szCs w:val="22"/>
        </w:rPr>
        <w:t xml:space="preserve"> and for the Caspian gull </w:t>
      </w:r>
      <w:r w:rsidRPr="0088780C">
        <w:rPr>
          <w:rFonts w:eastAsia="MS Mincho"/>
          <w:bCs/>
          <w:i/>
          <w:snapToGrid w:val="0"/>
          <w:color w:val="000000"/>
          <w:kern w:val="22"/>
          <w:szCs w:val="22"/>
        </w:rPr>
        <w:t>Larus cachinnans</w:t>
      </w:r>
      <w:r w:rsidRPr="0088780C">
        <w:rPr>
          <w:rFonts w:eastAsia="MS Mincho"/>
          <w:bCs/>
          <w:snapToGrid w:val="0"/>
          <w:color w:val="000000"/>
          <w:kern w:val="22"/>
          <w:szCs w:val="22"/>
        </w:rPr>
        <w:t xml:space="preserve"> </w:t>
      </w:r>
      <w:r w:rsidRPr="0088780C">
        <w:rPr>
          <w:rFonts w:eastAsia="MS Mincho"/>
          <w:snapToGrid w:val="0"/>
          <w:kern w:val="22"/>
          <w:szCs w:val="22"/>
        </w:rPr>
        <w:t>(B</w:t>
      </w:r>
      <w:r w:rsidRPr="0088780C">
        <w:rPr>
          <w:snapToGrid w:val="0"/>
          <w:kern w:val="22"/>
          <w:szCs w:val="22"/>
        </w:rPr>
        <w:t xml:space="preserve">irdLife International 2017). </w:t>
      </w:r>
      <w:r w:rsidRPr="0088780C">
        <w:rPr>
          <w:rFonts w:eastAsia="MS Mincho"/>
          <w:snapToGrid w:val="0"/>
          <w:kern w:val="22"/>
          <w:szCs w:val="22"/>
        </w:rPr>
        <w:t xml:space="preserve"> A third species is also known to occur: mew gull </w:t>
      </w:r>
      <w:r w:rsidRPr="0088780C">
        <w:rPr>
          <w:rFonts w:eastAsia="MS Mincho"/>
          <w:i/>
          <w:snapToGrid w:val="0"/>
          <w:kern w:val="22"/>
          <w:szCs w:val="22"/>
        </w:rPr>
        <w:t>Larus canus</w:t>
      </w:r>
      <w:r w:rsidR="001E44F9" w:rsidRPr="0088780C">
        <w:rPr>
          <w:rFonts w:eastAsia="MS Mincho"/>
          <w:snapToGrid w:val="0"/>
          <w:kern w:val="22"/>
          <w:szCs w:val="22"/>
        </w:rPr>
        <w:t>.</w:t>
      </w:r>
    </w:p>
    <w:p w14:paraId="3D831ADA"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p>
    <w:p w14:paraId="69A9E9EB" w14:textId="3BF5CCDD" w:rsidR="00A876F3" w:rsidRPr="0088780C" w:rsidRDefault="00A876F3" w:rsidP="001013AF">
      <w:pPr>
        <w:suppressLineNumbers/>
        <w:suppressAutoHyphens/>
        <w:kinsoku w:val="0"/>
        <w:overflowPunct w:val="0"/>
        <w:autoSpaceDE w:val="0"/>
        <w:autoSpaceDN w:val="0"/>
        <w:adjustRightInd w:val="0"/>
        <w:rPr>
          <w:rFonts w:eastAsiaTheme="minorHAnsi"/>
          <w:bCs/>
          <w:iCs/>
          <w:snapToGrid w:val="0"/>
          <w:color w:val="000000"/>
          <w:kern w:val="22"/>
          <w:szCs w:val="22"/>
          <w:u w:val="single"/>
        </w:rPr>
      </w:pPr>
      <w:r w:rsidRPr="0088780C">
        <w:rPr>
          <w:rFonts w:eastAsiaTheme="minorHAnsi"/>
          <w:bCs/>
          <w:iCs/>
          <w:snapToGrid w:val="0"/>
          <w:color w:val="000000"/>
          <w:kern w:val="22"/>
          <w:szCs w:val="22"/>
          <w:u w:val="single"/>
        </w:rPr>
        <w:t>At least 18 fish sp</w:t>
      </w:r>
      <w:r w:rsidR="001E44F9" w:rsidRPr="0088780C">
        <w:rPr>
          <w:rFonts w:eastAsiaTheme="minorHAnsi"/>
          <w:bCs/>
          <w:iCs/>
          <w:snapToGrid w:val="0"/>
          <w:color w:val="000000"/>
          <w:kern w:val="22"/>
          <w:szCs w:val="22"/>
          <w:u w:val="single"/>
        </w:rPr>
        <w:t>ecies are located in this area:</w:t>
      </w:r>
    </w:p>
    <w:p w14:paraId="367FDC93"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iCs/>
          <w:snapToGrid w:val="0"/>
          <w:color w:val="000000"/>
          <w:kern w:val="22"/>
          <w:szCs w:val="22"/>
        </w:rPr>
        <w:t>Gobius cob</w:t>
      </w:r>
      <w:r w:rsidRPr="0088780C">
        <w:rPr>
          <w:rFonts w:eastAsiaTheme="minorHAnsi"/>
          <w:i/>
          <w:snapToGrid w:val="0"/>
          <w:color w:val="000000"/>
          <w:kern w:val="22"/>
          <w:szCs w:val="22"/>
        </w:rPr>
        <w:t>itis</w:t>
      </w:r>
      <w:r w:rsidRPr="0088780C">
        <w:rPr>
          <w:snapToGrid w:val="0"/>
          <w:color w:val="000000"/>
          <w:kern w:val="22"/>
          <w:szCs w:val="22"/>
        </w:rPr>
        <w:t xml:space="preserve"> (Giant goby</w:t>
      </w:r>
      <w:r w:rsidRPr="0088780C">
        <w:rPr>
          <w:rFonts w:eastAsiaTheme="minorHAnsi"/>
          <w:snapToGrid w:val="0"/>
          <w:color w:val="000000"/>
          <w:kern w:val="22"/>
          <w:szCs w:val="22"/>
        </w:rPr>
        <w:t>)</w:t>
      </w:r>
    </w:p>
    <w:p w14:paraId="623DC513"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Neogobius melanostomus</w:t>
      </w:r>
      <w:r w:rsidRPr="0088780C">
        <w:rPr>
          <w:snapToGrid w:val="0"/>
          <w:kern w:val="22"/>
          <w:szCs w:val="22"/>
        </w:rPr>
        <w:t xml:space="preserve"> (</w:t>
      </w:r>
      <w:r w:rsidRPr="0088780C">
        <w:rPr>
          <w:rFonts w:eastAsiaTheme="minorHAnsi"/>
          <w:iCs/>
          <w:snapToGrid w:val="0"/>
          <w:color w:val="000000"/>
          <w:kern w:val="22"/>
          <w:szCs w:val="22"/>
        </w:rPr>
        <w:t>Round goby)</w:t>
      </w:r>
    </w:p>
    <w:p w14:paraId="76BE434A" w14:textId="5734B046"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Neogobius platyrostris</w:t>
      </w:r>
      <w:r w:rsidRPr="0088780C">
        <w:rPr>
          <w:snapToGrid w:val="0"/>
          <w:kern w:val="22"/>
          <w:szCs w:val="22"/>
        </w:rPr>
        <w:t xml:space="preserve"> (</w:t>
      </w:r>
      <w:r w:rsidRPr="0088780C">
        <w:rPr>
          <w:rFonts w:eastAsiaTheme="minorHAnsi"/>
          <w:iCs/>
          <w:snapToGrid w:val="0"/>
          <w:color w:val="000000"/>
          <w:kern w:val="22"/>
          <w:szCs w:val="22"/>
        </w:rPr>
        <w:t>Flatsnout goby)</w:t>
      </w:r>
    </w:p>
    <w:p w14:paraId="7C286278" w14:textId="673B56B5"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 xml:space="preserve">Lipophrys pavo </w:t>
      </w:r>
      <w:r w:rsidR="001E44F9" w:rsidRPr="0088780C">
        <w:rPr>
          <w:rFonts w:eastAsiaTheme="minorHAnsi"/>
          <w:iCs/>
          <w:snapToGrid w:val="0"/>
          <w:color w:val="000000"/>
          <w:kern w:val="22"/>
          <w:szCs w:val="22"/>
        </w:rPr>
        <w:t>(Peacock blenny)</w:t>
      </w:r>
    </w:p>
    <w:p w14:paraId="345687B6" w14:textId="30808E12"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iCs/>
          <w:snapToGrid w:val="0"/>
          <w:color w:val="000000"/>
          <w:kern w:val="22"/>
          <w:szCs w:val="22"/>
        </w:rPr>
        <w:t xml:space="preserve">Parablennius incognitus </w:t>
      </w:r>
      <w:r w:rsidRPr="0088780C">
        <w:rPr>
          <w:rFonts w:eastAsiaTheme="minorHAnsi"/>
          <w:iCs/>
          <w:snapToGrid w:val="0"/>
          <w:color w:val="000000"/>
          <w:kern w:val="22"/>
          <w:szCs w:val="22"/>
        </w:rPr>
        <w:t>(Blennie diabolo)</w:t>
      </w:r>
    </w:p>
    <w:p w14:paraId="76A11D2B"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 xml:space="preserve">Parablennius zvonimiri </w:t>
      </w:r>
      <w:r w:rsidRPr="0088780C">
        <w:rPr>
          <w:rFonts w:eastAsiaTheme="minorHAnsi"/>
          <w:iCs/>
          <w:snapToGrid w:val="0"/>
          <w:color w:val="000000"/>
          <w:kern w:val="22"/>
          <w:szCs w:val="22"/>
        </w:rPr>
        <w:t>(Red blenny)</w:t>
      </w:r>
    </w:p>
    <w:p w14:paraId="1DE8E279" w14:textId="77777777"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 xml:space="preserve">Parablennius sanguinolentus </w:t>
      </w:r>
      <w:r w:rsidRPr="0088780C">
        <w:rPr>
          <w:rFonts w:eastAsiaTheme="minorHAnsi"/>
          <w:iCs/>
          <w:snapToGrid w:val="0"/>
          <w:color w:val="000000"/>
          <w:kern w:val="22"/>
          <w:szCs w:val="22"/>
        </w:rPr>
        <w:t>(Black Sea blenny)</w:t>
      </w:r>
    </w:p>
    <w:p w14:paraId="0A450C82" w14:textId="4ED72048"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222222"/>
          <w:kern w:val="22"/>
          <w:szCs w:val="22"/>
        </w:rPr>
        <w:t xml:space="preserve">Psetta maxima </w:t>
      </w:r>
      <w:r w:rsidRPr="0088780C">
        <w:rPr>
          <w:rFonts w:eastAsiaTheme="minorHAnsi"/>
          <w:iCs/>
          <w:snapToGrid w:val="0"/>
          <w:color w:val="000000"/>
          <w:kern w:val="22"/>
          <w:szCs w:val="22"/>
        </w:rPr>
        <w:t>(Turbot)</w:t>
      </w:r>
    </w:p>
    <w:p w14:paraId="15FD94D2" w14:textId="0CCB9319"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 xml:space="preserve">Sciaena umbra </w:t>
      </w:r>
      <w:r w:rsidRPr="0088780C">
        <w:rPr>
          <w:rFonts w:eastAsiaTheme="minorHAnsi"/>
          <w:iCs/>
          <w:snapToGrid w:val="0"/>
          <w:color w:val="000000"/>
          <w:kern w:val="22"/>
          <w:szCs w:val="22"/>
        </w:rPr>
        <w:t>(Brown meagre)</w:t>
      </w:r>
    </w:p>
    <w:p w14:paraId="3C42FB9B" w14:textId="27E2FE5C" w:rsidR="00A876F3" w:rsidRPr="0088780C" w:rsidRDefault="00A876F3" w:rsidP="001E44F9">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 xml:space="preserve">Diplodus puntazzo </w:t>
      </w:r>
      <w:r w:rsidRPr="0088780C">
        <w:rPr>
          <w:rFonts w:eastAsiaTheme="minorHAnsi"/>
          <w:iCs/>
          <w:snapToGrid w:val="0"/>
          <w:color w:val="000000"/>
          <w:kern w:val="22"/>
          <w:szCs w:val="22"/>
        </w:rPr>
        <w:t>(Sharpsnout seabream)</w:t>
      </w:r>
    </w:p>
    <w:p w14:paraId="70BB2F70" w14:textId="16109B9F"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iCs/>
          <w:snapToGrid w:val="0"/>
          <w:color w:val="000000"/>
          <w:kern w:val="22"/>
          <w:szCs w:val="22"/>
        </w:rPr>
        <w:t xml:space="preserve">Dicentrarchus labrax </w:t>
      </w:r>
      <w:r w:rsidRPr="0088780C">
        <w:rPr>
          <w:rFonts w:eastAsiaTheme="minorHAnsi"/>
          <w:iCs/>
          <w:snapToGrid w:val="0"/>
          <w:color w:val="000000"/>
          <w:kern w:val="22"/>
          <w:szCs w:val="22"/>
        </w:rPr>
        <w:t>(Common bass)</w:t>
      </w:r>
    </w:p>
    <w:p w14:paraId="5817DC7D" w14:textId="162EEC58"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Liza aurata</w:t>
      </w:r>
      <w:r w:rsidRPr="0088780C">
        <w:rPr>
          <w:rFonts w:eastAsiaTheme="minorHAnsi"/>
          <w:iCs/>
          <w:snapToGrid w:val="0"/>
          <w:color w:val="000000"/>
          <w:kern w:val="22"/>
          <w:szCs w:val="22"/>
        </w:rPr>
        <w:t>(Golden grey mullet)</w:t>
      </w:r>
    </w:p>
    <w:p w14:paraId="26728A8B"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Mugil cephalus</w:t>
      </w:r>
      <w:r w:rsidRPr="0088780C">
        <w:rPr>
          <w:rFonts w:eastAsiaTheme="minorHAnsi"/>
          <w:iCs/>
          <w:snapToGrid w:val="0"/>
          <w:color w:val="000000"/>
          <w:kern w:val="22"/>
          <w:szCs w:val="22"/>
        </w:rPr>
        <w:t xml:space="preserve"> (Flathead mullet)</w:t>
      </w:r>
    </w:p>
    <w:p w14:paraId="1339B5E3" w14:textId="77777777"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 xml:space="preserve">Mullus barbatus </w:t>
      </w:r>
      <w:r w:rsidRPr="0088780C">
        <w:rPr>
          <w:rFonts w:eastAsiaTheme="minorHAnsi"/>
          <w:iCs/>
          <w:snapToGrid w:val="0"/>
          <w:color w:val="000000"/>
          <w:kern w:val="22"/>
          <w:szCs w:val="22"/>
        </w:rPr>
        <w:t>(Red mullet)</w:t>
      </w:r>
    </w:p>
    <w:p w14:paraId="28039291" w14:textId="563BEF6D"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 xml:space="preserve">Merlangius merlangus </w:t>
      </w:r>
      <w:r w:rsidRPr="0088780C">
        <w:rPr>
          <w:rFonts w:eastAsiaTheme="minorHAnsi"/>
          <w:iCs/>
          <w:snapToGrid w:val="0"/>
          <w:color w:val="000000"/>
          <w:kern w:val="22"/>
          <w:szCs w:val="22"/>
        </w:rPr>
        <w:t>(Whiting)</w:t>
      </w:r>
    </w:p>
    <w:p w14:paraId="2C1A9AFF" w14:textId="212DADAF"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iCs/>
          <w:snapToGrid w:val="0"/>
          <w:color w:val="000000"/>
          <w:kern w:val="22"/>
          <w:szCs w:val="22"/>
        </w:rPr>
        <w:t xml:space="preserve">Dasyatis pastinaca </w:t>
      </w:r>
      <w:r w:rsidRPr="0088780C">
        <w:rPr>
          <w:rFonts w:eastAsiaTheme="minorHAnsi"/>
          <w:iCs/>
          <w:snapToGrid w:val="0"/>
          <w:color w:val="000000"/>
          <w:kern w:val="22"/>
          <w:szCs w:val="22"/>
        </w:rPr>
        <w:t>(Common stingray)</w:t>
      </w:r>
    </w:p>
    <w:p w14:paraId="13B8E5B5"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iCs/>
          <w:snapToGrid w:val="0"/>
          <w:color w:val="000000"/>
          <w:kern w:val="22"/>
          <w:szCs w:val="22"/>
        </w:rPr>
        <w:t xml:space="preserve">Syngnathus acus </w:t>
      </w:r>
      <w:r w:rsidRPr="0088780C">
        <w:rPr>
          <w:rFonts w:eastAsiaTheme="minorHAnsi"/>
          <w:snapToGrid w:val="0"/>
          <w:color w:val="000000"/>
          <w:kern w:val="22"/>
          <w:szCs w:val="22"/>
        </w:rPr>
        <w:t>(Greater pipefish)</w:t>
      </w:r>
    </w:p>
    <w:p w14:paraId="375105A7"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Hippocampus hippocampus</w:t>
      </w:r>
      <w:r w:rsidRPr="0088780C">
        <w:rPr>
          <w:rFonts w:eastAsiaTheme="minorHAnsi"/>
          <w:snapToGrid w:val="0"/>
          <w:color w:val="000000"/>
          <w:kern w:val="22"/>
          <w:szCs w:val="22"/>
        </w:rPr>
        <w:t xml:space="preserve"> </w:t>
      </w:r>
      <w:r w:rsidRPr="0088780C">
        <w:rPr>
          <w:rFonts w:eastAsiaTheme="minorHAnsi"/>
          <w:iCs/>
          <w:snapToGrid w:val="0"/>
          <w:color w:val="000000"/>
          <w:kern w:val="22"/>
          <w:szCs w:val="22"/>
        </w:rPr>
        <w:t>(Short-snouted seahorse)</w:t>
      </w:r>
    </w:p>
    <w:p w14:paraId="3A52BAA6"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p>
    <w:p w14:paraId="12CF4A20" w14:textId="11585BA9" w:rsidR="00A876F3" w:rsidRPr="0088780C" w:rsidRDefault="00A876F3" w:rsidP="001013AF">
      <w:pPr>
        <w:suppressLineNumbers/>
        <w:suppressAutoHyphens/>
        <w:kinsoku w:val="0"/>
        <w:overflowPunct w:val="0"/>
        <w:autoSpaceDE w:val="0"/>
        <w:autoSpaceDN w:val="0"/>
        <w:adjustRightInd w:val="0"/>
        <w:rPr>
          <w:rFonts w:eastAsiaTheme="minorHAnsi"/>
          <w:bCs/>
          <w:iCs/>
          <w:snapToGrid w:val="0"/>
          <w:color w:val="000000"/>
          <w:kern w:val="22"/>
          <w:szCs w:val="22"/>
          <w:u w:val="single"/>
        </w:rPr>
      </w:pPr>
      <w:r w:rsidRPr="0088780C">
        <w:rPr>
          <w:rFonts w:eastAsiaTheme="minorHAnsi"/>
          <w:bCs/>
          <w:iCs/>
          <w:snapToGrid w:val="0"/>
          <w:color w:val="000000"/>
          <w:kern w:val="22"/>
          <w:szCs w:val="22"/>
          <w:u w:val="single"/>
        </w:rPr>
        <w:t xml:space="preserve">Ten </w:t>
      </w:r>
      <w:r w:rsidRPr="0088780C">
        <w:rPr>
          <w:rFonts w:eastAsia="MS Mincho"/>
          <w:bCs/>
          <w:snapToGrid w:val="0"/>
          <w:kern w:val="22"/>
          <w:szCs w:val="22"/>
          <w:u w:val="single"/>
        </w:rPr>
        <w:t xml:space="preserve">species of </w:t>
      </w:r>
      <w:r w:rsidRPr="0088780C">
        <w:rPr>
          <w:rFonts w:eastAsiaTheme="minorHAnsi"/>
          <w:bCs/>
          <w:iCs/>
          <w:snapToGrid w:val="0"/>
          <w:color w:val="000000"/>
          <w:kern w:val="22"/>
          <w:szCs w:val="22"/>
          <w:u w:val="single"/>
        </w:rPr>
        <w:t>benthic orga</w:t>
      </w:r>
      <w:r w:rsidR="001E44F9" w:rsidRPr="0088780C">
        <w:rPr>
          <w:rFonts w:eastAsiaTheme="minorHAnsi"/>
          <w:bCs/>
          <w:iCs/>
          <w:snapToGrid w:val="0"/>
          <w:color w:val="000000"/>
          <w:kern w:val="22"/>
          <w:szCs w:val="22"/>
          <w:u w:val="single"/>
        </w:rPr>
        <w:t>nisms are located in this area:</w:t>
      </w:r>
    </w:p>
    <w:p w14:paraId="355B5C9B" w14:textId="61AD61D2"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Cystoseira</w:t>
      </w:r>
      <w:r w:rsidRPr="0088780C">
        <w:rPr>
          <w:rFonts w:eastAsiaTheme="minorHAnsi"/>
          <w:snapToGrid w:val="0"/>
          <w:color w:val="000000"/>
          <w:kern w:val="22"/>
          <w:szCs w:val="22"/>
        </w:rPr>
        <w:t xml:space="preserve"> </w:t>
      </w:r>
      <w:r w:rsidR="001E44F9" w:rsidRPr="0088780C">
        <w:rPr>
          <w:rFonts w:eastAsiaTheme="minorHAnsi"/>
          <w:i/>
          <w:iCs/>
          <w:snapToGrid w:val="0"/>
          <w:color w:val="000000"/>
          <w:kern w:val="22"/>
          <w:szCs w:val="22"/>
        </w:rPr>
        <w:t>barbata</w:t>
      </w:r>
    </w:p>
    <w:p w14:paraId="0CFC7BE1" w14:textId="2203F4E9" w:rsidR="00A876F3" w:rsidRPr="0088780C" w:rsidRDefault="001E44F9"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Entoromorfha spp.</w:t>
      </w:r>
    </w:p>
    <w:p w14:paraId="4D292AD9" w14:textId="01E902F4"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iCs/>
          <w:snapToGrid w:val="0"/>
          <w:color w:val="000000"/>
          <w:kern w:val="22"/>
          <w:szCs w:val="22"/>
        </w:rPr>
        <w:t>Ulva lactuca</w:t>
      </w:r>
    </w:p>
    <w:p w14:paraId="3F5DA4F1" w14:textId="5F1861B5" w:rsidR="00A876F3" w:rsidRPr="0088780C" w:rsidRDefault="001E44F9" w:rsidP="001013AF">
      <w:pPr>
        <w:suppressLineNumbers/>
        <w:suppressAutoHyphens/>
        <w:kinsoku w:val="0"/>
        <w:overflowPunct w:val="0"/>
        <w:autoSpaceDE w:val="0"/>
        <w:autoSpaceDN w:val="0"/>
        <w:adjustRightInd w:val="0"/>
        <w:rPr>
          <w:i/>
          <w:snapToGrid w:val="0"/>
          <w:kern w:val="22"/>
          <w:szCs w:val="22"/>
        </w:rPr>
      </w:pPr>
      <w:r w:rsidRPr="0088780C">
        <w:rPr>
          <w:i/>
          <w:snapToGrid w:val="0"/>
          <w:kern w:val="22"/>
          <w:szCs w:val="22"/>
        </w:rPr>
        <w:t>Melinna palmata</w:t>
      </w:r>
    </w:p>
    <w:p w14:paraId="068D90CA" w14:textId="5EB761AC" w:rsidR="00A876F3" w:rsidRPr="0088780C" w:rsidRDefault="001E44F9" w:rsidP="001013AF">
      <w:pPr>
        <w:suppressLineNumbers/>
        <w:suppressAutoHyphens/>
        <w:kinsoku w:val="0"/>
        <w:overflowPunct w:val="0"/>
        <w:autoSpaceDE w:val="0"/>
        <w:autoSpaceDN w:val="0"/>
        <w:adjustRightInd w:val="0"/>
        <w:rPr>
          <w:i/>
          <w:snapToGrid w:val="0"/>
          <w:kern w:val="22"/>
          <w:szCs w:val="22"/>
        </w:rPr>
      </w:pPr>
      <w:r w:rsidRPr="0088780C">
        <w:rPr>
          <w:i/>
          <w:snapToGrid w:val="0"/>
          <w:kern w:val="22"/>
          <w:szCs w:val="22"/>
        </w:rPr>
        <w:t>Lentidium mediterraneum</w:t>
      </w:r>
    </w:p>
    <w:p w14:paraId="7FF843AF" w14:textId="5844F39A" w:rsidR="00A876F3" w:rsidRPr="0088780C" w:rsidRDefault="001E44F9" w:rsidP="001013AF">
      <w:pPr>
        <w:suppressLineNumbers/>
        <w:suppressAutoHyphens/>
        <w:kinsoku w:val="0"/>
        <w:overflowPunct w:val="0"/>
        <w:autoSpaceDE w:val="0"/>
        <w:autoSpaceDN w:val="0"/>
        <w:adjustRightInd w:val="0"/>
        <w:rPr>
          <w:i/>
          <w:snapToGrid w:val="0"/>
          <w:kern w:val="22"/>
          <w:szCs w:val="22"/>
        </w:rPr>
      </w:pPr>
      <w:r w:rsidRPr="0088780C">
        <w:rPr>
          <w:i/>
          <w:snapToGrid w:val="0"/>
          <w:kern w:val="22"/>
          <w:szCs w:val="22"/>
        </w:rPr>
        <w:t>Lucinella divaricata</w:t>
      </w:r>
    </w:p>
    <w:p w14:paraId="72499A84" w14:textId="4F9F2CCD" w:rsidR="00A876F3" w:rsidRPr="0088780C" w:rsidRDefault="00A876F3" w:rsidP="001013AF">
      <w:pPr>
        <w:suppressLineNumbers/>
        <w:suppressAutoHyphens/>
        <w:kinsoku w:val="0"/>
        <w:overflowPunct w:val="0"/>
        <w:autoSpaceDE w:val="0"/>
        <w:autoSpaceDN w:val="0"/>
        <w:adjustRightInd w:val="0"/>
        <w:rPr>
          <w:i/>
          <w:snapToGrid w:val="0"/>
          <w:kern w:val="22"/>
          <w:szCs w:val="22"/>
        </w:rPr>
      </w:pPr>
      <w:r w:rsidRPr="0088780C">
        <w:rPr>
          <w:i/>
          <w:snapToGrid w:val="0"/>
          <w:kern w:val="22"/>
          <w:szCs w:val="22"/>
        </w:rPr>
        <w:t>Chamelea gallin</w:t>
      </w:r>
      <w:r w:rsidR="001E44F9" w:rsidRPr="0088780C">
        <w:rPr>
          <w:i/>
          <w:snapToGrid w:val="0"/>
          <w:kern w:val="22"/>
          <w:szCs w:val="22"/>
        </w:rPr>
        <w:t>a</w:t>
      </w:r>
    </w:p>
    <w:p w14:paraId="0CB9A33B" w14:textId="2B666062" w:rsidR="00A876F3" w:rsidRPr="0088780C" w:rsidRDefault="001E44F9" w:rsidP="001013AF">
      <w:pPr>
        <w:suppressLineNumbers/>
        <w:suppressAutoHyphens/>
        <w:kinsoku w:val="0"/>
        <w:overflowPunct w:val="0"/>
        <w:autoSpaceDE w:val="0"/>
        <w:autoSpaceDN w:val="0"/>
        <w:adjustRightInd w:val="0"/>
        <w:rPr>
          <w:i/>
          <w:snapToGrid w:val="0"/>
          <w:kern w:val="22"/>
          <w:szCs w:val="22"/>
        </w:rPr>
      </w:pPr>
      <w:r w:rsidRPr="0088780C">
        <w:rPr>
          <w:i/>
          <w:snapToGrid w:val="0"/>
          <w:kern w:val="22"/>
          <w:szCs w:val="22"/>
        </w:rPr>
        <w:t>Micronephths stammeri</w:t>
      </w:r>
    </w:p>
    <w:p w14:paraId="48B7C9DA" w14:textId="0D8C2BD3" w:rsidR="00A876F3" w:rsidRPr="0088780C" w:rsidRDefault="001E44F9" w:rsidP="001013AF">
      <w:pPr>
        <w:suppressLineNumbers/>
        <w:suppressAutoHyphens/>
        <w:kinsoku w:val="0"/>
        <w:overflowPunct w:val="0"/>
        <w:autoSpaceDE w:val="0"/>
        <w:autoSpaceDN w:val="0"/>
        <w:adjustRightInd w:val="0"/>
        <w:rPr>
          <w:i/>
          <w:snapToGrid w:val="0"/>
          <w:kern w:val="22"/>
          <w:szCs w:val="22"/>
        </w:rPr>
      </w:pPr>
      <w:r w:rsidRPr="0088780C">
        <w:rPr>
          <w:i/>
          <w:snapToGrid w:val="0"/>
          <w:kern w:val="22"/>
          <w:szCs w:val="22"/>
        </w:rPr>
        <w:t>Aricidea fragilis mediterranea</w:t>
      </w:r>
    </w:p>
    <w:p w14:paraId="4DC78B9B"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i/>
          <w:snapToGrid w:val="0"/>
          <w:kern w:val="22"/>
          <w:szCs w:val="22"/>
        </w:rPr>
        <w:t>Pitar rudis</w:t>
      </w:r>
    </w:p>
    <w:p w14:paraId="7B43AA39"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p>
    <w:p w14:paraId="6DE642A4" w14:textId="42386FC1" w:rsidR="00A876F3" w:rsidRPr="0088780C" w:rsidRDefault="00A876F3" w:rsidP="001013AF">
      <w:pPr>
        <w:suppressLineNumbers/>
        <w:suppressAutoHyphens/>
        <w:kinsoku w:val="0"/>
        <w:overflowPunct w:val="0"/>
        <w:autoSpaceDE w:val="0"/>
        <w:autoSpaceDN w:val="0"/>
        <w:adjustRightInd w:val="0"/>
        <w:rPr>
          <w:rFonts w:eastAsiaTheme="minorHAnsi"/>
          <w:bCs/>
          <w:snapToGrid w:val="0"/>
          <w:color w:val="000000"/>
          <w:kern w:val="22"/>
          <w:szCs w:val="22"/>
          <w:u w:val="single"/>
        </w:rPr>
      </w:pPr>
      <w:r w:rsidRPr="0088780C">
        <w:rPr>
          <w:rFonts w:eastAsiaTheme="minorHAnsi"/>
          <w:bCs/>
          <w:snapToGrid w:val="0"/>
          <w:color w:val="000000"/>
          <w:kern w:val="22"/>
          <w:szCs w:val="22"/>
          <w:u w:val="single"/>
        </w:rPr>
        <w:t>Three marine mammal</w:t>
      </w:r>
      <w:r w:rsidRPr="0088780C">
        <w:rPr>
          <w:rFonts w:eastAsia="MS Mincho"/>
          <w:bCs/>
          <w:snapToGrid w:val="0"/>
          <w:kern w:val="22"/>
          <w:szCs w:val="22"/>
          <w:u w:val="single"/>
        </w:rPr>
        <w:t xml:space="preserve"> species</w:t>
      </w:r>
      <w:r w:rsidRPr="0088780C">
        <w:rPr>
          <w:rFonts w:eastAsiaTheme="minorHAnsi"/>
          <w:bCs/>
          <w:snapToGrid w:val="0"/>
          <w:color w:val="000000"/>
          <w:kern w:val="22"/>
          <w:szCs w:val="22"/>
          <w:u w:val="single"/>
        </w:rPr>
        <w:t xml:space="preserve"> live in this area</w:t>
      </w:r>
      <w:r w:rsidR="001E44F9" w:rsidRPr="0088780C">
        <w:rPr>
          <w:rFonts w:eastAsiaTheme="minorHAnsi"/>
          <w:bCs/>
          <w:snapToGrid w:val="0"/>
          <w:color w:val="000000"/>
          <w:kern w:val="22"/>
          <w:szCs w:val="22"/>
          <w:u w:val="single"/>
        </w:rPr>
        <w:t>:</w:t>
      </w:r>
    </w:p>
    <w:p w14:paraId="35978A2F"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snapToGrid w:val="0"/>
          <w:color w:val="000000"/>
          <w:kern w:val="22"/>
          <w:szCs w:val="22"/>
        </w:rPr>
        <w:t>Delphnius delphis</w:t>
      </w:r>
      <w:r w:rsidRPr="0088780C">
        <w:rPr>
          <w:rFonts w:eastAsiaTheme="minorHAnsi"/>
          <w:snapToGrid w:val="0"/>
          <w:color w:val="000000"/>
          <w:kern w:val="22"/>
          <w:szCs w:val="22"/>
        </w:rPr>
        <w:t xml:space="preserve"> ssp.</w:t>
      </w:r>
      <w:r w:rsidRPr="0088780C">
        <w:rPr>
          <w:rFonts w:eastAsiaTheme="minorHAnsi"/>
          <w:i/>
          <w:snapToGrid w:val="0"/>
          <w:color w:val="000000"/>
          <w:kern w:val="22"/>
          <w:szCs w:val="22"/>
        </w:rPr>
        <w:t xml:space="preserve"> Ponticus </w:t>
      </w:r>
      <w:r w:rsidRPr="0088780C">
        <w:rPr>
          <w:rFonts w:eastAsiaTheme="minorHAnsi"/>
          <w:snapToGrid w:val="0"/>
          <w:color w:val="000000"/>
          <w:kern w:val="22"/>
          <w:szCs w:val="22"/>
        </w:rPr>
        <w:t>(Short-beaked common dolphin)</w:t>
      </w:r>
    </w:p>
    <w:p w14:paraId="119D099D"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snapToGrid w:val="0"/>
          <w:color w:val="000000"/>
          <w:kern w:val="22"/>
          <w:szCs w:val="22"/>
        </w:rPr>
        <w:t xml:space="preserve">Turiops truncatus </w:t>
      </w:r>
      <w:r w:rsidRPr="0088780C">
        <w:rPr>
          <w:rFonts w:eastAsiaTheme="minorHAnsi"/>
          <w:snapToGrid w:val="0"/>
          <w:color w:val="000000"/>
          <w:kern w:val="22"/>
          <w:szCs w:val="22"/>
        </w:rPr>
        <w:t>ssp.</w:t>
      </w:r>
      <w:r w:rsidRPr="0088780C">
        <w:rPr>
          <w:rFonts w:eastAsiaTheme="minorHAnsi"/>
          <w:i/>
          <w:snapToGrid w:val="0"/>
          <w:color w:val="000000"/>
          <w:kern w:val="22"/>
          <w:szCs w:val="22"/>
        </w:rPr>
        <w:t xml:space="preserve"> Ponticus </w:t>
      </w:r>
      <w:r w:rsidRPr="0088780C">
        <w:rPr>
          <w:rFonts w:eastAsiaTheme="minorHAnsi"/>
          <w:snapToGrid w:val="0"/>
          <w:color w:val="000000"/>
          <w:kern w:val="22"/>
          <w:szCs w:val="22"/>
        </w:rPr>
        <w:t>(Bottlenose dolphin)</w:t>
      </w:r>
    </w:p>
    <w:p w14:paraId="50868C06" w14:textId="0A242206"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snapToGrid w:val="0"/>
          <w:color w:val="000000"/>
          <w:kern w:val="22"/>
          <w:szCs w:val="22"/>
        </w:rPr>
        <w:t xml:space="preserve">Phocena phocena </w:t>
      </w:r>
      <w:r w:rsidRPr="0088780C">
        <w:rPr>
          <w:rFonts w:eastAsiaTheme="minorHAnsi"/>
          <w:snapToGrid w:val="0"/>
          <w:color w:val="000000"/>
          <w:kern w:val="22"/>
          <w:szCs w:val="22"/>
        </w:rPr>
        <w:t xml:space="preserve">ssp. </w:t>
      </w:r>
      <w:r w:rsidRPr="0088780C">
        <w:rPr>
          <w:rFonts w:eastAsiaTheme="minorHAnsi"/>
          <w:i/>
          <w:snapToGrid w:val="0"/>
          <w:color w:val="000000"/>
          <w:kern w:val="22"/>
          <w:szCs w:val="22"/>
        </w:rPr>
        <w:t xml:space="preserve">Relicta </w:t>
      </w:r>
      <w:r w:rsidRPr="0088780C">
        <w:rPr>
          <w:rFonts w:eastAsiaTheme="minorHAnsi"/>
          <w:snapToGrid w:val="0"/>
          <w:color w:val="000000"/>
          <w:kern w:val="22"/>
          <w:szCs w:val="22"/>
        </w:rPr>
        <w:t>(Harbo</w:t>
      </w:r>
      <w:r w:rsidR="001E44F9" w:rsidRPr="0088780C">
        <w:rPr>
          <w:rFonts w:eastAsiaTheme="minorHAnsi"/>
          <w:snapToGrid w:val="0"/>
          <w:color w:val="000000"/>
          <w:kern w:val="22"/>
          <w:szCs w:val="22"/>
        </w:rPr>
        <w:t>u</w:t>
      </w:r>
      <w:r w:rsidRPr="0088780C">
        <w:rPr>
          <w:rFonts w:eastAsiaTheme="minorHAnsi"/>
          <w:snapToGrid w:val="0"/>
          <w:color w:val="000000"/>
          <w:kern w:val="22"/>
          <w:szCs w:val="22"/>
        </w:rPr>
        <w:t>r porpoise)</w:t>
      </w:r>
    </w:p>
    <w:p w14:paraId="54B6A0AA"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p>
    <w:p w14:paraId="7D3E7577"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kern w:val="22"/>
          <w:szCs w:val="22"/>
        </w:rPr>
      </w:pPr>
      <w:r w:rsidRPr="0088780C">
        <w:rPr>
          <w:rFonts w:eastAsiaTheme="minorHAnsi"/>
          <w:i/>
          <w:snapToGrid w:val="0"/>
          <w:kern w:val="22"/>
          <w:szCs w:val="22"/>
        </w:rPr>
        <w:t xml:space="preserve">Delphinus delphis ssp. ponticus </w:t>
      </w:r>
      <w:r w:rsidRPr="0088780C">
        <w:rPr>
          <w:rFonts w:eastAsiaTheme="minorHAnsi"/>
          <w:snapToGrid w:val="0"/>
          <w:kern w:val="22"/>
          <w:szCs w:val="22"/>
        </w:rPr>
        <w:t xml:space="preserve">has vulnerable status, while </w:t>
      </w:r>
      <w:r w:rsidRPr="0088780C">
        <w:rPr>
          <w:rFonts w:eastAsiaTheme="minorHAnsi"/>
          <w:i/>
          <w:iCs/>
          <w:snapToGrid w:val="0"/>
          <w:kern w:val="22"/>
          <w:szCs w:val="22"/>
        </w:rPr>
        <w:t xml:space="preserve">Turiops truncatus </w:t>
      </w:r>
      <w:r w:rsidRPr="0088780C">
        <w:rPr>
          <w:rFonts w:eastAsiaTheme="minorHAnsi"/>
          <w:iCs/>
          <w:snapToGrid w:val="0"/>
          <w:kern w:val="22"/>
          <w:szCs w:val="22"/>
        </w:rPr>
        <w:t>ssp.</w:t>
      </w:r>
      <w:r w:rsidRPr="0088780C">
        <w:rPr>
          <w:rFonts w:eastAsiaTheme="minorHAnsi"/>
          <w:i/>
          <w:iCs/>
          <w:snapToGrid w:val="0"/>
          <w:kern w:val="22"/>
          <w:szCs w:val="22"/>
        </w:rPr>
        <w:t xml:space="preserve"> ponticus </w:t>
      </w:r>
      <w:r w:rsidRPr="0088780C">
        <w:rPr>
          <w:rFonts w:eastAsiaTheme="minorHAnsi"/>
          <w:snapToGrid w:val="0"/>
          <w:kern w:val="22"/>
          <w:szCs w:val="22"/>
        </w:rPr>
        <w:t xml:space="preserve">has endangered status, on the IUCN Red List of Threatened Species based on criterion A2cde (Birkun Jr., A.A, 2008). Finally, </w:t>
      </w:r>
      <w:r w:rsidRPr="0088780C">
        <w:rPr>
          <w:rFonts w:eastAsiaTheme="minorHAnsi"/>
          <w:i/>
          <w:snapToGrid w:val="0"/>
          <w:color w:val="000000"/>
          <w:kern w:val="22"/>
          <w:szCs w:val="22"/>
        </w:rPr>
        <w:t xml:space="preserve">Phocena phocena </w:t>
      </w:r>
      <w:r w:rsidRPr="0088780C">
        <w:rPr>
          <w:rFonts w:eastAsiaTheme="minorHAnsi"/>
          <w:snapToGrid w:val="0"/>
          <w:color w:val="000000"/>
          <w:kern w:val="22"/>
          <w:szCs w:val="22"/>
        </w:rPr>
        <w:t>ssp.</w:t>
      </w:r>
      <w:r w:rsidRPr="0088780C">
        <w:rPr>
          <w:rFonts w:eastAsiaTheme="minorHAnsi"/>
          <w:i/>
          <w:iCs/>
          <w:snapToGrid w:val="0"/>
          <w:kern w:val="22"/>
          <w:szCs w:val="22"/>
        </w:rPr>
        <w:t xml:space="preserve"> relicta, </w:t>
      </w:r>
      <w:r w:rsidRPr="0088780C">
        <w:rPr>
          <w:rFonts w:eastAsiaTheme="minorHAnsi"/>
          <w:snapToGrid w:val="0"/>
          <w:kern w:val="22"/>
          <w:szCs w:val="22"/>
        </w:rPr>
        <w:t>has endangered  status in the IUCN Red List of Threatened Species based on criteria A1d and A4cde.</w:t>
      </w:r>
    </w:p>
    <w:p w14:paraId="602D6305"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p>
    <w:p w14:paraId="483C9C58"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u w:val="single"/>
        </w:rPr>
      </w:pPr>
      <w:r w:rsidRPr="0088780C">
        <w:rPr>
          <w:rFonts w:eastAsia="MS Mincho"/>
          <w:bCs/>
          <w:snapToGrid w:val="0"/>
          <w:kern w:val="22"/>
          <w:szCs w:val="22"/>
          <w:u w:val="single"/>
        </w:rPr>
        <w:t>Three seabird species in need of protection inhabiting this area are:</w:t>
      </w:r>
    </w:p>
    <w:p w14:paraId="5846BA87" w14:textId="5E4E9151"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i/>
          <w:snapToGrid w:val="0"/>
          <w:kern w:val="22"/>
          <w:szCs w:val="22"/>
        </w:rPr>
        <w:t>Melanitta fusca</w:t>
      </w:r>
    </w:p>
    <w:p w14:paraId="2C6EAFB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i/>
          <w:snapToGrid w:val="0"/>
          <w:kern w:val="22"/>
          <w:szCs w:val="22"/>
        </w:rPr>
        <w:t>Larus cachinnans</w:t>
      </w:r>
    </w:p>
    <w:p w14:paraId="2D582E84"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i/>
          <w:snapToGrid w:val="0"/>
          <w:kern w:val="22"/>
          <w:szCs w:val="22"/>
        </w:rPr>
        <w:t>Larus canus</w:t>
      </w:r>
    </w:p>
    <w:p w14:paraId="2AFD3D6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02A05F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7732C0BE" w14:textId="69554C3F"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Theme="minorHAnsi"/>
          <w:snapToGrid w:val="0"/>
          <w:color w:val="000000"/>
          <w:kern w:val="22"/>
          <w:szCs w:val="22"/>
        </w:rPr>
        <w:t xml:space="preserve">The area comprises mainly rocky and local sandy habitat with rocks. </w:t>
      </w:r>
      <w:r w:rsidRPr="0088780C">
        <w:rPr>
          <w:rFonts w:eastAsia="MS Mincho"/>
          <w:snapToGrid w:val="0"/>
          <w:kern w:val="22"/>
          <w:szCs w:val="22"/>
        </w:rPr>
        <w:t xml:space="preserve">There is no economically important activity on the alien gastropod </w:t>
      </w:r>
      <w:r w:rsidRPr="0088780C">
        <w:rPr>
          <w:rFonts w:eastAsia="MS Mincho"/>
          <w:i/>
          <w:snapToGrid w:val="0"/>
          <w:kern w:val="22"/>
          <w:szCs w:val="22"/>
        </w:rPr>
        <w:t>Rapana venosa</w:t>
      </w:r>
      <w:r w:rsidRPr="0088780C">
        <w:rPr>
          <w:rFonts w:eastAsia="MS Mincho"/>
          <w:snapToGrid w:val="0"/>
          <w:kern w:val="22"/>
          <w:szCs w:val="22"/>
        </w:rPr>
        <w:t xml:space="preserve"> because </w:t>
      </w:r>
      <w:r w:rsidR="00497F77" w:rsidRPr="0088780C">
        <w:rPr>
          <w:rFonts w:eastAsia="MS Mincho"/>
          <w:snapToGrid w:val="0"/>
          <w:kern w:val="22"/>
          <w:szCs w:val="22"/>
        </w:rPr>
        <w:t>the area is used forrecreation.</w:t>
      </w:r>
    </w:p>
    <w:p w14:paraId="71194330"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7133868A"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kern w:val="22"/>
          <w:szCs w:val="22"/>
        </w:rPr>
      </w:pPr>
      <w:r w:rsidRPr="0088780C">
        <w:rPr>
          <w:rFonts w:eastAsia="MS Mincho"/>
          <w:snapToGrid w:val="0"/>
          <w:kern w:val="22"/>
          <w:szCs w:val="22"/>
        </w:rPr>
        <w:t xml:space="preserve">According to a study by Saydam (2015), the highest rate of cetacean distribution was mainly obtained in the eastern part of the Black Sea. More than 15 individuals of </w:t>
      </w:r>
      <w:r w:rsidRPr="0088780C">
        <w:rPr>
          <w:rFonts w:eastAsia="MS Mincho"/>
          <w:i/>
          <w:snapToGrid w:val="0"/>
          <w:kern w:val="22"/>
          <w:szCs w:val="22"/>
        </w:rPr>
        <w:t>Delphinus delphis</w:t>
      </w:r>
      <w:r w:rsidRPr="0088780C">
        <w:rPr>
          <w:rFonts w:eastAsia="MS Mincho"/>
          <w:snapToGrid w:val="0"/>
          <w:kern w:val="22"/>
          <w:szCs w:val="22"/>
        </w:rPr>
        <w:t xml:space="preserve"> were recorded and about four individuals of </w:t>
      </w:r>
      <w:r w:rsidRPr="0088780C">
        <w:rPr>
          <w:rFonts w:eastAsiaTheme="minorHAnsi"/>
          <w:i/>
          <w:snapToGrid w:val="0"/>
          <w:color w:val="000000"/>
          <w:kern w:val="22"/>
          <w:szCs w:val="22"/>
        </w:rPr>
        <w:t xml:space="preserve">Phocena phocena </w:t>
      </w:r>
      <w:r w:rsidRPr="0088780C">
        <w:rPr>
          <w:rFonts w:eastAsiaTheme="minorHAnsi"/>
          <w:snapToGrid w:val="0"/>
          <w:color w:val="000000"/>
          <w:kern w:val="22"/>
          <w:szCs w:val="22"/>
        </w:rPr>
        <w:t xml:space="preserve"> were recorded during the cruise in 2014. </w:t>
      </w:r>
      <w:r w:rsidRPr="0088780C">
        <w:rPr>
          <w:rFonts w:eastAsiaTheme="minorHAnsi"/>
          <w:snapToGrid w:val="0"/>
          <w:kern w:val="22"/>
          <w:szCs w:val="22"/>
        </w:rPr>
        <w:t>In the July cruise, short-beaked common dolphins were more frequently encountered in the eastern part of the south-eastern Black Sea. Moreover, short-beaked common dolphins were more frequently encountered in the eastern Black Sea, with relatively larger group sizes inhabiting coastal eastern Black Sea waters.</w:t>
      </w:r>
    </w:p>
    <w:p w14:paraId="60BD50F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9D734A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Assessment of the area against CBD EBSA Criteria </w:t>
      </w:r>
    </w:p>
    <w:p w14:paraId="300B8AE3"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0574F835" w14:textId="77777777" w:rsidTr="006972AD">
        <w:tc>
          <w:tcPr>
            <w:tcW w:w="783" w:type="pct"/>
            <w:vMerge w:val="restart"/>
            <w:shd w:val="clear" w:color="auto" w:fill="auto"/>
          </w:tcPr>
          <w:p w14:paraId="45DC045A" w14:textId="77777777" w:rsidR="00A876F3" w:rsidRPr="0088780C" w:rsidRDefault="00A876F3" w:rsidP="00497F77">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249FBB07" w14:textId="77777777" w:rsidR="00A876F3" w:rsidRPr="0088780C" w:rsidRDefault="00A876F3" w:rsidP="00497F77">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1ED6B63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2E19181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37" w:type="pct"/>
            <w:gridSpan w:val="9"/>
            <w:shd w:val="clear" w:color="auto" w:fill="auto"/>
          </w:tcPr>
          <w:p w14:paraId="13BD5E4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62D7A22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01C0840E" w14:textId="77777777" w:rsidTr="006972AD">
        <w:tc>
          <w:tcPr>
            <w:tcW w:w="783" w:type="pct"/>
            <w:vMerge/>
            <w:shd w:val="clear" w:color="auto" w:fill="auto"/>
          </w:tcPr>
          <w:p w14:paraId="7362BFA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2E5F3E9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16EFEC8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0D511B0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7B86D9A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2" w:type="pct"/>
            <w:gridSpan w:val="2"/>
            <w:shd w:val="clear" w:color="auto" w:fill="auto"/>
          </w:tcPr>
          <w:p w14:paraId="7F5883A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70F20BE8" w14:textId="77777777" w:rsidTr="006972AD">
        <w:tc>
          <w:tcPr>
            <w:tcW w:w="783" w:type="pct"/>
            <w:shd w:val="clear" w:color="auto" w:fill="auto"/>
          </w:tcPr>
          <w:p w14:paraId="5196B87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1E2FB3F5" w14:textId="78CC1E74"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271778C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4A8020C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07794D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2" w:type="pct"/>
            <w:gridSpan w:val="2"/>
            <w:shd w:val="clear" w:color="auto" w:fill="auto"/>
          </w:tcPr>
          <w:p w14:paraId="7695EEA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2C54D6E9" w14:textId="77777777" w:rsidTr="006972AD">
        <w:tc>
          <w:tcPr>
            <w:tcW w:w="5000" w:type="pct"/>
            <w:gridSpan w:val="11"/>
            <w:shd w:val="clear" w:color="auto" w:fill="auto"/>
          </w:tcPr>
          <w:p w14:paraId="10BFB1CE"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2514DC51" w14:textId="37442182"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area is characterized by frequent occurrence of cetaceans represented by endemic and endangered subspecies or populations: the Black Sea </w:t>
            </w:r>
            <w:r w:rsidR="003D6ED2" w:rsidRPr="0088780C">
              <w:rPr>
                <w:rFonts w:eastAsia="MS Mincho"/>
                <w:snapToGrid w:val="0"/>
                <w:color w:val="000000"/>
                <w:kern w:val="22"/>
                <w:szCs w:val="22"/>
              </w:rPr>
              <w:t>harbour porpoise</w:t>
            </w:r>
            <w:r w:rsidRPr="0088780C">
              <w:rPr>
                <w:rFonts w:eastAsia="MS Mincho"/>
                <w:snapToGrid w:val="0"/>
                <w:color w:val="000000"/>
                <w:kern w:val="22"/>
                <w:szCs w:val="22"/>
              </w:rPr>
              <w:t xml:space="preserve"> </w:t>
            </w:r>
            <w:r w:rsidRPr="0088780C">
              <w:rPr>
                <w:rFonts w:eastAsia="MS Mincho"/>
                <w:i/>
                <w:snapToGrid w:val="0"/>
                <w:color w:val="000000"/>
                <w:kern w:val="22"/>
                <w:szCs w:val="22"/>
              </w:rPr>
              <w:t>Phocoena phocoena relicta</w:t>
            </w:r>
            <w:r w:rsidRPr="0088780C">
              <w:rPr>
                <w:rFonts w:eastAsia="MS Mincho"/>
                <w:snapToGrid w:val="0"/>
                <w:color w:val="000000"/>
                <w:kern w:val="22"/>
                <w:szCs w:val="22"/>
              </w:rPr>
              <w:t xml:space="preserve"> (Birkun and Frantzis, 2008) and the endangered Black Sea bottlenose dolphin </w:t>
            </w:r>
            <w:r w:rsidRPr="0088780C">
              <w:rPr>
                <w:rFonts w:eastAsia="MS Mincho"/>
                <w:i/>
                <w:snapToGrid w:val="0"/>
                <w:color w:val="000000"/>
                <w:kern w:val="22"/>
                <w:szCs w:val="22"/>
              </w:rPr>
              <w:t>Tursiops truncatus ponticus</w:t>
            </w:r>
            <w:r w:rsidRPr="0088780C">
              <w:rPr>
                <w:rFonts w:eastAsia="MS Mincho"/>
                <w:snapToGrid w:val="0"/>
                <w:color w:val="000000"/>
                <w:kern w:val="22"/>
                <w:szCs w:val="22"/>
              </w:rPr>
              <w:t xml:space="preserve"> (Saydam, 2015).</w:t>
            </w:r>
          </w:p>
        </w:tc>
      </w:tr>
      <w:tr w:rsidR="00A876F3" w:rsidRPr="0088780C" w14:paraId="60E2CDD2" w14:textId="77777777" w:rsidTr="006972AD">
        <w:tc>
          <w:tcPr>
            <w:tcW w:w="783" w:type="pct"/>
            <w:shd w:val="clear" w:color="auto" w:fill="auto"/>
          </w:tcPr>
          <w:p w14:paraId="4DC5670F" w14:textId="77777777" w:rsidR="00A876F3" w:rsidRPr="0088780C" w:rsidRDefault="00A876F3" w:rsidP="00497F77">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290F900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5516284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E12FDC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99FD0E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131D2A0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3D1E554C" w14:textId="77777777" w:rsidTr="006972AD">
        <w:tc>
          <w:tcPr>
            <w:tcW w:w="5000" w:type="pct"/>
            <w:gridSpan w:val="11"/>
            <w:shd w:val="clear" w:color="auto" w:fill="auto"/>
          </w:tcPr>
          <w:p w14:paraId="77FEEBB8"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09A5EA68" w14:textId="49B94F9C"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Cs/>
                <w:snapToGrid w:val="0"/>
                <w:color w:val="000000"/>
                <w:kern w:val="22"/>
                <w:szCs w:val="22"/>
              </w:rPr>
              <w:t xml:space="preserve">The area overlaps with an IBA that is regionally important as a wintering area for the </w:t>
            </w:r>
            <w:r w:rsidRPr="0088780C">
              <w:rPr>
                <w:rFonts w:eastAsia="MS Mincho"/>
                <w:snapToGrid w:val="0"/>
                <w:kern w:val="22"/>
                <w:szCs w:val="22"/>
              </w:rPr>
              <w:t xml:space="preserve">velvet scoter </w:t>
            </w:r>
            <w:r w:rsidRPr="0088780C">
              <w:rPr>
                <w:rFonts w:eastAsia="MS Mincho"/>
                <w:i/>
                <w:snapToGrid w:val="0"/>
                <w:kern w:val="22"/>
                <w:szCs w:val="22"/>
              </w:rPr>
              <w:t>Melanitta fusca</w:t>
            </w:r>
            <w:r w:rsidRPr="0088780C">
              <w:rPr>
                <w:rFonts w:eastAsia="MS Mincho"/>
                <w:bCs/>
                <w:snapToGrid w:val="0"/>
                <w:color w:val="000000"/>
                <w:kern w:val="22"/>
                <w:szCs w:val="22"/>
              </w:rPr>
              <w:t xml:space="preserve"> and for the Caspian gull </w:t>
            </w:r>
            <w:r w:rsidRPr="0088780C">
              <w:rPr>
                <w:rFonts w:eastAsia="MS Mincho"/>
                <w:bCs/>
                <w:i/>
                <w:snapToGrid w:val="0"/>
                <w:color w:val="000000"/>
                <w:kern w:val="22"/>
                <w:szCs w:val="22"/>
              </w:rPr>
              <w:t>Larus cachinnans</w:t>
            </w:r>
            <w:r w:rsidRPr="0088780C">
              <w:rPr>
                <w:rFonts w:eastAsia="MS Mincho"/>
                <w:bCs/>
                <w:snapToGrid w:val="0"/>
                <w:color w:val="000000"/>
                <w:kern w:val="22"/>
                <w:szCs w:val="22"/>
              </w:rPr>
              <w:t>.</w:t>
            </w:r>
            <w:r w:rsidRPr="0088780C">
              <w:rPr>
                <w:snapToGrid w:val="0"/>
                <w:kern w:val="22"/>
                <w:szCs w:val="22"/>
              </w:rPr>
              <w:t xml:space="preserve"> </w:t>
            </w:r>
            <w:r w:rsidRPr="0088780C">
              <w:rPr>
                <w:rFonts w:eastAsia="MS Mincho"/>
                <w:bCs/>
                <w:snapToGrid w:val="0"/>
                <w:color w:val="000000"/>
                <w:kern w:val="22"/>
                <w:szCs w:val="22"/>
              </w:rPr>
              <w:t xml:space="preserve">Short-beaked common dolphins are more frequently encountered in the eastern part of south-eastern Black Sea than in other parts of the Black Sea. Moreover, short-beaked common dolphins are more frequently encountered in the eastern Black Sea with relatively larger group sizes inhabiting coastal eastern Black Sea waters. Moreover, the primary overwintering area of common dolphin is the </w:t>
            </w:r>
            <w:r w:rsidR="00953367" w:rsidRPr="0088780C">
              <w:rPr>
                <w:rFonts w:eastAsia="MS Mincho"/>
                <w:bCs/>
                <w:snapToGrid w:val="0"/>
                <w:color w:val="000000"/>
                <w:kern w:val="22"/>
                <w:szCs w:val="22"/>
              </w:rPr>
              <w:t>south-east</w:t>
            </w:r>
            <w:r w:rsidRPr="0088780C">
              <w:rPr>
                <w:rFonts w:eastAsia="MS Mincho"/>
                <w:bCs/>
                <w:snapToGrid w:val="0"/>
                <w:color w:val="000000"/>
                <w:kern w:val="22"/>
                <w:szCs w:val="22"/>
              </w:rPr>
              <w:t>ern Black Sea (Saydam, 2015).</w:t>
            </w:r>
          </w:p>
        </w:tc>
      </w:tr>
      <w:tr w:rsidR="00A876F3" w:rsidRPr="0088780C" w14:paraId="33DA3B85" w14:textId="77777777" w:rsidTr="006972AD">
        <w:tc>
          <w:tcPr>
            <w:tcW w:w="783" w:type="pct"/>
            <w:shd w:val="clear" w:color="auto" w:fill="auto"/>
          </w:tcPr>
          <w:p w14:paraId="4FBB2351" w14:textId="77777777" w:rsidR="00A876F3" w:rsidRPr="0088780C" w:rsidRDefault="00A876F3" w:rsidP="00497F77">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5946CB0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0BE83F1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7C8090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00F1E9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5F14966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69E7CE99" w14:textId="77777777" w:rsidTr="006972AD">
        <w:tc>
          <w:tcPr>
            <w:tcW w:w="5000" w:type="pct"/>
            <w:gridSpan w:val="11"/>
            <w:shd w:val="clear" w:color="auto" w:fill="auto"/>
          </w:tcPr>
          <w:p w14:paraId="562A1F7A"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29067412"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kern w:val="22"/>
                <w:szCs w:val="22"/>
              </w:rPr>
            </w:pPr>
            <w:r w:rsidRPr="0088780C">
              <w:rPr>
                <w:rFonts w:eastAsiaTheme="minorHAnsi"/>
                <w:i/>
                <w:snapToGrid w:val="0"/>
                <w:kern w:val="22"/>
                <w:szCs w:val="22"/>
              </w:rPr>
              <w:t xml:space="preserve">Delphinus delphis ssp. ponticus </w:t>
            </w:r>
            <w:r w:rsidRPr="0088780C">
              <w:rPr>
                <w:rFonts w:eastAsiaTheme="minorHAnsi"/>
                <w:snapToGrid w:val="0"/>
                <w:kern w:val="22"/>
                <w:szCs w:val="22"/>
              </w:rPr>
              <w:t xml:space="preserve">has vulnerable status, while </w:t>
            </w:r>
            <w:r w:rsidRPr="0088780C">
              <w:rPr>
                <w:rFonts w:eastAsiaTheme="minorHAnsi"/>
                <w:i/>
                <w:iCs/>
                <w:snapToGrid w:val="0"/>
                <w:kern w:val="22"/>
                <w:szCs w:val="22"/>
              </w:rPr>
              <w:t xml:space="preserve">Turiops truncatus </w:t>
            </w:r>
            <w:r w:rsidRPr="0088780C">
              <w:rPr>
                <w:rFonts w:eastAsiaTheme="minorHAnsi"/>
                <w:iCs/>
                <w:snapToGrid w:val="0"/>
                <w:kern w:val="22"/>
                <w:szCs w:val="22"/>
              </w:rPr>
              <w:t>ssp.</w:t>
            </w:r>
            <w:r w:rsidRPr="0088780C">
              <w:rPr>
                <w:rFonts w:eastAsiaTheme="minorHAnsi"/>
                <w:i/>
                <w:iCs/>
                <w:snapToGrid w:val="0"/>
                <w:kern w:val="22"/>
                <w:szCs w:val="22"/>
              </w:rPr>
              <w:t xml:space="preserve"> ponticus </w:t>
            </w:r>
            <w:r w:rsidRPr="0088780C">
              <w:rPr>
                <w:rFonts w:eastAsiaTheme="minorHAnsi"/>
                <w:snapToGrid w:val="0"/>
                <w:kern w:val="22"/>
                <w:szCs w:val="22"/>
              </w:rPr>
              <w:t xml:space="preserve">has endangered status, on the IUCN Red List of Threatened Species based on criterion A2cde (Birkun Jr., A.A, 2008). Finally, </w:t>
            </w:r>
            <w:r w:rsidRPr="0088780C">
              <w:rPr>
                <w:rFonts w:eastAsiaTheme="minorHAnsi"/>
                <w:i/>
                <w:snapToGrid w:val="0"/>
                <w:color w:val="000000"/>
                <w:kern w:val="22"/>
                <w:szCs w:val="22"/>
              </w:rPr>
              <w:t xml:space="preserve">Phocena phocena </w:t>
            </w:r>
            <w:r w:rsidRPr="0088780C">
              <w:rPr>
                <w:rFonts w:eastAsiaTheme="minorHAnsi"/>
                <w:snapToGrid w:val="0"/>
                <w:color w:val="000000"/>
                <w:kern w:val="22"/>
                <w:szCs w:val="22"/>
              </w:rPr>
              <w:t>ssp.</w:t>
            </w:r>
            <w:r w:rsidRPr="0088780C">
              <w:rPr>
                <w:rFonts w:eastAsiaTheme="minorHAnsi"/>
                <w:i/>
                <w:iCs/>
                <w:snapToGrid w:val="0"/>
                <w:kern w:val="22"/>
                <w:szCs w:val="22"/>
              </w:rPr>
              <w:t xml:space="preserve"> relicta, </w:t>
            </w:r>
            <w:r w:rsidRPr="0088780C">
              <w:rPr>
                <w:rFonts w:eastAsiaTheme="minorHAnsi"/>
                <w:snapToGrid w:val="0"/>
                <w:kern w:val="22"/>
                <w:szCs w:val="22"/>
              </w:rPr>
              <w:t>has endangered status in the IUCN Red List of Threatened Species based on criteria A1d and A4cde.</w:t>
            </w:r>
          </w:p>
          <w:p w14:paraId="779FADD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Theme="minorHAnsi"/>
                <w:snapToGrid w:val="0"/>
                <w:kern w:val="22"/>
                <w:szCs w:val="22"/>
              </w:rPr>
              <w:t xml:space="preserve">Also in terms of birds, </w:t>
            </w:r>
            <w:r w:rsidRPr="0088780C">
              <w:rPr>
                <w:rFonts w:eastAsiaTheme="minorHAnsi"/>
                <w:i/>
                <w:snapToGrid w:val="0"/>
                <w:kern w:val="22"/>
                <w:szCs w:val="22"/>
              </w:rPr>
              <w:t>Melanitta fusca,</w:t>
            </w:r>
            <w:r w:rsidRPr="0088780C">
              <w:rPr>
                <w:rFonts w:eastAsiaTheme="minorHAnsi"/>
                <w:snapToGrid w:val="0"/>
                <w:kern w:val="22"/>
                <w:szCs w:val="22"/>
              </w:rPr>
              <w:t xml:space="preserve"> which has vulnerable status on IUCN Red List, </w:t>
            </w:r>
            <w:r w:rsidRPr="0088780C">
              <w:rPr>
                <w:snapToGrid w:val="0"/>
                <w:kern w:val="22"/>
                <w:szCs w:val="22"/>
              </w:rPr>
              <w:t xml:space="preserve">inhabits the area, which overlaps with a marine </w:t>
            </w:r>
            <w:r w:rsidRPr="0088780C">
              <w:rPr>
                <w:rFonts w:eastAsia="MS Mincho"/>
                <w:snapToGrid w:val="0"/>
                <w:kern w:val="22"/>
                <w:szCs w:val="22"/>
              </w:rPr>
              <w:t>Important Bird and Biodiversity Area.</w:t>
            </w:r>
          </w:p>
          <w:p w14:paraId="43DC8F4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7F7295BF"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kern w:val="22"/>
                <w:szCs w:val="22"/>
              </w:rPr>
            </w:pPr>
            <w:r w:rsidRPr="0088780C">
              <w:rPr>
                <w:rFonts w:eastAsia="Times New Roman"/>
                <w:snapToGrid w:val="0"/>
                <w:color w:val="000000"/>
                <w:kern w:val="22"/>
                <w:szCs w:val="22"/>
                <w:lang w:eastAsia="tr-TR"/>
              </w:rPr>
              <w:t xml:space="preserve">According to the Black Sea Fish Check List, the species </w:t>
            </w:r>
            <w:r w:rsidRPr="0088780C">
              <w:rPr>
                <w:rFonts w:eastAsia="Times New Roman"/>
                <w:i/>
                <w:snapToGrid w:val="0"/>
                <w:color w:val="000000"/>
                <w:kern w:val="22"/>
                <w:szCs w:val="22"/>
                <w:lang w:eastAsia="tr-TR"/>
              </w:rPr>
              <w:t>Hippocampus hippocampus</w:t>
            </w:r>
            <w:r w:rsidRPr="0088780C">
              <w:rPr>
                <w:rFonts w:eastAsia="Times New Roman"/>
                <w:snapToGrid w:val="0"/>
                <w:color w:val="000000"/>
                <w:kern w:val="22"/>
                <w:szCs w:val="22"/>
                <w:lang w:eastAsia="tr-TR"/>
              </w:rPr>
              <w:t xml:space="preserve"> is endangered in Turkey (Yankova, n.d.).</w:t>
            </w:r>
          </w:p>
        </w:tc>
      </w:tr>
      <w:tr w:rsidR="00A876F3" w:rsidRPr="0088780C" w14:paraId="60C01275" w14:textId="77777777" w:rsidTr="006972AD">
        <w:tc>
          <w:tcPr>
            <w:tcW w:w="783" w:type="pct"/>
            <w:shd w:val="clear" w:color="auto" w:fill="auto"/>
          </w:tcPr>
          <w:p w14:paraId="7CEDBA7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471857B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0BEA606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980FD2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47B86D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2" w:type="pct"/>
            <w:gridSpan w:val="2"/>
            <w:shd w:val="clear" w:color="auto" w:fill="auto"/>
          </w:tcPr>
          <w:p w14:paraId="31F00A1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08D8D409" w14:textId="77777777" w:rsidTr="006972AD">
        <w:tc>
          <w:tcPr>
            <w:tcW w:w="5000" w:type="pct"/>
            <w:gridSpan w:val="11"/>
            <w:shd w:val="clear" w:color="auto" w:fill="auto"/>
          </w:tcPr>
          <w:p w14:paraId="4391073E"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2DCFAF37" w14:textId="246EA6EE"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All cetaceans are known to have low reproductive rates and slow recovery if damaged. It also takes at least 3-4 years </w:t>
            </w:r>
            <w:r w:rsidR="00497F77" w:rsidRPr="0088780C">
              <w:rPr>
                <w:rFonts w:eastAsia="MS Mincho"/>
                <w:snapToGrid w:val="0"/>
                <w:color w:val="000000"/>
                <w:kern w:val="22"/>
                <w:szCs w:val="22"/>
              </w:rPr>
              <w:t>for them to start to reproduce.</w:t>
            </w:r>
          </w:p>
          <w:p w14:paraId="138194B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p w14:paraId="6D33121C" w14:textId="5D1B7E35" w:rsidR="00A876F3" w:rsidRPr="0088780C" w:rsidRDefault="00A876F3" w:rsidP="001013AF">
            <w:pPr>
              <w:suppressLineNumbers/>
              <w:suppressAutoHyphens/>
              <w:kinsoku w:val="0"/>
              <w:overflowPunct w:val="0"/>
              <w:autoSpaceDE w:val="0"/>
              <w:autoSpaceDN w:val="0"/>
              <w:rPr>
                <w:rFonts w:eastAsia="Times New Roman"/>
                <w:snapToGrid w:val="0"/>
                <w:color w:val="000000"/>
                <w:kern w:val="22"/>
                <w:szCs w:val="22"/>
                <w:lang w:eastAsia="tr-TR"/>
              </w:rPr>
            </w:pPr>
            <w:r w:rsidRPr="0088780C">
              <w:rPr>
                <w:rFonts w:eastAsia="Times New Roman"/>
                <w:snapToGrid w:val="0"/>
                <w:color w:val="000000"/>
                <w:kern w:val="22"/>
                <w:szCs w:val="22"/>
                <w:lang w:eastAsia="tr-TR"/>
              </w:rPr>
              <w:t>Bottlenose dolphins and harbour porpoises start reproduction late, and produce</w:t>
            </w:r>
            <w:r w:rsidR="00497F77" w:rsidRPr="0088780C">
              <w:rPr>
                <w:rFonts w:eastAsia="Times New Roman"/>
                <w:snapToGrid w:val="0"/>
                <w:color w:val="000000"/>
                <w:kern w:val="22"/>
                <w:szCs w:val="22"/>
                <w:lang w:eastAsia="tr-TR"/>
              </w:rPr>
              <w:t xml:space="preserve"> a limited number of offspring. </w:t>
            </w:r>
            <w:r w:rsidRPr="0088780C">
              <w:rPr>
                <w:rFonts w:eastAsia="Times New Roman"/>
                <w:snapToGrid w:val="0"/>
                <w:color w:val="000000"/>
                <w:kern w:val="22"/>
                <w:szCs w:val="22"/>
                <w:lang w:eastAsia="tr-TR"/>
              </w:rPr>
              <w:t>Birkun (2012) indicates that Black Sea bottlenose dolphins</w:t>
            </w:r>
            <w:r w:rsidR="00497F77" w:rsidRPr="0088780C">
              <w:rPr>
                <w:rFonts w:eastAsia="Times New Roman"/>
                <w:snapToGrid w:val="0"/>
                <w:color w:val="000000"/>
                <w:kern w:val="22"/>
                <w:szCs w:val="22"/>
                <w:lang w:eastAsia="tr-TR"/>
              </w:rPr>
              <w:t xml:space="preserve"> have a life history similar to </w:t>
            </w:r>
            <w:r w:rsidRPr="0088780C">
              <w:rPr>
                <w:rFonts w:eastAsia="Times New Roman"/>
                <w:snapToGrid w:val="0"/>
                <w:color w:val="000000"/>
                <w:kern w:val="22"/>
                <w:szCs w:val="22"/>
                <w:lang w:eastAsia="tr-TR"/>
              </w:rPr>
              <w:t>bottlenose dolphins elsewhere and therefore that the generation time is approximately 20 years; the interval between births is from two or three to six years; one female is unlikely to produce more than eight calves in her lifetime; gestation lasts 12 months, lactation can last more than 1.5 years. Gold’in (2004) reported that sexual maturity is reached at 3-4 years for the harbour porpoise, and the maximum life span is at least 20 years. This indicates slow recovery in cases of degradation or depletion by human activities or natural events, such as epidemics.</w:t>
            </w:r>
          </w:p>
          <w:p w14:paraId="5B4AB002"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kern w:val="22"/>
                <w:szCs w:val="22"/>
                <w:lang w:eastAsia="tr-TR"/>
              </w:rPr>
            </w:pPr>
          </w:p>
          <w:p w14:paraId="5B4F3609" w14:textId="77777777" w:rsidR="00A876F3" w:rsidRPr="0088780C" w:rsidRDefault="00A876F3" w:rsidP="001013AF">
            <w:pPr>
              <w:suppressLineNumbers/>
              <w:suppressAutoHyphens/>
              <w:kinsoku w:val="0"/>
              <w:overflowPunct w:val="0"/>
              <w:autoSpaceDE w:val="0"/>
              <w:autoSpaceDN w:val="0"/>
              <w:rPr>
                <w:rFonts w:eastAsia="Times New Roman"/>
                <w:snapToGrid w:val="0"/>
                <w:color w:val="000000"/>
                <w:kern w:val="22"/>
                <w:szCs w:val="22"/>
                <w:lang w:eastAsia="tr-TR"/>
              </w:rPr>
            </w:pPr>
            <w:r w:rsidRPr="0088780C">
              <w:rPr>
                <w:rFonts w:eastAsia="Times New Roman"/>
                <w:snapToGrid w:val="0"/>
                <w:color w:val="000000"/>
                <w:kern w:val="22"/>
                <w:szCs w:val="22"/>
                <w:lang w:eastAsia="tr-TR"/>
              </w:rPr>
              <w:t xml:space="preserve">According to the Black Sea Fish Check List, the species </w:t>
            </w:r>
            <w:r w:rsidRPr="0088780C">
              <w:rPr>
                <w:rFonts w:eastAsia="Times New Roman"/>
                <w:i/>
                <w:snapToGrid w:val="0"/>
                <w:color w:val="000000"/>
                <w:kern w:val="22"/>
                <w:szCs w:val="22"/>
                <w:lang w:eastAsia="tr-TR"/>
              </w:rPr>
              <w:t>Hippocampus hippocampus</w:t>
            </w:r>
            <w:r w:rsidRPr="0088780C">
              <w:rPr>
                <w:rFonts w:eastAsia="Times New Roman"/>
                <w:snapToGrid w:val="0"/>
                <w:color w:val="000000"/>
                <w:kern w:val="22"/>
                <w:szCs w:val="22"/>
                <w:lang w:eastAsia="tr-TR"/>
              </w:rPr>
              <w:t xml:space="preserve"> is endangered in Turkey (Yankova, n.d.).</w:t>
            </w:r>
          </w:p>
        </w:tc>
      </w:tr>
      <w:tr w:rsidR="00A876F3" w:rsidRPr="0088780C" w14:paraId="6E403FB9" w14:textId="77777777" w:rsidTr="006972AD">
        <w:tc>
          <w:tcPr>
            <w:tcW w:w="783" w:type="pct"/>
            <w:shd w:val="clear" w:color="auto" w:fill="auto"/>
          </w:tcPr>
          <w:p w14:paraId="014B0BC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3710899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107B690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10" w:type="pct"/>
            <w:gridSpan w:val="2"/>
            <w:shd w:val="clear" w:color="auto" w:fill="auto"/>
          </w:tcPr>
          <w:p w14:paraId="697A256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DFA197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4EB0C34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04F332A7" w14:textId="77777777" w:rsidTr="006972AD">
        <w:tc>
          <w:tcPr>
            <w:tcW w:w="5000" w:type="pct"/>
            <w:gridSpan w:val="11"/>
            <w:shd w:val="clear" w:color="auto" w:fill="auto"/>
          </w:tcPr>
          <w:p w14:paraId="31D9A09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r>
      <w:tr w:rsidR="00A876F3" w:rsidRPr="0088780C" w14:paraId="135D9B3D" w14:textId="77777777" w:rsidTr="006972AD">
        <w:tc>
          <w:tcPr>
            <w:tcW w:w="783" w:type="pct"/>
            <w:shd w:val="clear" w:color="auto" w:fill="auto"/>
          </w:tcPr>
          <w:p w14:paraId="00EAEA1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4F2246E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7106AC4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280C63C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E5DB64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2" w:type="pct"/>
            <w:gridSpan w:val="2"/>
            <w:shd w:val="clear" w:color="auto" w:fill="auto"/>
          </w:tcPr>
          <w:p w14:paraId="6C26462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2246CCAD" w14:textId="77777777" w:rsidTr="006972AD">
        <w:tc>
          <w:tcPr>
            <w:tcW w:w="5000" w:type="pct"/>
            <w:gridSpan w:val="11"/>
            <w:shd w:val="clear" w:color="auto" w:fill="auto"/>
          </w:tcPr>
          <w:p w14:paraId="091923A4"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24791210"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 xml:space="preserve">Sezgin et al. (2010) investigated the diversity of macrozoobenthos of the eastern Black Sea region of Turkey at 39 stations (13m -79 m depth range) and reported that polychaete </w:t>
            </w:r>
            <w:r w:rsidRPr="0088780C">
              <w:rPr>
                <w:i/>
                <w:snapToGrid w:val="0"/>
                <w:kern w:val="22"/>
                <w:szCs w:val="22"/>
              </w:rPr>
              <w:t>Melinna palmata</w:t>
            </w:r>
            <w:r w:rsidRPr="0088780C">
              <w:rPr>
                <w:snapToGrid w:val="0"/>
                <w:kern w:val="22"/>
                <w:szCs w:val="22"/>
              </w:rPr>
              <w:t xml:space="preserve">, molluscs </w:t>
            </w:r>
            <w:r w:rsidRPr="0088780C">
              <w:rPr>
                <w:i/>
                <w:snapToGrid w:val="0"/>
                <w:kern w:val="22"/>
                <w:szCs w:val="22"/>
              </w:rPr>
              <w:t>Lentidium mediterraneum, Lucinella divaricata</w:t>
            </w:r>
            <w:r w:rsidRPr="0088780C">
              <w:rPr>
                <w:snapToGrid w:val="0"/>
                <w:kern w:val="22"/>
                <w:szCs w:val="22"/>
              </w:rPr>
              <w:t xml:space="preserve"> and </w:t>
            </w:r>
            <w:r w:rsidRPr="0088780C">
              <w:rPr>
                <w:i/>
                <w:snapToGrid w:val="0"/>
                <w:kern w:val="22"/>
                <w:szCs w:val="22"/>
              </w:rPr>
              <w:t>Chamelea gallina</w:t>
            </w:r>
            <w:r w:rsidRPr="0088780C">
              <w:rPr>
                <w:snapToGrid w:val="0"/>
                <w:kern w:val="22"/>
                <w:szCs w:val="22"/>
              </w:rPr>
              <w:t xml:space="preserve"> were the most dominant species, while polychaetes </w:t>
            </w:r>
            <w:r w:rsidRPr="0088780C">
              <w:rPr>
                <w:i/>
                <w:snapToGrid w:val="0"/>
                <w:kern w:val="22"/>
                <w:szCs w:val="22"/>
              </w:rPr>
              <w:t>M. palmata, Micronephths stammeri, A. fragilis mediterranea</w:t>
            </w:r>
            <w:r w:rsidRPr="0088780C">
              <w:rPr>
                <w:snapToGrid w:val="0"/>
                <w:kern w:val="22"/>
                <w:szCs w:val="22"/>
              </w:rPr>
              <w:t xml:space="preserve">, mollusks </w:t>
            </w:r>
            <w:r w:rsidRPr="0088780C">
              <w:rPr>
                <w:i/>
                <w:snapToGrid w:val="0"/>
                <w:kern w:val="22"/>
                <w:szCs w:val="22"/>
              </w:rPr>
              <w:t>C. gallina</w:t>
            </w:r>
            <w:r w:rsidRPr="0088780C">
              <w:rPr>
                <w:snapToGrid w:val="0"/>
                <w:kern w:val="22"/>
                <w:szCs w:val="22"/>
              </w:rPr>
              <w:t xml:space="preserve"> and </w:t>
            </w:r>
            <w:r w:rsidRPr="0088780C">
              <w:rPr>
                <w:i/>
                <w:snapToGrid w:val="0"/>
                <w:kern w:val="22"/>
                <w:szCs w:val="22"/>
              </w:rPr>
              <w:t>Pitar rudis</w:t>
            </w:r>
            <w:r w:rsidRPr="0088780C">
              <w:rPr>
                <w:snapToGrid w:val="0"/>
                <w:kern w:val="22"/>
                <w:szCs w:val="22"/>
              </w:rPr>
              <w:t xml:space="preserve"> were recorded frequently in the area.</w:t>
            </w:r>
          </w:p>
          <w:p w14:paraId="53B6AE3A"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rFonts w:eastAsia="MS Mincho"/>
                <w:snapToGrid w:val="0"/>
                <w:color w:val="000000"/>
                <w:kern w:val="22"/>
                <w:szCs w:val="22"/>
              </w:rPr>
              <w:t>T</w:t>
            </w:r>
            <w:r w:rsidRPr="0088780C">
              <w:rPr>
                <w:snapToGrid w:val="0"/>
                <w:kern w:val="22"/>
                <w:szCs w:val="22"/>
              </w:rPr>
              <w:t xml:space="preserve">he area overlaps with a marine </w:t>
            </w:r>
            <w:r w:rsidRPr="0088780C">
              <w:rPr>
                <w:rFonts w:eastAsia="MS Mincho"/>
                <w:snapToGrid w:val="0"/>
                <w:kern w:val="22"/>
                <w:szCs w:val="22"/>
              </w:rPr>
              <w:t xml:space="preserve">Important Bird and Biodiversity Area (IBA; BirdLife International 2017); this IBA is of regional importance for two seabird species: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xml:space="preserve">. A third species is also known to occur: mew gull </w:t>
            </w:r>
            <w:r w:rsidRPr="0088780C">
              <w:rPr>
                <w:rFonts w:eastAsia="MS Mincho"/>
                <w:i/>
                <w:snapToGrid w:val="0"/>
                <w:kern w:val="22"/>
                <w:szCs w:val="22"/>
              </w:rPr>
              <w:t>Larus canus</w:t>
            </w:r>
            <w:r w:rsidRPr="0088780C">
              <w:rPr>
                <w:rFonts w:eastAsia="MS Mincho"/>
                <w:snapToGrid w:val="0"/>
                <w:kern w:val="22"/>
                <w:szCs w:val="22"/>
              </w:rPr>
              <w:t>. (</w:t>
            </w:r>
            <w:r w:rsidRPr="0088780C">
              <w:rPr>
                <w:snapToGrid w:val="0"/>
                <w:kern w:val="22"/>
                <w:szCs w:val="22"/>
              </w:rPr>
              <w:t>BirdLife International 2017)</w:t>
            </w:r>
            <w:r w:rsidRPr="0088780C">
              <w:rPr>
                <w:rFonts w:eastAsia="MS Mincho"/>
                <w:snapToGrid w:val="0"/>
                <w:kern w:val="22"/>
                <w:szCs w:val="22"/>
              </w:rPr>
              <w:t>.</w:t>
            </w:r>
          </w:p>
        </w:tc>
      </w:tr>
      <w:tr w:rsidR="00A876F3" w:rsidRPr="0088780C" w14:paraId="4D62F472" w14:textId="77777777" w:rsidTr="006972AD">
        <w:tc>
          <w:tcPr>
            <w:tcW w:w="783" w:type="pct"/>
            <w:shd w:val="clear" w:color="auto" w:fill="auto"/>
          </w:tcPr>
          <w:p w14:paraId="1126C804"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17D3F9A7"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3A1D37F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0DF9A0D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3C9CB10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385" w:type="pct"/>
            <w:shd w:val="clear" w:color="auto" w:fill="auto"/>
          </w:tcPr>
          <w:p w14:paraId="6240073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r>
      <w:tr w:rsidR="00A876F3" w:rsidRPr="0088780C" w14:paraId="389B2B5E" w14:textId="77777777" w:rsidTr="006972AD">
        <w:tc>
          <w:tcPr>
            <w:tcW w:w="5000" w:type="pct"/>
            <w:gridSpan w:val="11"/>
            <w:shd w:val="clear" w:color="auto" w:fill="auto"/>
          </w:tcPr>
          <w:p w14:paraId="68489D37"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Explanation for ranking</w:t>
            </w:r>
          </w:p>
          <w:p w14:paraId="44C44516"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eastern part of the area is an area that is used only for recreational purposes (i.e., swimming). </w:t>
            </w:r>
          </w:p>
        </w:tc>
      </w:tr>
    </w:tbl>
    <w:p w14:paraId="33DB8ED7"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90391D8" w14:textId="77777777" w:rsidR="00A876F3" w:rsidRPr="0088780C" w:rsidRDefault="00A876F3" w:rsidP="00F51B2A">
      <w:pPr>
        <w:keepNext/>
        <w:suppressLineNumbers/>
        <w:suppressAutoHyphens/>
        <w:kinsoku w:val="0"/>
        <w:overflowPunct w:val="0"/>
        <w:autoSpaceDE w:val="0"/>
        <w:autoSpaceDN w:val="0"/>
        <w:spacing w:after="60"/>
        <w:rPr>
          <w:snapToGrid w:val="0"/>
          <w:kern w:val="22"/>
          <w:szCs w:val="22"/>
        </w:rPr>
      </w:pPr>
      <w:r w:rsidRPr="0088780C">
        <w:rPr>
          <w:rFonts w:eastAsia="MS Mincho"/>
          <w:b/>
          <w:snapToGrid w:val="0"/>
          <w:kern w:val="22"/>
          <w:szCs w:val="22"/>
        </w:rPr>
        <w:t>References</w:t>
      </w:r>
    </w:p>
    <w:p w14:paraId="68FEC6BC" w14:textId="7CC6644C"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color w:val="333333"/>
          <w:kern w:val="22"/>
          <w:szCs w:val="22"/>
        </w:rPr>
        <w:t xml:space="preserve">J. G. Acker and G. Leptoukh, </w:t>
      </w:r>
      <w:r w:rsidR="00D8482D" w:rsidRPr="0088780C">
        <w:rPr>
          <w:snapToGrid w:val="0"/>
          <w:color w:val="333333"/>
          <w:kern w:val="22"/>
          <w:szCs w:val="22"/>
        </w:rPr>
        <w:t>“</w:t>
      </w:r>
      <w:r w:rsidRPr="0088780C">
        <w:rPr>
          <w:snapToGrid w:val="0"/>
          <w:color w:val="333333"/>
          <w:kern w:val="22"/>
          <w:szCs w:val="22"/>
        </w:rPr>
        <w:t>Online Analysis Enhances Use of NASA Earth Science Data</w:t>
      </w:r>
      <w:r w:rsidR="00D8482D" w:rsidRPr="0088780C">
        <w:rPr>
          <w:snapToGrid w:val="0"/>
          <w:color w:val="333333"/>
          <w:kern w:val="22"/>
          <w:szCs w:val="22"/>
        </w:rPr>
        <w:t>”</w:t>
      </w:r>
      <w:r w:rsidR="00E465E9" w:rsidRPr="0088780C">
        <w:rPr>
          <w:snapToGrid w:val="0"/>
          <w:color w:val="333333"/>
          <w:kern w:val="22"/>
          <w:szCs w:val="22"/>
        </w:rPr>
        <w:t xml:space="preserve">, </w:t>
      </w:r>
      <w:r w:rsidRPr="0088780C">
        <w:rPr>
          <w:snapToGrid w:val="0"/>
          <w:color w:val="333333"/>
          <w:kern w:val="22"/>
          <w:szCs w:val="22"/>
        </w:rPr>
        <w:t>Eos, Trans. AGU, Vol. 88, No. 2 (9 January 2007), pages 14 and 17.</w:t>
      </w:r>
    </w:p>
    <w:p w14:paraId="111B0E24"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BirdLife International 2017. Important Bird Areas factsheet: Eastern Black Sea Mountains. Downloaded from </w:t>
      </w:r>
      <w:hyperlink r:id="rId200" w:history="1">
        <w:r w:rsidRPr="0088780C">
          <w:rPr>
            <w:rStyle w:val="Hyperlink"/>
            <w:snapToGrid w:val="0"/>
            <w:kern w:val="22"/>
            <w:szCs w:val="22"/>
          </w:rPr>
          <w:t>http://datazone.birdlife.org/site/factsheet/eastern-black-sea-mountains-iba-turkey/details on 05/04/2017</w:t>
        </w:r>
      </w:hyperlink>
      <w:r w:rsidRPr="0088780C">
        <w:rPr>
          <w:snapToGrid w:val="0"/>
          <w:kern w:val="22"/>
          <w:szCs w:val="22"/>
        </w:rPr>
        <w:t>.</w:t>
      </w:r>
    </w:p>
    <w:p w14:paraId="55FA2782"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Birkun A., Jr., Krivokhizhin S. (1998). Distribution of Small Cetaceans in the Northern Part of the Black Sea: Cetacean Strandings on Black Sea Coast of the Crimea in 1989-1996 and Cetacean Sightings in the Kerch Strait in 1997 (Report for CIESM, Monaco). BREMA Laboratory, Simferopol, 67 p.</w:t>
      </w:r>
    </w:p>
    <w:p w14:paraId="78CA9B69"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Birkun Jr., A.A. &amp; Frantzis, A. 2008. </w:t>
      </w:r>
      <w:r w:rsidRPr="0088780C">
        <w:rPr>
          <w:i/>
          <w:iCs/>
          <w:snapToGrid w:val="0"/>
          <w:kern w:val="22"/>
          <w:szCs w:val="22"/>
        </w:rPr>
        <w:t>Phocoena phocoena ssp. relicta</w:t>
      </w:r>
      <w:r w:rsidRPr="0088780C">
        <w:rPr>
          <w:snapToGrid w:val="0"/>
          <w:kern w:val="22"/>
          <w:szCs w:val="22"/>
        </w:rPr>
        <w:t>. The IUCN Red List of Threatened Species. Version 2015.1. &lt;www.iucnredlist.org&gt;. Downloaded on 18 June 2015.</w:t>
      </w:r>
    </w:p>
    <w:p w14:paraId="0FB90EA6"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Birkun, B. A. (2002). The current status of bottlenose dolphins in the Black Sea, ACCOBAMS Report 2: 1–25.</w:t>
      </w:r>
    </w:p>
    <w:p w14:paraId="4973A163"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Celikkale, M.S., Unsal, S., Karacam, H., Durukanoglu, H.F. and Duzgunes, E., 1988. Assessment of dolphin stocks and their biological characteristics in the Black Sea. Projects and Applications General Directorate, Ministry of Agriculture, Forestry and Rural Affairs, Turkey, 80 pp. (In Turkish).</w:t>
      </w:r>
    </w:p>
    <w:p w14:paraId="74033DCF"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Erkan, F., Gücü, A.C. (2000) The diel vertical distribution of zooplankton in the Southeast Black Sea. Turk J Zool. 24: 417-427.</w:t>
      </w:r>
    </w:p>
    <w:p w14:paraId="3B672F27"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bCs/>
          <w:snapToGrid w:val="0"/>
          <w:kern w:val="22"/>
          <w:szCs w:val="22"/>
        </w:rPr>
        <w:t>Eruz, Coskun. 2007. Environmentally Sensitive marine and ıntegrated Coastal Areas in Eastern Black Sea.(Report).</w:t>
      </w:r>
      <w:r w:rsidRPr="0088780C">
        <w:rPr>
          <w:rFonts w:eastAsia="MS Mincho"/>
          <w:snapToGrid w:val="0"/>
          <w:kern w:val="22"/>
          <w:szCs w:val="22"/>
        </w:rPr>
        <w:t xml:space="preserve"> Black Sea Technical University, Faculty of Marine Science.</w:t>
      </w:r>
    </w:p>
    <w:p w14:paraId="0088B5E0"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rFonts w:eastAsia="Times New Roman"/>
          <w:snapToGrid w:val="0"/>
          <w:color w:val="000000"/>
          <w:kern w:val="22"/>
          <w:szCs w:val="22"/>
          <w:lang w:eastAsia="tr-TR"/>
        </w:rPr>
      </w:pPr>
      <w:r w:rsidRPr="0088780C">
        <w:rPr>
          <w:rFonts w:eastAsia="Times New Roman"/>
          <w:snapToGrid w:val="0"/>
          <w:color w:val="212121"/>
          <w:kern w:val="22"/>
          <w:szCs w:val="22"/>
          <w:lang w:eastAsia="tr-TR"/>
        </w:rPr>
        <w:t>Gol’din, P. 2004. Growth and body size of the harbour porpoise, Phocoena phocoena (Cetacea, Phocoenidae), in the Sea of Azov and the Black Sea.Vestinik zoologii 38(4) : 59-73.</w:t>
      </w:r>
    </w:p>
    <w:p w14:paraId="3D982788"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http://giovanni.sci.gsfc.nasa.gov, 2017.</w:t>
      </w:r>
    </w:p>
    <w:p w14:paraId="1131672F"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Mutlu, E., 1994. Qualitative and quantitative distribution of benthic molluscs along the Turkish Black Sea. Boll. Malacologico, 30: 277-286.</w:t>
      </w:r>
    </w:p>
    <w:p w14:paraId="2F503EE8"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Saydam, G., 2015. Cetacean distribution in The Southern Black Sea: An Acoustıc Approach. 2015. Ms. Thesis.</w:t>
      </w:r>
    </w:p>
    <w:p w14:paraId="348A130A"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Sezgin, M., Kirkim, F., Dagli, E., Dogan, A., Unluoglu, A., Katagan, T. &amp; Benli, H.A., 2010. Sublittoral soft-bottom zoobenthic communities and diversity of southern coast of the Black Sea (Turkey). Rapp Comm Int Mer Medit 39: 662.</w:t>
      </w:r>
    </w:p>
    <w:p w14:paraId="3009286C"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Ünal, E. (2002) Seasonality of zooplankton in the Southern Black Sea in 1999 and genetics of Calanus euxinus (Copepoda). M.Sc. Thesis, IMS-Middle East Technical University, Ankara, p. 202.</w:t>
      </w:r>
    </w:p>
    <w:p w14:paraId="6A607D24" w14:textId="77777777" w:rsidR="00A876F3" w:rsidRPr="0088780C" w:rsidRDefault="00A876F3" w:rsidP="00F51B2A">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Yankova, M. Black Sea Fish Check List. Commission on the Protection of the Black Sea against Pollution, </w:t>
      </w:r>
      <w:hyperlink r:id="rId201" w:history="1">
        <w:r w:rsidRPr="0088780C">
          <w:rPr>
            <w:rStyle w:val="Hyperlink"/>
            <w:snapToGrid w:val="0"/>
            <w:kern w:val="22"/>
            <w:szCs w:val="22"/>
          </w:rPr>
          <w:t>http://www.blacksea-commission.org/_publ-BSFishList.asp</w:t>
        </w:r>
      </w:hyperlink>
      <w:r w:rsidRPr="0088780C">
        <w:rPr>
          <w:snapToGrid w:val="0"/>
          <w:kern w:val="22"/>
          <w:szCs w:val="22"/>
        </w:rPr>
        <w:t>.</w:t>
      </w:r>
    </w:p>
    <w:p w14:paraId="12ADB9FA" w14:textId="77777777" w:rsidR="00A876F3" w:rsidRPr="0088780C" w:rsidRDefault="00A876F3" w:rsidP="001013AF">
      <w:pPr>
        <w:suppressLineNumbers/>
        <w:suppressAutoHyphens/>
        <w:kinsoku w:val="0"/>
        <w:overflowPunct w:val="0"/>
        <w:autoSpaceDE w:val="0"/>
        <w:autoSpaceDN w:val="0"/>
        <w:ind w:left="709" w:hanging="709"/>
        <w:rPr>
          <w:snapToGrid w:val="0"/>
          <w:kern w:val="22"/>
          <w:szCs w:val="22"/>
        </w:rPr>
      </w:pPr>
      <w:r w:rsidRPr="0088780C">
        <w:rPr>
          <w:snapToGrid w:val="0"/>
          <w:kern w:val="22"/>
          <w:szCs w:val="22"/>
        </w:rPr>
        <w:br w:type="page"/>
      </w:r>
    </w:p>
    <w:p w14:paraId="2DC474E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64C49309"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4499C0E"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snapToGrid w:val="0"/>
          <w:kern w:val="22"/>
          <w:szCs w:val="22"/>
        </w:rPr>
        <w:t xml:space="preserve"> </w:t>
      </w:r>
      <w:r w:rsidRPr="0088780C">
        <w:rPr>
          <w:noProof/>
          <w:snapToGrid w:val="0"/>
          <w:kern w:val="22"/>
          <w:szCs w:val="22"/>
          <w:lang w:eastAsia="zh-CN"/>
        </w:rPr>
        <w:drawing>
          <wp:inline distT="0" distB="0" distL="0" distR="0" wp14:anchorId="00CC16AF" wp14:editId="308ED579">
            <wp:extent cx="5486400" cy="4572000"/>
            <wp:effectExtent l="0" t="0" r="0" b="0"/>
            <wp:docPr id="64551" name="Picture 64551" descr="C:\Users\grekin\AppData\Local\Microsoft\Windows\Temporary Internet Files\Content.Word\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rekin\AppData\Local\Microsoft\Windows\Temporary Internet Files\Content.Word\14.png"/>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76F4B27A" w14:textId="6202C4EC"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rPr>
        <w:t xml:space="preserve">Figure 1. </w:t>
      </w:r>
      <w:r w:rsidRPr="0088780C">
        <w:rPr>
          <w:rFonts w:eastAsia="MS Mincho"/>
          <w:b/>
          <w:bCs/>
          <w:snapToGrid w:val="0"/>
          <w:color w:val="000000" w:themeColor="text1"/>
          <w:kern w:val="22"/>
          <w:szCs w:val="22"/>
        </w:rPr>
        <w:t>Area meeting the EBSA criteria</w:t>
      </w:r>
    </w:p>
    <w:p w14:paraId="246FFA04"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76D7437E"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Cs/>
          <w:snapToGrid w:val="0"/>
          <w:color w:val="000000"/>
          <w:kern w:val="22"/>
          <w:szCs w:val="22"/>
        </w:rPr>
        <w:br w:type="page"/>
      </w:r>
    </w:p>
    <w:p w14:paraId="3B452306"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Cs/>
          <w:noProof/>
          <w:snapToGrid w:val="0"/>
          <w:color w:val="000000"/>
          <w:kern w:val="22"/>
          <w:szCs w:val="22"/>
          <w:lang w:eastAsia="zh-CN"/>
        </w:rPr>
        <w:drawing>
          <wp:inline distT="0" distB="0" distL="0" distR="0" wp14:anchorId="72A048A4" wp14:editId="0A0F9E13">
            <wp:extent cx="5760720" cy="1934845"/>
            <wp:effectExtent l="0" t="0" r="0" b="8255"/>
            <wp:docPr id="412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rotWithShape="1">
                    <a:blip r:embed="rId203"/>
                    <a:srcRect b="37350"/>
                    <a:stretch/>
                  </pic:blipFill>
                  <pic:spPr>
                    <a:xfrm>
                      <a:off x="0" y="0"/>
                      <a:ext cx="5760720" cy="1934845"/>
                    </a:xfrm>
                    <a:prstGeom prst="rect">
                      <a:avLst/>
                    </a:prstGeom>
                  </pic:spPr>
                </pic:pic>
              </a:graphicData>
            </a:graphic>
          </wp:inline>
        </w:drawing>
      </w:r>
    </w:p>
    <w:p w14:paraId="665D6688" w14:textId="77777777"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rPr>
        <w:t>Figure 2. A scene from Artvin Arhavi</w:t>
      </w:r>
    </w:p>
    <w:p w14:paraId="283368F1"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574DB0DA"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noProof/>
          <w:snapToGrid w:val="0"/>
          <w:color w:val="000000"/>
          <w:kern w:val="22"/>
          <w:szCs w:val="22"/>
          <w:lang w:eastAsia="zh-CN"/>
        </w:rPr>
        <w:drawing>
          <wp:inline distT="0" distB="0" distL="0" distR="0" wp14:anchorId="142FFCB9" wp14:editId="0FFEF311">
            <wp:extent cx="4486275" cy="2407590"/>
            <wp:effectExtent l="0" t="0" r="0" b="0"/>
            <wp:docPr id="413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4493185" cy="2411298"/>
                    </a:xfrm>
                    <a:prstGeom prst="rect">
                      <a:avLst/>
                    </a:prstGeom>
                    <a:noFill/>
                    <a:ln>
                      <a:noFill/>
                    </a:ln>
                  </pic:spPr>
                </pic:pic>
              </a:graphicData>
            </a:graphic>
          </wp:inline>
        </w:drawing>
      </w:r>
    </w:p>
    <w:p w14:paraId="5A868A16" w14:textId="77777777" w:rsidR="00A876F3" w:rsidRPr="0088780C" w:rsidRDefault="00A876F3" w:rsidP="001013AF">
      <w:pPr>
        <w:suppressLineNumbers/>
        <w:suppressAutoHyphens/>
        <w:kinsoku w:val="0"/>
        <w:overflowPunct w:val="0"/>
        <w:autoSpaceDE w:val="0"/>
        <w:autoSpaceDN w:val="0"/>
        <w:adjustRightInd w:val="0"/>
        <w:rPr>
          <w:rFonts w:eastAsiaTheme="minorHAnsi"/>
          <w:b/>
          <w:iCs/>
          <w:snapToGrid w:val="0"/>
          <w:kern w:val="22"/>
          <w:szCs w:val="22"/>
        </w:rPr>
      </w:pPr>
      <w:r w:rsidRPr="0088780C">
        <w:rPr>
          <w:rFonts w:eastAsiaTheme="minorHAnsi"/>
          <w:b/>
          <w:iCs/>
          <w:snapToGrid w:val="0"/>
          <w:kern w:val="22"/>
          <w:szCs w:val="22"/>
        </w:rPr>
        <w:t>Figure 3. Black Sea short-beaked common dolphin (</w:t>
      </w:r>
      <w:r w:rsidRPr="0088780C">
        <w:rPr>
          <w:rFonts w:eastAsiaTheme="minorHAnsi"/>
          <w:b/>
          <w:i/>
          <w:iCs/>
          <w:snapToGrid w:val="0"/>
          <w:kern w:val="22"/>
          <w:szCs w:val="22"/>
        </w:rPr>
        <w:t>Delphinus delphis</w:t>
      </w:r>
      <w:r w:rsidRPr="0088780C">
        <w:rPr>
          <w:rFonts w:eastAsiaTheme="minorHAnsi"/>
          <w:b/>
          <w:iCs/>
          <w:snapToGrid w:val="0"/>
          <w:kern w:val="22"/>
          <w:szCs w:val="22"/>
        </w:rPr>
        <w:t>) captured during a cruise in October 2014 (Saydam, 2015)</w:t>
      </w:r>
    </w:p>
    <w:p w14:paraId="766C6799"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Cs/>
          <w:snapToGrid w:val="0"/>
          <w:color w:val="000000"/>
          <w:kern w:val="22"/>
          <w:szCs w:val="22"/>
        </w:rPr>
        <w:br w:type="page"/>
      </w:r>
    </w:p>
    <w:p w14:paraId="37CF5138"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276B95E8"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6562A07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noProof/>
          <w:snapToGrid w:val="0"/>
          <w:kern w:val="22"/>
          <w:szCs w:val="22"/>
          <w:lang w:eastAsia="zh-CN"/>
        </w:rPr>
        <w:drawing>
          <wp:inline distT="0" distB="0" distL="0" distR="0" wp14:anchorId="42BF8CF2" wp14:editId="498EFB7A">
            <wp:extent cx="4819650" cy="2243007"/>
            <wp:effectExtent l="0" t="0" r="0" b="5080"/>
            <wp:docPr id="413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ydam_Fig19_July_2014.pn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4821055" cy="2243661"/>
                    </a:xfrm>
                    <a:prstGeom prst="rect">
                      <a:avLst/>
                    </a:prstGeom>
                  </pic:spPr>
                </pic:pic>
              </a:graphicData>
            </a:graphic>
          </wp:inline>
        </w:drawing>
      </w:r>
    </w:p>
    <w:p w14:paraId="13B32ED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C1851E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0D524FD0" wp14:editId="29CCA5E5">
            <wp:extent cx="4848225" cy="2054831"/>
            <wp:effectExtent l="0" t="0" r="0" b="3175"/>
            <wp:docPr id="413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ydam_Fig19_October_2014.pn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4852690" cy="2056724"/>
                    </a:xfrm>
                    <a:prstGeom prst="rect">
                      <a:avLst/>
                    </a:prstGeom>
                  </pic:spPr>
                </pic:pic>
              </a:graphicData>
            </a:graphic>
          </wp:inline>
        </w:drawing>
      </w:r>
    </w:p>
    <w:p w14:paraId="2C0C0C47" w14:textId="61FDD20D" w:rsidR="00A876F3" w:rsidRPr="0088780C" w:rsidRDefault="00A876F3" w:rsidP="001013AF">
      <w:pPr>
        <w:suppressLineNumbers/>
        <w:suppressAutoHyphens/>
        <w:kinsoku w:val="0"/>
        <w:overflowPunct w:val="0"/>
        <w:autoSpaceDE w:val="0"/>
        <w:autoSpaceDN w:val="0"/>
        <w:adjustRightInd w:val="0"/>
        <w:rPr>
          <w:rFonts w:eastAsiaTheme="minorHAnsi"/>
          <w:b/>
          <w:snapToGrid w:val="0"/>
          <w:kern w:val="22"/>
          <w:szCs w:val="22"/>
        </w:rPr>
      </w:pPr>
      <w:r w:rsidRPr="0088780C">
        <w:rPr>
          <w:rFonts w:eastAsiaTheme="minorHAnsi"/>
          <w:b/>
          <w:snapToGrid w:val="0"/>
          <w:kern w:val="22"/>
          <w:szCs w:val="22"/>
        </w:rPr>
        <w:t xml:space="preserve">Figure 4. Spatial distribution and average group size (Avg#) of cetacean species Tt: </w:t>
      </w:r>
      <w:r w:rsidRPr="0088780C">
        <w:rPr>
          <w:rFonts w:eastAsiaTheme="minorHAnsi"/>
          <w:b/>
          <w:i/>
          <w:iCs/>
          <w:snapToGrid w:val="0"/>
          <w:kern w:val="22"/>
          <w:szCs w:val="22"/>
        </w:rPr>
        <w:t>Tursiops truncatus</w:t>
      </w:r>
      <w:r w:rsidRPr="0088780C">
        <w:rPr>
          <w:rFonts w:eastAsiaTheme="minorHAnsi"/>
          <w:b/>
          <w:snapToGrid w:val="0"/>
          <w:kern w:val="22"/>
          <w:szCs w:val="22"/>
        </w:rPr>
        <w:t xml:space="preserve">, Pp: </w:t>
      </w:r>
      <w:r w:rsidRPr="0088780C">
        <w:rPr>
          <w:rFonts w:eastAsiaTheme="minorHAnsi"/>
          <w:b/>
          <w:i/>
          <w:iCs/>
          <w:snapToGrid w:val="0"/>
          <w:kern w:val="22"/>
          <w:szCs w:val="22"/>
        </w:rPr>
        <w:t>Phocoena phocoena</w:t>
      </w:r>
      <w:r w:rsidRPr="0088780C">
        <w:rPr>
          <w:rFonts w:eastAsiaTheme="minorHAnsi"/>
          <w:b/>
          <w:snapToGrid w:val="0"/>
          <w:kern w:val="22"/>
          <w:szCs w:val="22"/>
        </w:rPr>
        <w:t xml:space="preserve">, Dd: </w:t>
      </w:r>
      <w:r w:rsidRPr="0088780C">
        <w:rPr>
          <w:rFonts w:eastAsiaTheme="minorHAnsi"/>
          <w:b/>
          <w:i/>
          <w:iCs/>
          <w:snapToGrid w:val="0"/>
          <w:kern w:val="22"/>
          <w:szCs w:val="22"/>
        </w:rPr>
        <w:t xml:space="preserve">Delphinus delphis </w:t>
      </w:r>
      <w:r w:rsidRPr="0088780C">
        <w:rPr>
          <w:rFonts w:eastAsiaTheme="minorHAnsi"/>
          <w:b/>
          <w:snapToGrid w:val="0"/>
          <w:kern w:val="22"/>
          <w:szCs w:val="22"/>
        </w:rPr>
        <w:t>over the day-time cruise track of July 2014 (up) and October 20</w:t>
      </w:r>
      <w:r w:rsidR="00E465E9" w:rsidRPr="0088780C">
        <w:rPr>
          <w:rFonts w:eastAsiaTheme="minorHAnsi"/>
          <w:b/>
          <w:snapToGrid w:val="0"/>
          <w:kern w:val="22"/>
          <w:szCs w:val="22"/>
        </w:rPr>
        <w:t>14 (down) cruises (Saydam 2015)</w:t>
      </w:r>
    </w:p>
    <w:p w14:paraId="3E792666"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8C2FB9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7B3B605E" w14:textId="07C2C8FE"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15:</w:t>
      </w:r>
      <w:r w:rsidRPr="0088780C">
        <w:rPr>
          <w:snapToGrid w:val="0"/>
          <w:kern w:val="22"/>
          <w:szCs w:val="22"/>
        </w:rPr>
        <w:t xml:space="preserve"> </w:t>
      </w:r>
      <w:r w:rsidRPr="0088780C">
        <w:rPr>
          <w:b/>
          <w:snapToGrid w:val="0"/>
          <w:kern w:val="22"/>
          <w:szCs w:val="22"/>
        </w:rPr>
        <w:t>Trabzon-Sürmene</w:t>
      </w:r>
    </w:p>
    <w:p w14:paraId="2FECE80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E8EA512" w14:textId="61702625"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Abstract</w:t>
      </w:r>
    </w:p>
    <w:p w14:paraId="315F6A6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This area is very important for marine pelagic and demersal fish species. It is an important fish breeding, reproduction and feeding area for demersal and pelagic fish species. It is a bioreserve area that is closed to fisheries.</w:t>
      </w:r>
      <w:r w:rsidRPr="0088780C">
        <w:rPr>
          <w:snapToGrid w:val="0"/>
          <w:kern w:val="22"/>
          <w:szCs w:val="22"/>
        </w:rPr>
        <w:t xml:space="preserve"> </w:t>
      </w:r>
      <w:r w:rsidRPr="0088780C">
        <w:rPr>
          <w:rFonts w:eastAsia="MS Mincho"/>
          <w:snapToGrid w:val="0"/>
          <w:kern w:val="22"/>
          <w:szCs w:val="22"/>
        </w:rPr>
        <w:t xml:space="preserve">It has a sandy, heel-shaped rocky structure, with an abundance of underwater rocks. The region is also the natural habitat of seabream—the only such spot in the Black Sea. </w:t>
      </w:r>
      <w:r w:rsidRPr="0088780C">
        <w:rPr>
          <w:snapToGrid w:val="0"/>
          <w:kern w:val="22"/>
          <w:szCs w:val="22"/>
        </w:rPr>
        <w:t xml:space="preserve">Biological diversity of this part of the Black Sea is considerably high, such that harbour porpoises are found all along the Turkish Black Sea coast and are especially abundant along the eastern coast, where several rivers enter the Black Sea. In terms of birds the area overlaps with a marine </w:t>
      </w:r>
      <w:r w:rsidRPr="0088780C">
        <w:rPr>
          <w:rFonts w:eastAsia="MS Mincho"/>
          <w:snapToGrid w:val="0"/>
          <w:kern w:val="22"/>
          <w:szCs w:val="22"/>
        </w:rPr>
        <w:t>Important Bird and Biodiversity Area (IBA) of regional importance for two seabird species: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A third species, mew gull (</w:t>
      </w:r>
      <w:r w:rsidRPr="0088780C">
        <w:rPr>
          <w:rFonts w:eastAsia="MS Mincho"/>
          <w:i/>
          <w:snapToGrid w:val="0"/>
          <w:kern w:val="22"/>
          <w:szCs w:val="22"/>
        </w:rPr>
        <w:t>Larus canus),</w:t>
      </w:r>
      <w:r w:rsidRPr="0088780C">
        <w:rPr>
          <w:rFonts w:eastAsia="MS Mincho"/>
          <w:snapToGrid w:val="0"/>
          <w:kern w:val="22"/>
          <w:szCs w:val="22"/>
        </w:rPr>
        <w:t xml:space="preserve"> is also known to occur.</w:t>
      </w:r>
    </w:p>
    <w:p w14:paraId="348284A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E26F4B3"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07863333" w14:textId="56249D31"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rFonts w:eastAsia="MS Mincho"/>
          <w:snapToGrid w:val="0"/>
          <w:kern w:val="22"/>
          <w:sz w:val="22"/>
          <w:szCs w:val="22"/>
          <w:lang w:val="en-GB"/>
        </w:rPr>
        <w:t xml:space="preserve">Trabzon Sürmene is a town within the district of Trabzon. located in the eastern part of the Black Sea of Turkey. There are two transition valleys for the autumn and spring bird migration path. They pass through Karadere - Küçükdere valleys. </w:t>
      </w:r>
      <w:r w:rsidRPr="0088780C">
        <w:rPr>
          <w:snapToGrid w:val="0"/>
          <w:color w:val="222222"/>
          <w:kern w:val="22"/>
          <w:sz w:val="22"/>
          <w:szCs w:val="22"/>
          <w:shd w:val="clear" w:color="auto" w:fill="FFFFFF"/>
          <w:lang w:val="en-GB"/>
        </w:rPr>
        <w:t xml:space="preserve">The length of the coast is about 13 km. </w:t>
      </w:r>
      <w:r w:rsidRPr="0088780C">
        <w:rPr>
          <w:snapToGrid w:val="0"/>
          <w:color w:val="222222"/>
          <w:kern w:val="22"/>
          <w:sz w:val="22"/>
          <w:szCs w:val="22"/>
          <w:lang w:val="en-GB"/>
        </w:rPr>
        <w:t xml:space="preserve">Mean sea surface temperature is considerably different from the western part of the sea due to </w:t>
      </w:r>
      <w:r w:rsidRPr="0088780C">
        <w:rPr>
          <w:snapToGrid w:val="0"/>
          <w:kern w:val="22"/>
          <w:sz w:val="22"/>
          <w:szCs w:val="22"/>
          <w:lang w:val="en-GB"/>
        </w:rPr>
        <w:t>the greater exposure of the western Black Sea to outbreaks of cold air from continental Europe, whereas the eastern basin is protected from such cold outbreaks by the mountain chains along the southern and eastern coastlines. The relatively deep interior part of the sea is also slightly cooler than the peripheral zone due to the persistent upwelling motion associated with the cyclonic circulation system (</w:t>
      </w:r>
      <w:hyperlink r:id="rId207" w:history="1">
        <w:r w:rsidRPr="0088780C">
          <w:rPr>
            <w:rStyle w:val="Hyperlink"/>
            <w:snapToGrid w:val="0"/>
            <w:kern w:val="22"/>
            <w:sz w:val="22"/>
            <w:szCs w:val="22"/>
            <w:lang w:val="en-GB"/>
          </w:rPr>
          <w:t>http://giovanni.sci.gsfc.nasa.gov</w:t>
        </w:r>
      </w:hyperlink>
      <w:r w:rsidR="00E465E9" w:rsidRPr="0088780C">
        <w:rPr>
          <w:snapToGrid w:val="0"/>
          <w:kern w:val="22"/>
          <w:sz w:val="22"/>
          <w:szCs w:val="22"/>
          <w:lang w:val="en-GB"/>
        </w:rPr>
        <w:t>, 2017).</w:t>
      </w:r>
    </w:p>
    <w:p w14:paraId="4266D989"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rFonts w:eastAsia="MS Mincho"/>
          <w:snapToGrid w:val="0"/>
          <w:kern w:val="22"/>
          <w:sz w:val="22"/>
          <w:szCs w:val="22"/>
          <w:lang w:val="en-GB"/>
        </w:rPr>
      </w:pPr>
    </w:p>
    <w:p w14:paraId="7EB42479"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The biological diversity of this part of the Black Sea is considerably high for zooplankton (Ünal, 2002), mollusk (Mutlu, 1994), benthos in general (Sezgin, 2010) and for fish (Erüz, 2007). All three species of dolphin are observed here in significant numbers (Saydam, 2015).</w:t>
      </w:r>
    </w:p>
    <w:p w14:paraId="5FE82FA4"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69787FD1"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In general, the zooplankton of the southern Black Sea is dominated by </w:t>
      </w:r>
      <w:r w:rsidRPr="0088780C">
        <w:rPr>
          <w:i/>
          <w:snapToGrid w:val="0"/>
          <w:kern w:val="22"/>
          <w:sz w:val="22"/>
          <w:szCs w:val="22"/>
          <w:lang w:val="en-GB"/>
        </w:rPr>
        <w:t>Noctiluca scintillans, Oithona similis, Acartia clausi, Pseudocalanus elongatus</w:t>
      </w:r>
      <w:r w:rsidRPr="0088780C">
        <w:rPr>
          <w:snapToGrid w:val="0"/>
          <w:kern w:val="22"/>
          <w:sz w:val="22"/>
          <w:szCs w:val="22"/>
          <w:lang w:val="en-GB"/>
        </w:rPr>
        <w:t xml:space="preserve"> and </w:t>
      </w:r>
      <w:r w:rsidRPr="0088780C">
        <w:rPr>
          <w:i/>
          <w:snapToGrid w:val="0"/>
          <w:kern w:val="22"/>
          <w:sz w:val="22"/>
          <w:szCs w:val="22"/>
          <w:lang w:val="en-GB"/>
        </w:rPr>
        <w:t>Penilia avirostris</w:t>
      </w:r>
      <w:r w:rsidRPr="0088780C">
        <w:rPr>
          <w:snapToGrid w:val="0"/>
          <w:kern w:val="22"/>
          <w:sz w:val="22"/>
          <w:szCs w:val="22"/>
          <w:lang w:val="en-GB"/>
        </w:rPr>
        <w:t xml:space="preserve"> (Erkan et al., 2000). The cold water species (</w:t>
      </w:r>
      <w:r w:rsidRPr="0088780C">
        <w:rPr>
          <w:i/>
          <w:snapToGrid w:val="0"/>
          <w:kern w:val="22"/>
          <w:sz w:val="22"/>
          <w:szCs w:val="22"/>
          <w:lang w:val="en-GB"/>
        </w:rPr>
        <w:t>Calanus euxinus, Pseudocalanus elongatus, Oithona similis</w:t>
      </w:r>
      <w:r w:rsidRPr="0088780C">
        <w:rPr>
          <w:snapToGrid w:val="0"/>
          <w:kern w:val="22"/>
          <w:sz w:val="22"/>
          <w:szCs w:val="22"/>
          <w:lang w:val="en-GB"/>
        </w:rPr>
        <w:t xml:space="preserve"> and </w:t>
      </w:r>
      <w:r w:rsidRPr="0088780C">
        <w:rPr>
          <w:i/>
          <w:snapToGrid w:val="0"/>
          <w:kern w:val="22"/>
          <w:sz w:val="22"/>
          <w:szCs w:val="22"/>
          <w:lang w:val="en-GB"/>
        </w:rPr>
        <w:t>Pleopis polyphemoides</w:t>
      </w:r>
      <w:r w:rsidRPr="0088780C">
        <w:rPr>
          <w:snapToGrid w:val="0"/>
          <w:kern w:val="22"/>
          <w:sz w:val="22"/>
          <w:szCs w:val="22"/>
          <w:lang w:val="en-GB"/>
        </w:rPr>
        <w:t xml:space="preserve">) dominate winter spring assemblages, while </w:t>
      </w:r>
      <w:r w:rsidRPr="0088780C">
        <w:rPr>
          <w:i/>
          <w:snapToGrid w:val="0"/>
          <w:kern w:val="22"/>
          <w:sz w:val="22"/>
          <w:szCs w:val="22"/>
          <w:lang w:val="en-GB"/>
        </w:rPr>
        <w:t>Penilia avirostris, Acartia clausi, Paracalanus parvus</w:t>
      </w:r>
      <w:r w:rsidRPr="0088780C">
        <w:rPr>
          <w:snapToGrid w:val="0"/>
          <w:kern w:val="22"/>
          <w:sz w:val="22"/>
          <w:szCs w:val="22"/>
          <w:lang w:val="en-GB"/>
        </w:rPr>
        <w:t xml:space="preserve"> and </w:t>
      </w:r>
      <w:r w:rsidRPr="0088780C">
        <w:rPr>
          <w:i/>
          <w:snapToGrid w:val="0"/>
          <w:kern w:val="22"/>
          <w:sz w:val="22"/>
          <w:szCs w:val="22"/>
          <w:lang w:val="en-GB"/>
        </w:rPr>
        <w:t>Centropages</w:t>
      </w:r>
      <w:r w:rsidRPr="0088780C">
        <w:rPr>
          <w:snapToGrid w:val="0"/>
          <w:kern w:val="22"/>
          <w:sz w:val="22"/>
          <w:szCs w:val="22"/>
          <w:lang w:val="en-GB"/>
        </w:rPr>
        <w:t xml:space="preserve"> </w:t>
      </w:r>
      <w:r w:rsidRPr="0088780C">
        <w:rPr>
          <w:i/>
          <w:snapToGrid w:val="0"/>
          <w:kern w:val="22"/>
          <w:sz w:val="22"/>
          <w:szCs w:val="22"/>
          <w:lang w:val="en-GB"/>
        </w:rPr>
        <w:t>spp</w:t>
      </w:r>
      <w:r w:rsidRPr="0088780C">
        <w:rPr>
          <w:snapToGrid w:val="0"/>
          <w:kern w:val="22"/>
          <w:sz w:val="22"/>
          <w:szCs w:val="22"/>
          <w:lang w:val="en-GB"/>
        </w:rPr>
        <w:t>. are the major summer species (Ünal, 2002).</w:t>
      </w:r>
    </w:p>
    <w:p w14:paraId="4ECC5B94"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10E210C3"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Studies conducted on the crustaceans of sandy muddy biotopes on the seabeds of the central and eastern Black Sea indicate that species diversity is relatively high in shallow waters (&lt;50 m) and that diversity decreases in direct correlation with increasing depth (Kirkim et al., 2006). </w:t>
      </w:r>
      <w:r w:rsidRPr="0088780C">
        <w:rPr>
          <w:i/>
          <w:snapToGrid w:val="0"/>
          <w:kern w:val="22"/>
          <w:sz w:val="22"/>
          <w:szCs w:val="22"/>
          <w:lang w:val="en-GB"/>
        </w:rPr>
        <w:t>Lucinella divaricata, Chamelea gallina, Donax venustus</w:t>
      </w:r>
      <w:r w:rsidRPr="0088780C">
        <w:rPr>
          <w:snapToGrid w:val="0"/>
          <w:kern w:val="22"/>
          <w:sz w:val="22"/>
          <w:szCs w:val="22"/>
          <w:lang w:val="en-GB"/>
        </w:rPr>
        <w:t xml:space="preserve"> and </w:t>
      </w:r>
      <w:r w:rsidRPr="0088780C">
        <w:rPr>
          <w:i/>
          <w:snapToGrid w:val="0"/>
          <w:kern w:val="22"/>
          <w:sz w:val="22"/>
          <w:szCs w:val="22"/>
          <w:lang w:val="en-GB"/>
        </w:rPr>
        <w:t>Mytilaster lineatus</w:t>
      </w:r>
      <w:r w:rsidRPr="0088780C">
        <w:rPr>
          <w:snapToGrid w:val="0"/>
          <w:kern w:val="22"/>
          <w:sz w:val="22"/>
          <w:szCs w:val="22"/>
          <w:lang w:val="en-GB"/>
        </w:rPr>
        <w:t xml:space="preserve"> were commonly found in sediments with high sand content (93%) (Mutlu, 1994). Silty sea floors support high mollusc diversity (Mutlu, 1994).</w:t>
      </w:r>
    </w:p>
    <w:p w14:paraId="4BA9D411"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4D39781A"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Sezgin et al. (2010) investigated the diversity of macrozoobenthos of the eastern Black Sea region of Turkey at 39 stations (13m -79 m depth range) and reported that polychaete </w:t>
      </w:r>
      <w:r w:rsidRPr="0088780C">
        <w:rPr>
          <w:i/>
          <w:snapToGrid w:val="0"/>
          <w:kern w:val="22"/>
          <w:sz w:val="22"/>
          <w:szCs w:val="22"/>
          <w:lang w:val="en-GB"/>
        </w:rPr>
        <w:t>Melinna palmata, molluscs Lentidium mediterraneum, Lucinella divaricata</w:t>
      </w:r>
      <w:r w:rsidRPr="0088780C">
        <w:rPr>
          <w:snapToGrid w:val="0"/>
          <w:kern w:val="22"/>
          <w:sz w:val="22"/>
          <w:szCs w:val="22"/>
          <w:lang w:val="en-GB"/>
        </w:rPr>
        <w:t xml:space="preserve"> and </w:t>
      </w:r>
      <w:r w:rsidRPr="0088780C">
        <w:rPr>
          <w:i/>
          <w:snapToGrid w:val="0"/>
          <w:kern w:val="22"/>
          <w:sz w:val="22"/>
          <w:szCs w:val="22"/>
          <w:lang w:val="en-GB"/>
        </w:rPr>
        <w:t>Chamelea gallina</w:t>
      </w:r>
      <w:r w:rsidRPr="0088780C">
        <w:rPr>
          <w:snapToGrid w:val="0"/>
          <w:kern w:val="22"/>
          <w:sz w:val="22"/>
          <w:szCs w:val="22"/>
          <w:lang w:val="en-GB"/>
        </w:rPr>
        <w:t xml:space="preserve"> were the most dominant species, while polychaetes </w:t>
      </w:r>
      <w:r w:rsidRPr="0088780C">
        <w:rPr>
          <w:i/>
          <w:snapToGrid w:val="0"/>
          <w:kern w:val="22"/>
          <w:sz w:val="22"/>
          <w:szCs w:val="22"/>
          <w:lang w:val="en-GB"/>
        </w:rPr>
        <w:t>M. palmata, Micronephths stammeri, A. fragilis mediterranea, mollusks C. gallina</w:t>
      </w:r>
      <w:r w:rsidRPr="0088780C">
        <w:rPr>
          <w:snapToGrid w:val="0"/>
          <w:kern w:val="22"/>
          <w:sz w:val="22"/>
          <w:szCs w:val="22"/>
          <w:lang w:val="en-GB"/>
        </w:rPr>
        <w:t xml:space="preserve"> and </w:t>
      </w:r>
      <w:r w:rsidRPr="0088780C">
        <w:rPr>
          <w:i/>
          <w:snapToGrid w:val="0"/>
          <w:kern w:val="22"/>
          <w:sz w:val="22"/>
          <w:szCs w:val="22"/>
          <w:lang w:val="en-GB"/>
        </w:rPr>
        <w:t>Pitar rudis</w:t>
      </w:r>
      <w:r w:rsidRPr="0088780C">
        <w:rPr>
          <w:snapToGrid w:val="0"/>
          <w:kern w:val="22"/>
          <w:sz w:val="22"/>
          <w:szCs w:val="22"/>
          <w:lang w:val="en-GB"/>
        </w:rPr>
        <w:t xml:space="preserve"> were recorded as frequent in the area. They also observed that the total number of soft bottom species for each group decreased with depth and that depth has a major influence on the faunal community composition, in particular above the 50 m depth contour.</w:t>
      </w:r>
    </w:p>
    <w:p w14:paraId="30C154D0"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03DF8177" w14:textId="4299A703"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 xml:space="preserve">In terms of birds, the area overlaps with a marine </w:t>
      </w:r>
      <w:r w:rsidRPr="0088780C">
        <w:rPr>
          <w:rFonts w:eastAsia="MS Mincho"/>
          <w:snapToGrid w:val="0"/>
          <w:kern w:val="22"/>
          <w:szCs w:val="22"/>
        </w:rPr>
        <w:t xml:space="preserve">Important Bird and Biodiversity Area (IBA; BirdLife International 2017) that is regionally important </w:t>
      </w:r>
      <w:r w:rsidRPr="0088780C">
        <w:rPr>
          <w:rFonts w:eastAsia="MS Mincho"/>
          <w:bCs/>
          <w:snapToGrid w:val="0"/>
          <w:color w:val="000000"/>
          <w:kern w:val="22"/>
          <w:szCs w:val="22"/>
        </w:rPr>
        <w:t xml:space="preserve">as a wintering area </w:t>
      </w:r>
      <w:r w:rsidRPr="0088780C">
        <w:rPr>
          <w:rFonts w:eastAsia="MS Mincho"/>
          <w:snapToGrid w:val="0"/>
          <w:kern w:val="22"/>
          <w:szCs w:val="22"/>
        </w:rPr>
        <w:t xml:space="preserve">for two seabird species: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A third species, mew gull (</w:t>
      </w:r>
      <w:r w:rsidRPr="0088780C">
        <w:rPr>
          <w:rFonts w:eastAsia="MS Mincho"/>
          <w:i/>
          <w:snapToGrid w:val="0"/>
          <w:kern w:val="22"/>
          <w:szCs w:val="22"/>
        </w:rPr>
        <w:t xml:space="preserve">Larus canus), </w:t>
      </w:r>
      <w:r w:rsidR="00E465E9" w:rsidRPr="0088780C">
        <w:rPr>
          <w:rFonts w:eastAsia="MS Mincho"/>
          <w:snapToGrid w:val="0"/>
          <w:kern w:val="22"/>
          <w:szCs w:val="22"/>
        </w:rPr>
        <w:t>is also known to occur.</w:t>
      </w:r>
    </w:p>
    <w:p w14:paraId="307653C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679A156" w14:textId="77777777" w:rsidR="00A876F3" w:rsidRPr="0088780C" w:rsidRDefault="00A876F3" w:rsidP="00E465E9">
      <w:pPr>
        <w:keepNext/>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432F2D1E" w14:textId="77777777" w:rsidR="00A876F3" w:rsidRPr="0088780C" w:rsidRDefault="00A876F3" w:rsidP="001013AF">
      <w:pPr>
        <w:suppressLineNumbers/>
        <w:suppressAutoHyphens/>
        <w:kinsoku w:val="0"/>
        <w:overflowPunct w:val="0"/>
        <w:autoSpaceDE w:val="0"/>
        <w:autoSpaceDN w:val="0"/>
        <w:rPr>
          <w:snapToGrid w:val="0"/>
          <w:color w:val="222222"/>
          <w:kern w:val="22"/>
          <w:szCs w:val="22"/>
          <w:shd w:val="clear" w:color="auto" w:fill="FFFFFF"/>
        </w:rPr>
      </w:pPr>
      <w:r w:rsidRPr="0088780C">
        <w:rPr>
          <w:snapToGrid w:val="0"/>
          <w:color w:val="222222"/>
          <w:kern w:val="22"/>
          <w:szCs w:val="22"/>
          <w:shd w:val="clear" w:color="auto" w:fill="FFFFFF"/>
        </w:rPr>
        <w:t>Sürmene is a town in the district of</w:t>
      </w:r>
      <w:r w:rsidRPr="0088780C">
        <w:rPr>
          <w:rStyle w:val="apple-converted-space"/>
          <w:snapToGrid w:val="0"/>
          <w:color w:val="222222"/>
          <w:kern w:val="22"/>
          <w:szCs w:val="22"/>
          <w:shd w:val="clear" w:color="auto" w:fill="FFFFFF"/>
        </w:rPr>
        <w:t> </w:t>
      </w:r>
      <w:r w:rsidRPr="0088780C">
        <w:rPr>
          <w:snapToGrid w:val="0"/>
          <w:color w:val="222222"/>
          <w:kern w:val="22"/>
          <w:szCs w:val="22"/>
          <w:shd w:val="clear" w:color="auto" w:fill="FFFFFF"/>
        </w:rPr>
        <w:t>Sürmene in</w:t>
      </w:r>
      <w:r w:rsidRPr="0088780C">
        <w:rPr>
          <w:snapToGrid w:val="0"/>
          <w:kern w:val="22"/>
          <w:szCs w:val="22"/>
          <w:shd w:val="clear" w:color="auto" w:fill="FFFFFF"/>
        </w:rPr>
        <w:t xml:space="preserve"> Trabzon Province,</w:t>
      </w:r>
      <w:r w:rsidRPr="0088780C">
        <w:rPr>
          <w:rStyle w:val="apple-converted-space"/>
          <w:snapToGrid w:val="0"/>
          <w:color w:val="222222"/>
          <w:kern w:val="22"/>
          <w:szCs w:val="22"/>
          <w:shd w:val="clear" w:color="auto" w:fill="FFFFFF"/>
        </w:rPr>
        <w:t> </w:t>
      </w:r>
      <w:r w:rsidRPr="0088780C">
        <w:rPr>
          <w:snapToGrid w:val="0"/>
          <w:color w:val="222222"/>
          <w:kern w:val="22"/>
          <w:szCs w:val="22"/>
          <w:shd w:val="clear" w:color="auto" w:fill="FFFFFF"/>
        </w:rPr>
        <w:t>located in the</w:t>
      </w:r>
      <w:r w:rsidRPr="0088780C">
        <w:rPr>
          <w:rStyle w:val="apple-converted-space"/>
          <w:snapToGrid w:val="0"/>
          <w:color w:val="222222"/>
          <w:kern w:val="22"/>
          <w:szCs w:val="22"/>
          <w:shd w:val="clear" w:color="auto" w:fill="FFFFFF"/>
        </w:rPr>
        <w:t> south-eastern part of the Black Sea</w:t>
      </w:r>
      <w:r w:rsidRPr="0088780C">
        <w:rPr>
          <w:snapToGrid w:val="0"/>
          <w:color w:val="222222"/>
          <w:kern w:val="22"/>
          <w:szCs w:val="22"/>
          <w:shd w:val="clear" w:color="auto" w:fill="FFFFFF"/>
        </w:rPr>
        <w:t>. It is surrounded by Araklı to the west, the town of Of to the east, the Black Sea to the north, and Dernekpazarı to the South.</w:t>
      </w:r>
    </w:p>
    <w:p w14:paraId="03E2BFAE" w14:textId="77777777" w:rsidR="00A876F3" w:rsidRPr="0088780C" w:rsidRDefault="00A876F3" w:rsidP="001013AF">
      <w:pPr>
        <w:suppressLineNumbers/>
        <w:suppressAutoHyphens/>
        <w:kinsoku w:val="0"/>
        <w:overflowPunct w:val="0"/>
        <w:autoSpaceDE w:val="0"/>
        <w:autoSpaceDN w:val="0"/>
        <w:rPr>
          <w:snapToGrid w:val="0"/>
          <w:color w:val="222222"/>
          <w:kern w:val="22"/>
          <w:szCs w:val="22"/>
          <w:shd w:val="clear" w:color="auto" w:fill="FFFFFF"/>
        </w:rPr>
      </w:pPr>
    </w:p>
    <w:p w14:paraId="2CE01947" w14:textId="77777777" w:rsidR="00A876F3" w:rsidRPr="0088780C" w:rsidRDefault="00A876F3" w:rsidP="001013AF">
      <w:pPr>
        <w:suppressLineNumbers/>
        <w:tabs>
          <w:tab w:val="left" w:pos="7740"/>
        </w:tabs>
        <w:suppressAutoHyphens/>
        <w:kinsoku w:val="0"/>
        <w:overflowPunct w:val="0"/>
        <w:autoSpaceDE w:val="0"/>
        <w:autoSpaceDN w:val="0"/>
        <w:rPr>
          <w:snapToGrid w:val="0"/>
          <w:kern w:val="22"/>
          <w:szCs w:val="22"/>
        </w:rPr>
      </w:pPr>
      <w:r w:rsidRPr="0088780C">
        <w:rPr>
          <w:snapToGrid w:val="0"/>
          <w:color w:val="222222"/>
          <w:kern w:val="22"/>
          <w:szCs w:val="22"/>
          <w:shd w:val="clear" w:color="auto" w:fill="FFFFFF"/>
        </w:rPr>
        <w:t xml:space="preserve">This area is located between </w:t>
      </w:r>
      <w:r w:rsidRPr="0088780C">
        <w:rPr>
          <w:snapToGrid w:val="0"/>
          <w:kern w:val="22"/>
          <w:szCs w:val="22"/>
        </w:rPr>
        <w:t>40 54.749' N - 40 08.364' E, 40 54.794' N - 40 10.404' E, 40 55.183' N- 40 10.404' E and 40 55.183' N-40 08.364' E.</w:t>
      </w:r>
    </w:p>
    <w:p w14:paraId="2C3692E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4AFA20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20E6EFA2" w14:textId="015CB366"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It is an important fish breeding and feeding area because it is closed to fishing and has a sandy, heel-shaped rocky structure. There are many </w:t>
      </w:r>
      <w:r w:rsidR="00E465E9" w:rsidRPr="0088780C">
        <w:rPr>
          <w:rFonts w:eastAsia="MS Mincho"/>
          <w:snapToGrid w:val="0"/>
          <w:kern w:val="22"/>
          <w:szCs w:val="22"/>
        </w:rPr>
        <w:t>underwater rocks in the region.</w:t>
      </w:r>
    </w:p>
    <w:p w14:paraId="5683E993"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DA4906F" w14:textId="285EA434"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 xml:space="preserve">The area overlaps with a marine </w:t>
      </w:r>
      <w:r w:rsidRPr="0088780C">
        <w:rPr>
          <w:rFonts w:eastAsia="MS Mincho"/>
          <w:snapToGrid w:val="0"/>
          <w:kern w:val="22"/>
          <w:szCs w:val="22"/>
        </w:rPr>
        <w:t>Important Bird and Biodiversity Area (IBA; BirdLife International 2017) that is regionally important for two seabird species: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A third species, mew gull (</w:t>
      </w:r>
      <w:r w:rsidRPr="0088780C">
        <w:rPr>
          <w:rFonts w:eastAsia="MS Mincho"/>
          <w:i/>
          <w:snapToGrid w:val="0"/>
          <w:kern w:val="22"/>
          <w:szCs w:val="22"/>
        </w:rPr>
        <w:t>Larus canus),</w:t>
      </w:r>
      <w:r w:rsidRPr="0088780C">
        <w:rPr>
          <w:rFonts w:eastAsia="MS Mincho"/>
          <w:snapToGrid w:val="0"/>
          <w:kern w:val="22"/>
          <w:szCs w:val="22"/>
        </w:rPr>
        <w:t xml:space="preserve"> is also known to occur. The region is also the only natural habitat of seabream in the Black Sea. Ot</w:t>
      </w:r>
      <w:r w:rsidR="00E465E9" w:rsidRPr="0088780C">
        <w:rPr>
          <w:rFonts w:eastAsia="MS Mincho"/>
          <w:snapToGrid w:val="0"/>
          <w:kern w:val="22"/>
          <w:szCs w:val="22"/>
        </w:rPr>
        <w:t>her important fish species are:</w:t>
      </w:r>
    </w:p>
    <w:p w14:paraId="4D45B89B"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p>
    <w:p w14:paraId="06C7FAB0" w14:textId="51CE3834"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iCs/>
          <w:snapToGrid w:val="0"/>
          <w:color w:val="000000"/>
          <w:kern w:val="22"/>
          <w:szCs w:val="22"/>
        </w:rPr>
        <w:t xml:space="preserve">Psetta maxima </w:t>
      </w:r>
      <w:r w:rsidRPr="0088780C">
        <w:rPr>
          <w:rFonts w:eastAsiaTheme="minorHAnsi"/>
          <w:iCs/>
          <w:snapToGrid w:val="0"/>
          <w:color w:val="000000"/>
          <w:kern w:val="22"/>
          <w:szCs w:val="22"/>
        </w:rPr>
        <w:t>(Turbot)</w:t>
      </w:r>
    </w:p>
    <w:p w14:paraId="40E8E663" w14:textId="77777777"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 xml:space="preserve">Sciaena umbra </w:t>
      </w:r>
      <w:r w:rsidRPr="0088780C">
        <w:rPr>
          <w:rFonts w:eastAsiaTheme="minorHAnsi"/>
          <w:iCs/>
          <w:snapToGrid w:val="0"/>
          <w:color w:val="000000"/>
          <w:kern w:val="22"/>
          <w:szCs w:val="22"/>
        </w:rPr>
        <w:t>(Brown meagre)</w:t>
      </w:r>
    </w:p>
    <w:p w14:paraId="41DB4380" w14:textId="77777777"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 xml:space="preserve">Diplodus puntazzo </w:t>
      </w:r>
      <w:r w:rsidRPr="0088780C">
        <w:rPr>
          <w:rFonts w:eastAsiaTheme="minorHAnsi"/>
          <w:iCs/>
          <w:snapToGrid w:val="0"/>
          <w:color w:val="000000"/>
          <w:kern w:val="22"/>
          <w:szCs w:val="22"/>
        </w:rPr>
        <w:t>(Sharpsnout seabream)</w:t>
      </w:r>
    </w:p>
    <w:p w14:paraId="13B94FAF" w14:textId="77777777"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 xml:space="preserve">Dicentrarchus labrax </w:t>
      </w:r>
      <w:r w:rsidRPr="0088780C">
        <w:rPr>
          <w:rFonts w:eastAsiaTheme="minorHAnsi"/>
          <w:iCs/>
          <w:snapToGrid w:val="0"/>
          <w:color w:val="000000"/>
          <w:kern w:val="22"/>
          <w:szCs w:val="22"/>
        </w:rPr>
        <w:t>(Common bass)</w:t>
      </w:r>
    </w:p>
    <w:p w14:paraId="4732994E" w14:textId="473941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 xml:space="preserve">Liza aurata </w:t>
      </w:r>
      <w:r w:rsidRPr="0088780C">
        <w:rPr>
          <w:rFonts w:eastAsiaTheme="minorHAnsi"/>
          <w:iCs/>
          <w:snapToGrid w:val="0"/>
          <w:color w:val="000000"/>
          <w:kern w:val="22"/>
          <w:szCs w:val="22"/>
        </w:rPr>
        <w:t>(Golden Grey mullet)</w:t>
      </w:r>
    </w:p>
    <w:p w14:paraId="7B303008" w14:textId="30FDF8C9"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Mugil</w:t>
      </w:r>
      <w:r w:rsidRPr="0088780C">
        <w:rPr>
          <w:rFonts w:eastAsiaTheme="minorHAnsi"/>
          <w:i/>
          <w:snapToGrid w:val="0"/>
          <w:color w:val="000000"/>
          <w:kern w:val="22"/>
          <w:szCs w:val="22"/>
        </w:rPr>
        <w:t xml:space="preserve"> </w:t>
      </w:r>
      <w:r w:rsidRPr="0088780C">
        <w:rPr>
          <w:rFonts w:eastAsiaTheme="minorHAnsi"/>
          <w:i/>
          <w:iCs/>
          <w:snapToGrid w:val="0"/>
          <w:color w:val="000000"/>
          <w:kern w:val="22"/>
          <w:szCs w:val="22"/>
        </w:rPr>
        <w:t xml:space="preserve">cephalus </w:t>
      </w:r>
      <w:r w:rsidRPr="0088780C">
        <w:rPr>
          <w:rFonts w:eastAsiaTheme="minorHAnsi"/>
          <w:iCs/>
          <w:snapToGrid w:val="0"/>
          <w:color w:val="000000"/>
          <w:kern w:val="22"/>
          <w:szCs w:val="22"/>
        </w:rPr>
        <w:t>(Flathead mullet)</w:t>
      </w:r>
    </w:p>
    <w:p w14:paraId="02AF95ED"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 xml:space="preserve">Mugil soiuy </w:t>
      </w:r>
      <w:r w:rsidRPr="0088780C">
        <w:rPr>
          <w:rFonts w:eastAsiaTheme="minorHAnsi"/>
          <w:iCs/>
          <w:snapToGrid w:val="0"/>
          <w:color w:val="000000"/>
          <w:kern w:val="22"/>
          <w:szCs w:val="22"/>
        </w:rPr>
        <w:t>(So-iuy mullet)</w:t>
      </w:r>
    </w:p>
    <w:p w14:paraId="251751AF"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iCs/>
          <w:snapToGrid w:val="0"/>
          <w:color w:val="000000"/>
          <w:kern w:val="22"/>
          <w:szCs w:val="22"/>
        </w:rPr>
        <w:t xml:space="preserve">Sparus aurata </w:t>
      </w:r>
      <w:r w:rsidRPr="0088780C">
        <w:rPr>
          <w:rFonts w:eastAsiaTheme="minorHAnsi"/>
          <w:iCs/>
          <w:snapToGrid w:val="0"/>
          <w:color w:val="000000"/>
          <w:kern w:val="22"/>
          <w:szCs w:val="22"/>
        </w:rPr>
        <w:t>(Gilthead seabream)</w:t>
      </w:r>
    </w:p>
    <w:p w14:paraId="0AA55CFA"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snapToGrid w:val="0"/>
          <w:color w:val="000000"/>
          <w:kern w:val="22"/>
          <w:szCs w:val="22"/>
        </w:rPr>
        <w:t xml:space="preserve">Salpa salpa </w:t>
      </w:r>
      <w:r w:rsidRPr="0088780C">
        <w:rPr>
          <w:rFonts w:eastAsiaTheme="minorHAnsi"/>
          <w:snapToGrid w:val="0"/>
          <w:color w:val="000000"/>
          <w:kern w:val="22"/>
          <w:szCs w:val="22"/>
        </w:rPr>
        <w:t>(Goldline)</w:t>
      </w:r>
    </w:p>
    <w:p w14:paraId="04ECA85C" w14:textId="77777777"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Mullus</w:t>
      </w:r>
      <w:r w:rsidRPr="0088780C">
        <w:rPr>
          <w:rFonts w:eastAsiaTheme="minorHAnsi"/>
          <w:i/>
          <w:snapToGrid w:val="0"/>
          <w:color w:val="000000"/>
          <w:kern w:val="22"/>
          <w:szCs w:val="22"/>
        </w:rPr>
        <w:t xml:space="preserve"> </w:t>
      </w:r>
      <w:r w:rsidRPr="0088780C">
        <w:rPr>
          <w:rFonts w:eastAsiaTheme="minorHAnsi"/>
          <w:i/>
          <w:iCs/>
          <w:snapToGrid w:val="0"/>
          <w:color w:val="000000"/>
          <w:kern w:val="22"/>
          <w:szCs w:val="22"/>
        </w:rPr>
        <w:t xml:space="preserve">barbatus </w:t>
      </w:r>
      <w:r w:rsidRPr="0088780C">
        <w:rPr>
          <w:rFonts w:eastAsiaTheme="minorHAnsi"/>
          <w:iCs/>
          <w:snapToGrid w:val="0"/>
          <w:color w:val="000000"/>
          <w:kern w:val="22"/>
          <w:szCs w:val="22"/>
        </w:rPr>
        <w:t>(Red mullet)</w:t>
      </w:r>
    </w:p>
    <w:p w14:paraId="0603741E"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iCs/>
          <w:snapToGrid w:val="0"/>
          <w:color w:val="000000"/>
          <w:kern w:val="22"/>
          <w:szCs w:val="22"/>
        </w:rPr>
        <w:t xml:space="preserve">Dasyatis pastinaca </w:t>
      </w:r>
      <w:r w:rsidRPr="0088780C">
        <w:rPr>
          <w:rFonts w:eastAsiaTheme="minorHAnsi"/>
          <w:iCs/>
          <w:snapToGrid w:val="0"/>
          <w:color w:val="000000"/>
          <w:kern w:val="22"/>
          <w:szCs w:val="22"/>
        </w:rPr>
        <w:t>(Common stingray)</w:t>
      </w:r>
    </w:p>
    <w:p w14:paraId="4D8A5A32"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 xml:space="preserve">Diplodus annularis </w:t>
      </w:r>
      <w:r w:rsidRPr="0088780C">
        <w:rPr>
          <w:rFonts w:eastAsiaTheme="minorHAnsi"/>
          <w:iCs/>
          <w:snapToGrid w:val="0"/>
          <w:color w:val="000000"/>
          <w:kern w:val="22"/>
          <w:szCs w:val="22"/>
        </w:rPr>
        <w:t>(Annular seabream)</w:t>
      </w:r>
    </w:p>
    <w:p w14:paraId="4FB30BF3"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iCs/>
          <w:snapToGrid w:val="0"/>
          <w:color w:val="000000"/>
          <w:kern w:val="22"/>
          <w:szCs w:val="22"/>
        </w:rPr>
        <w:t>Syngnathus acus</w:t>
      </w:r>
      <w:r w:rsidRPr="0088780C">
        <w:rPr>
          <w:rFonts w:eastAsiaTheme="minorHAnsi"/>
          <w:i/>
          <w:snapToGrid w:val="0"/>
          <w:color w:val="000000"/>
          <w:kern w:val="22"/>
          <w:szCs w:val="22"/>
        </w:rPr>
        <w:t xml:space="preserve"> </w:t>
      </w:r>
      <w:r w:rsidRPr="0088780C">
        <w:rPr>
          <w:rFonts w:eastAsiaTheme="minorHAnsi"/>
          <w:snapToGrid w:val="0"/>
          <w:color w:val="000000"/>
          <w:kern w:val="22"/>
          <w:szCs w:val="22"/>
        </w:rPr>
        <w:t>(Greater pipefish)</w:t>
      </w:r>
    </w:p>
    <w:p w14:paraId="22DE56AD"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 xml:space="preserve">Hippocampus hippocampus </w:t>
      </w:r>
      <w:r w:rsidRPr="0088780C">
        <w:rPr>
          <w:rFonts w:eastAsiaTheme="minorHAnsi"/>
          <w:iCs/>
          <w:snapToGrid w:val="0"/>
          <w:color w:val="000000"/>
          <w:kern w:val="22"/>
          <w:szCs w:val="22"/>
        </w:rPr>
        <w:t>(Short-snouted seahorse)</w:t>
      </w:r>
    </w:p>
    <w:p w14:paraId="46AFE5D1"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kern w:val="22"/>
          <w:szCs w:val="22"/>
        </w:rPr>
      </w:pPr>
    </w:p>
    <w:p w14:paraId="65105AE4" w14:textId="77777777" w:rsidR="00A876F3" w:rsidRPr="0088780C" w:rsidRDefault="00A876F3" w:rsidP="001013AF">
      <w:pPr>
        <w:suppressLineNumbers/>
        <w:suppressAutoHyphens/>
        <w:kinsoku w:val="0"/>
        <w:overflowPunct w:val="0"/>
        <w:autoSpaceDE w:val="0"/>
        <w:autoSpaceDN w:val="0"/>
        <w:adjustRightInd w:val="0"/>
        <w:rPr>
          <w:rFonts w:eastAsiaTheme="minorHAnsi"/>
          <w:bCs/>
          <w:i/>
          <w:iCs/>
          <w:snapToGrid w:val="0"/>
          <w:color w:val="000000"/>
          <w:kern w:val="22"/>
          <w:szCs w:val="22"/>
          <w:u w:val="single"/>
        </w:rPr>
      </w:pPr>
      <w:r w:rsidRPr="0088780C">
        <w:rPr>
          <w:rFonts w:eastAsia="MS Mincho"/>
          <w:bCs/>
          <w:snapToGrid w:val="0"/>
          <w:kern w:val="22"/>
          <w:szCs w:val="22"/>
          <w:u w:val="single"/>
        </w:rPr>
        <w:t>Three species of rocky area algae that will form hard ground are:</w:t>
      </w:r>
    </w:p>
    <w:p w14:paraId="3F7BC01C" w14:textId="73B2A17D" w:rsidR="00A876F3" w:rsidRPr="0088780C" w:rsidRDefault="00E465E9" w:rsidP="001013AF">
      <w:pPr>
        <w:suppressLineNumbers/>
        <w:tabs>
          <w:tab w:val="left" w:pos="6255"/>
        </w:tab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Cystoseira barbata</w:t>
      </w:r>
    </w:p>
    <w:p w14:paraId="0985BF80" w14:textId="035F6737" w:rsidR="00A876F3" w:rsidRPr="0088780C" w:rsidRDefault="00E465E9"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Entoromorfha spp.</w:t>
      </w:r>
    </w:p>
    <w:p w14:paraId="6B10565B" w14:textId="77777777" w:rsidR="00A876F3" w:rsidRPr="0088780C" w:rsidRDefault="00A876F3" w:rsidP="001013AF">
      <w:pPr>
        <w:suppressLineNumbers/>
        <w:suppressAutoHyphens/>
        <w:kinsoku w:val="0"/>
        <w:overflowPunct w:val="0"/>
        <w:autoSpaceDE w:val="0"/>
        <w:autoSpaceDN w:val="0"/>
        <w:adjustRightInd w:val="0"/>
        <w:rPr>
          <w:rFonts w:eastAsiaTheme="minorHAnsi"/>
          <w:b/>
          <w:snapToGrid w:val="0"/>
          <w:color w:val="000000"/>
          <w:kern w:val="22"/>
          <w:szCs w:val="22"/>
        </w:rPr>
      </w:pPr>
      <w:r w:rsidRPr="0088780C">
        <w:rPr>
          <w:rFonts w:eastAsiaTheme="minorHAnsi"/>
          <w:i/>
          <w:iCs/>
          <w:snapToGrid w:val="0"/>
          <w:color w:val="000000"/>
          <w:kern w:val="22"/>
          <w:szCs w:val="22"/>
        </w:rPr>
        <w:t>Ulva lactuca</w:t>
      </w:r>
    </w:p>
    <w:p w14:paraId="6CCDDE7C" w14:textId="77777777" w:rsidR="00A876F3" w:rsidRPr="0088780C" w:rsidRDefault="00A876F3" w:rsidP="001013AF">
      <w:pPr>
        <w:suppressLineNumbers/>
        <w:suppressAutoHyphens/>
        <w:kinsoku w:val="0"/>
        <w:overflowPunct w:val="0"/>
        <w:autoSpaceDE w:val="0"/>
        <w:autoSpaceDN w:val="0"/>
        <w:adjustRightInd w:val="0"/>
        <w:rPr>
          <w:rFonts w:eastAsiaTheme="minorHAnsi"/>
          <w:b/>
          <w:snapToGrid w:val="0"/>
          <w:color w:val="000000"/>
          <w:kern w:val="22"/>
          <w:szCs w:val="22"/>
        </w:rPr>
      </w:pPr>
    </w:p>
    <w:p w14:paraId="30DD3DF3" w14:textId="77777777" w:rsidR="00A876F3" w:rsidRPr="0088780C" w:rsidRDefault="00A876F3" w:rsidP="001013AF">
      <w:pPr>
        <w:suppressLineNumbers/>
        <w:suppressAutoHyphens/>
        <w:kinsoku w:val="0"/>
        <w:overflowPunct w:val="0"/>
        <w:autoSpaceDE w:val="0"/>
        <w:autoSpaceDN w:val="0"/>
        <w:adjustRightInd w:val="0"/>
        <w:rPr>
          <w:rFonts w:eastAsiaTheme="minorHAnsi"/>
          <w:bCs/>
          <w:i/>
          <w:snapToGrid w:val="0"/>
          <w:color w:val="000000"/>
          <w:kern w:val="22"/>
          <w:szCs w:val="22"/>
          <w:u w:val="single"/>
        </w:rPr>
      </w:pPr>
      <w:r w:rsidRPr="0088780C">
        <w:rPr>
          <w:rFonts w:eastAsiaTheme="minorHAnsi"/>
          <w:bCs/>
          <w:snapToGrid w:val="0"/>
          <w:color w:val="000000"/>
          <w:kern w:val="22"/>
          <w:szCs w:val="22"/>
          <w:u w:val="single"/>
        </w:rPr>
        <w:t xml:space="preserve">Three marine mammals </w:t>
      </w:r>
      <w:r w:rsidRPr="0088780C">
        <w:rPr>
          <w:rFonts w:eastAsia="MS Mincho"/>
          <w:bCs/>
          <w:snapToGrid w:val="0"/>
          <w:kern w:val="22"/>
          <w:szCs w:val="22"/>
          <w:u w:val="single"/>
        </w:rPr>
        <w:t xml:space="preserve">species </w:t>
      </w:r>
      <w:r w:rsidRPr="0088780C">
        <w:rPr>
          <w:rFonts w:eastAsiaTheme="minorHAnsi"/>
          <w:bCs/>
          <w:snapToGrid w:val="0"/>
          <w:color w:val="000000"/>
          <w:kern w:val="22"/>
          <w:szCs w:val="22"/>
          <w:u w:val="single"/>
        </w:rPr>
        <w:t>living in the area are</w:t>
      </w:r>
      <w:r w:rsidRPr="0088780C">
        <w:rPr>
          <w:rFonts w:eastAsiaTheme="minorHAnsi"/>
          <w:bCs/>
          <w:iCs/>
          <w:snapToGrid w:val="0"/>
          <w:color w:val="000000"/>
          <w:kern w:val="22"/>
          <w:szCs w:val="22"/>
          <w:u w:val="single"/>
        </w:rPr>
        <w:t>:</w:t>
      </w:r>
    </w:p>
    <w:p w14:paraId="329E5358"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snapToGrid w:val="0"/>
          <w:color w:val="000000"/>
          <w:kern w:val="22"/>
          <w:szCs w:val="22"/>
        </w:rPr>
        <w:t>Delphnius delphis</w:t>
      </w:r>
      <w:r w:rsidRPr="0088780C">
        <w:rPr>
          <w:rFonts w:eastAsiaTheme="minorHAnsi"/>
          <w:snapToGrid w:val="0"/>
          <w:color w:val="000000"/>
          <w:kern w:val="22"/>
          <w:szCs w:val="22"/>
        </w:rPr>
        <w:t xml:space="preserve"> ssp.</w:t>
      </w:r>
      <w:r w:rsidRPr="0088780C">
        <w:rPr>
          <w:rFonts w:eastAsiaTheme="minorHAnsi"/>
          <w:i/>
          <w:snapToGrid w:val="0"/>
          <w:color w:val="000000"/>
          <w:kern w:val="22"/>
          <w:szCs w:val="22"/>
        </w:rPr>
        <w:t xml:space="preserve"> Ponticus </w:t>
      </w:r>
      <w:r w:rsidRPr="0088780C">
        <w:rPr>
          <w:rFonts w:eastAsiaTheme="minorHAnsi"/>
          <w:snapToGrid w:val="0"/>
          <w:color w:val="000000"/>
          <w:kern w:val="22"/>
          <w:szCs w:val="22"/>
        </w:rPr>
        <w:t>(Short-beaked Common Dolphin)</w:t>
      </w:r>
    </w:p>
    <w:p w14:paraId="7EF0160E"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snapToGrid w:val="0"/>
          <w:color w:val="000000"/>
          <w:kern w:val="22"/>
          <w:szCs w:val="22"/>
        </w:rPr>
        <w:t xml:space="preserve">Turiops truncatus </w:t>
      </w:r>
      <w:r w:rsidRPr="0088780C">
        <w:rPr>
          <w:rFonts w:eastAsiaTheme="minorHAnsi"/>
          <w:snapToGrid w:val="0"/>
          <w:color w:val="000000"/>
          <w:kern w:val="22"/>
          <w:szCs w:val="22"/>
        </w:rPr>
        <w:t>ssp.</w:t>
      </w:r>
      <w:r w:rsidRPr="0088780C">
        <w:rPr>
          <w:rFonts w:eastAsiaTheme="minorHAnsi"/>
          <w:i/>
          <w:snapToGrid w:val="0"/>
          <w:color w:val="000000"/>
          <w:kern w:val="22"/>
          <w:szCs w:val="22"/>
        </w:rPr>
        <w:t xml:space="preserve"> Ponticus </w:t>
      </w:r>
      <w:r w:rsidRPr="0088780C">
        <w:rPr>
          <w:rFonts w:eastAsiaTheme="minorHAnsi"/>
          <w:snapToGrid w:val="0"/>
          <w:color w:val="000000"/>
          <w:kern w:val="22"/>
          <w:szCs w:val="22"/>
        </w:rPr>
        <w:t>(Bottlenose dolphin)</w:t>
      </w:r>
    </w:p>
    <w:p w14:paraId="5B8B150A" w14:textId="7E0764EB"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snapToGrid w:val="0"/>
          <w:color w:val="000000"/>
          <w:kern w:val="22"/>
          <w:szCs w:val="22"/>
        </w:rPr>
        <w:t xml:space="preserve">Phocena phocena </w:t>
      </w:r>
      <w:r w:rsidRPr="0088780C">
        <w:rPr>
          <w:rFonts w:eastAsiaTheme="minorHAnsi"/>
          <w:snapToGrid w:val="0"/>
          <w:color w:val="000000"/>
          <w:kern w:val="22"/>
          <w:szCs w:val="22"/>
        </w:rPr>
        <w:t xml:space="preserve">ssp. </w:t>
      </w:r>
      <w:r w:rsidRPr="0088780C">
        <w:rPr>
          <w:rFonts w:eastAsiaTheme="minorHAnsi"/>
          <w:i/>
          <w:snapToGrid w:val="0"/>
          <w:color w:val="000000"/>
          <w:kern w:val="22"/>
          <w:szCs w:val="22"/>
        </w:rPr>
        <w:t xml:space="preserve">Relicta </w:t>
      </w:r>
      <w:r w:rsidRPr="0088780C">
        <w:rPr>
          <w:rFonts w:eastAsiaTheme="minorHAnsi"/>
          <w:snapToGrid w:val="0"/>
          <w:color w:val="000000"/>
          <w:kern w:val="22"/>
          <w:szCs w:val="22"/>
        </w:rPr>
        <w:t>(Harbo</w:t>
      </w:r>
      <w:r w:rsidR="00E465E9" w:rsidRPr="0088780C">
        <w:rPr>
          <w:rFonts w:eastAsiaTheme="minorHAnsi"/>
          <w:snapToGrid w:val="0"/>
          <w:color w:val="000000"/>
          <w:kern w:val="22"/>
          <w:szCs w:val="22"/>
        </w:rPr>
        <w:t>u</w:t>
      </w:r>
      <w:r w:rsidRPr="0088780C">
        <w:rPr>
          <w:rFonts w:eastAsiaTheme="minorHAnsi"/>
          <w:snapToGrid w:val="0"/>
          <w:color w:val="000000"/>
          <w:kern w:val="22"/>
          <w:szCs w:val="22"/>
        </w:rPr>
        <w:t>r porpoise)</w:t>
      </w:r>
    </w:p>
    <w:p w14:paraId="01B30783"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p>
    <w:p w14:paraId="4C33EF20"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kern w:val="22"/>
          <w:szCs w:val="22"/>
        </w:rPr>
      </w:pPr>
      <w:r w:rsidRPr="0088780C">
        <w:rPr>
          <w:rFonts w:eastAsiaTheme="minorHAnsi"/>
          <w:i/>
          <w:snapToGrid w:val="0"/>
          <w:kern w:val="22"/>
          <w:szCs w:val="22"/>
        </w:rPr>
        <w:t xml:space="preserve">Delphinus delphis ssp. ponticus </w:t>
      </w:r>
      <w:r w:rsidRPr="0088780C">
        <w:rPr>
          <w:rFonts w:eastAsiaTheme="minorHAnsi"/>
          <w:snapToGrid w:val="0"/>
          <w:kern w:val="22"/>
          <w:szCs w:val="22"/>
        </w:rPr>
        <w:t xml:space="preserve">has vulnerable status, while </w:t>
      </w:r>
      <w:r w:rsidRPr="0088780C">
        <w:rPr>
          <w:rFonts w:eastAsiaTheme="minorHAnsi"/>
          <w:i/>
          <w:iCs/>
          <w:snapToGrid w:val="0"/>
          <w:kern w:val="22"/>
          <w:szCs w:val="22"/>
        </w:rPr>
        <w:t xml:space="preserve">Turiops truncatus </w:t>
      </w:r>
      <w:r w:rsidRPr="0088780C">
        <w:rPr>
          <w:rFonts w:eastAsiaTheme="minorHAnsi"/>
          <w:iCs/>
          <w:snapToGrid w:val="0"/>
          <w:kern w:val="22"/>
          <w:szCs w:val="22"/>
        </w:rPr>
        <w:t>ssp.</w:t>
      </w:r>
      <w:r w:rsidRPr="0088780C">
        <w:rPr>
          <w:rFonts w:eastAsiaTheme="minorHAnsi"/>
          <w:i/>
          <w:iCs/>
          <w:snapToGrid w:val="0"/>
          <w:kern w:val="22"/>
          <w:szCs w:val="22"/>
        </w:rPr>
        <w:t xml:space="preserve"> ponticus </w:t>
      </w:r>
      <w:r w:rsidRPr="0088780C">
        <w:rPr>
          <w:rFonts w:eastAsiaTheme="minorHAnsi"/>
          <w:snapToGrid w:val="0"/>
          <w:kern w:val="22"/>
          <w:szCs w:val="22"/>
        </w:rPr>
        <w:t xml:space="preserve">has endangered status, on the IUCN Red List of Threatened Species based on criterion A2cde (Birkun Jr., A.A, 2008). Finally, </w:t>
      </w:r>
      <w:r w:rsidRPr="0088780C">
        <w:rPr>
          <w:rFonts w:eastAsiaTheme="minorHAnsi"/>
          <w:i/>
          <w:snapToGrid w:val="0"/>
          <w:color w:val="000000"/>
          <w:kern w:val="22"/>
          <w:szCs w:val="22"/>
        </w:rPr>
        <w:t xml:space="preserve">Phocena phocena </w:t>
      </w:r>
      <w:r w:rsidRPr="0088780C">
        <w:rPr>
          <w:rFonts w:eastAsiaTheme="minorHAnsi"/>
          <w:snapToGrid w:val="0"/>
          <w:color w:val="000000"/>
          <w:kern w:val="22"/>
          <w:szCs w:val="22"/>
        </w:rPr>
        <w:t>ssp.</w:t>
      </w:r>
      <w:r w:rsidRPr="0088780C">
        <w:rPr>
          <w:rFonts w:eastAsiaTheme="minorHAnsi"/>
          <w:i/>
          <w:iCs/>
          <w:snapToGrid w:val="0"/>
          <w:kern w:val="22"/>
          <w:szCs w:val="22"/>
        </w:rPr>
        <w:t xml:space="preserve"> relicta, </w:t>
      </w:r>
      <w:r w:rsidRPr="0088780C">
        <w:rPr>
          <w:rFonts w:eastAsiaTheme="minorHAnsi"/>
          <w:snapToGrid w:val="0"/>
          <w:kern w:val="22"/>
          <w:szCs w:val="22"/>
        </w:rPr>
        <w:t>has endangered status on the IUCN Red List of Threatened Species based on criteria A1d and A4cde.</w:t>
      </w:r>
    </w:p>
    <w:p w14:paraId="7F6983D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DF44240" w14:textId="3AD81439" w:rsidR="00A876F3" w:rsidRPr="0088780C" w:rsidRDefault="00A876F3" w:rsidP="001013AF">
      <w:pPr>
        <w:suppressLineNumbers/>
        <w:suppressAutoHyphens/>
        <w:kinsoku w:val="0"/>
        <w:overflowPunct w:val="0"/>
        <w:autoSpaceDE w:val="0"/>
        <w:autoSpaceDN w:val="0"/>
        <w:rPr>
          <w:rFonts w:eastAsia="MS Mincho"/>
          <w:bCs/>
          <w:snapToGrid w:val="0"/>
          <w:kern w:val="22"/>
          <w:szCs w:val="22"/>
          <w:u w:val="single"/>
        </w:rPr>
      </w:pPr>
      <w:r w:rsidRPr="0088780C">
        <w:rPr>
          <w:rFonts w:eastAsia="MS Mincho"/>
          <w:bCs/>
          <w:snapToGrid w:val="0"/>
          <w:kern w:val="22"/>
          <w:szCs w:val="22"/>
          <w:u w:val="single"/>
        </w:rPr>
        <w:t>Three important seabird sp</w:t>
      </w:r>
      <w:r w:rsidR="004D1888" w:rsidRPr="0088780C">
        <w:rPr>
          <w:rFonts w:eastAsia="MS Mincho"/>
          <w:bCs/>
          <w:snapToGrid w:val="0"/>
          <w:kern w:val="22"/>
          <w:szCs w:val="22"/>
          <w:u w:val="single"/>
        </w:rPr>
        <w:t>ecies inhabiting this area are:</w:t>
      </w:r>
    </w:p>
    <w:p w14:paraId="6E9E550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i/>
          <w:snapToGrid w:val="0"/>
          <w:kern w:val="22"/>
          <w:szCs w:val="22"/>
        </w:rPr>
        <w:t>Melanitta fusca</w:t>
      </w:r>
      <w:r w:rsidRPr="0088780C">
        <w:rPr>
          <w:rFonts w:eastAsia="MS Mincho"/>
          <w:snapToGrid w:val="0"/>
          <w:kern w:val="22"/>
          <w:szCs w:val="22"/>
        </w:rPr>
        <w:t xml:space="preserve"> (Velvet scoter)</w:t>
      </w:r>
    </w:p>
    <w:p w14:paraId="4B32090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i/>
          <w:snapToGrid w:val="0"/>
          <w:kern w:val="22"/>
          <w:szCs w:val="22"/>
        </w:rPr>
        <w:t xml:space="preserve">Larus cachinnans </w:t>
      </w:r>
      <w:r w:rsidRPr="0088780C">
        <w:rPr>
          <w:rFonts w:eastAsia="MS Mincho"/>
          <w:snapToGrid w:val="0"/>
          <w:kern w:val="22"/>
          <w:szCs w:val="22"/>
        </w:rPr>
        <w:t>(Caspian gull)</w:t>
      </w:r>
    </w:p>
    <w:p w14:paraId="59920114"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i/>
          <w:snapToGrid w:val="0"/>
          <w:kern w:val="22"/>
          <w:szCs w:val="22"/>
        </w:rPr>
        <w:t xml:space="preserve">Larus canus </w:t>
      </w:r>
      <w:r w:rsidRPr="0088780C">
        <w:rPr>
          <w:rFonts w:eastAsia="MS Mincho"/>
          <w:snapToGrid w:val="0"/>
          <w:kern w:val="22"/>
          <w:szCs w:val="22"/>
        </w:rPr>
        <w:t>(Mew Gull)</w:t>
      </w:r>
    </w:p>
    <w:p w14:paraId="51402F6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668A6FE" w14:textId="77777777" w:rsidR="00A876F3" w:rsidRPr="0088780C" w:rsidRDefault="00A876F3" w:rsidP="004D1888">
      <w:pPr>
        <w:keepNext/>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Feature condition and future outlook of the area</w:t>
      </w:r>
    </w:p>
    <w:p w14:paraId="17DB26CF" w14:textId="422B1A88"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snapToGrid w:val="0"/>
          <w:color w:val="000000"/>
          <w:kern w:val="22"/>
          <w:szCs w:val="22"/>
        </w:rPr>
        <w:t>The area is mainly rocky and sandy, providing important habitat for fish breeding and feeding. Due to the presence of underwater rocks and wide, flat sandy areas, the area</w:t>
      </w:r>
      <w:r w:rsidR="004D1888" w:rsidRPr="0088780C">
        <w:rPr>
          <w:rFonts w:eastAsiaTheme="minorHAnsi"/>
          <w:snapToGrid w:val="0"/>
          <w:color w:val="000000"/>
          <w:kern w:val="22"/>
          <w:szCs w:val="22"/>
        </w:rPr>
        <w:t xml:space="preserve"> has high biological diversity.</w:t>
      </w:r>
    </w:p>
    <w:p w14:paraId="4D6C8015"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p>
    <w:p w14:paraId="567A77E6" w14:textId="0AA5AD8C" w:rsidR="00A876F3" w:rsidRPr="0088780C" w:rsidRDefault="00A876F3" w:rsidP="001013AF">
      <w:pPr>
        <w:suppressLineNumbers/>
        <w:suppressAutoHyphens/>
        <w:kinsoku w:val="0"/>
        <w:overflowPunct w:val="0"/>
        <w:autoSpaceDE w:val="0"/>
        <w:autoSpaceDN w:val="0"/>
        <w:adjustRightInd w:val="0"/>
        <w:rPr>
          <w:rFonts w:eastAsiaTheme="minorHAnsi"/>
          <w:snapToGrid w:val="0"/>
          <w:kern w:val="22"/>
          <w:szCs w:val="22"/>
        </w:rPr>
      </w:pPr>
      <w:r w:rsidRPr="0088780C">
        <w:rPr>
          <w:rFonts w:eastAsia="MS Mincho"/>
          <w:snapToGrid w:val="0"/>
          <w:kern w:val="22"/>
          <w:szCs w:val="22"/>
        </w:rPr>
        <w:t xml:space="preserve">According to a study by Saydam (2015), the highest rate of cetacean distribution is mainly obtained in the eastern part of the Black Sea. At least 12 individuals of </w:t>
      </w:r>
      <w:r w:rsidRPr="0088780C">
        <w:rPr>
          <w:rFonts w:eastAsia="MS Mincho"/>
          <w:i/>
          <w:snapToGrid w:val="0"/>
          <w:kern w:val="22"/>
          <w:szCs w:val="22"/>
        </w:rPr>
        <w:t>Delphinus delphis</w:t>
      </w:r>
      <w:r w:rsidRPr="0088780C">
        <w:rPr>
          <w:rFonts w:eastAsia="MS Mincho"/>
          <w:snapToGrid w:val="0"/>
          <w:kern w:val="22"/>
          <w:szCs w:val="22"/>
        </w:rPr>
        <w:t xml:space="preserve"> and five individuals of </w:t>
      </w:r>
      <w:r w:rsidRPr="0088780C">
        <w:rPr>
          <w:rFonts w:eastAsiaTheme="minorHAnsi"/>
          <w:i/>
          <w:snapToGrid w:val="0"/>
          <w:color w:val="000000"/>
          <w:kern w:val="22"/>
          <w:szCs w:val="22"/>
        </w:rPr>
        <w:t xml:space="preserve">Phocena phocena </w:t>
      </w:r>
      <w:r w:rsidRPr="0088780C">
        <w:rPr>
          <w:rFonts w:eastAsiaTheme="minorHAnsi"/>
          <w:snapToGrid w:val="0"/>
          <w:color w:val="000000"/>
          <w:kern w:val="22"/>
          <w:szCs w:val="22"/>
        </w:rPr>
        <w:t xml:space="preserve">were </w:t>
      </w:r>
      <w:r w:rsidRPr="0088780C">
        <w:rPr>
          <w:rFonts w:eastAsia="MS Mincho"/>
          <w:snapToGrid w:val="0"/>
          <w:kern w:val="22"/>
          <w:szCs w:val="22"/>
        </w:rPr>
        <w:t>acoustically estimated to occur during their cruise in July 2014.</w:t>
      </w:r>
    </w:p>
    <w:p w14:paraId="33569D5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CDE7323" w14:textId="38EBBDE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w:t>
      </w:r>
      <w:r w:rsidR="004D1888" w:rsidRPr="0088780C">
        <w:rPr>
          <w:rFonts w:eastAsia="MS Mincho"/>
          <w:b/>
          <w:snapToGrid w:val="0"/>
          <w:kern w:val="22"/>
          <w:szCs w:val="22"/>
        </w:rPr>
        <w:t xml:space="preserve"> area against CBD EBSA Criteria</w:t>
      </w:r>
    </w:p>
    <w:p w14:paraId="1CF3D478"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0A24C754" w14:textId="77777777" w:rsidTr="006972AD">
        <w:tc>
          <w:tcPr>
            <w:tcW w:w="779" w:type="pct"/>
            <w:vMerge w:val="restart"/>
            <w:shd w:val="clear" w:color="auto" w:fill="auto"/>
          </w:tcPr>
          <w:p w14:paraId="512AAF66" w14:textId="77777777" w:rsidR="00A876F3" w:rsidRPr="0088780C" w:rsidRDefault="00A876F3" w:rsidP="004D1888">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6D97B18C" w14:textId="77777777" w:rsidR="00A876F3" w:rsidRPr="0088780C" w:rsidRDefault="00A876F3" w:rsidP="004D1888">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6F832B5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1623710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68B3856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4A11062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56CBD1B3" w14:textId="77777777" w:rsidTr="006972AD">
        <w:tc>
          <w:tcPr>
            <w:tcW w:w="779" w:type="pct"/>
            <w:vMerge/>
            <w:shd w:val="clear" w:color="auto" w:fill="auto"/>
          </w:tcPr>
          <w:p w14:paraId="3FFFA2D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4D176E0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16E4941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5A118A1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6DEAC75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62EDC5D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0122B95A" w14:textId="77777777" w:rsidTr="006972AD">
        <w:tc>
          <w:tcPr>
            <w:tcW w:w="779" w:type="pct"/>
            <w:shd w:val="clear" w:color="auto" w:fill="auto"/>
          </w:tcPr>
          <w:p w14:paraId="64389EE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6B3442A7" w14:textId="2196C845"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4EEDF8D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1A70AA8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F4A9CA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 xml:space="preserve">X </w:t>
            </w:r>
          </w:p>
        </w:tc>
        <w:tc>
          <w:tcPr>
            <w:tcW w:w="436" w:type="pct"/>
            <w:gridSpan w:val="2"/>
            <w:shd w:val="clear" w:color="auto" w:fill="auto"/>
          </w:tcPr>
          <w:p w14:paraId="1C68F24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 xml:space="preserve"> </w:t>
            </w:r>
          </w:p>
        </w:tc>
      </w:tr>
      <w:tr w:rsidR="00A876F3" w:rsidRPr="0088780C" w14:paraId="4B6D03E2" w14:textId="77777777" w:rsidTr="006972AD">
        <w:tc>
          <w:tcPr>
            <w:tcW w:w="5000" w:type="pct"/>
            <w:gridSpan w:val="11"/>
            <w:shd w:val="clear" w:color="auto" w:fill="auto"/>
          </w:tcPr>
          <w:p w14:paraId="2C2D705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663B6763" w14:textId="0501A4AB" w:rsidR="00A876F3" w:rsidRPr="0088780C" w:rsidRDefault="00A876F3" w:rsidP="001013AF">
            <w:pPr>
              <w:suppressLineNumbers/>
              <w:suppressAutoHyphens/>
              <w:kinsoku w:val="0"/>
              <w:overflowPunct w:val="0"/>
              <w:autoSpaceDE w:val="0"/>
              <w:autoSpaceDN w:val="0"/>
              <w:rPr>
                <w:rFonts w:eastAsiaTheme="minorHAnsi"/>
                <w:snapToGrid w:val="0"/>
                <w:color w:val="000000"/>
                <w:kern w:val="22"/>
                <w:szCs w:val="22"/>
              </w:rPr>
            </w:pPr>
            <w:r w:rsidRPr="0088780C">
              <w:rPr>
                <w:rFonts w:eastAsia="MS Mincho"/>
                <w:snapToGrid w:val="0"/>
                <w:kern w:val="22"/>
                <w:szCs w:val="22"/>
              </w:rPr>
              <w:t xml:space="preserve">This is an important fish breeding and feeding area due to its closed reserve area for fishery and its sandy, heel-shaped rocky structure. There are many underwater rocks in the region. Also it </w:t>
            </w:r>
            <w:r w:rsidRPr="0088780C">
              <w:rPr>
                <w:rFonts w:eastAsiaTheme="minorHAnsi"/>
                <w:snapToGrid w:val="0"/>
                <w:color w:val="000000"/>
                <w:kern w:val="22"/>
                <w:szCs w:val="22"/>
              </w:rPr>
              <w:t>is the only native and natural habitat for the seabream</w:t>
            </w:r>
            <w:r w:rsidRPr="0088780C">
              <w:rPr>
                <w:rFonts w:eastAsia="MS Mincho"/>
                <w:snapToGrid w:val="0"/>
                <w:kern w:val="22"/>
                <w:szCs w:val="22"/>
              </w:rPr>
              <w:t xml:space="preserve"> in the Black Sea. </w:t>
            </w:r>
            <w:r w:rsidRPr="0088780C">
              <w:rPr>
                <w:rFonts w:eastAsiaTheme="minorHAnsi"/>
                <w:snapToGrid w:val="0"/>
                <w:color w:val="000000"/>
                <w:kern w:val="22"/>
                <w:szCs w:val="22"/>
              </w:rPr>
              <w:t xml:space="preserve">The traditional name of the region is the </w:t>
            </w:r>
            <w:r w:rsidR="00D8482D" w:rsidRPr="0088780C">
              <w:rPr>
                <w:rFonts w:eastAsiaTheme="minorHAnsi"/>
                <w:snapToGrid w:val="0"/>
                <w:color w:val="000000"/>
                <w:kern w:val="22"/>
                <w:szCs w:val="22"/>
              </w:rPr>
              <w:t>“</w:t>
            </w:r>
            <w:r w:rsidRPr="0088780C">
              <w:rPr>
                <w:rFonts w:eastAsiaTheme="minorHAnsi"/>
                <w:snapToGrid w:val="0"/>
                <w:color w:val="000000"/>
                <w:kern w:val="22"/>
                <w:szCs w:val="22"/>
              </w:rPr>
              <w:t>Cıpra</w:t>
            </w:r>
            <w:r w:rsidR="00D8482D" w:rsidRPr="0088780C">
              <w:rPr>
                <w:rFonts w:eastAsiaTheme="minorHAnsi"/>
                <w:snapToGrid w:val="0"/>
                <w:color w:val="000000"/>
                <w:kern w:val="22"/>
                <w:szCs w:val="22"/>
              </w:rPr>
              <w:t>”</w:t>
            </w:r>
            <w:r w:rsidRPr="0088780C">
              <w:rPr>
                <w:rFonts w:eastAsiaTheme="minorHAnsi"/>
                <w:snapToGrid w:val="0"/>
                <w:color w:val="000000"/>
                <w:kern w:val="22"/>
                <w:szCs w:val="22"/>
              </w:rPr>
              <w:t xml:space="preserve">, which comes from </w:t>
            </w:r>
            <w:r w:rsidRPr="0088780C">
              <w:rPr>
                <w:rFonts w:eastAsiaTheme="minorHAnsi"/>
                <w:i/>
                <w:snapToGrid w:val="0"/>
                <w:color w:val="000000"/>
                <w:kern w:val="22"/>
                <w:szCs w:val="22"/>
              </w:rPr>
              <w:t>Sparus aurata</w:t>
            </w:r>
            <w:r w:rsidRPr="0088780C">
              <w:rPr>
                <w:rFonts w:eastAsiaTheme="minorHAnsi"/>
                <w:snapToGrid w:val="0"/>
                <w:color w:val="000000"/>
                <w:kern w:val="22"/>
                <w:szCs w:val="22"/>
              </w:rPr>
              <w:t xml:space="preserve"> Linnaeus (</w:t>
            </w:r>
            <w:r w:rsidR="00D8482D" w:rsidRPr="0088780C">
              <w:rPr>
                <w:rFonts w:eastAsiaTheme="minorHAnsi"/>
                <w:snapToGrid w:val="0"/>
                <w:color w:val="000000"/>
                <w:kern w:val="22"/>
                <w:szCs w:val="22"/>
              </w:rPr>
              <w:t>“</w:t>
            </w:r>
            <w:r w:rsidRPr="0088780C">
              <w:rPr>
                <w:rFonts w:eastAsiaTheme="minorHAnsi"/>
                <w:snapToGrid w:val="0"/>
                <w:color w:val="000000"/>
                <w:kern w:val="22"/>
                <w:szCs w:val="22"/>
              </w:rPr>
              <w:t>Çipura</w:t>
            </w:r>
            <w:r w:rsidR="00D8482D" w:rsidRPr="0088780C">
              <w:rPr>
                <w:rFonts w:eastAsiaTheme="minorHAnsi"/>
                <w:snapToGrid w:val="0"/>
                <w:color w:val="000000"/>
                <w:kern w:val="22"/>
                <w:szCs w:val="22"/>
              </w:rPr>
              <w:t>”</w:t>
            </w:r>
            <w:r w:rsidRPr="0088780C">
              <w:rPr>
                <w:rFonts w:eastAsiaTheme="minorHAnsi"/>
                <w:snapToGrid w:val="0"/>
                <w:color w:val="000000"/>
                <w:kern w:val="22"/>
                <w:szCs w:val="22"/>
              </w:rPr>
              <w:t xml:space="preserve"> in Turkish), which is the native habitat and natural habitat for the seabream.</w:t>
            </w:r>
          </w:p>
          <w:p w14:paraId="0FFA25A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A827FC9" w14:textId="0E92928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area is characterized by frequent occurrence of cetaceans represented by endemic and endangered subspecies or populations: the Black Sea </w:t>
            </w:r>
            <w:r w:rsidR="003D6ED2" w:rsidRPr="0088780C">
              <w:rPr>
                <w:rFonts w:eastAsia="MS Mincho"/>
                <w:snapToGrid w:val="0"/>
                <w:color w:val="000000"/>
                <w:kern w:val="22"/>
                <w:szCs w:val="22"/>
              </w:rPr>
              <w:t>harbour porpoise</w:t>
            </w:r>
            <w:r w:rsidRPr="0088780C">
              <w:rPr>
                <w:rFonts w:eastAsia="MS Mincho"/>
                <w:snapToGrid w:val="0"/>
                <w:color w:val="000000"/>
                <w:kern w:val="22"/>
                <w:szCs w:val="22"/>
              </w:rPr>
              <w:t xml:space="preserve"> (</w:t>
            </w:r>
            <w:r w:rsidRPr="0088780C">
              <w:rPr>
                <w:rFonts w:eastAsia="MS Mincho"/>
                <w:i/>
                <w:snapToGrid w:val="0"/>
                <w:color w:val="000000"/>
                <w:kern w:val="22"/>
                <w:szCs w:val="22"/>
              </w:rPr>
              <w:t>Phocoena phocoena relicta)</w:t>
            </w:r>
            <w:r w:rsidRPr="0088780C">
              <w:rPr>
                <w:rFonts w:eastAsia="MS Mincho"/>
                <w:snapToGrid w:val="0"/>
                <w:color w:val="000000"/>
                <w:kern w:val="22"/>
                <w:szCs w:val="22"/>
              </w:rPr>
              <w:t xml:space="preserve"> (Birkun and Frantzis, 2008) and the Black Sea bottlenose dolphin (</w:t>
            </w:r>
            <w:r w:rsidRPr="0088780C">
              <w:rPr>
                <w:rFonts w:eastAsia="MS Mincho"/>
                <w:i/>
                <w:snapToGrid w:val="0"/>
                <w:color w:val="000000"/>
                <w:kern w:val="22"/>
                <w:szCs w:val="22"/>
              </w:rPr>
              <w:t>Tursiops truncatus ponticus)</w:t>
            </w:r>
            <w:r w:rsidRPr="0088780C">
              <w:rPr>
                <w:rFonts w:eastAsia="MS Mincho"/>
                <w:snapToGrid w:val="0"/>
                <w:color w:val="000000"/>
                <w:kern w:val="22"/>
                <w:szCs w:val="22"/>
              </w:rPr>
              <w:t xml:space="preserve">  (Saydam 2015).</w:t>
            </w:r>
          </w:p>
        </w:tc>
      </w:tr>
      <w:tr w:rsidR="00A876F3" w:rsidRPr="0088780C" w14:paraId="0BE43310" w14:textId="77777777" w:rsidTr="006972AD">
        <w:tc>
          <w:tcPr>
            <w:tcW w:w="779" w:type="pct"/>
            <w:shd w:val="clear" w:color="auto" w:fill="auto"/>
          </w:tcPr>
          <w:p w14:paraId="303AC1FB" w14:textId="77777777" w:rsidR="00A876F3" w:rsidRPr="0088780C" w:rsidRDefault="00A876F3" w:rsidP="004D1888">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59307B9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3402660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B105B3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D88AD9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1F794F4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503E5B4B" w14:textId="77777777" w:rsidTr="006972AD">
        <w:tc>
          <w:tcPr>
            <w:tcW w:w="5000" w:type="pct"/>
            <w:gridSpan w:val="11"/>
            <w:shd w:val="clear" w:color="auto" w:fill="auto"/>
          </w:tcPr>
          <w:p w14:paraId="4C87AA7A"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BA3F6F8" w14:textId="75A3173C"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rFonts w:eastAsiaTheme="minorHAnsi"/>
                <w:snapToGrid w:val="0"/>
                <w:kern w:val="22"/>
                <w:szCs w:val="22"/>
              </w:rPr>
              <w:t xml:space="preserve">Short-beaked common dolphins were more frequently encountered in the eastern part of the south-eastern Black Sea. Moreover, short-beaked common dolphins are more frequently encountered in the eastern Black Sea with relatively larger group sizes inhabiting </w:t>
            </w:r>
            <w:r w:rsidR="00B7386B" w:rsidRPr="0088780C">
              <w:rPr>
                <w:rFonts w:eastAsiaTheme="minorHAnsi"/>
                <w:snapToGrid w:val="0"/>
                <w:kern w:val="22"/>
                <w:szCs w:val="22"/>
              </w:rPr>
              <w:t>coastal eastern Black S</w:t>
            </w:r>
            <w:r w:rsidRPr="0088780C">
              <w:rPr>
                <w:rFonts w:eastAsiaTheme="minorHAnsi"/>
                <w:snapToGrid w:val="0"/>
                <w:kern w:val="22"/>
                <w:szCs w:val="22"/>
              </w:rPr>
              <w:t xml:space="preserve">ea waters. </w:t>
            </w:r>
            <w:r w:rsidRPr="0088780C">
              <w:rPr>
                <w:snapToGrid w:val="0"/>
                <w:kern w:val="22"/>
                <w:szCs w:val="22"/>
              </w:rPr>
              <w:t xml:space="preserve">Moreover, the primary overwintering area of </w:t>
            </w:r>
            <w:r w:rsidRPr="0088780C">
              <w:rPr>
                <w:rFonts w:eastAsiaTheme="minorHAnsi"/>
                <w:snapToGrid w:val="0"/>
                <w:kern w:val="22"/>
                <w:szCs w:val="22"/>
              </w:rPr>
              <w:t>short-beaked</w:t>
            </w:r>
            <w:r w:rsidRPr="0088780C">
              <w:rPr>
                <w:snapToGrid w:val="0"/>
                <w:kern w:val="22"/>
                <w:szCs w:val="22"/>
              </w:rPr>
              <w:t xml:space="preserve"> common dolphin is the </w:t>
            </w:r>
            <w:r w:rsidR="00953367" w:rsidRPr="0088780C">
              <w:rPr>
                <w:snapToGrid w:val="0"/>
                <w:kern w:val="22"/>
                <w:szCs w:val="22"/>
              </w:rPr>
              <w:t>south-east</w:t>
            </w:r>
            <w:r w:rsidRPr="0088780C">
              <w:rPr>
                <w:snapToGrid w:val="0"/>
                <w:kern w:val="22"/>
                <w:szCs w:val="22"/>
              </w:rPr>
              <w:t>ern Black Sea (Saydam, 2015).</w:t>
            </w:r>
          </w:p>
          <w:p w14:paraId="2C464A1B" w14:textId="442E759C"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 xml:space="preserve">The area overlaps with a marine </w:t>
            </w:r>
            <w:r w:rsidRPr="0088780C">
              <w:rPr>
                <w:rFonts w:eastAsia="MS Mincho"/>
                <w:snapToGrid w:val="0"/>
                <w:kern w:val="22"/>
                <w:szCs w:val="22"/>
              </w:rPr>
              <w:t>Important Bird and Biodiversity Area that is regionally important for two seabird species: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A third species, mew gull (</w:t>
            </w:r>
            <w:r w:rsidRPr="0088780C">
              <w:rPr>
                <w:rFonts w:eastAsia="MS Mincho"/>
                <w:i/>
                <w:snapToGrid w:val="0"/>
                <w:kern w:val="22"/>
                <w:szCs w:val="22"/>
              </w:rPr>
              <w:t xml:space="preserve">Larus canus), </w:t>
            </w:r>
            <w:r w:rsidR="004D1888" w:rsidRPr="0088780C">
              <w:rPr>
                <w:rFonts w:eastAsia="MS Mincho"/>
                <w:snapToGrid w:val="0"/>
                <w:kern w:val="22"/>
                <w:szCs w:val="22"/>
              </w:rPr>
              <w:t>is also known to occur.</w:t>
            </w:r>
          </w:p>
          <w:p w14:paraId="4562A7F4" w14:textId="77777777" w:rsidR="004D1888" w:rsidRPr="0088780C" w:rsidRDefault="004D1888" w:rsidP="001013AF">
            <w:pPr>
              <w:suppressLineNumbers/>
              <w:suppressAutoHyphens/>
              <w:kinsoku w:val="0"/>
              <w:overflowPunct w:val="0"/>
              <w:autoSpaceDE w:val="0"/>
              <w:autoSpaceDN w:val="0"/>
              <w:rPr>
                <w:rFonts w:eastAsia="MS Mincho"/>
                <w:snapToGrid w:val="0"/>
                <w:kern w:val="22"/>
                <w:szCs w:val="22"/>
              </w:rPr>
            </w:pPr>
          </w:p>
          <w:p w14:paraId="1F95C8A0" w14:textId="74D22403"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It is a bioreserve area and an area of reproduction and breeding for demersal and pelagic fish species. Also it </w:t>
            </w:r>
            <w:r w:rsidRPr="0088780C">
              <w:rPr>
                <w:rFonts w:eastAsiaTheme="minorHAnsi"/>
                <w:snapToGrid w:val="0"/>
                <w:color w:val="000000"/>
                <w:kern w:val="22"/>
                <w:szCs w:val="22"/>
              </w:rPr>
              <w:t>is the native and natural habitat for the seabream.</w:t>
            </w:r>
          </w:p>
        </w:tc>
      </w:tr>
      <w:tr w:rsidR="00A876F3" w:rsidRPr="0088780C" w14:paraId="62EF8DA5" w14:textId="77777777" w:rsidTr="00B7386B">
        <w:trPr>
          <w:cantSplit/>
        </w:trPr>
        <w:tc>
          <w:tcPr>
            <w:tcW w:w="779" w:type="pct"/>
            <w:shd w:val="clear" w:color="auto" w:fill="auto"/>
          </w:tcPr>
          <w:p w14:paraId="03413CCB" w14:textId="77777777" w:rsidR="00A876F3" w:rsidRPr="0088780C" w:rsidRDefault="00A876F3" w:rsidP="004D1888">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78C5E47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5ADB070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1FA92E8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86B81A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0F58F65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08066977" w14:textId="77777777" w:rsidTr="006972AD">
        <w:tc>
          <w:tcPr>
            <w:tcW w:w="5000" w:type="pct"/>
            <w:gridSpan w:val="11"/>
            <w:shd w:val="clear" w:color="auto" w:fill="auto"/>
          </w:tcPr>
          <w:p w14:paraId="1B19E090"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AC8C430"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Theme="minorHAnsi"/>
                <w:i/>
                <w:snapToGrid w:val="0"/>
                <w:kern w:val="22"/>
                <w:szCs w:val="22"/>
              </w:rPr>
              <w:t xml:space="preserve">Delphinus delphis ssp. ponticus </w:t>
            </w:r>
            <w:r w:rsidRPr="0088780C">
              <w:rPr>
                <w:rFonts w:eastAsiaTheme="minorHAnsi"/>
                <w:snapToGrid w:val="0"/>
                <w:kern w:val="22"/>
                <w:szCs w:val="22"/>
              </w:rPr>
              <w:t xml:space="preserve">has vulnerable status, while </w:t>
            </w:r>
            <w:r w:rsidRPr="0088780C">
              <w:rPr>
                <w:rFonts w:eastAsiaTheme="minorHAnsi"/>
                <w:i/>
                <w:iCs/>
                <w:snapToGrid w:val="0"/>
                <w:kern w:val="22"/>
                <w:szCs w:val="22"/>
              </w:rPr>
              <w:t xml:space="preserve">Turiops truncatus </w:t>
            </w:r>
            <w:r w:rsidRPr="0088780C">
              <w:rPr>
                <w:rFonts w:eastAsiaTheme="minorHAnsi"/>
                <w:iCs/>
                <w:snapToGrid w:val="0"/>
                <w:kern w:val="22"/>
                <w:szCs w:val="22"/>
              </w:rPr>
              <w:t>ssp.</w:t>
            </w:r>
            <w:r w:rsidRPr="0088780C">
              <w:rPr>
                <w:rFonts w:eastAsiaTheme="minorHAnsi"/>
                <w:i/>
                <w:iCs/>
                <w:snapToGrid w:val="0"/>
                <w:kern w:val="22"/>
                <w:szCs w:val="22"/>
              </w:rPr>
              <w:t xml:space="preserve"> ponticus </w:t>
            </w:r>
            <w:r w:rsidRPr="0088780C">
              <w:rPr>
                <w:rFonts w:eastAsiaTheme="minorHAnsi"/>
                <w:snapToGrid w:val="0"/>
                <w:kern w:val="22"/>
                <w:szCs w:val="22"/>
              </w:rPr>
              <w:t xml:space="preserve">has endangered status, on the IUCN Red List of Threatened Species based on criterion A2cde (Birkun Jr., A.A, 2008). Finally, </w:t>
            </w:r>
            <w:r w:rsidRPr="0088780C">
              <w:rPr>
                <w:rFonts w:eastAsiaTheme="minorHAnsi"/>
                <w:i/>
                <w:snapToGrid w:val="0"/>
                <w:color w:val="000000"/>
                <w:kern w:val="22"/>
                <w:szCs w:val="22"/>
              </w:rPr>
              <w:t xml:space="preserve">Phocena phocena </w:t>
            </w:r>
            <w:r w:rsidRPr="0088780C">
              <w:rPr>
                <w:rFonts w:eastAsiaTheme="minorHAnsi"/>
                <w:snapToGrid w:val="0"/>
                <w:color w:val="000000"/>
                <w:kern w:val="22"/>
                <w:szCs w:val="22"/>
              </w:rPr>
              <w:t>ssp.</w:t>
            </w:r>
            <w:r w:rsidRPr="0088780C">
              <w:rPr>
                <w:rFonts w:eastAsiaTheme="minorHAnsi"/>
                <w:i/>
                <w:iCs/>
                <w:snapToGrid w:val="0"/>
                <w:kern w:val="22"/>
                <w:szCs w:val="22"/>
              </w:rPr>
              <w:t xml:space="preserve"> relicta, </w:t>
            </w:r>
            <w:r w:rsidRPr="0088780C">
              <w:rPr>
                <w:rFonts w:eastAsiaTheme="minorHAnsi"/>
                <w:snapToGrid w:val="0"/>
                <w:kern w:val="22"/>
                <w:szCs w:val="22"/>
              </w:rPr>
              <w:t xml:space="preserve">has endangered status on the IUCN Red List of Threatened Species based on criteria A1d and A4cde. Also in terms of birds, </w:t>
            </w:r>
            <w:r w:rsidRPr="0088780C">
              <w:rPr>
                <w:rFonts w:eastAsiaTheme="minorHAnsi"/>
                <w:i/>
                <w:snapToGrid w:val="0"/>
                <w:kern w:val="22"/>
                <w:szCs w:val="22"/>
              </w:rPr>
              <w:t>Melanitta fusca</w:t>
            </w:r>
            <w:r w:rsidRPr="0088780C">
              <w:rPr>
                <w:rFonts w:eastAsiaTheme="minorHAnsi"/>
                <w:snapToGrid w:val="0"/>
                <w:kern w:val="22"/>
                <w:szCs w:val="22"/>
              </w:rPr>
              <w:t xml:space="preserve"> which is listed as  vulnerable (VU) byn IUCN, </w:t>
            </w:r>
            <w:r w:rsidRPr="0088780C">
              <w:rPr>
                <w:snapToGrid w:val="0"/>
                <w:kern w:val="22"/>
                <w:szCs w:val="22"/>
              </w:rPr>
              <w:t xml:space="preserve">inhabit in the area, which overlaps with a marine </w:t>
            </w:r>
            <w:r w:rsidRPr="0088780C">
              <w:rPr>
                <w:rFonts w:eastAsia="MS Mincho"/>
                <w:snapToGrid w:val="0"/>
                <w:kern w:val="22"/>
                <w:szCs w:val="22"/>
              </w:rPr>
              <w:t>Important Bird and Biodiversity Area.</w:t>
            </w:r>
          </w:p>
          <w:p w14:paraId="131B310B" w14:textId="1FAA1615"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MS Mincho"/>
                <w:snapToGrid w:val="0"/>
                <w:kern w:val="22"/>
                <w:szCs w:val="22"/>
              </w:rPr>
              <w:t xml:space="preserve">It </w:t>
            </w:r>
            <w:r w:rsidRPr="0088780C">
              <w:rPr>
                <w:rFonts w:eastAsiaTheme="minorHAnsi"/>
                <w:snapToGrid w:val="0"/>
                <w:color w:val="000000"/>
                <w:kern w:val="22"/>
                <w:szCs w:val="22"/>
              </w:rPr>
              <w:t>is also the native and na</w:t>
            </w:r>
            <w:r w:rsidR="00B7386B" w:rsidRPr="0088780C">
              <w:rPr>
                <w:rFonts w:eastAsiaTheme="minorHAnsi"/>
                <w:snapToGrid w:val="0"/>
                <w:color w:val="000000"/>
                <w:kern w:val="22"/>
                <w:szCs w:val="22"/>
              </w:rPr>
              <w:t>tural habitat for the seabream.</w:t>
            </w:r>
          </w:p>
          <w:p w14:paraId="1535310A" w14:textId="77777777" w:rsidR="00A876F3" w:rsidRPr="0088780C" w:rsidRDefault="00A876F3" w:rsidP="001013AF">
            <w:pPr>
              <w:suppressLineNumbers/>
              <w:suppressAutoHyphens/>
              <w:kinsoku w:val="0"/>
              <w:overflowPunct w:val="0"/>
              <w:autoSpaceDE w:val="0"/>
              <w:autoSpaceDN w:val="0"/>
              <w:adjustRightInd w:val="0"/>
              <w:rPr>
                <w:rFonts w:eastAsia="Times New Roman"/>
                <w:snapToGrid w:val="0"/>
                <w:color w:val="000000"/>
                <w:kern w:val="22"/>
                <w:szCs w:val="22"/>
                <w:lang w:eastAsia="tr-TR"/>
              </w:rPr>
            </w:pPr>
          </w:p>
          <w:p w14:paraId="34A70F65" w14:textId="77777777" w:rsidR="00A876F3" w:rsidRPr="0088780C" w:rsidRDefault="00A876F3" w:rsidP="001013AF">
            <w:pPr>
              <w:suppressLineNumbers/>
              <w:suppressAutoHyphens/>
              <w:kinsoku w:val="0"/>
              <w:overflowPunct w:val="0"/>
              <w:autoSpaceDE w:val="0"/>
              <w:autoSpaceDN w:val="0"/>
              <w:rPr>
                <w:rFonts w:eastAsiaTheme="minorHAnsi"/>
                <w:snapToGrid w:val="0"/>
                <w:kern w:val="22"/>
                <w:szCs w:val="22"/>
              </w:rPr>
            </w:pPr>
            <w:r w:rsidRPr="0088780C">
              <w:rPr>
                <w:rFonts w:eastAsia="Times New Roman"/>
                <w:snapToGrid w:val="0"/>
                <w:color w:val="000000"/>
                <w:kern w:val="22"/>
                <w:szCs w:val="22"/>
                <w:lang w:eastAsia="tr-TR"/>
              </w:rPr>
              <w:t xml:space="preserve">According to the Black Sea Fish Check List, the species </w:t>
            </w:r>
            <w:r w:rsidRPr="0088780C">
              <w:rPr>
                <w:rFonts w:eastAsia="Times New Roman"/>
                <w:i/>
                <w:snapToGrid w:val="0"/>
                <w:color w:val="000000"/>
                <w:kern w:val="22"/>
                <w:szCs w:val="22"/>
                <w:lang w:eastAsia="tr-TR"/>
              </w:rPr>
              <w:t>Hippocampus hippocampus</w:t>
            </w:r>
            <w:r w:rsidRPr="0088780C">
              <w:rPr>
                <w:rFonts w:eastAsia="Times New Roman"/>
                <w:snapToGrid w:val="0"/>
                <w:color w:val="000000"/>
                <w:kern w:val="22"/>
                <w:szCs w:val="22"/>
                <w:lang w:eastAsia="tr-TR"/>
              </w:rPr>
              <w:t xml:space="preserve"> is endangered in Turkey (</w:t>
            </w:r>
            <w:r w:rsidRPr="0088780C">
              <w:rPr>
                <w:snapToGrid w:val="0"/>
                <w:kern w:val="22"/>
                <w:szCs w:val="22"/>
              </w:rPr>
              <w:t>Yankova, n.d.).</w:t>
            </w:r>
          </w:p>
        </w:tc>
      </w:tr>
      <w:tr w:rsidR="00A876F3" w:rsidRPr="0088780C" w14:paraId="4AEC94CA" w14:textId="77777777" w:rsidTr="006972AD">
        <w:tc>
          <w:tcPr>
            <w:tcW w:w="779" w:type="pct"/>
            <w:shd w:val="clear" w:color="auto" w:fill="auto"/>
          </w:tcPr>
          <w:p w14:paraId="7908B08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5D6A058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476248D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2090EFD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34DEA7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 xml:space="preserve"> </w:t>
            </w:r>
          </w:p>
        </w:tc>
        <w:tc>
          <w:tcPr>
            <w:tcW w:w="436" w:type="pct"/>
            <w:gridSpan w:val="2"/>
            <w:shd w:val="clear" w:color="auto" w:fill="auto"/>
          </w:tcPr>
          <w:p w14:paraId="0F29A00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1F7CADDD" w14:textId="77777777" w:rsidTr="006972AD">
        <w:tc>
          <w:tcPr>
            <w:tcW w:w="5000" w:type="pct"/>
            <w:gridSpan w:val="11"/>
            <w:shd w:val="clear" w:color="auto" w:fill="auto"/>
          </w:tcPr>
          <w:p w14:paraId="7114F354"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BC7D793" w14:textId="708E439E" w:rsidR="00A876F3" w:rsidRPr="0088780C" w:rsidRDefault="00A876F3" w:rsidP="00B7386B">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All cetaceans are known to have low reproductive rates and slow recovery if </w:t>
            </w:r>
            <w:r w:rsidR="00B7386B" w:rsidRPr="0088780C">
              <w:rPr>
                <w:rFonts w:eastAsia="MS Mincho"/>
                <w:snapToGrid w:val="0"/>
                <w:color w:val="000000"/>
                <w:kern w:val="22"/>
                <w:szCs w:val="22"/>
              </w:rPr>
              <w:t>injured</w:t>
            </w:r>
            <w:r w:rsidRPr="0088780C">
              <w:rPr>
                <w:rFonts w:eastAsia="MS Mincho"/>
                <w:snapToGrid w:val="0"/>
                <w:color w:val="000000"/>
                <w:kern w:val="22"/>
                <w:szCs w:val="22"/>
              </w:rPr>
              <w:t xml:space="preserve">. It also takes at least 3-4 years </w:t>
            </w:r>
            <w:r w:rsidR="00B7386B" w:rsidRPr="0088780C">
              <w:rPr>
                <w:rFonts w:eastAsia="MS Mincho"/>
                <w:snapToGrid w:val="0"/>
                <w:color w:val="000000"/>
                <w:kern w:val="22"/>
                <w:szCs w:val="22"/>
              </w:rPr>
              <w:t>for them to start to reproduce.</w:t>
            </w:r>
          </w:p>
          <w:p w14:paraId="4CA5F832" w14:textId="7997FC2C" w:rsidR="00A876F3" w:rsidRPr="0088780C" w:rsidRDefault="00A876F3" w:rsidP="00277A44">
            <w:pPr>
              <w:suppressLineNumbers/>
              <w:suppressAutoHyphens/>
              <w:kinsoku w:val="0"/>
              <w:overflowPunct w:val="0"/>
              <w:autoSpaceDE w:val="0"/>
              <w:autoSpaceDN w:val="0"/>
              <w:rPr>
                <w:rFonts w:eastAsia="Times New Roman"/>
                <w:snapToGrid w:val="0"/>
                <w:color w:val="000000"/>
                <w:kern w:val="22"/>
                <w:szCs w:val="22"/>
                <w:lang w:eastAsia="tr-TR"/>
              </w:rPr>
            </w:pPr>
            <w:r w:rsidRPr="0088780C">
              <w:rPr>
                <w:rFonts w:eastAsia="Times New Roman"/>
                <w:snapToGrid w:val="0"/>
                <w:color w:val="000000"/>
                <w:kern w:val="22"/>
                <w:szCs w:val="22"/>
                <w:lang w:eastAsia="tr-TR"/>
              </w:rPr>
              <w:t>Bottlenose dolphins and harbour porpoises start reproduction late and produce a limited number of offspri</w:t>
            </w:r>
            <w:r w:rsidR="00B7386B" w:rsidRPr="0088780C">
              <w:rPr>
                <w:rFonts w:eastAsia="Times New Roman"/>
                <w:snapToGrid w:val="0"/>
                <w:color w:val="000000"/>
                <w:kern w:val="22"/>
                <w:szCs w:val="22"/>
                <w:lang w:eastAsia="tr-TR"/>
              </w:rPr>
              <w:t xml:space="preserve">ng. </w:t>
            </w:r>
            <w:r w:rsidRPr="0088780C">
              <w:rPr>
                <w:rFonts w:eastAsia="Times New Roman"/>
                <w:snapToGrid w:val="0"/>
                <w:color w:val="000000"/>
                <w:kern w:val="22"/>
                <w:szCs w:val="22"/>
                <w:lang w:eastAsia="tr-TR"/>
              </w:rPr>
              <w:t>Birkun (2012) indicates that Black Sea bottlenose dolphins</w:t>
            </w:r>
            <w:r w:rsidR="00B7386B" w:rsidRPr="0088780C">
              <w:rPr>
                <w:rFonts w:eastAsia="Times New Roman"/>
                <w:snapToGrid w:val="0"/>
                <w:color w:val="000000"/>
                <w:kern w:val="22"/>
                <w:szCs w:val="22"/>
                <w:lang w:eastAsia="tr-TR"/>
              </w:rPr>
              <w:t xml:space="preserve"> have a life history similar to bottlenose dolphins </w:t>
            </w:r>
            <w:r w:rsidRPr="0088780C">
              <w:rPr>
                <w:rFonts w:eastAsia="Times New Roman"/>
                <w:snapToGrid w:val="0"/>
                <w:color w:val="000000"/>
                <w:kern w:val="22"/>
                <w:szCs w:val="22"/>
                <w:lang w:eastAsia="tr-TR"/>
              </w:rPr>
              <w:t>elsewhere and therefore that the generation time is approximately 20 years; the interval between births is from two or three to six years; one female is unlikely to produce more than eight calves in her lifetime; gestation lasts 12 months and lactation can last more than 1.5 years. Gold’in (2004) reported that sexual maturity is reached at 3-4 years for the harbour porpoise, and the maximum life span is 20 years. This indicates slow recovery in case degradation or depletion by human activities or natural events, such as epidemics.</w:t>
            </w:r>
          </w:p>
          <w:p w14:paraId="162F6F2F" w14:textId="77777777"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has a sandy, heel-shaped rocky structure. It has the richest benthic species diversity in the region due to the presence of underwater rocks and wide and flat sandy areas.</w:t>
            </w:r>
          </w:p>
          <w:p w14:paraId="34C90975" w14:textId="77777777"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Moreover, velvet scoter (</w:t>
            </w:r>
            <w:r w:rsidRPr="0088780C">
              <w:rPr>
                <w:rFonts w:eastAsia="MS Mincho"/>
                <w:i/>
                <w:snapToGrid w:val="0"/>
                <w:kern w:val="22"/>
                <w:szCs w:val="22"/>
              </w:rPr>
              <w:t xml:space="preserve">Melanitta fusca) </w:t>
            </w:r>
            <w:r w:rsidRPr="0088780C">
              <w:rPr>
                <w:rFonts w:eastAsia="MS Mincho"/>
                <w:snapToGrid w:val="0"/>
                <w:kern w:val="22"/>
                <w:szCs w:val="22"/>
              </w:rPr>
              <w:t xml:space="preserve">has vulnerable status on the IUCN Red List. </w:t>
            </w:r>
          </w:p>
        </w:tc>
      </w:tr>
      <w:tr w:rsidR="00A876F3" w:rsidRPr="0088780C" w14:paraId="30944C3C" w14:textId="77777777" w:rsidTr="006972AD">
        <w:tc>
          <w:tcPr>
            <w:tcW w:w="779" w:type="pct"/>
            <w:shd w:val="clear" w:color="auto" w:fill="auto"/>
          </w:tcPr>
          <w:p w14:paraId="0D26C16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22D5E57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02D081F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141686A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F383E5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 xml:space="preserve">X </w:t>
            </w:r>
          </w:p>
        </w:tc>
        <w:tc>
          <w:tcPr>
            <w:tcW w:w="436" w:type="pct"/>
            <w:gridSpan w:val="2"/>
            <w:shd w:val="clear" w:color="auto" w:fill="auto"/>
          </w:tcPr>
          <w:p w14:paraId="6BBC444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7C2D64E3" w14:textId="77777777" w:rsidTr="006972AD">
        <w:tc>
          <w:tcPr>
            <w:tcW w:w="5000" w:type="pct"/>
            <w:gridSpan w:val="11"/>
            <w:shd w:val="clear" w:color="auto" w:fill="auto"/>
          </w:tcPr>
          <w:p w14:paraId="443D57C3"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05CB600"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Overall, primary productivity in the region displays two phytoplankton peaks throughout the year: the major bloom of mainly diatoms occurs in early spring while a secondary bloom of mainly coccolithophores appears during autumn in both coastal and open waters (Sorokin, 2002; Vedernikov and Demidov, 1997). Recently, additional summer blooms of dinoflagellates and coccolithophorids (mainly </w:t>
            </w:r>
            <w:r w:rsidRPr="0088780C">
              <w:rPr>
                <w:i/>
                <w:snapToGrid w:val="0"/>
                <w:kern w:val="22"/>
                <w:szCs w:val="22"/>
              </w:rPr>
              <w:t>Emiliana huxleyi</w:t>
            </w:r>
            <w:r w:rsidRPr="0088780C">
              <w:rPr>
                <w:snapToGrid w:val="0"/>
                <w:kern w:val="22"/>
                <w:szCs w:val="22"/>
              </w:rPr>
              <w:t>) have frequently been reported (Hay et al., 1990; Sur et al., 1996; Yilmaz et al., 1998; Yayla et al., 2001). The production rates for the southern coasts of the Black Sea were estimated at 247-1925 mg cm-2 d -1 for spring and 405-687 mg cm-2 d -1 for the summer-autumn period during 1995-1996 (Yilmaz et al., 2006).</w:t>
            </w:r>
          </w:p>
          <w:p w14:paraId="7FBECF86" w14:textId="1349B7F5"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A total of 89 species of phytoplankton were identified in the stations throughout the March-December 2010 period. During the study period, almost 71% of these were dinoflagellate species, 23% were diatom species and 6% consisted of other species, mainly coccolith</w:t>
            </w:r>
            <w:r w:rsidR="00801702" w:rsidRPr="0088780C">
              <w:rPr>
                <w:snapToGrid w:val="0"/>
                <w:kern w:val="22"/>
                <w:szCs w:val="22"/>
              </w:rPr>
              <w:t>ophores (Ağırbaş et al., 2004).</w:t>
            </w:r>
          </w:p>
          <w:p w14:paraId="562C4A5B"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Primery productivity was measured by a combination of 14ºC in-situ incubation experiments on natural phytoplankton assemblages. Primary production rates varied notably within the water column with 0.1-40 mg cm -3 d -1 , were always determined in the upper part of the euphotic zone down to the 10% of light intensity depth. The depth-integrated production rates ranged from 285 to 565 mg cm -2 d -1 for the coastal station and from 126 to 530 mg cm -2 d -1 for the offshore station (ANOVA, P&gt;0.05). The average Chl-a concentrations within the euphotic zone ranged from 0.30 to 3.57 µg L -1 for the coastal station and from 0.25 to 3.45 µg L -1 for the offshore station (ANOVA, P0.05). The correlation between integrated PP and Chl-a values for the coastal station (r 2 = 0.98; P0.05) (Ağırbaş et al., 2014).</w:t>
            </w:r>
          </w:p>
        </w:tc>
      </w:tr>
      <w:tr w:rsidR="00A876F3" w:rsidRPr="0088780C" w14:paraId="5F45574D" w14:textId="77777777" w:rsidTr="006972AD">
        <w:tc>
          <w:tcPr>
            <w:tcW w:w="779" w:type="pct"/>
            <w:shd w:val="clear" w:color="auto" w:fill="auto"/>
          </w:tcPr>
          <w:p w14:paraId="748464E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161EF4D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3CA4962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112053A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035AAB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 xml:space="preserve">X </w:t>
            </w:r>
          </w:p>
        </w:tc>
        <w:tc>
          <w:tcPr>
            <w:tcW w:w="436" w:type="pct"/>
            <w:gridSpan w:val="2"/>
            <w:shd w:val="clear" w:color="auto" w:fill="auto"/>
          </w:tcPr>
          <w:p w14:paraId="45E4380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7C0549F1" w14:textId="77777777" w:rsidTr="006972AD">
        <w:tc>
          <w:tcPr>
            <w:tcW w:w="5000" w:type="pct"/>
            <w:gridSpan w:val="11"/>
            <w:shd w:val="clear" w:color="auto" w:fill="auto"/>
          </w:tcPr>
          <w:p w14:paraId="0233161E"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7CE43B03" w14:textId="77777777" w:rsidR="00A876F3" w:rsidRPr="0088780C" w:rsidRDefault="00A876F3" w:rsidP="001013AF">
            <w:pPr>
              <w:suppressLineNumbers/>
              <w:suppressAutoHyphens/>
              <w:kinsoku w:val="0"/>
              <w:overflowPunct w:val="0"/>
              <w:autoSpaceDE w:val="0"/>
              <w:autoSpaceDN w:val="0"/>
              <w:rPr>
                <w:rFonts w:eastAsia="MS Mincho"/>
                <w:snapToGrid w:val="0"/>
                <w:color w:val="FF0000"/>
                <w:kern w:val="22"/>
                <w:szCs w:val="22"/>
              </w:rPr>
            </w:pPr>
            <w:r w:rsidRPr="0088780C">
              <w:rPr>
                <w:rFonts w:eastAsia="MS Mincho"/>
                <w:snapToGrid w:val="0"/>
                <w:color w:val="000000"/>
                <w:kern w:val="22"/>
                <w:szCs w:val="22"/>
              </w:rPr>
              <w:t>T</w:t>
            </w:r>
            <w:r w:rsidRPr="0088780C">
              <w:rPr>
                <w:snapToGrid w:val="0"/>
                <w:kern w:val="22"/>
                <w:szCs w:val="22"/>
              </w:rPr>
              <w:t xml:space="preserve">he area overlaps with a marine </w:t>
            </w:r>
            <w:r w:rsidRPr="0088780C">
              <w:rPr>
                <w:rFonts w:eastAsia="MS Mincho"/>
                <w:snapToGrid w:val="0"/>
                <w:kern w:val="22"/>
                <w:szCs w:val="22"/>
              </w:rPr>
              <w:t>Important Bird and Biodiversity Area (IBA; BirdLife International 2017) that is regionally important for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A third seabird species, mew gull (</w:t>
            </w:r>
            <w:r w:rsidRPr="0088780C">
              <w:rPr>
                <w:rFonts w:eastAsia="MS Mincho"/>
                <w:i/>
                <w:snapToGrid w:val="0"/>
                <w:kern w:val="22"/>
                <w:szCs w:val="22"/>
              </w:rPr>
              <w:t xml:space="preserve">Larus canus), </w:t>
            </w:r>
            <w:r w:rsidRPr="0088780C">
              <w:rPr>
                <w:rFonts w:eastAsia="MS Mincho"/>
                <w:snapToGrid w:val="0"/>
                <w:kern w:val="22"/>
                <w:szCs w:val="22"/>
              </w:rPr>
              <w:t>is also known to occur (</w:t>
            </w:r>
            <w:r w:rsidRPr="0088780C">
              <w:rPr>
                <w:snapToGrid w:val="0"/>
                <w:kern w:val="22"/>
                <w:szCs w:val="22"/>
              </w:rPr>
              <w:t>BirdLife International 2017)</w:t>
            </w:r>
            <w:r w:rsidRPr="0088780C">
              <w:rPr>
                <w:rFonts w:eastAsia="MS Mincho"/>
                <w:snapToGrid w:val="0"/>
                <w:color w:val="FF0000"/>
                <w:kern w:val="22"/>
                <w:szCs w:val="22"/>
              </w:rPr>
              <w:t>.</w:t>
            </w:r>
          </w:p>
          <w:p w14:paraId="5AB8D22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color w:val="000000"/>
                <w:kern w:val="22"/>
                <w:szCs w:val="22"/>
              </w:rPr>
              <w:t xml:space="preserve">Moreover, </w:t>
            </w:r>
            <w:r w:rsidRPr="0088780C">
              <w:rPr>
                <w:rFonts w:eastAsia="MS Mincho"/>
                <w:snapToGrid w:val="0"/>
                <w:kern w:val="22"/>
                <w:szCs w:val="22"/>
              </w:rPr>
              <w:t>it has an underwater bioresrve area and has a complex biodiversity structure. Many of the fish species (at least 14) are resident in this rocky environment, which has three dominant algal species (Erüz, 2007).</w:t>
            </w:r>
          </w:p>
          <w:p w14:paraId="7F643BCC" w14:textId="77777777"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Many of the fish species, which do not migrate due to the rocky nature of the coastal part of the region, are located in a rocky and sandy environment and have a rich ecosystem for breeding and feeding. The area’s sandy, heel-shaped, rocky structure makes it important for fish species breeding and feeding. It has the richest benthic species diversity in the region due to the presence of underwater rocks and wide, flat sandy areas.</w:t>
            </w:r>
          </w:p>
          <w:p w14:paraId="43570270"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Sezgin et al. (2010) investigated that diversity of macrozoobenthos of the eastern Black Sea region of Turkey at 39 stations (13m -79 m depth range) and reported that the polychaete </w:t>
            </w:r>
            <w:r w:rsidRPr="0088780C">
              <w:rPr>
                <w:i/>
                <w:snapToGrid w:val="0"/>
                <w:kern w:val="22"/>
                <w:szCs w:val="22"/>
              </w:rPr>
              <w:t>Melinna palmata</w:t>
            </w:r>
            <w:r w:rsidRPr="0088780C">
              <w:rPr>
                <w:snapToGrid w:val="0"/>
                <w:kern w:val="22"/>
                <w:szCs w:val="22"/>
              </w:rPr>
              <w:t xml:space="preserve">, molluscs </w:t>
            </w:r>
            <w:r w:rsidRPr="0088780C">
              <w:rPr>
                <w:i/>
                <w:snapToGrid w:val="0"/>
                <w:kern w:val="22"/>
                <w:szCs w:val="22"/>
              </w:rPr>
              <w:t>Lentidium mediterraneum, Lucinella divaricata</w:t>
            </w:r>
            <w:r w:rsidRPr="0088780C">
              <w:rPr>
                <w:snapToGrid w:val="0"/>
                <w:kern w:val="22"/>
                <w:szCs w:val="22"/>
              </w:rPr>
              <w:t xml:space="preserve"> and </w:t>
            </w:r>
            <w:r w:rsidRPr="0088780C">
              <w:rPr>
                <w:i/>
                <w:snapToGrid w:val="0"/>
                <w:kern w:val="22"/>
                <w:szCs w:val="22"/>
              </w:rPr>
              <w:t>Chamelea gallina</w:t>
            </w:r>
            <w:r w:rsidRPr="0088780C">
              <w:rPr>
                <w:snapToGrid w:val="0"/>
                <w:kern w:val="22"/>
                <w:szCs w:val="22"/>
              </w:rPr>
              <w:t xml:space="preserve"> were the most dominant species, while </w:t>
            </w:r>
            <w:r w:rsidRPr="0088780C">
              <w:rPr>
                <w:i/>
                <w:snapToGrid w:val="0"/>
                <w:kern w:val="22"/>
                <w:szCs w:val="22"/>
              </w:rPr>
              <w:t>M. palmata, Micronephths stammeri, A. fragilis mediterranea, C. gallina</w:t>
            </w:r>
            <w:r w:rsidRPr="0088780C">
              <w:rPr>
                <w:snapToGrid w:val="0"/>
                <w:kern w:val="22"/>
                <w:szCs w:val="22"/>
              </w:rPr>
              <w:t xml:space="preserve"> and </w:t>
            </w:r>
            <w:r w:rsidRPr="0088780C">
              <w:rPr>
                <w:i/>
                <w:snapToGrid w:val="0"/>
                <w:kern w:val="22"/>
                <w:szCs w:val="22"/>
              </w:rPr>
              <w:t>Pitar rudis</w:t>
            </w:r>
            <w:r w:rsidRPr="0088780C">
              <w:rPr>
                <w:snapToGrid w:val="0"/>
                <w:kern w:val="22"/>
                <w:szCs w:val="22"/>
              </w:rPr>
              <w:t xml:space="preserve"> were recorded as frequent in the area.</w:t>
            </w:r>
          </w:p>
        </w:tc>
      </w:tr>
      <w:tr w:rsidR="00A876F3" w:rsidRPr="0088780C" w14:paraId="2F1D422B" w14:textId="77777777" w:rsidTr="006972AD">
        <w:tc>
          <w:tcPr>
            <w:tcW w:w="783" w:type="pct"/>
            <w:shd w:val="clear" w:color="auto" w:fill="auto"/>
          </w:tcPr>
          <w:p w14:paraId="71F298C9"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02DC492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57EE8FC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760E3A0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c>
          <w:tcPr>
            <w:tcW w:w="400" w:type="pct"/>
            <w:gridSpan w:val="2"/>
            <w:shd w:val="clear" w:color="auto" w:fill="auto"/>
          </w:tcPr>
          <w:p w14:paraId="1AD6127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385" w:type="pct"/>
            <w:shd w:val="clear" w:color="auto" w:fill="auto"/>
          </w:tcPr>
          <w:p w14:paraId="2190125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 xml:space="preserve"> </w:t>
            </w:r>
          </w:p>
        </w:tc>
      </w:tr>
      <w:tr w:rsidR="00A876F3" w:rsidRPr="0088780C" w14:paraId="177FDE7C" w14:textId="77777777" w:rsidTr="006972AD">
        <w:tc>
          <w:tcPr>
            <w:tcW w:w="5000" w:type="pct"/>
            <w:gridSpan w:val="11"/>
            <w:shd w:val="clear" w:color="auto" w:fill="auto"/>
          </w:tcPr>
          <w:p w14:paraId="108030EF"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20E1F4FA" w14:textId="77777777"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It is closed reserve area for fisheries. It has an underwater bioreserve area and has a complex biodiversity structure. Many of the fish species, which do not migrate due to the rocky nature of the coastal part of the region, are located in a rocky and sandy environment and have a rich ecosystem of breeding and pasture areas. The area’s sandy, heel-shaped rocky structure makes it important  for the breeding and feeding of fish species. It has a rich benthic species diversity in the region due to the presence of underwater rocks and wide, flat sandy areas. However, there are significant developments in the coastal area.</w:t>
            </w:r>
          </w:p>
        </w:tc>
      </w:tr>
    </w:tbl>
    <w:p w14:paraId="1F86EF59"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kern w:val="22"/>
          <w:szCs w:val="22"/>
        </w:rPr>
      </w:pPr>
    </w:p>
    <w:p w14:paraId="1698FAEF" w14:textId="77777777" w:rsidR="00A876F3" w:rsidRPr="0088780C" w:rsidRDefault="00A876F3" w:rsidP="00801702">
      <w:pPr>
        <w:keepNext/>
        <w:suppressLineNumbers/>
        <w:suppressAutoHyphens/>
        <w:kinsoku w:val="0"/>
        <w:overflowPunct w:val="0"/>
        <w:autoSpaceDE w:val="0"/>
        <w:autoSpaceDN w:val="0"/>
        <w:rPr>
          <w:snapToGrid w:val="0"/>
          <w:color w:val="333333"/>
          <w:kern w:val="22"/>
          <w:szCs w:val="22"/>
        </w:rPr>
      </w:pPr>
      <w:r w:rsidRPr="0088780C">
        <w:rPr>
          <w:rFonts w:eastAsia="MS Mincho"/>
          <w:b/>
          <w:snapToGrid w:val="0"/>
          <w:kern w:val="22"/>
          <w:szCs w:val="22"/>
        </w:rPr>
        <w:t>References</w:t>
      </w:r>
    </w:p>
    <w:p w14:paraId="05DF4EE3" w14:textId="12A9A814"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color w:val="333333"/>
          <w:kern w:val="22"/>
          <w:szCs w:val="22"/>
        </w:rPr>
      </w:pPr>
      <w:r w:rsidRPr="0088780C">
        <w:rPr>
          <w:snapToGrid w:val="0"/>
          <w:color w:val="333333"/>
          <w:kern w:val="22"/>
          <w:szCs w:val="22"/>
        </w:rPr>
        <w:t xml:space="preserve">Acker, J.G. and G. Leptoukh, </w:t>
      </w:r>
      <w:r w:rsidR="00D8482D" w:rsidRPr="0088780C">
        <w:rPr>
          <w:snapToGrid w:val="0"/>
          <w:color w:val="333333"/>
          <w:kern w:val="22"/>
          <w:szCs w:val="22"/>
        </w:rPr>
        <w:t>“</w:t>
      </w:r>
      <w:r w:rsidRPr="0088780C">
        <w:rPr>
          <w:snapToGrid w:val="0"/>
          <w:color w:val="333333"/>
          <w:kern w:val="22"/>
          <w:szCs w:val="22"/>
        </w:rPr>
        <w:t>Online Analysis Enhances Use of NASA Earth Science Data</w:t>
      </w:r>
      <w:r w:rsidR="00D8482D" w:rsidRPr="0088780C">
        <w:rPr>
          <w:snapToGrid w:val="0"/>
          <w:color w:val="333333"/>
          <w:kern w:val="22"/>
          <w:szCs w:val="22"/>
        </w:rPr>
        <w:t>”</w:t>
      </w:r>
      <w:r w:rsidRPr="0088780C">
        <w:rPr>
          <w:snapToGrid w:val="0"/>
          <w:color w:val="333333"/>
          <w:kern w:val="22"/>
          <w:szCs w:val="22"/>
        </w:rPr>
        <w:t>, Eos, Trans. AGU, Vol. 88, No. 2 (9 January 2007), pages 14 and 17.</w:t>
      </w:r>
    </w:p>
    <w:p w14:paraId="62E20672"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BirdLife International 2017. Important Bird Areas factsheet: Eastern Black Sea Mountains. Downloaded from </w:t>
      </w:r>
      <w:hyperlink r:id="rId208" w:history="1">
        <w:r w:rsidRPr="0088780C">
          <w:rPr>
            <w:rStyle w:val="Hyperlink"/>
            <w:snapToGrid w:val="0"/>
            <w:kern w:val="22"/>
            <w:szCs w:val="22"/>
          </w:rPr>
          <w:t>http://datazone.birdlife.org/site/factsheet/eastern-black-sea-mountains-iba-turkey/details on 05/04/2017</w:t>
        </w:r>
      </w:hyperlink>
      <w:r w:rsidRPr="0088780C">
        <w:rPr>
          <w:snapToGrid w:val="0"/>
          <w:kern w:val="22"/>
          <w:szCs w:val="22"/>
        </w:rPr>
        <w:t>.</w:t>
      </w:r>
    </w:p>
    <w:p w14:paraId="141E3529"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Birkun A., Jr., Krivokhizhin S. (1998). Distribution of Small Cetaceans in the Northern Part of the Black Sea: Cetacean Strandings on Black Sea Coast of the Crimea in 1989-1996 and Cetacean Sightings in the Kerch Strait in 1997 (Report for CIESM, Monaco). BREMA Laboratory, Simferopol, 67 p.</w:t>
      </w:r>
    </w:p>
    <w:p w14:paraId="65EA0F07"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Birkun Jr., A.A. &amp; Frantzis, A. 2008. </w:t>
      </w:r>
      <w:r w:rsidRPr="0088780C">
        <w:rPr>
          <w:i/>
          <w:iCs/>
          <w:snapToGrid w:val="0"/>
          <w:kern w:val="22"/>
          <w:szCs w:val="22"/>
        </w:rPr>
        <w:t>Phocoena phocoena ssp. relicta</w:t>
      </w:r>
      <w:r w:rsidRPr="0088780C">
        <w:rPr>
          <w:snapToGrid w:val="0"/>
          <w:kern w:val="22"/>
          <w:szCs w:val="22"/>
        </w:rPr>
        <w:t>. The IUCN Red List of Threatened Species. Version 2015.1. &lt;www.iucnredlist.org&gt;. Downloaded on 18 June 2015.</w:t>
      </w:r>
    </w:p>
    <w:p w14:paraId="5F4F7507"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Birkun, B. A. (2002). The current status of bottlenose dolphins in the Black Sea, 2, 1–25.</w:t>
      </w:r>
    </w:p>
    <w:p w14:paraId="0649868E"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Celikkale, M.S., Unsal, S., Karacam, H., Durukanoglu, H.F. and Duzgunes, E., 1988. Assessment of dolphin stocks and their biological characteristics in the Black Sea. Projects and Applications General Directorate, Ministry of Agriculture, Forestry and Rural Affairs, Turkey, 80 pp. (In Turkish).</w:t>
      </w:r>
    </w:p>
    <w:p w14:paraId="4DBBB679"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Erkan, F., Gücü, A.C. (2000) The diel vertical distribution of zooplankton in the Southeast Black Sea. Turk J Zool. 24: 417-427.</w:t>
      </w:r>
    </w:p>
    <w:p w14:paraId="35542556"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bCs/>
          <w:snapToGrid w:val="0"/>
          <w:kern w:val="22"/>
          <w:szCs w:val="22"/>
        </w:rPr>
        <w:t>Eruz, Coskun. 2007. Environmentally Sensitive marine and ıntegrated Coastal Areas in Eastern Black Sea.(Report).</w:t>
      </w:r>
      <w:r w:rsidRPr="0088780C">
        <w:rPr>
          <w:rFonts w:eastAsia="MS Mincho"/>
          <w:snapToGrid w:val="0"/>
          <w:kern w:val="22"/>
          <w:szCs w:val="22"/>
        </w:rPr>
        <w:t xml:space="preserve"> Black Sea Technical University, Faculty of Marine Science.</w:t>
      </w:r>
    </w:p>
    <w:p w14:paraId="782924DD"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rFonts w:eastAsia="Times New Roman"/>
          <w:snapToGrid w:val="0"/>
          <w:color w:val="000000"/>
          <w:kern w:val="22"/>
          <w:szCs w:val="22"/>
          <w:lang w:eastAsia="tr-TR"/>
        </w:rPr>
      </w:pPr>
      <w:r w:rsidRPr="0088780C">
        <w:rPr>
          <w:rFonts w:eastAsia="Times New Roman"/>
          <w:snapToGrid w:val="0"/>
          <w:color w:val="212121"/>
          <w:kern w:val="22"/>
          <w:szCs w:val="22"/>
          <w:lang w:eastAsia="tr-TR"/>
        </w:rPr>
        <w:t>Gol’din, P. 2004. Grow and body size of the harbour porpoise, Phocoena phocoena (Cetacea, Phocoenidae), in the Sea of Azov and the Black Sea.Vestinik zoologii 38(4) : 59-73.</w:t>
      </w:r>
    </w:p>
    <w:p w14:paraId="5D781D35"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http://giovanni.sci.gsfc.nasa.gov, 2017.</w:t>
      </w:r>
    </w:p>
    <w:p w14:paraId="64055BE2"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Mutlu, E., 1994. Qualitative and quantitative distribution of benthic molluscs along the Turkish Black Sea. Boll. Malacologico, 30: 277-286.</w:t>
      </w:r>
    </w:p>
    <w:p w14:paraId="3CA2E0F1"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Saydam, G., 2015. Cetacean distribution in The Southern Black Sea: An Acoustıc Approach. 2015. Ms. Thesis.</w:t>
      </w:r>
    </w:p>
    <w:p w14:paraId="4F9C5059"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Sezgin, M., Kirkim, F., Dagli, E., Dogan, A., Unluoglu, A., Katagan, T. &amp; Benli, H.A., 2010. Sublittoral soft-bottom zoobenthic communities and diversity of southern coast of the Black Sea (Turkey). Rapp Comm Int Mer Medit 39: 662.</w:t>
      </w:r>
    </w:p>
    <w:p w14:paraId="3AC33528"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Ünal, E. (2002) Seasonality of zooplankton in the Southern Black Sea in 1999 and genetics of Calanus euxinus (Copepoda). M.Sc. Thesis, IMS-Middle East Technical University, Ankara, p. 202.</w:t>
      </w:r>
    </w:p>
    <w:p w14:paraId="6DDB1CAA" w14:textId="77777777" w:rsidR="00A876F3" w:rsidRPr="0088780C" w:rsidRDefault="00A876F3" w:rsidP="008017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Yankova, M. Black Sea Fish Check List. Commission on the Protection of the Black Sea against Pollution, </w:t>
      </w:r>
      <w:hyperlink r:id="rId209" w:history="1">
        <w:r w:rsidRPr="0088780C">
          <w:rPr>
            <w:rStyle w:val="Hyperlink"/>
            <w:snapToGrid w:val="0"/>
            <w:kern w:val="22"/>
            <w:szCs w:val="22"/>
          </w:rPr>
          <w:t>http://www.blacksea-commission.org/_publ-BSFishList.asp</w:t>
        </w:r>
      </w:hyperlink>
      <w:r w:rsidRPr="0088780C">
        <w:rPr>
          <w:snapToGrid w:val="0"/>
          <w:kern w:val="22"/>
          <w:szCs w:val="22"/>
        </w:rPr>
        <w:t>.</w:t>
      </w:r>
    </w:p>
    <w:p w14:paraId="09E79D7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1591CEC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5B77B1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3AFB164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D92563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2B051909" wp14:editId="7D9E35BF">
            <wp:extent cx="5486400" cy="4572000"/>
            <wp:effectExtent l="0" t="0" r="0" b="0"/>
            <wp:docPr id="64565" name="Picture 64565" descr="C:\Users\grekin\AppData\Local\Microsoft\Windows\Temporary Internet Files\Content.Word\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rekin\AppData\Local\Microsoft\Windows\Temporary Internet Files\Content.Word\15.png"/>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02036810" w14:textId="5D6FCAA0"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rPr>
        <w:t xml:space="preserve">Figure 1. </w:t>
      </w:r>
      <w:r w:rsidRPr="0088780C">
        <w:rPr>
          <w:rFonts w:eastAsia="MS Mincho"/>
          <w:b/>
          <w:bCs/>
          <w:snapToGrid w:val="0"/>
          <w:color w:val="000000" w:themeColor="text1"/>
          <w:kern w:val="22"/>
          <w:szCs w:val="22"/>
        </w:rPr>
        <w:t>Area meeting the EBSA criteria</w:t>
      </w:r>
    </w:p>
    <w:p w14:paraId="57BBD1A1"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5B65E096"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6E65B5D4"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Cs/>
          <w:noProof/>
          <w:snapToGrid w:val="0"/>
          <w:color w:val="000000"/>
          <w:kern w:val="22"/>
          <w:szCs w:val="22"/>
          <w:lang w:eastAsia="zh-CN"/>
        </w:rPr>
        <w:drawing>
          <wp:inline distT="0" distB="0" distL="0" distR="0" wp14:anchorId="3980EB87" wp14:editId="21D87FB9">
            <wp:extent cx="3659925" cy="2075936"/>
            <wp:effectExtent l="0" t="0" r="0" b="635"/>
            <wp:docPr id="413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rotWithShape="1">
                    <a:blip r:embed="rId211"/>
                    <a:srcRect t="14919"/>
                    <a:stretch/>
                  </pic:blipFill>
                  <pic:spPr>
                    <a:xfrm>
                      <a:off x="0" y="0"/>
                      <a:ext cx="3659925" cy="2075936"/>
                    </a:xfrm>
                    <a:prstGeom prst="rect">
                      <a:avLst/>
                    </a:prstGeom>
                  </pic:spPr>
                </pic:pic>
              </a:graphicData>
            </a:graphic>
          </wp:inline>
        </w:drawing>
      </w:r>
    </w:p>
    <w:p w14:paraId="4EFD6FF7" w14:textId="77777777"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rPr>
        <w:t>Figure 2. A scene from the Trabzon Sürmene area</w:t>
      </w:r>
    </w:p>
    <w:p w14:paraId="6BBD2A93"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53172D0E"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noProof/>
          <w:snapToGrid w:val="0"/>
          <w:kern w:val="22"/>
          <w:szCs w:val="22"/>
          <w:lang w:eastAsia="zh-CN"/>
        </w:rPr>
        <w:drawing>
          <wp:anchor distT="0" distB="0" distL="114300" distR="114300" simplePos="0" relativeHeight="251660288" behindDoc="0" locked="0" layoutInCell="1" allowOverlap="1" wp14:anchorId="09A8A258" wp14:editId="2568BE0C">
            <wp:simplePos x="0" y="0"/>
            <wp:positionH relativeFrom="column">
              <wp:posOffset>2540</wp:posOffset>
            </wp:positionH>
            <wp:positionV relativeFrom="paragraph">
              <wp:posOffset>2540</wp:posOffset>
            </wp:positionV>
            <wp:extent cx="5760720" cy="2974975"/>
            <wp:effectExtent l="0" t="0" r="0" b="0"/>
            <wp:wrapSquare wrapText="bothSides"/>
            <wp:docPr id="41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760720" cy="2974975"/>
                    </a:xfrm>
                    <a:prstGeom prst="rect">
                      <a:avLst/>
                    </a:prstGeom>
                    <a:noFill/>
                    <a:ln>
                      <a:noFill/>
                    </a:ln>
                  </pic:spPr>
                </pic:pic>
              </a:graphicData>
            </a:graphic>
          </wp:anchor>
        </w:drawing>
      </w:r>
    </w:p>
    <w:p w14:paraId="3B286267" w14:textId="0C2A9B1E" w:rsidR="00A876F3" w:rsidRPr="0088780C" w:rsidRDefault="00A876F3" w:rsidP="001013AF">
      <w:pPr>
        <w:suppressLineNumbers/>
        <w:suppressAutoHyphens/>
        <w:kinsoku w:val="0"/>
        <w:overflowPunct w:val="0"/>
        <w:autoSpaceDE w:val="0"/>
        <w:autoSpaceDN w:val="0"/>
        <w:adjustRightInd w:val="0"/>
        <w:rPr>
          <w:rFonts w:eastAsiaTheme="minorHAnsi"/>
          <w:b/>
          <w:snapToGrid w:val="0"/>
          <w:kern w:val="22"/>
          <w:szCs w:val="22"/>
        </w:rPr>
      </w:pPr>
      <w:r w:rsidRPr="0088780C">
        <w:rPr>
          <w:rFonts w:eastAsiaTheme="minorHAnsi"/>
          <w:b/>
          <w:snapToGrid w:val="0"/>
          <w:kern w:val="22"/>
          <w:szCs w:val="22"/>
        </w:rPr>
        <w:t xml:space="preserve">Figure 3. Spatial distribution of all </w:t>
      </w:r>
      <w:r w:rsidRPr="0088780C">
        <w:rPr>
          <w:rFonts w:eastAsiaTheme="minorHAnsi"/>
          <w:b/>
          <w:i/>
          <w:iCs/>
          <w:snapToGrid w:val="0"/>
          <w:kern w:val="22"/>
          <w:szCs w:val="22"/>
        </w:rPr>
        <w:t xml:space="preserve">echo-points </w:t>
      </w:r>
      <w:r w:rsidRPr="0088780C">
        <w:rPr>
          <w:rFonts w:eastAsiaTheme="minorHAnsi"/>
          <w:b/>
          <w:snapToGrid w:val="0"/>
          <w:kern w:val="22"/>
          <w:szCs w:val="22"/>
        </w:rPr>
        <w:t xml:space="preserve">with </w:t>
      </w:r>
      <w:r w:rsidRPr="0088780C">
        <w:rPr>
          <w:rFonts w:eastAsiaTheme="minorHAnsi"/>
          <w:b/>
          <w:i/>
          <w:iCs/>
          <w:snapToGrid w:val="0"/>
          <w:kern w:val="22"/>
          <w:szCs w:val="22"/>
        </w:rPr>
        <w:t xml:space="preserve">mark count </w:t>
      </w:r>
      <w:r w:rsidRPr="0088780C">
        <w:rPr>
          <w:rFonts w:eastAsiaTheme="minorHAnsi"/>
          <w:b/>
          <w:snapToGrid w:val="0"/>
          <w:kern w:val="22"/>
          <w:szCs w:val="22"/>
        </w:rPr>
        <w:t>over zero, which is estimated as a result of echo-sounder analysis and spatial analysis, Southern Black S</w:t>
      </w:r>
      <w:r w:rsidR="00F632A3" w:rsidRPr="0088780C">
        <w:rPr>
          <w:rFonts w:eastAsiaTheme="minorHAnsi"/>
          <w:b/>
          <w:snapToGrid w:val="0"/>
          <w:kern w:val="22"/>
          <w:szCs w:val="22"/>
        </w:rPr>
        <w:t>ea, October 2014 (Saydam, 2015)</w:t>
      </w:r>
    </w:p>
    <w:p w14:paraId="09EF7E2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3C69A8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3522B4B0" w14:textId="11A1B7D3" w:rsidR="00A876F3" w:rsidRPr="0088780C" w:rsidRDefault="00A876F3" w:rsidP="001013AF">
      <w:pPr>
        <w:suppressLineNumbers/>
        <w:suppressAutoHyphens/>
        <w:kinsoku w:val="0"/>
        <w:overflowPunct w:val="0"/>
        <w:autoSpaceDE w:val="0"/>
        <w:autoSpaceDN w:val="0"/>
        <w:jc w:val="center"/>
        <w:rPr>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16:</w:t>
      </w:r>
      <w:r w:rsidRPr="0088780C">
        <w:rPr>
          <w:snapToGrid w:val="0"/>
          <w:kern w:val="22"/>
          <w:szCs w:val="22"/>
        </w:rPr>
        <w:t xml:space="preserve"> </w:t>
      </w:r>
      <w:r w:rsidRPr="0088780C">
        <w:rPr>
          <w:b/>
          <w:snapToGrid w:val="0"/>
          <w:kern w:val="22"/>
          <w:szCs w:val="22"/>
        </w:rPr>
        <w:t>Trabzon-Arsin</w:t>
      </w:r>
    </w:p>
    <w:p w14:paraId="0F7A8BA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B4C0C42" w14:textId="598D8DBC"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Abstract</w:t>
      </w:r>
    </w:p>
    <w:p w14:paraId="5F7F3F94" w14:textId="0CDA431E"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This area is very important for habi</w:t>
      </w:r>
      <w:r w:rsidR="00F632A3" w:rsidRPr="0088780C">
        <w:rPr>
          <w:rFonts w:eastAsia="MS Mincho"/>
          <w:snapToGrid w:val="0"/>
          <w:kern w:val="22"/>
          <w:szCs w:val="22"/>
        </w:rPr>
        <w:t xml:space="preserve">tat, reproduction and breeding </w:t>
      </w:r>
      <w:r w:rsidRPr="0088780C">
        <w:rPr>
          <w:rFonts w:eastAsia="MS Mincho"/>
          <w:snapToGrid w:val="0"/>
          <w:kern w:val="22"/>
          <w:szCs w:val="22"/>
        </w:rPr>
        <w:t xml:space="preserve">of some rare marine pelagic and demersal species, such as three species of dolphins, </w:t>
      </w:r>
      <w:r w:rsidRPr="0088780C">
        <w:rPr>
          <w:rFonts w:eastAsia="MS Mincho"/>
          <w:i/>
          <w:snapToGrid w:val="0"/>
          <w:kern w:val="22"/>
          <w:szCs w:val="22"/>
        </w:rPr>
        <w:t>Psetta maxima</w:t>
      </w:r>
      <w:r w:rsidRPr="0088780C">
        <w:rPr>
          <w:rFonts w:eastAsia="MS Mincho"/>
          <w:snapToGrid w:val="0"/>
          <w:kern w:val="22"/>
          <w:szCs w:val="22"/>
        </w:rPr>
        <w:t xml:space="preserve"> (turbot) and </w:t>
      </w:r>
      <w:r w:rsidRPr="0088780C">
        <w:rPr>
          <w:rFonts w:eastAsia="MS Mincho"/>
          <w:i/>
          <w:snapToGrid w:val="0"/>
          <w:kern w:val="22"/>
          <w:szCs w:val="22"/>
        </w:rPr>
        <w:t xml:space="preserve">Zostera </w:t>
      </w:r>
      <w:r w:rsidRPr="0088780C">
        <w:rPr>
          <w:rFonts w:eastAsia="MS Mincho"/>
          <w:snapToGrid w:val="0"/>
          <w:kern w:val="22"/>
          <w:szCs w:val="22"/>
        </w:rPr>
        <w:t>meadows.</w:t>
      </w:r>
      <w:r w:rsidRPr="0088780C">
        <w:rPr>
          <w:rFonts w:eastAsia="MS Mincho"/>
          <w:i/>
          <w:snapToGrid w:val="0"/>
          <w:kern w:val="22"/>
          <w:szCs w:val="22"/>
        </w:rPr>
        <w:t xml:space="preserve"> </w:t>
      </w:r>
      <w:r w:rsidRPr="0088780C">
        <w:rPr>
          <w:rFonts w:eastAsia="MS Mincho"/>
          <w:snapToGrid w:val="0"/>
          <w:kern w:val="22"/>
          <w:szCs w:val="22"/>
        </w:rPr>
        <w:t>Several other fish species</w:t>
      </w:r>
      <w:r w:rsidRPr="0088780C">
        <w:rPr>
          <w:rFonts w:eastAsia="MS Mincho"/>
          <w:i/>
          <w:snapToGrid w:val="0"/>
          <w:kern w:val="22"/>
          <w:szCs w:val="22"/>
        </w:rPr>
        <w:t xml:space="preserve"> </w:t>
      </w:r>
      <w:r w:rsidRPr="0088780C">
        <w:rPr>
          <w:rFonts w:eastAsia="MS Mincho"/>
          <w:snapToGrid w:val="0"/>
          <w:kern w:val="22"/>
          <w:szCs w:val="22"/>
        </w:rPr>
        <w:t>(e.g.,</w:t>
      </w:r>
      <w:r w:rsidRPr="0088780C">
        <w:rPr>
          <w:rFonts w:eastAsia="MS Mincho"/>
          <w:i/>
          <w:snapToGrid w:val="0"/>
          <w:kern w:val="22"/>
          <w:szCs w:val="22"/>
        </w:rPr>
        <w:t xml:space="preserve"> </w:t>
      </w:r>
      <w:r w:rsidRPr="0088780C">
        <w:rPr>
          <w:rFonts w:eastAsia="MS Mincho"/>
          <w:snapToGrid w:val="0"/>
          <w:kern w:val="22"/>
          <w:szCs w:val="22"/>
        </w:rPr>
        <w:t xml:space="preserve">red mullet </w:t>
      </w:r>
      <w:r w:rsidRPr="0088780C">
        <w:rPr>
          <w:rFonts w:eastAsia="MS Mincho"/>
          <w:i/>
          <w:snapToGrid w:val="0"/>
          <w:kern w:val="22"/>
          <w:szCs w:val="22"/>
        </w:rPr>
        <w:t xml:space="preserve">Mullus barbatus, </w:t>
      </w:r>
      <w:r w:rsidRPr="0088780C">
        <w:rPr>
          <w:rFonts w:eastAsia="MS Mincho"/>
          <w:snapToGrid w:val="0"/>
          <w:kern w:val="22"/>
          <w:szCs w:val="22"/>
        </w:rPr>
        <w:t xml:space="preserve">grey mullet </w:t>
      </w:r>
      <w:r w:rsidRPr="0088780C">
        <w:rPr>
          <w:rFonts w:eastAsia="MS Mincho"/>
          <w:i/>
          <w:snapToGrid w:val="0"/>
          <w:kern w:val="22"/>
          <w:szCs w:val="22"/>
        </w:rPr>
        <w:t>Mugil</w:t>
      </w:r>
      <w:r w:rsidRPr="0088780C">
        <w:rPr>
          <w:rFonts w:eastAsia="MS Mincho"/>
          <w:snapToGrid w:val="0"/>
          <w:kern w:val="22"/>
          <w:szCs w:val="22"/>
        </w:rPr>
        <w:t xml:space="preserve"> species) are also abundant. The land side of this area is an official bioreserve site. Many of the fish species, which do not migrate due to the rocky nature of the coastal part of the region, are located in a rocky and sandy environment and have a rich ecosystem for breeding and feeding. This is a reserve area that is closed to fishing. The area has a sand</w:t>
      </w:r>
      <w:r w:rsidR="00F632A3" w:rsidRPr="0088780C">
        <w:rPr>
          <w:rFonts w:eastAsia="MS Mincho"/>
          <w:snapToGrid w:val="0"/>
          <w:kern w:val="22"/>
          <w:szCs w:val="22"/>
        </w:rPr>
        <w:t xml:space="preserve">y, heel-shaped rocky structure </w:t>
      </w:r>
      <w:r w:rsidRPr="0088780C">
        <w:rPr>
          <w:rFonts w:eastAsia="MS Mincho"/>
          <w:snapToGrid w:val="0"/>
          <w:kern w:val="22"/>
          <w:szCs w:val="22"/>
        </w:rPr>
        <w:t xml:space="preserve">with the richest benthic species diversity in the region due to the presence of underwater rocks and wide, flat, sandy areas. </w:t>
      </w:r>
      <w:r w:rsidRPr="0088780C">
        <w:rPr>
          <w:snapToGrid w:val="0"/>
          <w:kern w:val="22"/>
          <w:szCs w:val="22"/>
        </w:rPr>
        <w:t>Moreover, harbour porpoises have been found all along the Turkish Black Sea coast, and are especially abundant on the east coast, where several rivers enter the Black Sea. Also, the primary overwintering area of harbour porpoises is the south-eastern Black Sea</w:t>
      </w:r>
      <w:r w:rsidRPr="0088780C">
        <w:rPr>
          <w:rFonts w:eastAsia="MS Mincho"/>
          <w:snapToGrid w:val="0"/>
          <w:kern w:val="22"/>
          <w:szCs w:val="22"/>
        </w:rPr>
        <w:t xml:space="preserve">. </w:t>
      </w:r>
      <w:r w:rsidRPr="0088780C">
        <w:rPr>
          <w:snapToGrid w:val="0"/>
          <w:kern w:val="22"/>
          <w:szCs w:val="22"/>
        </w:rPr>
        <w:t xml:space="preserve">The area overlaps with a marine </w:t>
      </w:r>
      <w:r w:rsidRPr="0088780C">
        <w:rPr>
          <w:rFonts w:eastAsia="MS Mincho"/>
          <w:snapToGrid w:val="0"/>
          <w:kern w:val="22"/>
          <w:szCs w:val="22"/>
        </w:rPr>
        <w:t>Import</w:t>
      </w:r>
      <w:r w:rsidR="00F632A3" w:rsidRPr="0088780C">
        <w:rPr>
          <w:rFonts w:eastAsia="MS Mincho"/>
          <w:snapToGrid w:val="0"/>
          <w:kern w:val="22"/>
          <w:szCs w:val="22"/>
        </w:rPr>
        <w:t>ant Bird and Biodiversity Area (IBA)</w:t>
      </w:r>
      <w:r w:rsidRPr="0088780C">
        <w:rPr>
          <w:rFonts w:eastAsia="MS Mincho"/>
          <w:snapToGrid w:val="0"/>
          <w:kern w:val="22"/>
          <w:szCs w:val="22"/>
        </w:rPr>
        <w:t xml:space="preserve"> that is regionally important for two seabird species: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A third species, mew gull (</w:t>
      </w:r>
      <w:r w:rsidRPr="0088780C">
        <w:rPr>
          <w:rFonts w:eastAsia="MS Mincho"/>
          <w:i/>
          <w:snapToGrid w:val="0"/>
          <w:kern w:val="22"/>
          <w:szCs w:val="22"/>
        </w:rPr>
        <w:t>Larus canus),</w:t>
      </w:r>
      <w:r w:rsidR="00F632A3" w:rsidRPr="0088780C">
        <w:rPr>
          <w:rFonts w:eastAsia="MS Mincho"/>
          <w:snapToGrid w:val="0"/>
          <w:kern w:val="22"/>
          <w:szCs w:val="22"/>
        </w:rPr>
        <w:t xml:space="preserve"> is also known to occur.</w:t>
      </w:r>
    </w:p>
    <w:p w14:paraId="2FB6F77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94177B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Introduction</w:t>
      </w:r>
    </w:p>
    <w:p w14:paraId="7F9B54C3" w14:textId="78E55EC6"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rFonts w:eastAsia="MS Mincho"/>
          <w:snapToGrid w:val="0"/>
          <w:kern w:val="22"/>
          <w:sz w:val="22"/>
          <w:szCs w:val="22"/>
          <w:lang w:val="en-GB"/>
        </w:rPr>
        <w:t xml:space="preserve">Trabzon-Arsin is a town within the district of Trabzon, located in the eastern part of the Black Sea along the coast of Turkey. The name </w:t>
      </w:r>
      <w:r w:rsidR="00D8482D" w:rsidRPr="0088780C">
        <w:rPr>
          <w:rFonts w:eastAsia="MS Mincho"/>
          <w:snapToGrid w:val="0"/>
          <w:kern w:val="22"/>
          <w:sz w:val="22"/>
          <w:szCs w:val="22"/>
          <w:lang w:val="en-GB"/>
        </w:rPr>
        <w:t>“</w:t>
      </w:r>
      <w:r w:rsidRPr="0088780C">
        <w:rPr>
          <w:rFonts w:eastAsia="MS Mincho"/>
          <w:snapToGrid w:val="0"/>
          <w:kern w:val="22"/>
          <w:sz w:val="22"/>
          <w:szCs w:val="22"/>
          <w:lang w:val="en-GB"/>
        </w:rPr>
        <w:t>Arsin</w:t>
      </w:r>
      <w:r w:rsidR="00D8482D" w:rsidRPr="0088780C">
        <w:rPr>
          <w:rFonts w:eastAsia="MS Mincho"/>
          <w:snapToGrid w:val="0"/>
          <w:kern w:val="22"/>
          <w:sz w:val="22"/>
          <w:szCs w:val="22"/>
          <w:lang w:val="en-GB"/>
        </w:rPr>
        <w:t>”</w:t>
      </w:r>
      <w:r w:rsidRPr="0088780C">
        <w:rPr>
          <w:rFonts w:eastAsia="MS Mincho"/>
          <w:snapToGrid w:val="0"/>
          <w:kern w:val="22"/>
          <w:sz w:val="22"/>
          <w:szCs w:val="22"/>
          <w:lang w:val="en-GB"/>
        </w:rPr>
        <w:t xml:space="preserve"> means </w:t>
      </w:r>
      <w:r w:rsidR="00D8482D" w:rsidRPr="0088780C">
        <w:rPr>
          <w:rFonts w:eastAsia="MS Mincho"/>
          <w:snapToGrid w:val="0"/>
          <w:kern w:val="22"/>
          <w:sz w:val="22"/>
          <w:szCs w:val="22"/>
          <w:lang w:val="en-GB"/>
        </w:rPr>
        <w:t>“</w:t>
      </w:r>
      <w:r w:rsidRPr="0088780C">
        <w:rPr>
          <w:rFonts w:eastAsia="MS Mincho"/>
          <w:snapToGrid w:val="0"/>
          <w:kern w:val="22"/>
          <w:sz w:val="22"/>
          <w:szCs w:val="22"/>
          <w:lang w:val="en-GB"/>
        </w:rPr>
        <w:t>clean</w:t>
      </w:r>
      <w:r w:rsidR="00D8482D" w:rsidRPr="0088780C">
        <w:rPr>
          <w:rFonts w:eastAsia="MS Mincho"/>
          <w:snapToGrid w:val="0"/>
          <w:kern w:val="22"/>
          <w:sz w:val="22"/>
          <w:szCs w:val="22"/>
          <w:lang w:val="en-GB"/>
        </w:rPr>
        <w:t>”</w:t>
      </w:r>
      <w:r w:rsidRPr="0088780C">
        <w:rPr>
          <w:rFonts w:eastAsia="MS Mincho"/>
          <w:snapToGrid w:val="0"/>
          <w:kern w:val="22"/>
          <w:sz w:val="22"/>
          <w:szCs w:val="22"/>
          <w:lang w:val="en-GB"/>
        </w:rPr>
        <w:t xml:space="preserve"> and </w:t>
      </w:r>
      <w:r w:rsidR="00D8482D" w:rsidRPr="0088780C">
        <w:rPr>
          <w:rFonts w:eastAsia="MS Mincho"/>
          <w:snapToGrid w:val="0"/>
          <w:kern w:val="22"/>
          <w:sz w:val="22"/>
          <w:szCs w:val="22"/>
          <w:lang w:val="en-GB"/>
        </w:rPr>
        <w:t>“</w:t>
      </w:r>
      <w:r w:rsidRPr="0088780C">
        <w:rPr>
          <w:rFonts w:eastAsia="MS Mincho"/>
          <w:snapToGrid w:val="0"/>
          <w:kern w:val="22"/>
          <w:sz w:val="22"/>
          <w:szCs w:val="22"/>
          <w:lang w:val="en-GB"/>
        </w:rPr>
        <w:t>purified</w:t>
      </w:r>
      <w:r w:rsidR="00D8482D" w:rsidRPr="0088780C">
        <w:rPr>
          <w:rFonts w:eastAsia="MS Mincho"/>
          <w:snapToGrid w:val="0"/>
          <w:kern w:val="22"/>
          <w:sz w:val="22"/>
          <w:szCs w:val="22"/>
          <w:lang w:val="en-GB"/>
        </w:rPr>
        <w:t>”</w:t>
      </w:r>
      <w:r w:rsidRPr="0088780C">
        <w:rPr>
          <w:rFonts w:eastAsia="MS Mincho"/>
          <w:snapToGrid w:val="0"/>
          <w:kern w:val="22"/>
          <w:sz w:val="22"/>
          <w:szCs w:val="22"/>
          <w:lang w:val="en-GB"/>
        </w:rPr>
        <w:t xml:space="preserve">. It is said that this name is taken from the beaches of the districts that are in a natural condition. </w:t>
      </w:r>
      <w:r w:rsidRPr="0088780C">
        <w:rPr>
          <w:snapToGrid w:val="0"/>
          <w:color w:val="222222"/>
          <w:kern w:val="22"/>
          <w:sz w:val="22"/>
          <w:szCs w:val="22"/>
          <w:shd w:val="clear" w:color="auto" w:fill="FFFFFF"/>
          <w:lang w:val="en-GB"/>
        </w:rPr>
        <w:t>The length of the coast is about 8 km. The</w:t>
      </w:r>
      <w:r w:rsidRPr="0088780C">
        <w:rPr>
          <w:snapToGrid w:val="0"/>
          <w:color w:val="222222"/>
          <w:kern w:val="22"/>
          <w:sz w:val="22"/>
          <w:szCs w:val="22"/>
          <w:lang w:val="en-GB"/>
        </w:rPr>
        <w:t xml:space="preserve"> typical Black Sea climate prevails in the district, with warm summers and cool winters. Mean sea surface temperature is considerably different from the western part of the sea due to </w:t>
      </w:r>
      <w:r w:rsidRPr="0088780C">
        <w:rPr>
          <w:snapToGrid w:val="0"/>
          <w:kern w:val="22"/>
          <w:sz w:val="22"/>
          <w:szCs w:val="22"/>
          <w:lang w:val="en-GB"/>
        </w:rPr>
        <w:t>the greater exposure of the western Black Sea to outbreaks of cold air from continental Europe, whereas the eastern basin is protected from the intrusion of cold air by the mountain chains along the southern and eastern coastlines. The relatively deep interior part of the sea is also slightly cooler than the peripheral zone due to the persistent upwelling motion associated with the cyclonic circulation system (</w:t>
      </w:r>
      <w:hyperlink r:id="rId213" w:history="1">
        <w:r w:rsidRPr="0088780C">
          <w:rPr>
            <w:rStyle w:val="Hyperlink"/>
            <w:snapToGrid w:val="0"/>
            <w:kern w:val="22"/>
            <w:sz w:val="22"/>
            <w:szCs w:val="22"/>
            <w:lang w:val="en-GB"/>
          </w:rPr>
          <w:t>http://giovanni.sci.gsfc.nasa.gov</w:t>
        </w:r>
      </w:hyperlink>
      <w:r w:rsidRPr="0088780C">
        <w:rPr>
          <w:snapToGrid w:val="0"/>
          <w:kern w:val="22"/>
          <w:sz w:val="22"/>
          <w:szCs w:val="22"/>
          <w:lang w:val="en-GB"/>
        </w:rPr>
        <w:t>, 2017).</w:t>
      </w:r>
    </w:p>
    <w:p w14:paraId="050FCB82"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rFonts w:eastAsia="MS Mincho"/>
          <w:snapToGrid w:val="0"/>
          <w:kern w:val="22"/>
          <w:sz w:val="22"/>
          <w:szCs w:val="22"/>
          <w:lang w:val="en-GB"/>
        </w:rPr>
      </w:pPr>
    </w:p>
    <w:p w14:paraId="49FEE7B5"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The sea level variations in the Black Sea are affected either by the volume change of the sea due to density changes of sea waters, and/or by mass change due to water exchange with the atmosphere and land through precipitation, evaporation, river runoff and ice melting. The impact of the surface heat flux (internal process) is rather small, with an amplitude of about 1 cm. However, the major driver behind sea level variability in both the Mediterranean and Black seas is wind, associated with the North Atlantic Oscillation. For example, in the south-eastern corner of the sea, there is a long-term trend of sea level raising by 0.4 cm/yr, but this is set against a background of high variability in the data (Avsar et al., 2014).</w:t>
      </w:r>
    </w:p>
    <w:p w14:paraId="530BEE68"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0BC5FBF4"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The surface temperature ranged from 9.52ºC (March) to 27.52ºC (July) during the sampling period in the coastal station. When the surface waters cooled down to 7°C, the upper layer was thoroughly homogenised by convective mixing down to 135 m. The seasonal thermocline formed above 50 m in the late spring and deepened (down to 50-60 m) in autumn. The surface salinity ranged from 15.90‰ (March) to 17.67‰ (December). Although, the permanent halocline was observed between 80 and 120 m depths, the permanent pycnocline formed in surface waters (e.g., 20-40 m), which are controlled by salinity gradient due to continuous intrusion of more saline Mediterranean waters. In the offshore station, the surface temperature ranged from 9.50°C (March) to 27.20ºC (July) during the sampling period. The seasonal thermocline was observed above 40 m during May-October in both stations. The surface salinity ranged from 16.40‰ (May) to 17.80‰ (December). The permanent halocline was observed around 80-130 m depths. (Ağırbaş et al., 2014).</w:t>
      </w:r>
    </w:p>
    <w:p w14:paraId="455F6FE5"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79547D21" w14:textId="1271C8FE"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Biological diversity of the current part of the Black Sea is considerably high such that according to Çelikkale et al. (1989) harbour porpoises were found all along the Turkish Black Sea coast, and are especially abundant along the eastern coast, where several rivers enter the Black Sea. Also, the </w:t>
      </w:r>
      <w:r w:rsidR="00953367" w:rsidRPr="0088780C">
        <w:rPr>
          <w:snapToGrid w:val="0"/>
          <w:kern w:val="22"/>
          <w:sz w:val="22"/>
          <w:szCs w:val="22"/>
          <w:lang w:val="en-GB"/>
        </w:rPr>
        <w:t>south-east</w:t>
      </w:r>
      <w:r w:rsidRPr="0088780C">
        <w:rPr>
          <w:snapToGrid w:val="0"/>
          <w:kern w:val="22"/>
          <w:sz w:val="22"/>
          <w:szCs w:val="22"/>
          <w:lang w:val="en-GB"/>
        </w:rPr>
        <w:t>ern Black Sea is the primary overwintering area of harbour porpoises (Saydam, 2005).</w:t>
      </w:r>
    </w:p>
    <w:p w14:paraId="2C4D9FC8" w14:textId="77777777" w:rsidR="00F632A3" w:rsidRPr="0088780C" w:rsidRDefault="00F632A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39514C21"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In general, the zooplankton of the southern Black Sea is dominated by </w:t>
      </w:r>
      <w:r w:rsidRPr="0088780C">
        <w:rPr>
          <w:i/>
          <w:snapToGrid w:val="0"/>
          <w:kern w:val="22"/>
          <w:sz w:val="22"/>
          <w:szCs w:val="22"/>
          <w:lang w:val="en-GB"/>
        </w:rPr>
        <w:t>Noctiluca scintillans, Oithona similis, Acartia clausi, Pseudocalanus elongatus</w:t>
      </w:r>
      <w:r w:rsidRPr="0088780C">
        <w:rPr>
          <w:snapToGrid w:val="0"/>
          <w:kern w:val="22"/>
          <w:sz w:val="22"/>
          <w:szCs w:val="22"/>
          <w:lang w:val="en-GB"/>
        </w:rPr>
        <w:t xml:space="preserve"> and </w:t>
      </w:r>
      <w:r w:rsidRPr="0088780C">
        <w:rPr>
          <w:i/>
          <w:snapToGrid w:val="0"/>
          <w:kern w:val="22"/>
          <w:sz w:val="22"/>
          <w:szCs w:val="22"/>
          <w:lang w:val="en-GB"/>
        </w:rPr>
        <w:t>Penilia avirostris</w:t>
      </w:r>
      <w:r w:rsidRPr="0088780C">
        <w:rPr>
          <w:snapToGrid w:val="0"/>
          <w:kern w:val="22"/>
          <w:sz w:val="22"/>
          <w:szCs w:val="22"/>
          <w:lang w:val="en-GB"/>
        </w:rPr>
        <w:t xml:space="preserve"> (Erkan et al., 2000). The cold water species (</w:t>
      </w:r>
      <w:r w:rsidRPr="0088780C">
        <w:rPr>
          <w:i/>
          <w:snapToGrid w:val="0"/>
          <w:kern w:val="22"/>
          <w:sz w:val="22"/>
          <w:szCs w:val="22"/>
          <w:lang w:val="en-GB"/>
        </w:rPr>
        <w:t>Calanus euxinus, Pseudocalanus elongatus, Oithona similis</w:t>
      </w:r>
      <w:r w:rsidRPr="0088780C">
        <w:rPr>
          <w:snapToGrid w:val="0"/>
          <w:kern w:val="22"/>
          <w:sz w:val="22"/>
          <w:szCs w:val="22"/>
          <w:lang w:val="en-GB"/>
        </w:rPr>
        <w:t xml:space="preserve"> and </w:t>
      </w:r>
      <w:r w:rsidRPr="0088780C">
        <w:rPr>
          <w:i/>
          <w:snapToGrid w:val="0"/>
          <w:kern w:val="22"/>
          <w:sz w:val="22"/>
          <w:szCs w:val="22"/>
          <w:lang w:val="en-GB"/>
        </w:rPr>
        <w:t>Pleopis polyphemoides</w:t>
      </w:r>
      <w:r w:rsidRPr="0088780C">
        <w:rPr>
          <w:snapToGrid w:val="0"/>
          <w:kern w:val="22"/>
          <w:sz w:val="22"/>
          <w:szCs w:val="22"/>
          <w:lang w:val="en-GB"/>
        </w:rPr>
        <w:t xml:space="preserve">) dominate winter spring assemblages, while </w:t>
      </w:r>
      <w:r w:rsidRPr="0088780C">
        <w:rPr>
          <w:i/>
          <w:snapToGrid w:val="0"/>
          <w:kern w:val="22"/>
          <w:sz w:val="22"/>
          <w:szCs w:val="22"/>
          <w:lang w:val="en-GB"/>
        </w:rPr>
        <w:t>Penilia avirostris, Acartia clausi, Paracalanus parvus</w:t>
      </w:r>
      <w:r w:rsidRPr="0088780C">
        <w:rPr>
          <w:snapToGrid w:val="0"/>
          <w:kern w:val="22"/>
          <w:sz w:val="22"/>
          <w:szCs w:val="22"/>
          <w:lang w:val="en-GB"/>
        </w:rPr>
        <w:t xml:space="preserve"> and </w:t>
      </w:r>
      <w:r w:rsidRPr="0088780C">
        <w:rPr>
          <w:i/>
          <w:snapToGrid w:val="0"/>
          <w:kern w:val="22"/>
          <w:sz w:val="22"/>
          <w:szCs w:val="22"/>
          <w:lang w:val="en-GB"/>
        </w:rPr>
        <w:t>Centropages</w:t>
      </w:r>
      <w:r w:rsidRPr="0088780C">
        <w:rPr>
          <w:snapToGrid w:val="0"/>
          <w:kern w:val="22"/>
          <w:sz w:val="22"/>
          <w:szCs w:val="22"/>
          <w:lang w:val="en-GB"/>
        </w:rPr>
        <w:t xml:space="preserve"> </w:t>
      </w:r>
      <w:r w:rsidRPr="0088780C">
        <w:rPr>
          <w:i/>
          <w:snapToGrid w:val="0"/>
          <w:kern w:val="22"/>
          <w:sz w:val="22"/>
          <w:szCs w:val="22"/>
          <w:lang w:val="en-GB"/>
        </w:rPr>
        <w:t>spp</w:t>
      </w:r>
      <w:r w:rsidRPr="0088780C">
        <w:rPr>
          <w:snapToGrid w:val="0"/>
          <w:kern w:val="22"/>
          <w:sz w:val="22"/>
          <w:szCs w:val="22"/>
          <w:lang w:val="en-GB"/>
        </w:rPr>
        <w:t>. are the major summer species (Ünal, 2002).</w:t>
      </w:r>
    </w:p>
    <w:p w14:paraId="7EE2729D"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5053EF10"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Studies conducted on the crustaceans of sandy muddy biotopes on the seabeds of the central and eastern Black Sea indicate that species diversity is relatively high in shallow waters (&lt;50 m) and that diversity decreases in a direct correlation with increasing depth (Kirkim et al., 2006). </w:t>
      </w:r>
      <w:r w:rsidRPr="0088780C">
        <w:rPr>
          <w:i/>
          <w:snapToGrid w:val="0"/>
          <w:kern w:val="22"/>
          <w:sz w:val="22"/>
          <w:szCs w:val="22"/>
          <w:lang w:val="en-GB"/>
        </w:rPr>
        <w:t>Lucinella divaricata, Chamelea gallina, Donax venustus</w:t>
      </w:r>
      <w:r w:rsidRPr="0088780C">
        <w:rPr>
          <w:snapToGrid w:val="0"/>
          <w:kern w:val="22"/>
          <w:sz w:val="22"/>
          <w:szCs w:val="22"/>
          <w:lang w:val="en-GB"/>
        </w:rPr>
        <w:t xml:space="preserve"> and </w:t>
      </w:r>
      <w:r w:rsidRPr="0088780C">
        <w:rPr>
          <w:i/>
          <w:snapToGrid w:val="0"/>
          <w:kern w:val="22"/>
          <w:sz w:val="22"/>
          <w:szCs w:val="22"/>
          <w:lang w:val="en-GB"/>
        </w:rPr>
        <w:t>Mytilaster lineatus</w:t>
      </w:r>
      <w:r w:rsidRPr="0088780C">
        <w:rPr>
          <w:snapToGrid w:val="0"/>
          <w:kern w:val="22"/>
          <w:sz w:val="22"/>
          <w:szCs w:val="22"/>
          <w:lang w:val="en-GB"/>
        </w:rPr>
        <w:t xml:space="preserve"> were commonly found in sediments with high sand content (93%) (Mutlu, 1994). Silty sea floors support high mollusc diversity (Mutlu, 1994).</w:t>
      </w:r>
    </w:p>
    <w:p w14:paraId="3F0726BC"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1065BFAF"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Sezgin et al. (2010) investigated the diversity of macrozoobenthos of the eastern Black Sea region of Turkey at 39 stations (13m -79 m depth range) and reported that the polychaete </w:t>
      </w:r>
      <w:r w:rsidRPr="0088780C">
        <w:rPr>
          <w:i/>
          <w:snapToGrid w:val="0"/>
          <w:kern w:val="22"/>
          <w:sz w:val="22"/>
          <w:szCs w:val="22"/>
          <w:lang w:val="en-GB"/>
        </w:rPr>
        <w:t xml:space="preserve">Melinna palmata, </w:t>
      </w:r>
      <w:r w:rsidRPr="0088780C">
        <w:rPr>
          <w:snapToGrid w:val="0"/>
          <w:kern w:val="22"/>
          <w:sz w:val="22"/>
          <w:szCs w:val="22"/>
          <w:lang w:val="en-GB"/>
        </w:rPr>
        <w:t>and the</w:t>
      </w:r>
      <w:r w:rsidRPr="0088780C">
        <w:rPr>
          <w:i/>
          <w:snapToGrid w:val="0"/>
          <w:kern w:val="22"/>
          <w:sz w:val="22"/>
          <w:szCs w:val="22"/>
          <w:lang w:val="en-GB"/>
        </w:rPr>
        <w:t xml:space="preserve"> </w:t>
      </w:r>
      <w:r w:rsidRPr="0088780C">
        <w:rPr>
          <w:snapToGrid w:val="0"/>
          <w:kern w:val="22"/>
          <w:sz w:val="22"/>
          <w:szCs w:val="22"/>
          <w:lang w:val="en-GB"/>
        </w:rPr>
        <w:t>mollusks</w:t>
      </w:r>
      <w:r w:rsidRPr="0088780C">
        <w:rPr>
          <w:i/>
          <w:snapToGrid w:val="0"/>
          <w:kern w:val="22"/>
          <w:sz w:val="22"/>
          <w:szCs w:val="22"/>
          <w:lang w:val="en-GB"/>
        </w:rPr>
        <w:t xml:space="preserve"> Lentidium mediterraneum, Lucinella divaricata</w:t>
      </w:r>
      <w:r w:rsidRPr="0088780C">
        <w:rPr>
          <w:snapToGrid w:val="0"/>
          <w:kern w:val="22"/>
          <w:sz w:val="22"/>
          <w:szCs w:val="22"/>
          <w:lang w:val="en-GB"/>
        </w:rPr>
        <w:t xml:space="preserve"> and </w:t>
      </w:r>
      <w:r w:rsidRPr="0088780C">
        <w:rPr>
          <w:i/>
          <w:snapToGrid w:val="0"/>
          <w:kern w:val="22"/>
          <w:sz w:val="22"/>
          <w:szCs w:val="22"/>
          <w:lang w:val="en-GB"/>
        </w:rPr>
        <w:t>Chamelea gallina</w:t>
      </w:r>
      <w:r w:rsidRPr="0088780C">
        <w:rPr>
          <w:snapToGrid w:val="0"/>
          <w:kern w:val="22"/>
          <w:sz w:val="22"/>
          <w:szCs w:val="22"/>
          <w:lang w:val="en-GB"/>
        </w:rPr>
        <w:t xml:space="preserve"> were the most dominant species, while the polychaetes </w:t>
      </w:r>
      <w:r w:rsidRPr="0088780C">
        <w:rPr>
          <w:i/>
          <w:snapToGrid w:val="0"/>
          <w:kern w:val="22"/>
          <w:sz w:val="22"/>
          <w:szCs w:val="22"/>
          <w:lang w:val="en-GB"/>
        </w:rPr>
        <w:t xml:space="preserve">M. palmata, Micronephths stammeri, A. fragilis mediterranea, </w:t>
      </w:r>
      <w:r w:rsidRPr="0088780C">
        <w:rPr>
          <w:snapToGrid w:val="0"/>
          <w:kern w:val="22"/>
          <w:sz w:val="22"/>
          <w:szCs w:val="22"/>
          <w:lang w:val="en-GB"/>
        </w:rPr>
        <w:t>and the mollusks</w:t>
      </w:r>
      <w:r w:rsidRPr="0088780C">
        <w:rPr>
          <w:i/>
          <w:snapToGrid w:val="0"/>
          <w:kern w:val="22"/>
          <w:sz w:val="22"/>
          <w:szCs w:val="22"/>
          <w:lang w:val="en-GB"/>
        </w:rPr>
        <w:t xml:space="preserve"> C. gallina</w:t>
      </w:r>
      <w:r w:rsidRPr="0088780C">
        <w:rPr>
          <w:snapToGrid w:val="0"/>
          <w:kern w:val="22"/>
          <w:sz w:val="22"/>
          <w:szCs w:val="22"/>
          <w:lang w:val="en-GB"/>
        </w:rPr>
        <w:t xml:space="preserve"> and </w:t>
      </w:r>
      <w:r w:rsidRPr="0088780C">
        <w:rPr>
          <w:i/>
          <w:snapToGrid w:val="0"/>
          <w:kern w:val="22"/>
          <w:sz w:val="22"/>
          <w:szCs w:val="22"/>
          <w:lang w:val="en-GB"/>
        </w:rPr>
        <w:t>Pitar rudis</w:t>
      </w:r>
      <w:r w:rsidRPr="0088780C">
        <w:rPr>
          <w:snapToGrid w:val="0"/>
          <w:kern w:val="22"/>
          <w:sz w:val="22"/>
          <w:szCs w:val="22"/>
          <w:lang w:val="en-GB"/>
        </w:rPr>
        <w:t xml:space="preserve"> were recorded as frequent in the area. They also observed that the total numbers of soft bottom species for each group decreased with depth and that depth has a major influence on the faunal community composition, in particular above the 50 m depth contour.</w:t>
      </w:r>
    </w:p>
    <w:p w14:paraId="2A7757B2"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3F6C073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 xml:space="preserve">In terms of birds, the area overlaps with a marine </w:t>
      </w:r>
      <w:r w:rsidRPr="0088780C">
        <w:rPr>
          <w:rFonts w:eastAsia="MS Mincho"/>
          <w:snapToGrid w:val="0"/>
          <w:kern w:val="22"/>
          <w:szCs w:val="22"/>
        </w:rPr>
        <w:t>Important Bird and Biodiversity Area (IBA; BirdLife International 2017) that is regionally important for two seabird species: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A third species, the mew gull (</w:t>
      </w:r>
      <w:r w:rsidRPr="0088780C">
        <w:rPr>
          <w:rFonts w:eastAsia="MS Mincho"/>
          <w:i/>
          <w:snapToGrid w:val="0"/>
          <w:kern w:val="22"/>
          <w:szCs w:val="22"/>
        </w:rPr>
        <w:t xml:space="preserve">Larus canus) </w:t>
      </w:r>
      <w:r w:rsidRPr="0088780C">
        <w:rPr>
          <w:rFonts w:eastAsia="MS Mincho"/>
          <w:snapToGrid w:val="0"/>
          <w:kern w:val="22"/>
          <w:szCs w:val="22"/>
        </w:rPr>
        <w:t xml:space="preserve">is known to occur. </w:t>
      </w:r>
    </w:p>
    <w:p w14:paraId="2E5D30EE"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82AE88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3127B3F3" w14:textId="4A17270B"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r w:rsidRPr="0088780C">
        <w:rPr>
          <w:snapToGrid w:val="0"/>
          <w:kern w:val="22"/>
          <w:szCs w:val="22"/>
          <w:shd w:val="clear" w:color="auto" w:fill="FFFFFF"/>
        </w:rPr>
        <w:t>Arsin is a town and a district of</w:t>
      </w:r>
      <w:r w:rsidR="00F632A3" w:rsidRPr="0088780C">
        <w:rPr>
          <w:rStyle w:val="apple-converted-space"/>
          <w:snapToGrid w:val="0"/>
          <w:kern w:val="22"/>
          <w:szCs w:val="22"/>
          <w:shd w:val="clear" w:color="auto" w:fill="FFFFFF"/>
        </w:rPr>
        <w:t xml:space="preserve"> </w:t>
      </w:r>
      <w:r w:rsidRPr="0088780C">
        <w:rPr>
          <w:snapToGrid w:val="0"/>
          <w:kern w:val="22"/>
          <w:szCs w:val="22"/>
          <w:shd w:val="clear" w:color="auto" w:fill="FFFFFF"/>
        </w:rPr>
        <w:t>Trabzon Province</w:t>
      </w:r>
      <w:r w:rsidR="00F632A3" w:rsidRPr="0088780C">
        <w:rPr>
          <w:rStyle w:val="apple-converted-space"/>
          <w:snapToGrid w:val="0"/>
          <w:kern w:val="22"/>
          <w:szCs w:val="22"/>
          <w:shd w:val="clear" w:color="auto" w:fill="FFFFFF"/>
        </w:rPr>
        <w:t xml:space="preserve"> </w:t>
      </w:r>
      <w:r w:rsidRPr="0088780C">
        <w:rPr>
          <w:snapToGrid w:val="0"/>
          <w:kern w:val="22"/>
          <w:szCs w:val="22"/>
          <w:shd w:val="clear" w:color="auto" w:fill="FFFFFF"/>
        </w:rPr>
        <w:t>located in the</w:t>
      </w:r>
      <w:r w:rsidR="00F632A3" w:rsidRPr="0088780C">
        <w:rPr>
          <w:rStyle w:val="apple-converted-space"/>
          <w:snapToGrid w:val="0"/>
          <w:kern w:val="22"/>
          <w:szCs w:val="22"/>
          <w:shd w:val="clear" w:color="auto" w:fill="FFFFFF"/>
        </w:rPr>
        <w:t xml:space="preserve"> s</w:t>
      </w:r>
      <w:r w:rsidRPr="0088780C">
        <w:rPr>
          <w:rStyle w:val="apple-converted-space"/>
          <w:snapToGrid w:val="0"/>
          <w:kern w:val="22"/>
          <w:szCs w:val="22"/>
          <w:shd w:val="clear" w:color="auto" w:fill="FFFFFF"/>
        </w:rPr>
        <w:t>outh-eastern part of the Black Sea</w:t>
      </w:r>
      <w:r w:rsidRPr="0088780C">
        <w:rPr>
          <w:snapToGrid w:val="0"/>
          <w:kern w:val="22"/>
          <w:szCs w:val="22"/>
          <w:shd w:val="clear" w:color="auto" w:fill="FFFFFF"/>
        </w:rPr>
        <w:t>. It is located on the coast line of Trabzon-Rize, 20 km east of Trabzon province. It is surrounded by Araklı to the east, Yomra to the west, the Black Sea to the north, and by Yağmurdere town of Gümüşhane Province to the south.</w:t>
      </w:r>
    </w:p>
    <w:p w14:paraId="5B2F457F"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p>
    <w:p w14:paraId="3F89F945" w14:textId="17FFBD69"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shd w:val="clear" w:color="auto" w:fill="FFFFFF"/>
        </w:rPr>
        <w:t xml:space="preserve">The area is located between </w:t>
      </w:r>
      <w:r w:rsidRPr="0088780C">
        <w:rPr>
          <w:snapToGrid w:val="0"/>
          <w:kern w:val="22"/>
          <w:szCs w:val="22"/>
        </w:rPr>
        <w:t>40 57.769' N- 39 58.532' E  40 58.123' N- 39 58.532' E  40 58.123' N- 39 59.528' E and 40 57.84</w:t>
      </w:r>
      <w:r w:rsidR="004F4584" w:rsidRPr="0088780C">
        <w:rPr>
          <w:snapToGrid w:val="0"/>
          <w:kern w:val="22"/>
          <w:szCs w:val="22"/>
        </w:rPr>
        <w:t>9' N- 39 59.528' E coordinates.</w:t>
      </w:r>
    </w:p>
    <w:p w14:paraId="2B2CA7A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B27A3FA"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Feature description of the area</w:t>
      </w:r>
    </w:p>
    <w:p w14:paraId="6ACA9B83" w14:textId="77777777"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It has an underwater bioreserve area and a complex biodiversity structure. Many of the fish species, which do not migrate due to the rocky nature of the coastal part of the region, are located in a rocky and sandy environment and have a rich ecosystem for breeding and feeding. The area is a reserve that is closed to fisheries. The area has a sandy, heel-shaped rocky structure  with the richest benthic species diversity in the region due to the presence of underwater rocks and wide and flat sandy areas.</w:t>
      </w:r>
    </w:p>
    <w:p w14:paraId="79BCEDC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FFB72AA" w14:textId="5804E963"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 xml:space="preserve">The area overlaps with a marine </w:t>
      </w:r>
      <w:r w:rsidRPr="0088780C">
        <w:rPr>
          <w:rFonts w:eastAsia="MS Mincho"/>
          <w:snapToGrid w:val="0"/>
          <w:kern w:val="22"/>
          <w:szCs w:val="22"/>
        </w:rPr>
        <w:t>Important Bird and Biodiversity Area (IBA; BirdLife International 2017) that is regionally important for two seabird species: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A third species, the mew gull (</w:t>
      </w:r>
      <w:r w:rsidRPr="0088780C">
        <w:rPr>
          <w:rFonts w:eastAsia="MS Mincho"/>
          <w:i/>
          <w:snapToGrid w:val="0"/>
          <w:kern w:val="22"/>
          <w:szCs w:val="22"/>
        </w:rPr>
        <w:t xml:space="preserve">Larus canus), </w:t>
      </w:r>
      <w:r w:rsidR="004F4584" w:rsidRPr="0088780C">
        <w:rPr>
          <w:rFonts w:eastAsia="MS Mincho"/>
          <w:snapToGrid w:val="0"/>
          <w:kern w:val="22"/>
          <w:szCs w:val="22"/>
        </w:rPr>
        <w:t>is known to occur.</w:t>
      </w:r>
    </w:p>
    <w:p w14:paraId="4C6ACF94" w14:textId="77777777" w:rsidR="00A876F3" w:rsidRPr="0088780C" w:rsidRDefault="00A876F3" w:rsidP="001013AF">
      <w:pPr>
        <w:suppressLineNumbers/>
        <w:suppressAutoHyphens/>
        <w:kinsoku w:val="0"/>
        <w:overflowPunct w:val="0"/>
        <w:autoSpaceDE w:val="0"/>
        <w:autoSpaceDN w:val="0"/>
        <w:rPr>
          <w:rFonts w:eastAsiaTheme="minorHAnsi"/>
          <w:bCs/>
          <w:iCs/>
          <w:snapToGrid w:val="0"/>
          <w:color w:val="000000"/>
          <w:kern w:val="22"/>
          <w:szCs w:val="22"/>
        </w:rPr>
      </w:pPr>
    </w:p>
    <w:p w14:paraId="38AA4937" w14:textId="4F7A61C4" w:rsidR="00A876F3" w:rsidRPr="0088780C" w:rsidRDefault="00A876F3" w:rsidP="001013AF">
      <w:pPr>
        <w:suppressLineNumbers/>
        <w:suppressAutoHyphens/>
        <w:kinsoku w:val="0"/>
        <w:overflowPunct w:val="0"/>
        <w:autoSpaceDE w:val="0"/>
        <w:autoSpaceDN w:val="0"/>
        <w:rPr>
          <w:rFonts w:eastAsiaTheme="minorHAnsi"/>
          <w:i/>
          <w:iCs/>
          <w:snapToGrid w:val="0"/>
          <w:color w:val="000000"/>
          <w:kern w:val="22"/>
          <w:szCs w:val="22"/>
        </w:rPr>
      </w:pPr>
      <w:r w:rsidRPr="0088780C">
        <w:rPr>
          <w:rFonts w:eastAsiaTheme="minorHAnsi"/>
          <w:bCs/>
          <w:iCs/>
          <w:snapToGrid w:val="0"/>
          <w:color w:val="000000"/>
          <w:kern w:val="22"/>
          <w:szCs w:val="22"/>
          <w:u w:val="single"/>
        </w:rPr>
        <w:t>At least 15 fish species located in this area are:</w:t>
      </w:r>
    </w:p>
    <w:p w14:paraId="77C7A4C2" w14:textId="3E2E06B4"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iCs/>
          <w:snapToGrid w:val="0"/>
          <w:color w:val="000000"/>
          <w:kern w:val="22"/>
          <w:szCs w:val="22"/>
        </w:rPr>
        <w:t xml:space="preserve">Psetta maxima </w:t>
      </w:r>
      <w:r w:rsidRPr="0088780C">
        <w:rPr>
          <w:rFonts w:eastAsiaTheme="minorHAnsi"/>
          <w:iCs/>
          <w:snapToGrid w:val="0"/>
          <w:color w:val="000000"/>
          <w:kern w:val="22"/>
          <w:szCs w:val="22"/>
        </w:rPr>
        <w:t>(Turbot)</w:t>
      </w:r>
    </w:p>
    <w:p w14:paraId="4108A841" w14:textId="77777777"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 xml:space="preserve">Sciaena umbra </w:t>
      </w:r>
      <w:r w:rsidRPr="0088780C">
        <w:rPr>
          <w:rFonts w:eastAsiaTheme="minorHAnsi"/>
          <w:iCs/>
          <w:snapToGrid w:val="0"/>
          <w:color w:val="000000"/>
          <w:kern w:val="22"/>
          <w:szCs w:val="22"/>
        </w:rPr>
        <w:t>(Brown meagre)</w:t>
      </w:r>
    </w:p>
    <w:p w14:paraId="042B902C" w14:textId="77777777"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 xml:space="preserve">Diplodus puntazzo </w:t>
      </w:r>
      <w:r w:rsidRPr="0088780C">
        <w:rPr>
          <w:rFonts w:eastAsiaTheme="minorHAnsi"/>
          <w:iCs/>
          <w:snapToGrid w:val="0"/>
          <w:color w:val="000000"/>
          <w:kern w:val="22"/>
          <w:szCs w:val="22"/>
        </w:rPr>
        <w:t>(Sharpsnout seabream)</w:t>
      </w:r>
    </w:p>
    <w:p w14:paraId="16469133" w14:textId="77777777"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 xml:space="preserve">Dicentrarchus labrax </w:t>
      </w:r>
      <w:r w:rsidRPr="0088780C">
        <w:rPr>
          <w:rFonts w:eastAsiaTheme="minorHAnsi"/>
          <w:iCs/>
          <w:snapToGrid w:val="0"/>
          <w:color w:val="000000"/>
          <w:kern w:val="22"/>
          <w:szCs w:val="22"/>
        </w:rPr>
        <w:t>(Common bass)</w:t>
      </w:r>
    </w:p>
    <w:p w14:paraId="2C3D0142" w14:textId="5EC4C7B3"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 xml:space="preserve">Liza aurata </w:t>
      </w:r>
      <w:r w:rsidRPr="0088780C">
        <w:rPr>
          <w:rFonts w:eastAsiaTheme="minorHAnsi"/>
          <w:iCs/>
          <w:snapToGrid w:val="0"/>
          <w:color w:val="000000"/>
          <w:kern w:val="22"/>
          <w:szCs w:val="22"/>
        </w:rPr>
        <w:t>(Golden grey mullet)</w:t>
      </w:r>
    </w:p>
    <w:p w14:paraId="3B660F81" w14:textId="2702F688"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Mugil</w:t>
      </w:r>
      <w:r w:rsidRPr="0088780C">
        <w:rPr>
          <w:rFonts w:eastAsiaTheme="minorHAnsi"/>
          <w:i/>
          <w:snapToGrid w:val="0"/>
          <w:color w:val="000000"/>
          <w:kern w:val="22"/>
          <w:szCs w:val="22"/>
        </w:rPr>
        <w:t xml:space="preserve"> </w:t>
      </w:r>
      <w:r w:rsidRPr="0088780C">
        <w:rPr>
          <w:rFonts w:eastAsiaTheme="minorHAnsi"/>
          <w:i/>
          <w:iCs/>
          <w:snapToGrid w:val="0"/>
          <w:color w:val="000000"/>
          <w:kern w:val="22"/>
          <w:szCs w:val="22"/>
        </w:rPr>
        <w:t xml:space="preserve">cephalus </w:t>
      </w:r>
      <w:r w:rsidRPr="0088780C">
        <w:rPr>
          <w:rFonts w:eastAsiaTheme="minorHAnsi"/>
          <w:iCs/>
          <w:snapToGrid w:val="0"/>
          <w:color w:val="000000"/>
          <w:kern w:val="22"/>
          <w:szCs w:val="22"/>
        </w:rPr>
        <w:t>(Flathead mullet)</w:t>
      </w:r>
    </w:p>
    <w:p w14:paraId="556D8920"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 xml:space="preserve">Mugil soiuy </w:t>
      </w:r>
      <w:r w:rsidRPr="0088780C">
        <w:rPr>
          <w:rFonts w:eastAsiaTheme="minorHAnsi"/>
          <w:iCs/>
          <w:snapToGrid w:val="0"/>
          <w:color w:val="000000"/>
          <w:kern w:val="22"/>
          <w:szCs w:val="22"/>
        </w:rPr>
        <w:t>(So-iuy mullet)</w:t>
      </w:r>
    </w:p>
    <w:p w14:paraId="6632727B"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iCs/>
          <w:snapToGrid w:val="0"/>
          <w:color w:val="000000"/>
          <w:kern w:val="22"/>
          <w:szCs w:val="22"/>
        </w:rPr>
        <w:t xml:space="preserve">Sparus aurata </w:t>
      </w:r>
      <w:r w:rsidRPr="0088780C">
        <w:rPr>
          <w:rFonts w:eastAsiaTheme="minorHAnsi"/>
          <w:iCs/>
          <w:snapToGrid w:val="0"/>
          <w:color w:val="000000"/>
          <w:kern w:val="22"/>
          <w:szCs w:val="22"/>
        </w:rPr>
        <w:t>(Gilthead seabream)</w:t>
      </w:r>
    </w:p>
    <w:p w14:paraId="385EBB11"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snapToGrid w:val="0"/>
          <w:color w:val="000000"/>
          <w:kern w:val="22"/>
          <w:szCs w:val="22"/>
        </w:rPr>
        <w:t xml:space="preserve">Salpa salpa </w:t>
      </w:r>
      <w:r w:rsidRPr="0088780C">
        <w:rPr>
          <w:rFonts w:eastAsiaTheme="minorHAnsi"/>
          <w:snapToGrid w:val="0"/>
          <w:color w:val="000000"/>
          <w:kern w:val="22"/>
          <w:szCs w:val="22"/>
        </w:rPr>
        <w:t>(Goldline)</w:t>
      </w:r>
    </w:p>
    <w:p w14:paraId="253B419C" w14:textId="77777777" w:rsidR="00A876F3" w:rsidRPr="0088780C" w:rsidRDefault="00A876F3" w:rsidP="001013AF">
      <w:pPr>
        <w:suppressLineNumbers/>
        <w:suppressAutoHyphens/>
        <w:kinsoku w:val="0"/>
        <w:overflowPunct w:val="0"/>
        <w:autoSpaceDE w:val="0"/>
        <w:autoSpaceDN w:val="0"/>
        <w:adjustRightInd w:val="0"/>
        <w:rPr>
          <w:rFonts w:eastAsiaTheme="minorHAnsi"/>
          <w:iCs/>
          <w:snapToGrid w:val="0"/>
          <w:color w:val="000000"/>
          <w:kern w:val="22"/>
          <w:szCs w:val="22"/>
        </w:rPr>
      </w:pPr>
      <w:r w:rsidRPr="0088780C">
        <w:rPr>
          <w:rFonts w:eastAsiaTheme="minorHAnsi"/>
          <w:i/>
          <w:iCs/>
          <w:snapToGrid w:val="0"/>
          <w:color w:val="000000"/>
          <w:kern w:val="22"/>
          <w:szCs w:val="22"/>
        </w:rPr>
        <w:t>Mullus</w:t>
      </w:r>
      <w:r w:rsidRPr="0088780C">
        <w:rPr>
          <w:rFonts w:eastAsiaTheme="minorHAnsi"/>
          <w:i/>
          <w:snapToGrid w:val="0"/>
          <w:color w:val="000000"/>
          <w:kern w:val="22"/>
          <w:szCs w:val="22"/>
        </w:rPr>
        <w:t xml:space="preserve"> </w:t>
      </w:r>
      <w:r w:rsidRPr="0088780C">
        <w:rPr>
          <w:rFonts w:eastAsiaTheme="minorHAnsi"/>
          <w:i/>
          <w:iCs/>
          <w:snapToGrid w:val="0"/>
          <w:color w:val="000000"/>
          <w:kern w:val="22"/>
          <w:szCs w:val="22"/>
        </w:rPr>
        <w:t xml:space="preserve">barbatus </w:t>
      </w:r>
      <w:r w:rsidRPr="0088780C">
        <w:rPr>
          <w:rFonts w:eastAsiaTheme="minorHAnsi"/>
          <w:iCs/>
          <w:snapToGrid w:val="0"/>
          <w:color w:val="000000"/>
          <w:kern w:val="22"/>
          <w:szCs w:val="22"/>
        </w:rPr>
        <w:t>(Red mullet)</w:t>
      </w:r>
    </w:p>
    <w:p w14:paraId="6D50CD9E"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iCs/>
          <w:snapToGrid w:val="0"/>
          <w:color w:val="000000"/>
          <w:kern w:val="22"/>
          <w:szCs w:val="22"/>
        </w:rPr>
        <w:t xml:space="preserve">Dasyatis pastinaca </w:t>
      </w:r>
      <w:r w:rsidRPr="0088780C">
        <w:rPr>
          <w:rFonts w:eastAsiaTheme="minorHAnsi"/>
          <w:iCs/>
          <w:snapToGrid w:val="0"/>
          <w:color w:val="000000"/>
          <w:kern w:val="22"/>
          <w:szCs w:val="22"/>
        </w:rPr>
        <w:t>(Common stingray)</w:t>
      </w:r>
    </w:p>
    <w:p w14:paraId="4FED1F55"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 xml:space="preserve">Diplodus annularis </w:t>
      </w:r>
      <w:r w:rsidRPr="0088780C">
        <w:rPr>
          <w:rFonts w:eastAsiaTheme="minorHAnsi"/>
          <w:iCs/>
          <w:snapToGrid w:val="0"/>
          <w:color w:val="000000"/>
          <w:kern w:val="22"/>
          <w:szCs w:val="22"/>
        </w:rPr>
        <w:t>(Annular seabream)</w:t>
      </w:r>
    </w:p>
    <w:p w14:paraId="56D7E050"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iCs/>
          <w:snapToGrid w:val="0"/>
          <w:color w:val="000000"/>
          <w:kern w:val="22"/>
          <w:szCs w:val="22"/>
        </w:rPr>
        <w:t>Syngnathus acus</w:t>
      </w:r>
      <w:r w:rsidRPr="0088780C">
        <w:rPr>
          <w:rFonts w:eastAsiaTheme="minorHAnsi"/>
          <w:i/>
          <w:snapToGrid w:val="0"/>
          <w:color w:val="000000"/>
          <w:kern w:val="22"/>
          <w:szCs w:val="22"/>
        </w:rPr>
        <w:t xml:space="preserve"> </w:t>
      </w:r>
      <w:r w:rsidRPr="0088780C">
        <w:rPr>
          <w:rFonts w:eastAsiaTheme="minorHAnsi"/>
          <w:snapToGrid w:val="0"/>
          <w:color w:val="000000"/>
          <w:kern w:val="22"/>
          <w:szCs w:val="22"/>
        </w:rPr>
        <w:t>(Greater pipefish)</w:t>
      </w:r>
    </w:p>
    <w:p w14:paraId="32C52E23"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 xml:space="preserve">Hippocampus hippocampus </w:t>
      </w:r>
      <w:r w:rsidRPr="0088780C">
        <w:rPr>
          <w:rFonts w:eastAsiaTheme="minorHAnsi"/>
          <w:iCs/>
          <w:snapToGrid w:val="0"/>
          <w:color w:val="000000"/>
          <w:kern w:val="22"/>
          <w:szCs w:val="22"/>
        </w:rPr>
        <w:t>(Short-snouted seahorse)</w:t>
      </w:r>
    </w:p>
    <w:p w14:paraId="5187BCB8" w14:textId="77777777" w:rsidR="00A876F3" w:rsidRPr="0088780C" w:rsidRDefault="00A876F3" w:rsidP="001013AF">
      <w:pPr>
        <w:suppressLineNumbers/>
        <w:suppressAutoHyphens/>
        <w:kinsoku w:val="0"/>
        <w:overflowPunct w:val="0"/>
        <w:autoSpaceDE w:val="0"/>
        <w:autoSpaceDN w:val="0"/>
        <w:adjustRightInd w:val="0"/>
        <w:rPr>
          <w:rFonts w:eastAsiaTheme="minorHAnsi"/>
          <w:i/>
          <w:iCs/>
          <w:snapToGrid w:val="0"/>
          <w:color w:val="222222"/>
          <w:kern w:val="22"/>
          <w:szCs w:val="22"/>
        </w:rPr>
      </w:pPr>
      <w:r w:rsidRPr="0088780C">
        <w:rPr>
          <w:rFonts w:eastAsiaTheme="minorHAnsi"/>
          <w:i/>
          <w:iCs/>
          <w:snapToGrid w:val="0"/>
          <w:color w:val="000000"/>
          <w:kern w:val="22"/>
          <w:szCs w:val="22"/>
        </w:rPr>
        <w:t xml:space="preserve">Merlangius merlangus </w:t>
      </w:r>
      <w:r w:rsidRPr="0088780C">
        <w:rPr>
          <w:rFonts w:eastAsiaTheme="minorHAnsi"/>
          <w:iCs/>
          <w:snapToGrid w:val="0"/>
          <w:color w:val="000000"/>
          <w:kern w:val="22"/>
          <w:szCs w:val="22"/>
        </w:rPr>
        <w:t>(Whiting)</w:t>
      </w:r>
    </w:p>
    <w:p w14:paraId="5F5FCE09"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p>
    <w:p w14:paraId="79701E6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u w:val="single"/>
        </w:rPr>
      </w:pPr>
      <w:r w:rsidRPr="0088780C">
        <w:rPr>
          <w:rFonts w:eastAsia="MS Mincho"/>
          <w:bCs/>
          <w:snapToGrid w:val="0"/>
          <w:kern w:val="22"/>
          <w:szCs w:val="22"/>
          <w:u w:val="single"/>
        </w:rPr>
        <w:t>Three species of rocky area algae that will form hard ground are:</w:t>
      </w:r>
    </w:p>
    <w:p w14:paraId="5D4AA41D" w14:textId="78173B81" w:rsidR="00A876F3" w:rsidRPr="0088780C" w:rsidRDefault="004F4584"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Cystoseira barbata</w:t>
      </w:r>
    </w:p>
    <w:p w14:paraId="1386D8F6" w14:textId="381EB303" w:rsidR="00A876F3" w:rsidRPr="0088780C" w:rsidRDefault="004F4584"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Entoromorfha spp.</w:t>
      </w:r>
    </w:p>
    <w:p w14:paraId="373E027A" w14:textId="4F2E6D7E"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i/>
          <w:iCs/>
          <w:snapToGrid w:val="0"/>
          <w:color w:val="000000"/>
          <w:kern w:val="22"/>
          <w:szCs w:val="22"/>
        </w:rPr>
        <w:t>Ulva lactuca</w:t>
      </w:r>
    </w:p>
    <w:p w14:paraId="60F1C322"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p>
    <w:p w14:paraId="35D7CDC3" w14:textId="70B2F8B2" w:rsidR="00A876F3" w:rsidRPr="0088780C" w:rsidRDefault="00A876F3" w:rsidP="001013AF">
      <w:pPr>
        <w:suppressLineNumbers/>
        <w:suppressAutoHyphens/>
        <w:kinsoku w:val="0"/>
        <w:overflowPunct w:val="0"/>
        <w:autoSpaceDE w:val="0"/>
        <w:autoSpaceDN w:val="0"/>
        <w:adjustRightInd w:val="0"/>
        <w:rPr>
          <w:rFonts w:eastAsiaTheme="minorHAnsi"/>
          <w:bCs/>
          <w:i/>
          <w:snapToGrid w:val="0"/>
          <w:color w:val="000000"/>
          <w:kern w:val="22"/>
          <w:szCs w:val="22"/>
          <w:u w:val="single"/>
        </w:rPr>
      </w:pPr>
      <w:r w:rsidRPr="0088780C">
        <w:rPr>
          <w:rFonts w:eastAsiaTheme="minorHAnsi"/>
          <w:bCs/>
          <w:snapToGrid w:val="0"/>
          <w:color w:val="000000"/>
          <w:kern w:val="22"/>
          <w:szCs w:val="22"/>
          <w:u w:val="single"/>
        </w:rPr>
        <w:t>Three marine mammal species living in the area are</w:t>
      </w:r>
      <w:r w:rsidR="004F4584" w:rsidRPr="0088780C">
        <w:rPr>
          <w:rFonts w:eastAsiaTheme="minorHAnsi"/>
          <w:bCs/>
          <w:i/>
          <w:snapToGrid w:val="0"/>
          <w:color w:val="000000"/>
          <w:kern w:val="22"/>
          <w:szCs w:val="22"/>
          <w:u w:val="single"/>
        </w:rPr>
        <w:t>:</w:t>
      </w:r>
    </w:p>
    <w:p w14:paraId="32FD8696"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snapToGrid w:val="0"/>
          <w:color w:val="000000"/>
          <w:kern w:val="22"/>
          <w:szCs w:val="22"/>
        </w:rPr>
        <w:t xml:space="preserve">Delphnius delphis ssp. ponticus </w:t>
      </w:r>
      <w:r w:rsidRPr="0088780C">
        <w:rPr>
          <w:rFonts w:eastAsiaTheme="minorHAnsi"/>
          <w:snapToGrid w:val="0"/>
          <w:color w:val="000000"/>
          <w:kern w:val="22"/>
          <w:szCs w:val="22"/>
        </w:rPr>
        <w:t>(Short-beaked common dolphin)</w:t>
      </w:r>
    </w:p>
    <w:p w14:paraId="4320ECAD"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snapToGrid w:val="0"/>
          <w:color w:val="000000"/>
          <w:kern w:val="22"/>
          <w:szCs w:val="22"/>
        </w:rPr>
        <w:t xml:space="preserve">Turiops truncatus ssp. ponticus </w:t>
      </w:r>
      <w:r w:rsidRPr="0088780C">
        <w:rPr>
          <w:rFonts w:eastAsiaTheme="minorHAnsi"/>
          <w:snapToGrid w:val="0"/>
          <w:color w:val="000000"/>
          <w:kern w:val="22"/>
          <w:szCs w:val="22"/>
        </w:rPr>
        <w:t>(Bottlenose dolphin)</w:t>
      </w:r>
    </w:p>
    <w:p w14:paraId="61248DED" w14:textId="77777777" w:rsidR="00A876F3" w:rsidRPr="0088780C" w:rsidRDefault="00A876F3" w:rsidP="001013AF">
      <w:pPr>
        <w:suppressLineNumbers/>
        <w:suppressAutoHyphens/>
        <w:kinsoku w:val="0"/>
        <w:overflowPunct w:val="0"/>
        <w:autoSpaceDE w:val="0"/>
        <w:autoSpaceDN w:val="0"/>
        <w:adjustRightInd w:val="0"/>
        <w:rPr>
          <w:rFonts w:eastAsiaTheme="minorHAnsi"/>
          <w:i/>
          <w:snapToGrid w:val="0"/>
          <w:color w:val="000000"/>
          <w:kern w:val="22"/>
          <w:szCs w:val="22"/>
        </w:rPr>
      </w:pPr>
      <w:r w:rsidRPr="0088780C">
        <w:rPr>
          <w:rFonts w:eastAsiaTheme="minorHAnsi"/>
          <w:i/>
          <w:snapToGrid w:val="0"/>
          <w:color w:val="000000"/>
          <w:kern w:val="22"/>
          <w:szCs w:val="22"/>
        </w:rPr>
        <w:t xml:space="preserve">Phocena phocena ssp. relicta </w:t>
      </w:r>
      <w:r w:rsidRPr="0088780C">
        <w:rPr>
          <w:rFonts w:eastAsiaTheme="minorHAnsi"/>
          <w:snapToGrid w:val="0"/>
          <w:color w:val="000000"/>
          <w:kern w:val="22"/>
          <w:szCs w:val="22"/>
        </w:rPr>
        <w:t>(Harbor porpoise)</w:t>
      </w:r>
    </w:p>
    <w:p w14:paraId="52659836"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1E8D24AA"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kern w:val="22"/>
          <w:szCs w:val="22"/>
        </w:rPr>
      </w:pPr>
      <w:r w:rsidRPr="0088780C">
        <w:rPr>
          <w:rFonts w:eastAsiaTheme="minorHAnsi"/>
          <w:i/>
          <w:snapToGrid w:val="0"/>
          <w:kern w:val="22"/>
          <w:szCs w:val="22"/>
        </w:rPr>
        <w:t xml:space="preserve">Delphinus delphis ssp. ponticus </w:t>
      </w:r>
      <w:r w:rsidRPr="0088780C">
        <w:rPr>
          <w:rFonts w:eastAsiaTheme="minorHAnsi"/>
          <w:snapToGrid w:val="0"/>
          <w:kern w:val="22"/>
          <w:szCs w:val="22"/>
        </w:rPr>
        <w:t xml:space="preserve">has vulnerable status, while </w:t>
      </w:r>
      <w:r w:rsidRPr="0088780C">
        <w:rPr>
          <w:rFonts w:eastAsiaTheme="minorHAnsi"/>
          <w:i/>
          <w:iCs/>
          <w:snapToGrid w:val="0"/>
          <w:kern w:val="22"/>
          <w:szCs w:val="22"/>
        </w:rPr>
        <w:t xml:space="preserve">Turiops truncatus </w:t>
      </w:r>
      <w:r w:rsidRPr="0088780C">
        <w:rPr>
          <w:rFonts w:eastAsiaTheme="minorHAnsi"/>
          <w:iCs/>
          <w:snapToGrid w:val="0"/>
          <w:kern w:val="22"/>
          <w:szCs w:val="22"/>
        </w:rPr>
        <w:t>ssp.</w:t>
      </w:r>
      <w:r w:rsidRPr="0088780C">
        <w:rPr>
          <w:rFonts w:eastAsiaTheme="minorHAnsi"/>
          <w:i/>
          <w:iCs/>
          <w:snapToGrid w:val="0"/>
          <w:kern w:val="22"/>
          <w:szCs w:val="22"/>
        </w:rPr>
        <w:t xml:space="preserve"> ponticus </w:t>
      </w:r>
      <w:r w:rsidRPr="0088780C">
        <w:rPr>
          <w:rFonts w:eastAsiaTheme="minorHAnsi"/>
          <w:snapToGrid w:val="0"/>
          <w:kern w:val="22"/>
          <w:szCs w:val="22"/>
        </w:rPr>
        <w:t xml:space="preserve">has endangered status, on the IUCN Red List of Threatened Species based on criterion A2cde (Birkun Jr., A.A., 2008).  (Birkun, A. 2008). Finally, </w:t>
      </w:r>
      <w:r w:rsidRPr="0088780C">
        <w:rPr>
          <w:rFonts w:eastAsiaTheme="minorHAnsi"/>
          <w:i/>
          <w:snapToGrid w:val="0"/>
          <w:color w:val="000000"/>
          <w:kern w:val="22"/>
          <w:szCs w:val="22"/>
        </w:rPr>
        <w:t xml:space="preserve">Phocena phocena </w:t>
      </w:r>
      <w:r w:rsidRPr="0088780C">
        <w:rPr>
          <w:rFonts w:eastAsiaTheme="minorHAnsi"/>
          <w:snapToGrid w:val="0"/>
          <w:color w:val="000000"/>
          <w:kern w:val="22"/>
          <w:szCs w:val="22"/>
        </w:rPr>
        <w:t>ssp.</w:t>
      </w:r>
      <w:r w:rsidRPr="0088780C">
        <w:rPr>
          <w:rFonts w:eastAsiaTheme="minorHAnsi"/>
          <w:i/>
          <w:iCs/>
          <w:snapToGrid w:val="0"/>
          <w:kern w:val="22"/>
          <w:szCs w:val="22"/>
        </w:rPr>
        <w:t xml:space="preserve"> relicta, </w:t>
      </w:r>
      <w:r w:rsidRPr="0088780C">
        <w:rPr>
          <w:rFonts w:eastAsiaTheme="minorHAnsi"/>
          <w:snapToGrid w:val="0"/>
          <w:kern w:val="22"/>
          <w:szCs w:val="22"/>
        </w:rPr>
        <w:t>has endangered status on the IUCN Red List of Threatened Species based on criteria A1d and A4cde.</w:t>
      </w:r>
    </w:p>
    <w:p w14:paraId="27C44774"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p>
    <w:p w14:paraId="2FF601BC" w14:textId="7FC540F3" w:rsidR="00A876F3" w:rsidRPr="0088780C" w:rsidRDefault="00A876F3" w:rsidP="001013AF">
      <w:pPr>
        <w:suppressLineNumbers/>
        <w:suppressAutoHyphens/>
        <w:kinsoku w:val="0"/>
        <w:overflowPunct w:val="0"/>
        <w:autoSpaceDE w:val="0"/>
        <w:autoSpaceDN w:val="0"/>
        <w:rPr>
          <w:rFonts w:eastAsia="MS Mincho"/>
          <w:bCs/>
          <w:snapToGrid w:val="0"/>
          <w:kern w:val="22"/>
          <w:szCs w:val="22"/>
          <w:u w:val="single"/>
        </w:rPr>
      </w:pPr>
      <w:r w:rsidRPr="0088780C">
        <w:rPr>
          <w:rFonts w:eastAsia="MS Mincho"/>
          <w:bCs/>
          <w:snapToGrid w:val="0"/>
          <w:kern w:val="22"/>
          <w:szCs w:val="22"/>
          <w:u w:val="single"/>
        </w:rPr>
        <w:t>Three important seabird sp</w:t>
      </w:r>
      <w:r w:rsidR="004F4584" w:rsidRPr="0088780C">
        <w:rPr>
          <w:rFonts w:eastAsia="MS Mincho"/>
          <w:bCs/>
          <w:snapToGrid w:val="0"/>
          <w:kern w:val="22"/>
          <w:szCs w:val="22"/>
          <w:u w:val="single"/>
        </w:rPr>
        <w:t>ecies inhabiting this area are:</w:t>
      </w:r>
    </w:p>
    <w:p w14:paraId="0BAD65E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i/>
          <w:snapToGrid w:val="0"/>
          <w:kern w:val="22"/>
          <w:szCs w:val="22"/>
        </w:rPr>
        <w:t>Melanitta fusca</w:t>
      </w:r>
      <w:r w:rsidRPr="0088780C">
        <w:rPr>
          <w:rFonts w:eastAsia="MS Mincho"/>
          <w:snapToGrid w:val="0"/>
          <w:kern w:val="22"/>
          <w:szCs w:val="22"/>
        </w:rPr>
        <w:t xml:space="preserve"> (Velvet scoter)</w:t>
      </w:r>
    </w:p>
    <w:p w14:paraId="162B629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i/>
          <w:snapToGrid w:val="0"/>
          <w:kern w:val="22"/>
          <w:szCs w:val="22"/>
        </w:rPr>
        <w:t>Larus cachinnans (</w:t>
      </w:r>
      <w:r w:rsidRPr="0088780C">
        <w:rPr>
          <w:rFonts w:eastAsia="MS Mincho"/>
          <w:snapToGrid w:val="0"/>
          <w:kern w:val="22"/>
          <w:szCs w:val="22"/>
        </w:rPr>
        <w:t>Caspian gull)</w:t>
      </w:r>
    </w:p>
    <w:p w14:paraId="19728850"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i/>
          <w:snapToGrid w:val="0"/>
          <w:kern w:val="22"/>
          <w:szCs w:val="22"/>
        </w:rPr>
        <w:t>Larus canus (</w:t>
      </w:r>
      <w:r w:rsidRPr="0088780C">
        <w:rPr>
          <w:rFonts w:eastAsia="MS Mincho"/>
          <w:snapToGrid w:val="0"/>
          <w:kern w:val="22"/>
          <w:szCs w:val="22"/>
        </w:rPr>
        <w:t>Mew gull)</w:t>
      </w:r>
    </w:p>
    <w:p w14:paraId="59E41AC9"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EE473E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3D401BF2" w14:textId="4D3EAC20"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r w:rsidRPr="0088780C">
        <w:rPr>
          <w:rFonts w:eastAsiaTheme="minorHAnsi"/>
          <w:snapToGrid w:val="0"/>
          <w:color w:val="000000"/>
          <w:kern w:val="22"/>
          <w:szCs w:val="22"/>
        </w:rPr>
        <w:t>The coastal part of the region is characterized by a rocky and sandy environment. Its sandy, heel-shaped rocky structure makes it an important area for fish breeding and feeding. Due to the presence of underwater rocks and wide and flat sandy areas, the  area has the ric</w:t>
      </w:r>
      <w:r w:rsidR="00841D12" w:rsidRPr="0088780C">
        <w:rPr>
          <w:rFonts w:eastAsiaTheme="minorHAnsi"/>
          <w:snapToGrid w:val="0"/>
          <w:color w:val="000000"/>
          <w:kern w:val="22"/>
          <w:szCs w:val="22"/>
        </w:rPr>
        <w:t>hest benthic species diversity.</w:t>
      </w:r>
    </w:p>
    <w:p w14:paraId="5F7CEC60"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color w:val="000000"/>
          <w:kern w:val="22"/>
          <w:szCs w:val="22"/>
        </w:rPr>
      </w:pPr>
    </w:p>
    <w:p w14:paraId="56851A6E" w14:textId="77777777" w:rsidR="00A876F3" w:rsidRPr="0088780C" w:rsidRDefault="00A876F3" w:rsidP="001013AF">
      <w:pPr>
        <w:suppressLineNumbers/>
        <w:suppressAutoHyphens/>
        <w:kinsoku w:val="0"/>
        <w:overflowPunct w:val="0"/>
        <w:autoSpaceDE w:val="0"/>
        <w:autoSpaceDN w:val="0"/>
        <w:adjustRightInd w:val="0"/>
        <w:rPr>
          <w:rFonts w:eastAsiaTheme="minorHAnsi"/>
          <w:snapToGrid w:val="0"/>
          <w:kern w:val="22"/>
          <w:szCs w:val="22"/>
        </w:rPr>
      </w:pPr>
      <w:r w:rsidRPr="0088780C">
        <w:rPr>
          <w:rFonts w:eastAsia="MS Mincho"/>
          <w:snapToGrid w:val="0"/>
          <w:kern w:val="22"/>
          <w:szCs w:val="22"/>
        </w:rPr>
        <w:t xml:space="preserve">According to a study by Saydam(2015), the highest rate of cetacean distribution were mainly obtained in the eastern part of the Black Sea. More than 12 individuals of </w:t>
      </w:r>
      <w:r w:rsidRPr="0088780C">
        <w:rPr>
          <w:rFonts w:eastAsia="MS Mincho"/>
          <w:i/>
          <w:snapToGrid w:val="0"/>
          <w:kern w:val="22"/>
          <w:szCs w:val="22"/>
        </w:rPr>
        <w:t>Delphinus delphis</w:t>
      </w:r>
      <w:r w:rsidRPr="0088780C">
        <w:rPr>
          <w:rFonts w:eastAsia="MS Mincho"/>
          <w:snapToGrid w:val="0"/>
          <w:kern w:val="22"/>
          <w:szCs w:val="22"/>
        </w:rPr>
        <w:t xml:space="preserve"> </w:t>
      </w:r>
      <w:r w:rsidRPr="0088780C">
        <w:rPr>
          <w:rFonts w:eastAsia="MS Mincho"/>
          <w:i/>
          <w:snapToGrid w:val="0"/>
          <w:kern w:val="22"/>
          <w:szCs w:val="22"/>
        </w:rPr>
        <w:t xml:space="preserve">ssp. ponticus </w:t>
      </w:r>
      <w:r w:rsidRPr="0088780C">
        <w:rPr>
          <w:rFonts w:eastAsia="MS Mincho"/>
          <w:snapToGrid w:val="0"/>
          <w:kern w:val="22"/>
          <w:szCs w:val="22"/>
        </w:rPr>
        <w:t xml:space="preserve">were obtained and about five individuals of </w:t>
      </w:r>
      <w:r w:rsidRPr="0088780C">
        <w:rPr>
          <w:rFonts w:eastAsiaTheme="minorHAnsi"/>
          <w:i/>
          <w:snapToGrid w:val="0"/>
          <w:color w:val="000000"/>
          <w:kern w:val="22"/>
          <w:szCs w:val="22"/>
        </w:rPr>
        <w:t xml:space="preserve">Phocena phocena ssp. relicta </w:t>
      </w:r>
      <w:r w:rsidRPr="0088780C">
        <w:rPr>
          <w:rFonts w:eastAsiaTheme="minorHAnsi"/>
          <w:snapToGrid w:val="0"/>
          <w:color w:val="000000"/>
          <w:kern w:val="22"/>
          <w:szCs w:val="22"/>
        </w:rPr>
        <w:t xml:space="preserve">were recorded during the cruise in 2014. </w:t>
      </w:r>
      <w:r w:rsidRPr="0088780C">
        <w:rPr>
          <w:rFonts w:eastAsiaTheme="minorHAnsi"/>
          <w:snapToGrid w:val="0"/>
          <w:kern w:val="22"/>
          <w:szCs w:val="22"/>
        </w:rPr>
        <w:t>In the July cruise, short- beaked common dolphins were more frequently encountered in the eastern part of South-Eastern Black Sea. Moreover, short- beaked common dolphins were more frequently encountered in the eastern Black Sea with relatively larger group sizes inhabiting eastern Black Sea coastal waters.</w:t>
      </w:r>
    </w:p>
    <w:p w14:paraId="4B53DBF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B2A125B" w14:textId="50B4D2A8"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w:t>
      </w:r>
      <w:r w:rsidR="00841D12" w:rsidRPr="0088780C">
        <w:rPr>
          <w:rFonts w:eastAsia="MS Mincho"/>
          <w:b/>
          <w:snapToGrid w:val="0"/>
          <w:kern w:val="22"/>
          <w:szCs w:val="22"/>
        </w:rPr>
        <w:t xml:space="preserve"> area against CBD EBSA Criteria</w:t>
      </w:r>
    </w:p>
    <w:p w14:paraId="480F0A6B"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6D56F7F7" w14:textId="77777777" w:rsidTr="006972AD">
        <w:tc>
          <w:tcPr>
            <w:tcW w:w="779" w:type="pct"/>
            <w:vMerge w:val="restart"/>
            <w:shd w:val="clear" w:color="auto" w:fill="auto"/>
          </w:tcPr>
          <w:p w14:paraId="040F914D" w14:textId="77777777" w:rsidR="00A876F3" w:rsidRPr="0088780C" w:rsidRDefault="00A876F3" w:rsidP="00841D12">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6445F60F" w14:textId="77777777" w:rsidR="00A876F3" w:rsidRPr="0088780C" w:rsidRDefault="00A876F3" w:rsidP="00841D12">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6AFD9B6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1E3FA53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0AB2374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71FF61C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789D8D07" w14:textId="77777777" w:rsidTr="006972AD">
        <w:tc>
          <w:tcPr>
            <w:tcW w:w="779" w:type="pct"/>
            <w:vMerge/>
            <w:shd w:val="clear" w:color="auto" w:fill="auto"/>
          </w:tcPr>
          <w:p w14:paraId="3C73B57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3E0678D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1957AB2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534E9E9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0A27A88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2E79256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5131A04E" w14:textId="77777777" w:rsidTr="006972AD">
        <w:tc>
          <w:tcPr>
            <w:tcW w:w="779" w:type="pct"/>
            <w:shd w:val="clear" w:color="auto" w:fill="auto"/>
          </w:tcPr>
          <w:p w14:paraId="4F383BD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3B5D1335" w14:textId="3D280CC8"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7CB6992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041DDF7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9125C3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2068026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1FCDBADE" w14:textId="77777777" w:rsidTr="006972AD">
        <w:tc>
          <w:tcPr>
            <w:tcW w:w="5000" w:type="pct"/>
            <w:gridSpan w:val="11"/>
            <w:shd w:val="clear" w:color="auto" w:fill="auto"/>
          </w:tcPr>
          <w:p w14:paraId="77DFBD94"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5D78D086" w14:textId="77777777"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This is an underwater bioreserve area with a complex biodiversity structure. Many of the fish species, which do not migrate due to the rocky nature of the coastal part of the region, are located in a rocky and sandy environment and have a rich ecosystem for breeding and feeding.  It is the richest benthic species diversity of the region due to the presence of underwater rocks and wide and flat sandy areas (Erüz, 2007).</w:t>
            </w:r>
          </w:p>
          <w:p w14:paraId="7EE484F6" w14:textId="70CDBB04"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area is characterized by frequent occurrence of cetaceans represented by endemic and endangered subspecies or populations: the Black Sea </w:t>
            </w:r>
            <w:r w:rsidR="003D6ED2" w:rsidRPr="0088780C">
              <w:rPr>
                <w:rFonts w:eastAsia="MS Mincho"/>
                <w:snapToGrid w:val="0"/>
                <w:color w:val="000000"/>
                <w:kern w:val="22"/>
                <w:szCs w:val="22"/>
              </w:rPr>
              <w:t>harbour porpoise</w:t>
            </w:r>
            <w:r w:rsidRPr="0088780C">
              <w:rPr>
                <w:rFonts w:eastAsia="MS Mincho"/>
                <w:snapToGrid w:val="0"/>
                <w:color w:val="000000"/>
                <w:kern w:val="22"/>
                <w:szCs w:val="22"/>
              </w:rPr>
              <w:t xml:space="preserve"> </w:t>
            </w:r>
            <w:r w:rsidRPr="0088780C">
              <w:rPr>
                <w:rFonts w:eastAsia="MS Mincho"/>
                <w:i/>
                <w:snapToGrid w:val="0"/>
                <w:color w:val="000000"/>
                <w:kern w:val="22"/>
                <w:szCs w:val="22"/>
              </w:rPr>
              <w:t>Phocoena phocoena relicta</w:t>
            </w:r>
            <w:r w:rsidRPr="0088780C">
              <w:rPr>
                <w:rFonts w:eastAsia="MS Mincho"/>
                <w:snapToGrid w:val="0"/>
                <w:color w:val="000000"/>
                <w:kern w:val="22"/>
                <w:szCs w:val="22"/>
              </w:rPr>
              <w:t xml:space="preserve"> (Birkun and Frantzis, 2008) and the endangered Black Sea bottlenose dolphin </w:t>
            </w:r>
            <w:r w:rsidRPr="0088780C">
              <w:rPr>
                <w:rFonts w:eastAsia="MS Mincho"/>
                <w:i/>
                <w:snapToGrid w:val="0"/>
                <w:color w:val="000000"/>
                <w:kern w:val="22"/>
                <w:szCs w:val="22"/>
              </w:rPr>
              <w:t>Tursiops truncatus ponticus</w:t>
            </w:r>
            <w:r w:rsidRPr="0088780C">
              <w:rPr>
                <w:rFonts w:eastAsia="MS Mincho"/>
                <w:snapToGrid w:val="0"/>
                <w:color w:val="000000"/>
                <w:kern w:val="22"/>
                <w:szCs w:val="22"/>
              </w:rPr>
              <w:t xml:space="preserve"> (Saydam, 2015).</w:t>
            </w:r>
          </w:p>
        </w:tc>
      </w:tr>
      <w:tr w:rsidR="00A876F3" w:rsidRPr="0088780C" w14:paraId="3E837AC7" w14:textId="77777777" w:rsidTr="006972AD">
        <w:tc>
          <w:tcPr>
            <w:tcW w:w="779" w:type="pct"/>
            <w:shd w:val="clear" w:color="auto" w:fill="auto"/>
          </w:tcPr>
          <w:p w14:paraId="3286A6E6" w14:textId="77777777" w:rsidR="00A876F3" w:rsidRPr="0088780C" w:rsidRDefault="00A876F3" w:rsidP="00841D12">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72BD8DA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6CEF760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98F3C2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703E07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7AC6FA7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61356DC4" w14:textId="77777777" w:rsidTr="006972AD">
        <w:tc>
          <w:tcPr>
            <w:tcW w:w="5000" w:type="pct"/>
            <w:gridSpan w:val="11"/>
            <w:shd w:val="clear" w:color="auto" w:fill="auto"/>
          </w:tcPr>
          <w:p w14:paraId="5509EC2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78B54F0F" w14:textId="27839115"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rFonts w:eastAsiaTheme="minorHAnsi"/>
                <w:snapToGrid w:val="0"/>
                <w:kern w:val="22"/>
                <w:szCs w:val="22"/>
              </w:rPr>
              <w:t xml:space="preserve">Short-beaked common dolphins are more frequently encountered in the eastern part of the south-eastern Black Sea. Moreover, short-beaked common dolphins are more frequently encountered in the eastern Black Sea with relatively larger group sizes inhabiting coastal Eastern Black sea waters. </w:t>
            </w:r>
            <w:r w:rsidRPr="0088780C">
              <w:rPr>
                <w:snapToGrid w:val="0"/>
                <w:kern w:val="22"/>
                <w:szCs w:val="22"/>
              </w:rPr>
              <w:t xml:space="preserve">Moreover, the </w:t>
            </w:r>
            <w:r w:rsidR="00953367" w:rsidRPr="0088780C">
              <w:rPr>
                <w:snapToGrid w:val="0"/>
                <w:kern w:val="22"/>
                <w:szCs w:val="22"/>
              </w:rPr>
              <w:t>south-east</w:t>
            </w:r>
            <w:r w:rsidRPr="0088780C">
              <w:rPr>
                <w:snapToGrid w:val="0"/>
                <w:kern w:val="22"/>
                <w:szCs w:val="22"/>
              </w:rPr>
              <w:t>ern Black Sea is the primary overwintering area of short-beaked</w:t>
            </w:r>
            <w:r w:rsidR="00841D12" w:rsidRPr="0088780C">
              <w:rPr>
                <w:snapToGrid w:val="0"/>
                <w:kern w:val="22"/>
                <w:szCs w:val="22"/>
              </w:rPr>
              <w:t xml:space="preserve"> common dolphin (Saydam, 2015).</w:t>
            </w:r>
          </w:p>
          <w:p w14:paraId="5EA6E9C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Cs/>
                <w:snapToGrid w:val="0"/>
                <w:color w:val="000000"/>
                <w:kern w:val="22"/>
                <w:szCs w:val="22"/>
              </w:rPr>
              <w:t xml:space="preserve">The area overlaps with an IBA that is regionally important as a wintering area for the </w:t>
            </w:r>
            <w:r w:rsidRPr="0088780C">
              <w:rPr>
                <w:rFonts w:eastAsia="MS Mincho"/>
                <w:snapToGrid w:val="0"/>
                <w:kern w:val="22"/>
                <w:szCs w:val="22"/>
              </w:rPr>
              <w:t>velvet scoter (</w:t>
            </w:r>
            <w:r w:rsidRPr="0088780C">
              <w:rPr>
                <w:rFonts w:eastAsia="MS Mincho"/>
                <w:i/>
                <w:snapToGrid w:val="0"/>
                <w:kern w:val="22"/>
                <w:szCs w:val="22"/>
              </w:rPr>
              <w:t>Melanitta fusca)</w:t>
            </w:r>
            <w:r w:rsidRPr="0088780C">
              <w:rPr>
                <w:rFonts w:eastAsia="MS Mincho"/>
                <w:bCs/>
                <w:snapToGrid w:val="0"/>
                <w:color w:val="000000"/>
                <w:kern w:val="22"/>
                <w:szCs w:val="22"/>
              </w:rPr>
              <w:t xml:space="preserve"> and the Caspian gull (</w:t>
            </w:r>
            <w:r w:rsidRPr="0088780C">
              <w:rPr>
                <w:rFonts w:eastAsia="MS Mincho"/>
                <w:bCs/>
                <w:i/>
                <w:snapToGrid w:val="0"/>
                <w:color w:val="000000"/>
                <w:kern w:val="22"/>
                <w:szCs w:val="22"/>
              </w:rPr>
              <w:t>Larus cachinnans)</w:t>
            </w:r>
            <w:r w:rsidRPr="0088780C">
              <w:rPr>
                <w:rFonts w:eastAsia="MS Mincho"/>
                <w:bCs/>
                <w:snapToGrid w:val="0"/>
                <w:color w:val="000000"/>
                <w:kern w:val="22"/>
                <w:szCs w:val="22"/>
              </w:rPr>
              <w:t>.</w:t>
            </w:r>
          </w:p>
          <w:p w14:paraId="446491AD" w14:textId="77777777"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It has an underwater bioreserve area and a complex biodiversity structure. Many of the fish species, which do not migrate due to the rocky nature of the coastal part of the region, are located in a rocky and sandy environment that provides a rich ecosystem for breeding and feeding.  It has the richest benthic species diversity in the region due to the presence of underwater rocks and wide, flat sandy areas.</w:t>
            </w:r>
          </w:p>
        </w:tc>
      </w:tr>
      <w:tr w:rsidR="00A876F3" w:rsidRPr="0088780C" w14:paraId="302F9DEB" w14:textId="77777777" w:rsidTr="006972AD">
        <w:tc>
          <w:tcPr>
            <w:tcW w:w="779" w:type="pct"/>
            <w:shd w:val="clear" w:color="auto" w:fill="auto"/>
          </w:tcPr>
          <w:p w14:paraId="59C0E2D3" w14:textId="77777777" w:rsidR="00A876F3" w:rsidRPr="0088780C" w:rsidRDefault="00A876F3" w:rsidP="00841D12">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57CAA4B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141D3E0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0E11B3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6DEA95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7713083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4E4DC06E" w14:textId="77777777" w:rsidTr="006972AD">
        <w:tc>
          <w:tcPr>
            <w:tcW w:w="5000" w:type="pct"/>
            <w:gridSpan w:val="11"/>
            <w:shd w:val="clear" w:color="auto" w:fill="auto"/>
          </w:tcPr>
          <w:p w14:paraId="2DCA1C29"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3DA717ED" w14:textId="362E7B4A" w:rsidR="00A876F3" w:rsidRPr="0088780C" w:rsidRDefault="00A876F3" w:rsidP="001013AF">
            <w:pPr>
              <w:suppressLineNumbers/>
              <w:suppressAutoHyphens/>
              <w:kinsoku w:val="0"/>
              <w:overflowPunct w:val="0"/>
              <w:autoSpaceDE w:val="0"/>
              <w:autoSpaceDN w:val="0"/>
              <w:adjustRightInd w:val="0"/>
              <w:rPr>
                <w:rFonts w:eastAsiaTheme="minorHAnsi"/>
                <w:snapToGrid w:val="0"/>
                <w:kern w:val="22"/>
                <w:szCs w:val="22"/>
              </w:rPr>
            </w:pPr>
            <w:r w:rsidRPr="0088780C">
              <w:rPr>
                <w:rFonts w:eastAsiaTheme="minorHAnsi"/>
                <w:i/>
                <w:snapToGrid w:val="0"/>
                <w:kern w:val="22"/>
                <w:szCs w:val="22"/>
              </w:rPr>
              <w:t>Delphinus delphis</w:t>
            </w:r>
            <w:r w:rsidRPr="0088780C">
              <w:rPr>
                <w:rFonts w:eastAsiaTheme="minorHAnsi"/>
                <w:snapToGrid w:val="0"/>
                <w:kern w:val="22"/>
                <w:szCs w:val="22"/>
              </w:rPr>
              <w:t xml:space="preserve"> </w:t>
            </w:r>
            <w:r w:rsidRPr="0088780C">
              <w:rPr>
                <w:rFonts w:eastAsiaTheme="minorHAnsi"/>
                <w:i/>
                <w:snapToGrid w:val="0"/>
                <w:kern w:val="22"/>
                <w:szCs w:val="22"/>
              </w:rPr>
              <w:t>ssp.</w:t>
            </w:r>
            <w:r w:rsidRPr="0088780C">
              <w:rPr>
                <w:rFonts w:eastAsiaTheme="minorHAnsi"/>
                <w:snapToGrid w:val="0"/>
                <w:kern w:val="22"/>
                <w:szCs w:val="22"/>
              </w:rPr>
              <w:t xml:space="preserve"> </w:t>
            </w:r>
            <w:r w:rsidRPr="0088780C">
              <w:rPr>
                <w:rFonts w:eastAsiaTheme="minorHAnsi"/>
                <w:i/>
                <w:snapToGrid w:val="0"/>
                <w:kern w:val="22"/>
                <w:szCs w:val="22"/>
              </w:rPr>
              <w:t>ponticus</w:t>
            </w:r>
            <w:r w:rsidRPr="0088780C">
              <w:rPr>
                <w:rFonts w:eastAsiaTheme="minorHAnsi"/>
                <w:snapToGrid w:val="0"/>
                <w:kern w:val="22"/>
                <w:szCs w:val="22"/>
              </w:rPr>
              <w:t xml:space="preserve"> has vulnerable status, while </w:t>
            </w:r>
            <w:r w:rsidRPr="0088780C">
              <w:rPr>
                <w:rFonts w:eastAsiaTheme="minorHAnsi"/>
                <w:i/>
                <w:iCs/>
                <w:snapToGrid w:val="0"/>
                <w:kern w:val="22"/>
                <w:szCs w:val="22"/>
              </w:rPr>
              <w:t xml:space="preserve">Turiops truncatus ssp. ponticus </w:t>
            </w:r>
            <w:r w:rsidRPr="0088780C">
              <w:rPr>
                <w:rFonts w:eastAsiaTheme="minorHAnsi"/>
                <w:snapToGrid w:val="0"/>
                <w:kern w:val="22"/>
                <w:szCs w:val="22"/>
              </w:rPr>
              <w:t>has endangered status,</w:t>
            </w:r>
            <w:r w:rsidRPr="0088780C" w:rsidDel="002A7C3F">
              <w:rPr>
                <w:rFonts w:eastAsiaTheme="minorHAnsi"/>
                <w:snapToGrid w:val="0"/>
                <w:kern w:val="22"/>
                <w:szCs w:val="22"/>
              </w:rPr>
              <w:t xml:space="preserve"> </w:t>
            </w:r>
            <w:r w:rsidRPr="0088780C">
              <w:rPr>
                <w:rFonts w:eastAsiaTheme="minorHAnsi"/>
                <w:snapToGrid w:val="0"/>
                <w:kern w:val="22"/>
                <w:szCs w:val="22"/>
              </w:rPr>
              <w:t xml:space="preserve">on the IUCN Red List of Threatened Species based on criterion </w:t>
            </w:r>
            <w:r w:rsidR="00DB5380" w:rsidRPr="0088780C">
              <w:rPr>
                <w:rFonts w:eastAsiaTheme="minorHAnsi"/>
                <w:snapToGrid w:val="0"/>
                <w:kern w:val="22"/>
                <w:szCs w:val="22"/>
              </w:rPr>
              <w:t xml:space="preserve">A2cde (Birkun Jr., A.A, 2008). </w:t>
            </w:r>
            <w:r w:rsidRPr="0088780C">
              <w:rPr>
                <w:rFonts w:eastAsiaTheme="minorHAnsi"/>
                <w:snapToGrid w:val="0"/>
                <w:kern w:val="22"/>
                <w:szCs w:val="22"/>
              </w:rPr>
              <w:t xml:space="preserve">Finally, </w:t>
            </w:r>
            <w:r w:rsidRPr="0088780C">
              <w:rPr>
                <w:rFonts w:eastAsiaTheme="minorHAnsi"/>
                <w:i/>
                <w:snapToGrid w:val="0"/>
                <w:color w:val="000000"/>
                <w:kern w:val="22"/>
                <w:szCs w:val="22"/>
              </w:rPr>
              <w:t>Phocena phocena ssp.</w:t>
            </w:r>
            <w:r w:rsidRPr="0088780C">
              <w:rPr>
                <w:rFonts w:eastAsiaTheme="minorHAnsi"/>
                <w:i/>
                <w:iCs/>
                <w:snapToGrid w:val="0"/>
                <w:kern w:val="22"/>
                <w:szCs w:val="22"/>
              </w:rPr>
              <w:t xml:space="preserve"> relicta, </w:t>
            </w:r>
            <w:r w:rsidRPr="0088780C">
              <w:rPr>
                <w:rFonts w:eastAsiaTheme="minorHAnsi"/>
                <w:snapToGrid w:val="0"/>
                <w:kern w:val="22"/>
                <w:szCs w:val="22"/>
              </w:rPr>
              <w:t xml:space="preserve">has endangered status on the IUCN Red List based on criteria A1d and A4cde. Also in terms of birds, </w:t>
            </w:r>
            <w:r w:rsidRPr="0088780C">
              <w:rPr>
                <w:rFonts w:eastAsiaTheme="minorHAnsi"/>
                <w:i/>
                <w:snapToGrid w:val="0"/>
                <w:kern w:val="22"/>
                <w:szCs w:val="22"/>
              </w:rPr>
              <w:t>Melanitta fusca</w:t>
            </w:r>
            <w:r w:rsidRPr="0088780C">
              <w:rPr>
                <w:rFonts w:eastAsiaTheme="minorHAnsi"/>
                <w:snapToGrid w:val="0"/>
                <w:kern w:val="22"/>
                <w:szCs w:val="22"/>
              </w:rPr>
              <w:t xml:space="preserve"> which has vulnerable status on the  Red List, </w:t>
            </w:r>
            <w:r w:rsidRPr="0088780C">
              <w:rPr>
                <w:snapToGrid w:val="0"/>
                <w:kern w:val="22"/>
                <w:szCs w:val="22"/>
              </w:rPr>
              <w:t xml:space="preserve">inhabits the area, which overlaps with a marine </w:t>
            </w:r>
            <w:r w:rsidRPr="0088780C">
              <w:rPr>
                <w:rFonts w:eastAsia="MS Mincho"/>
                <w:snapToGrid w:val="0"/>
                <w:kern w:val="22"/>
                <w:szCs w:val="22"/>
              </w:rPr>
              <w:t>Important Bird and Biodiversity Area.</w:t>
            </w:r>
          </w:p>
        </w:tc>
      </w:tr>
      <w:tr w:rsidR="00A876F3" w:rsidRPr="0088780C" w14:paraId="7C820343" w14:textId="77777777" w:rsidTr="006972AD">
        <w:tc>
          <w:tcPr>
            <w:tcW w:w="779" w:type="pct"/>
            <w:shd w:val="clear" w:color="auto" w:fill="auto"/>
          </w:tcPr>
          <w:p w14:paraId="17DC13EE" w14:textId="77777777" w:rsidR="00A876F3" w:rsidRPr="0088780C" w:rsidRDefault="00A876F3" w:rsidP="00DB5380">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70F54E6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0DCCAC9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004FB8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A328DD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6078272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35EF0589" w14:textId="77777777" w:rsidTr="00DB5380">
        <w:trPr>
          <w:cantSplit/>
        </w:trPr>
        <w:tc>
          <w:tcPr>
            <w:tcW w:w="5000" w:type="pct"/>
            <w:gridSpan w:val="11"/>
            <w:shd w:val="clear" w:color="auto" w:fill="auto"/>
          </w:tcPr>
          <w:p w14:paraId="22C41F39"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58EE872D" w14:textId="7D2BB5D7" w:rsidR="00A876F3" w:rsidRPr="0088780C" w:rsidRDefault="00A876F3" w:rsidP="00E703E9">
            <w:pPr>
              <w:suppressLineNumbers/>
              <w:suppressAutoHyphens/>
              <w:kinsoku w:val="0"/>
              <w:overflowPunct w:val="0"/>
              <w:autoSpaceDE w:val="0"/>
              <w:autoSpaceDN w:val="0"/>
              <w:adjustRightInd w:val="0"/>
              <w:rPr>
                <w:rFonts w:eastAsiaTheme="minorHAnsi"/>
                <w:snapToGrid w:val="0"/>
                <w:kern w:val="22"/>
                <w:szCs w:val="22"/>
              </w:rPr>
            </w:pPr>
            <w:r w:rsidRPr="0088780C">
              <w:rPr>
                <w:rFonts w:eastAsia="MS Mincho"/>
                <w:snapToGrid w:val="0"/>
                <w:color w:val="000000"/>
                <w:kern w:val="22"/>
                <w:szCs w:val="22"/>
              </w:rPr>
              <w:t xml:space="preserve">All cetaceans are known to have low reproductive rates and slow recovery if </w:t>
            </w:r>
            <w:r w:rsidR="00E703E9" w:rsidRPr="0088780C">
              <w:rPr>
                <w:rFonts w:eastAsia="MS Mincho"/>
                <w:snapToGrid w:val="0"/>
                <w:color w:val="000000"/>
                <w:kern w:val="22"/>
                <w:szCs w:val="22"/>
              </w:rPr>
              <w:t>injured</w:t>
            </w:r>
            <w:r w:rsidRPr="0088780C">
              <w:rPr>
                <w:rFonts w:eastAsia="MS Mincho"/>
                <w:snapToGrid w:val="0"/>
                <w:color w:val="000000"/>
                <w:kern w:val="22"/>
                <w:szCs w:val="22"/>
              </w:rPr>
              <w:t xml:space="preserve">. It also takes at least 3-4 years for them to start reproduction. </w:t>
            </w:r>
            <w:r w:rsidRPr="0088780C">
              <w:rPr>
                <w:rFonts w:eastAsiaTheme="minorHAnsi"/>
                <w:i/>
                <w:snapToGrid w:val="0"/>
                <w:kern w:val="22"/>
                <w:szCs w:val="22"/>
              </w:rPr>
              <w:t>Delphinus delphis</w:t>
            </w:r>
            <w:r w:rsidRPr="0088780C">
              <w:rPr>
                <w:rFonts w:eastAsiaTheme="minorHAnsi"/>
                <w:snapToGrid w:val="0"/>
                <w:kern w:val="22"/>
                <w:szCs w:val="22"/>
              </w:rPr>
              <w:t xml:space="preserve"> </w:t>
            </w:r>
            <w:r w:rsidRPr="0088780C">
              <w:rPr>
                <w:rFonts w:eastAsiaTheme="minorHAnsi"/>
                <w:i/>
                <w:snapToGrid w:val="0"/>
                <w:kern w:val="22"/>
                <w:szCs w:val="22"/>
              </w:rPr>
              <w:t>ssp.</w:t>
            </w:r>
            <w:r w:rsidRPr="0088780C">
              <w:rPr>
                <w:rFonts w:eastAsiaTheme="minorHAnsi"/>
                <w:snapToGrid w:val="0"/>
                <w:kern w:val="22"/>
                <w:szCs w:val="22"/>
              </w:rPr>
              <w:t xml:space="preserve"> </w:t>
            </w:r>
            <w:r w:rsidRPr="0088780C">
              <w:rPr>
                <w:rFonts w:eastAsiaTheme="minorHAnsi"/>
                <w:i/>
                <w:snapToGrid w:val="0"/>
                <w:kern w:val="22"/>
                <w:szCs w:val="22"/>
              </w:rPr>
              <w:t>ponticus</w:t>
            </w:r>
            <w:r w:rsidRPr="0088780C">
              <w:rPr>
                <w:rFonts w:eastAsiaTheme="minorHAnsi"/>
                <w:snapToGrid w:val="0"/>
                <w:kern w:val="22"/>
                <w:szCs w:val="22"/>
              </w:rPr>
              <w:t xml:space="preserve"> has vulnerable status, while </w:t>
            </w:r>
            <w:r w:rsidRPr="0088780C">
              <w:rPr>
                <w:rFonts w:eastAsiaTheme="minorHAnsi"/>
                <w:i/>
                <w:iCs/>
                <w:snapToGrid w:val="0"/>
                <w:kern w:val="22"/>
                <w:szCs w:val="22"/>
              </w:rPr>
              <w:t xml:space="preserve">Turiops truncatus ssp. ponticus </w:t>
            </w:r>
            <w:r w:rsidRPr="0088780C">
              <w:rPr>
                <w:rFonts w:eastAsiaTheme="minorHAnsi"/>
                <w:snapToGrid w:val="0"/>
                <w:kern w:val="22"/>
                <w:szCs w:val="22"/>
              </w:rPr>
              <w:t xml:space="preserve">has endangered status, on the IUCN Red List of Threatened Species based on criterion A2cde (Birkun Jr., A.A, 2008). Finally, </w:t>
            </w:r>
            <w:r w:rsidRPr="0088780C">
              <w:rPr>
                <w:rFonts w:eastAsiaTheme="minorHAnsi"/>
                <w:i/>
                <w:snapToGrid w:val="0"/>
                <w:color w:val="000000"/>
                <w:kern w:val="22"/>
                <w:szCs w:val="22"/>
              </w:rPr>
              <w:t>Phocena phocena ssp.</w:t>
            </w:r>
            <w:r w:rsidRPr="0088780C">
              <w:rPr>
                <w:rFonts w:eastAsiaTheme="minorHAnsi"/>
                <w:i/>
                <w:iCs/>
                <w:snapToGrid w:val="0"/>
                <w:kern w:val="22"/>
                <w:szCs w:val="22"/>
              </w:rPr>
              <w:t xml:space="preserve"> relicta, </w:t>
            </w:r>
            <w:r w:rsidRPr="0088780C">
              <w:rPr>
                <w:rFonts w:eastAsiaTheme="minorHAnsi"/>
                <w:snapToGrid w:val="0"/>
                <w:kern w:val="22"/>
                <w:szCs w:val="22"/>
              </w:rPr>
              <w:t>has endangered status on the IUCN Red List b</w:t>
            </w:r>
            <w:r w:rsidR="00E703E9" w:rsidRPr="0088780C">
              <w:rPr>
                <w:rFonts w:eastAsiaTheme="minorHAnsi"/>
                <w:snapToGrid w:val="0"/>
                <w:kern w:val="22"/>
                <w:szCs w:val="22"/>
              </w:rPr>
              <w:t>ased on criteria A1d and A4cde.</w:t>
            </w:r>
          </w:p>
          <w:p w14:paraId="51C4AF66" w14:textId="38FCC57F" w:rsidR="00A876F3" w:rsidRPr="0088780C" w:rsidRDefault="00A876F3" w:rsidP="00C53F94">
            <w:pPr>
              <w:suppressLineNumbers/>
              <w:suppressAutoHyphens/>
              <w:kinsoku w:val="0"/>
              <w:overflowPunct w:val="0"/>
              <w:autoSpaceDE w:val="0"/>
              <w:autoSpaceDN w:val="0"/>
              <w:rPr>
                <w:rFonts w:eastAsia="Times New Roman"/>
                <w:snapToGrid w:val="0"/>
                <w:color w:val="000000"/>
                <w:kern w:val="22"/>
                <w:szCs w:val="22"/>
                <w:lang w:eastAsia="tr-TR"/>
              </w:rPr>
            </w:pPr>
            <w:r w:rsidRPr="0088780C">
              <w:rPr>
                <w:rFonts w:eastAsia="Times New Roman"/>
                <w:snapToGrid w:val="0"/>
                <w:color w:val="000000"/>
                <w:kern w:val="22"/>
                <w:szCs w:val="22"/>
                <w:lang w:eastAsia="tr-TR"/>
              </w:rPr>
              <w:t>Bottlenose dolphins and harbour porpoises start reproduction late and produce</w:t>
            </w:r>
            <w:r w:rsidR="00217E02" w:rsidRPr="0088780C">
              <w:rPr>
                <w:rFonts w:eastAsia="Times New Roman"/>
                <w:snapToGrid w:val="0"/>
                <w:color w:val="000000"/>
                <w:kern w:val="22"/>
                <w:szCs w:val="22"/>
                <w:lang w:eastAsia="tr-TR"/>
              </w:rPr>
              <w:t xml:space="preserve"> a limited number of offspring. </w:t>
            </w:r>
            <w:r w:rsidRPr="0088780C">
              <w:rPr>
                <w:rFonts w:eastAsia="Times New Roman"/>
                <w:snapToGrid w:val="0"/>
                <w:color w:val="000000"/>
                <w:kern w:val="22"/>
                <w:szCs w:val="22"/>
                <w:lang w:eastAsia="tr-TR"/>
              </w:rPr>
              <w:t>According to Birkun (2012), Black Sea bottlenose dolphins have a life history</w:t>
            </w:r>
            <w:r w:rsidR="00217E02" w:rsidRPr="0088780C">
              <w:rPr>
                <w:rFonts w:eastAsia="Times New Roman"/>
                <w:snapToGrid w:val="0"/>
                <w:color w:val="000000"/>
                <w:kern w:val="22"/>
                <w:szCs w:val="22"/>
                <w:lang w:eastAsia="tr-TR"/>
              </w:rPr>
              <w:t xml:space="preserve"> similar to bottlenose dolphins </w:t>
            </w:r>
            <w:r w:rsidRPr="0088780C">
              <w:rPr>
                <w:rFonts w:eastAsia="Times New Roman"/>
                <w:snapToGrid w:val="0"/>
                <w:color w:val="000000"/>
                <w:kern w:val="22"/>
                <w:szCs w:val="22"/>
                <w:lang w:eastAsia="tr-TR"/>
              </w:rPr>
              <w:t>elsewhere and therefore that the generation time is approximately 20 years, and the interval between births is from two or three to six years; one female is unlikely to produce more than eight calves in her lifetime; gestation lasts 12 months; and lactation can last more than 1.5 years. Gold’in (2004) reported that the sexual maturity is reached at 3-4 years for the harbour porpoise and the maximum life span is 20 years. This indicates slow recovery in case degradation or depletion by human activities or natural events, such as epidemics.</w:t>
            </w:r>
          </w:p>
          <w:p w14:paraId="0189C50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Theme="minorHAnsi"/>
                <w:snapToGrid w:val="0"/>
                <w:kern w:val="22"/>
                <w:szCs w:val="22"/>
              </w:rPr>
              <w:t xml:space="preserve">Also in terms of birds, </w:t>
            </w:r>
            <w:r w:rsidRPr="0088780C">
              <w:rPr>
                <w:rFonts w:eastAsiaTheme="minorHAnsi"/>
                <w:i/>
                <w:snapToGrid w:val="0"/>
                <w:kern w:val="22"/>
                <w:szCs w:val="22"/>
              </w:rPr>
              <w:t>Melanitta fusca,</w:t>
            </w:r>
            <w:r w:rsidRPr="0088780C">
              <w:rPr>
                <w:rFonts w:eastAsiaTheme="minorHAnsi"/>
                <w:snapToGrid w:val="0"/>
                <w:kern w:val="22"/>
                <w:szCs w:val="22"/>
              </w:rPr>
              <w:t xml:space="preserve"> which is listed asvulnerable on the Red List, </w:t>
            </w:r>
            <w:r w:rsidRPr="0088780C">
              <w:rPr>
                <w:snapToGrid w:val="0"/>
                <w:kern w:val="22"/>
                <w:szCs w:val="22"/>
              </w:rPr>
              <w:t xml:space="preserve">inhabit in the area, which overlaps with a marine </w:t>
            </w:r>
            <w:r w:rsidRPr="0088780C">
              <w:rPr>
                <w:rFonts w:eastAsia="MS Mincho"/>
                <w:snapToGrid w:val="0"/>
                <w:kern w:val="22"/>
                <w:szCs w:val="22"/>
              </w:rPr>
              <w:t>Important Bird and Biodiversity Area.</w:t>
            </w:r>
          </w:p>
          <w:p w14:paraId="1D5889BE" w14:textId="171ECB0B"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Moreover, velvet scoter (</w:t>
            </w:r>
            <w:r w:rsidRPr="0088780C">
              <w:rPr>
                <w:rFonts w:eastAsia="MS Mincho"/>
                <w:i/>
                <w:snapToGrid w:val="0"/>
                <w:kern w:val="22"/>
                <w:szCs w:val="22"/>
              </w:rPr>
              <w:t xml:space="preserve">Melanitta fusca) </w:t>
            </w:r>
            <w:r w:rsidRPr="0088780C">
              <w:rPr>
                <w:rFonts w:eastAsia="MS Mincho"/>
                <w:snapToGrid w:val="0"/>
                <w:kern w:val="22"/>
                <w:szCs w:val="22"/>
              </w:rPr>
              <w:t>is listed as v</w:t>
            </w:r>
            <w:r w:rsidR="00C53F94" w:rsidRPr="0088780C">
              <w:rPr>
                <w:rFonts w:eastAsia="MS Mincho"/>
                <w:snapToGrid w:val="0"/>
                <w:kern w:val="22"/>
                <w:szCs w:val="22"/>
              </w:rPr>
              <w:t>ulnerable on the IUCN Red List.</w:t>
            </w:r>
          </w:p>
          <w:p w14:paraId="68A8FC96" w14:textId="77777777"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Times New Roman"/>
                <w:snapToGrid w:val="0"/>
                <w:color w:val="000000"/>
                <w:kern w:val="22"/>
                <w:szCs w:val="22"/>
                <w:lang w:eastAsia="tr-TR"/>
              </w:rPr>
              <w:t xml:space="preserve">According to the Black Sea Fish Check List, the species </w:t>
            </w:r>
            <w:r w:rsidRPr="0088780C">
              <w:rPr>
                <w:rFonts w:eastAsia="Times New Roman"/>
                <w:i/>
                <w:snapToGrid w:val="0"/>
                <w:color w:val="000000"/>
                <w:kern w:val="22"/>
                <w:szCs w:val="22"/>
                <w:lang w:eastAsia="tr-TR"/>
              </w:rPr>
              <w:t>Hippocampus hippocampus</w:t>
            </w:r>
            <w:r w:rsidRPr="0088780C">
              <w:rPr>
                <w:rFonts w:eastAsia="Times New Roman"/>
                <w:snapToGrid w:val="0"/>
                <w:color w:val="000000"/>
                <w:kern w:val="22"/>
                <w:szCs w:val="22"/>
                <w:lang w:eastAsia="tr-TR"/>
              </w:rPr>
              <w:t xml:space="preserve"> is endangered in Turkey (Yankova, n.d.).</w:t>
            </w:r>
          </w:p>
        </w:tc>
      </w:tr>
      <w:tr w:rsidR="00A876F3" w:rsidRPr="0088780C" w14:paraId="6237F007" w14:textId="77777777" w:rsidTr="006972AD">
        <w:tc>
          <w:tcPr>
            <w:tcW w:w="779" w:type="pct"/>
            <w:shd w:val="clear" w:color="auto" w:fill="auto"/>
          </w:tcPr>
          <w:p w14:paraId="2DB41E4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71FB5F6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53875CF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B0731D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E1026C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3CAD5F9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71C5CE62" w14:textId="77777777" w:rsidTr="006972AD">
        <w:tc>
          <w:tcPr>
            <w:tcW w:w="5000" w:type="pct"/>
            <w:gridSpan w:val="11"/>
            <w:shd w:val="clear" w:color="auto" w:fill="auto"/>
          </w:tcPr>
          <w:p w14:paraId="170018C8"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79C37B22"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Sezgin et al. (2010) investigated the diversity of macrozoobenthos of the eastern Black Sea region of Turkey at 39 stations (13m -79 m depth range) and reported that the polychaete </w:t>
            </w:r>
            <w:r w:rsidRPr="0088780C">
              <w:rPr>
                <w:i/>
                <w:snapToGrid w:val="0"/>
                <w:kern w:val="22"/>
                <w:szCs w:val="22"/>
              </w:rPr>
              <w:t>Melinna palmata</w:t>
            </w:r>
            <w:r w:rsidRPr="0088780C">
              <w:rPr>
                <w:snapToGrid w:val="0"/>
                <w:kern w:val="22"/>
                <w:szCs w:val="22"/>
              </w:rPr>
              <w:t xml:space="preserve">, and the mollusks </w:t>
            </w:r>
            <w:r w:rsidRPr="0088780C">
              <w:rPr>
                <w:i/>
                <w:snapToGrid w:val="0"/>
                <w:kern w:val="22"/>
                <w:szCs w:val="22"/>
              </w:rPr>
              <w:t>Lentidium mediterraneum, Lucinella divaricata</w:t>
            </w:r>
            <w:r w:rsidRPr="0088780C">
              <w:rPr>
                <w:snapToGrid w:val="0"/>
                <w:kern w:val="22"/>
                <w:szCs w:val="22"/>
              </w:rPr>
              <w:t xml:space="preserve"> and </w:t>
            </w:r>
            <w:r w:rsidRPr="0088780C">
              <w:rPr>
                <w:i/>
                <w:snapToGrid w:val="0"/>
                <w:kern w:val="22"/>
                <w:szCs w:val="22"/>
              </w:rPr>
              <w:t>Chamelea gallina</w:t>
            </w:r>
            <w:r w:rsidRPr="0088780C">
              <w:rPr>
                <w:snapToGrid w:val="0"/>
                <w:kern w:val="22"/>
                <w:szCs w:val="22"/>
              </w:rPr>
              <w:t xml:space="preserve"> were the most dominant species, while the polychaetes </w:t>
            </w:r>
            <w:r w:rsidRPr="0088780C">
              <w:rPr>
                <w:i/>
                <w:snapToGrid w:val="0"/>
                <w:kern w:val="22"/>
                <w:szCs w:val="22"/>
              </w:rPr>
              <w:t>M. palmata, Micronephths stammeri, A. fragilis mediterranea, C. gallina</w:t>
            </w:r>
            <w:r w:rsidRPr="0088780C">
              <w:rPr>
                <w:snapToGrid w:val="0"/>
                <w:kern w:val="22"/>
                <w:szCs w:val="22"/>
              </w:rPr>
              <w:t xml:space="preserve"> and </w:t>
            </w:r>
            <w:r w:rsidRPr="0088780C">
              <w:rPr>
                <w:i/>
                <w:snapToGrid w:val="0"/>
                <w:kern w:val="22"/>
                <w:szCs w:val="22"/>
              </w:rPr>
              <w:t>Pitar rudis</w:t>
            </w:r>
            <w:r w:rsidRPr="0088780C">
              <w:rPr>
                <w:snapToGrid w:val="0"/>
                <w:kern w:val="22"/>
                <w:szCs w:val="22"/>
              </w:rPr>
              <w:t xml:space="preserve"> were recorded as frequent in the area.</w:t>
            </w:r>
          </w:p>
          <w:p w14:paraId="5B57B652"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Overall, primary productivity in the region displays two phytoplankton peaks throughout the year: the major bloom of mainly diatoms occurs in early spring while a secondary bloom of mainly coccolithophores appears during autumn in both coastal and open waters (Sorokin, 2002; Vedernikov and Demidov, 1997). Recently, additional summer blooms of dinoflagellates and coccolithophorids (mainly </w:t>
            </w:r>
            <w:r w:rsidRPr="0088780C">
              <w:rPr>
                <w:i/>
                <w:snapToGrid w:val="0"/>
                <w:kern w:val="22"/>
                <w:szCs w:val="22"/>
              </w:rPr>
              <w:t>Emiliana huxleyi</w:t>
            </w:r>
            <w:r w:rsidRPr="0088780C">
              <w:rPr>
                <w:snapToGrid w:val="0"/>
                <w:kern w:val="22"/>
                <w:szCs w:val="22"/>
              </w:rPr>
              <w:t>) have frequently been reported (Hay et al., 1990; Sur et al., 1996; Yilmaz et al., 1998; Yayla et al., 2001). The production rates for the southern coasts of the Black Sea were estimated as 247-1925 mg cm-2 d -1 for spring and 405-687 mg cm-2 d -1 for summer-autumn period during 1995-1996 (Yilmaz et al., 2006).</w:t>
            </w:r>
          </w:p>
          <w:p w14:paraId="4EFA421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A total of 89 species of phytoplankton were identified in the stations throughout the March-December 2010 period. During study period, almost 71% of these were dinoflagellate species, 23% were diatom species and 6% consisted of other species, mainly coccolithophores (Ağırbaş et al., 2004). Primary productivity was measured by a combination of 14ºC in-situ incubation experiments on natural phytoplankton assemblages. Primary production rates varied notably within the water column with 0.1-40 mg cm -3 d -1, were always determined in the upper part of the euphotic zone down to the 10% of light intensity depth. The depth-integrated production rates ranged from 285 to 565 mg cm -2 d -1 for the coastal station and from 126 to 530 mg cm -2 d -1 for the offshore station (ANOVA, P&gt;0.05). The average Chl-a concentrations within the euphotic zone ranged from 0.30 to 3.57 µg L -1 for the coastal station and from 0.25 to 3.45 µg L -1 for the offshore station (ANOVA, P0.05). The correlation between integrated PP and Chl-a values for the coastal station (r 2 = 0.98; P0.05) (Ağırbaş et al., 2014).</w:t>
            </w:r>
          </w:p>
        </w:tc>
      </w:tr>
      <w:tr w:rsidR="00A876F3" w:rsidRPr="0088780C" w14:paraId="6B5A885F" w14:textId="77777777" w:rsidTr="006972AD">
        <w:tc>
          <w:tcPr>
            <w:tcW w:w="779" w:type="pct"/>
            <w:shd w:val="clear" w:color="auto" w:fill="auto"/>
          </w:tcPr>
          <w:p w14:paraId="4C8B6CA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1BD32D0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0F73963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056EE6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204121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 xml:space="preserve">X </w:t>
            </w:r>
          </w:p>
        </w:tc>
        <w:tc>
          <w:tcPr>
            <w:tcW w:w="436" w:type="pct"/>
            <w:gridSpan w:val="2"/>
            <w:shd w:val="clear" w:color="auto" w:fill="auto"/>
          </w:tcPr>
          <w:p w14:paraId="7137238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 xml:space="preserve"> </w:t>
            </w:r>
          </w:p>
        </w:tc>
      </w:tr>
      <w:tr w:rsidR="00A876F3" w:rsidRPr="0088780C" w14:paraId="7F853B72" w14:textId="77777777" w:rsidTr="00217E02">
        <w:trPr>
          <w:cantSplit/>
        </w:trPr>
        <w:tc>
          <w:tcPr>
            <w:tcW w:w="5000" w:type="pct"/>
            <w:gridSpan w:val="11"/>
            <w:shd w:val="clear" w:color="auto" w:fill="auto"/>
          </w:tcPr>
          <w:p w14:paraId="0B2E9A61"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15E5241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w:t>
            </w:r>
            <w:r w:rsidRPr="0088780C">
              <w:rPr>
                <w:snapToGrid w:val="0"/>
                <w:kern w:val="22"/>
                <w:szCs w:val="22"/>
              </w:rPr>
              <w:t xml:space="preserve">he area overlaps with a marine </w:t>
            </w:r>
            <w:r w:rsidRPr="0088780C">
              <w:rPr>
                <w:rFonts w:eastAsia="MS Mincho"/>
                <w:snapToGrid w:val="0"/>
                <w:kern w:val="22"/>
                <w:szCs w:val="22"/>
              </w:rPr>
              <w:t>Important Bird and Biodiversity Area (IBA; BirdLife International 2017) that is regionally important for two seabird species: velvet scoter (</w:t>
            </w:r>
            <w:r w:rsidRPr="0088780C">
              <w:rPr>
                <w:rFonts w:eastAsia="MS Mincho"/>
                <w:i/>
                <w:snapToGrid w:val="0"/>
                <w:kern w:val="22"/>
                <w:szCs w:val="22"/>
              </w:rPr>
              <w:t>Melanitta fusca)</w:t>
            </w:r>
            <w:r w:rsidRPr="0088780C">
              <w:rPr>
                <w:rFonts w:eastAsia="MS Mincho"/>
                <w:snapToGrid w:val="0"/>
                <w:kern w:val="22"/>
                <w:szCs w:val="22"/>
              </w:rPr>
              <w:t xml:space="preserve"> and Caspian gull (</w:t>
            </w:r>
            <w:r w:rsidRPr="0088780C">
              <w:rPr>
                <w:rFonts w:eastAsia="MS Mincho"/>
                <w:i/>
                <w:snapToGrid w:val="0"/>
                <w:kern w:val="22"/>
                <w:szCs w:val="22"/>
              </w:rPr>
              <w:t>Larus cachinnans)</w:t>
            </w:r>
            <w:r w:rsidRPr="0088780C">
              <w:rPr>
                <w:rFonts w:eastAsia="MS Mincho"/>
                <w:snapToGrid w:val="0"/>
                <w:kern w:val="22"/>
                <w:szCs w:val="22"/>
              </w:rPr>
              <w:t>. A third species, mew gull (</w:t>
            </w:r>
            <w:r w:rsidRPr="0088780C">
              <w:rPr>
                <w:rFonts w:eastAsia="MS Mincho"/>
                <w:i/>
                <w:snapToGrid w:val="0"/>
                <w:kern w:val="22"/>
                <w:szCs w:val="22"/>
              </w:rPr>
              <w:t>Larus canus),</w:t>
            </w:r>
            <w:r w:rsidRPr="0088780C">
              <w:rPr>
                <w:rFonts w:eastAsia="MS Mincho"/>
                <w:snapToGrid w:val="0"/>
                <w:kern w:val="22"/>
                <w:szCs w:val="22"/>
              </w:rPr>
              <w:t xml:space="preserve"> is also known to occur. (</w:t>
            </w:r>
            <w:r w:rsidRPr="0088780C">
              <w:rPr>
                <w:snapToGrid w:val="0"/>
                <w:kern w:val="22"/>
                <w:szCs w:val="22"/>
              </w:rPr>
              <w:t>BirdLife International 2017)</w:t>
            </w:r>
            <w:r w:rsidRPr="0088780C">
              <w:rPr>
                <w:rFonts w:eastAsia="MS Mincho"/>
                <w:snapToGrid w:val="0"/>
                <w:kern w:val="22"/>
                <w:szCs w:val="22"/>
              </w:rPr>
              <w:t>.</w:t>
            </w:r>
          </w:p>
          <w:p w14:paraId="12A5C68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an underwater bioreserve with a complex biodiversity structure. Many of the fish species (at least 15) are resident in this rocky environment, which has three dominant algal species (Erüz, 2007).</w:t>
            </w:r>
          </w:p>
          <w:p w14:paraId="7CBD9914"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Sezgin et al. (2010) investigated the diversity of macrozoobenthos of the eastern Black Sea region of Turkey at 39 stations (13m -79 m depth range) and reported that the polychaete </w:t>
            </w:r>
            <w:r w:rsidRPr="0088780C">
              <w:rPr>
                <w:i/>
                <w:snapToGrid w:val="0"/>
                <w:kern w:val="22"/>
                <w:szCs w:val="22"/>
              </w:rPr>
              <w:t>Melinna palmata</w:t>
            </w:r>
            <w:r w:rsidRPr="0088780C">
              <w:rPr>
                <w:snapToGrid w:val="0"/>
                <w:kern w:val="22"/>
                <w:szCs w:val="22"/>
              </w:rPr>
              <w:t xml:space="preserve">, and the mollusks </w:t>
            </w:r>
            <w:r w:rsidRPr="0088780C">
              <w:rPr>
                <w:i/>
                <w:snapToGrid w:val="0"/>
                <w:kern w:val="22"/>
                <w:szCs w:val="22"/>
              </w:rPr>
              <w:t>Lentidium mediterraneum, Lucinella divaricata</w:t>
            </w:r>
            <w:r w:rsidRPr="0088780C">
              <w:rPr>
                <w:snapToGrid w:val="0"/>
                <w:kern w:val="22"/>
                <w:szCs w:val="22"/>
              </w:rPr>
              <w:t xml:space="preserve"> and </w:t>
            </w:r>
            <w:r w:rsidRPr="0088780C">
              <w:rPr>
                <w:i/>
                <w:snapToGrid w:val="0"/>
                <w:kern w:val="22"/>
                <w:szCs w:val="22"/>
              </w:rPr>
              <w:t>Chamelea gallina</w:t>
            </w:r>
            <w:r w:rsidRPr="0088780C">
              <w:rPr>
                <w:snapToGrid w:val="0"/>
                <w:kern w:val="22"/>
                <w:szCs w:val="22"/>
              </w:rPr>
              <w:t xml:space="preserve"> were the most dominant species, while the polychaetes </w:t>
            </w:r>
            <w:r w:rsidRPr="0088780C">
              <w:rPr>
                <w:i/>
                <w:snapToGrid w:val="0"/>
                <w:kern w:val="22"/>
                <w:szCs w:val="22"/>
              </w:rPr>
              <w:t>M. palmata, Micronephths stammeri, A. fragilis mediterranea, C. gallina</w:t>
            </w:r>
            <w:r w:rsidRPr="0088780C">
              <w:rPr>
                <w:snapToGrid w:val="0"/>
                <w:kern w:val="22"/>
                <w:szCs w:val="22"/>
              </w:rPr>
              <w:t xml:space="preserve"> and </w:t>
            </w:r>
            <w:r w:rsidRPr="0088780C">
              <w:rPr>
                <w:i/>
                <w:snapToGrid w:val="0"/>
                <w:kern w:val="22"/>
                <w:szCs w:val="22"/>
              </w:rPr>
              <w:t>Pitar rudis</w:t>
            </w:r>
            <w:r w:rsidRPr="0088780C">
              <w:rPr>
                <w:snapToGrid w:val="0"/>
                <w:kern w:val="22"/>
                <w:szCs w:val="22"/>
              </w:rPr>
              <w:t xml:space="preserve"> were recorded as frequent in the area.</w:t>
            </w:r>
          </w:p>
          <w:p w14:paraId="10A6A06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According to Çelikkale et al. (1989) harbour porpoises were found all along the Turkish Black Sea coast, including in this area.</w:t>
            </w:r>
          </w:p>
          <w:p w14:paraId="63639CDA"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A total of 15 zooplankton species, seven of which belonged to the copepod group, were identified (Yıldız &amp; Feyzioğlu, 2014)</w:t>
            </w:r>
          </w:p>
        </w:tc>
      </w:tr>
      <w:tr w:rsidR="00A876F3" w:rsidRPr="0088780C" w14:paraId="6CDA99A8" w14:textId="77777777" w:rsidTr="006972AD">
        <w:tc>
          <w:tcPr>
            <w:tcW w:w="783" w:type="pct"/>
            <w:shd w:val="clear" w:color="auto" w:fill="auto"/>
          </w:tcPr>
          <w:p w14:paraId="354685F7"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6D8E30D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02F3A4D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5807503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2B9D9A8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 xml:space="preserve">X </w:t>
            </w:r>
          </w:p>
        </w:tc>
        <w:tc>
          <w:tcPr>
            <w:tcW w:w="385" w:type="pct"/>
            <w:shd w:val="clear" w:color="auto" w:fill="auto"/>
          </w:tcPr>
          <w:p w14:paraId="583E65F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 xml:space="preserve"> </w:t>
            </w:r>
          </w:p>
        </w:tc>
      </w:tr>
      <w:tr w:rsidR="00A876F3" w:rsidRPr="0088780C" w14:paraId="6AE8C849" w14:textId="77777777" w:rsidTr="006972AD">
        <w:tc>
          <w:tcPr>
            <w:tcW w:w="5000" w:type="pct"/>
            <w:gridSpan w:val="11"/>
            <w:shd w:val="clear" w:color="auto" w:fill="auto"/>
          </w:tcPr>
          <w:p w14:paraId="1945B593"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22537F7A" w14:textId="77777777"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This is a reserve area that is closed to fisheries.</w:t>
            </w:r>
          </w:p>
          <w:p w14:paraId="784E3233" w14:textId="77777777" w:rsidR="00A876F3" w:rsidRPr="0088780C" w:rsidRDefault="00A876F3" w:rsidP="001013AF">
            <w:pPr>
              <w:suppressLineNumbers/>
              <w:tabs>
                <w:tab w:val="num" w:pos="720"/>
              </w:tabs>
              <w:suppressAutoHyphens/>
              <w:kinsoku w:val="0"/>
              <w:overflowPunct w:val="0"/>
              <w:autoSpaceDE w:val="0"/>
              <w:autoSpaceDN w:val="0"/>
              <w:rPr>
                <w:rFonts w:eastAsia="MS Mincho"/>
                <w:snapToGrid w:val="0"/>
                <w:kern w:val="22"/>
                <w:szCs w:val="22"/>
              </w:rPr>
            </w:pPr>
          </w:p>
        </w:tc>
      </w:tr>
    </w:tbl>
    <w:p w14:paraId="7F5878C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01F3A0D" w14:textId="77777777" w:rsidR="00A876F3" w:rsidRPr="0088780C" w:rsidRDefault="00A876F3" w:rsidP="00217E02">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4902B5A7"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Ağırbaş, A., Feyzioğlu, A. M., Kopuz, U. 2014. Seasonal Changes of Phytoplankton Chlorophyll a, Primary Production and their Relation in the Continental Shelf Area of the South Eastern Black Sea. Turkish Journal of Fisheries and Aquatic Sciences 14: 713-726. </w:t>
      </w:r>
    </w:p>
    <w:p w14:paraId="07FF929A"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Avsar, N. B., Kutoğlu, S. H., Jin, S. and Erol B. 2014. Investigation of Sea Level Change Along The Black Sea Coast From Tıde Gauge And Satellite Altimetry</w:t>
      </w:r>
    </w:p>
    <w:p w14:paraId="72A7D205"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BirdLife International 2017. Important Bird Areas factsheet: Eastern Black Sea Mountains. Downloaded from </w:t>
      </w:r>
      <w:hyperlink r:id="rId214" w:history="1">
        <w:r w:rsidRPr="0088780C">
          <w:rPr>
            <w:rStyle w:val="Hyperlink"/>
            <w:snapToGrid w:val="0"/>
            <w:kern w:val="22"/>
            <w:szCs w:val="22"/>
          </w:rPr>
          <w:t>http://datazone.birdlife.org/site/factsheet/eastern-black-sea-mountains-iba-turkey/details on 05/04/2017</w:t>
        </w:r>
      </w:hyperlink>
      <w:r w:rsidRPr="0088780C">
        <w:rPr>
          <w:snapToGrid w:val="0"/>
          <w:kern w:val="22"/>
          <w:szCs w:val="22"/>
        </w:rPr>
        <w:t>.</w:t>
      </w:r>
    </w:p>
    <w:p w14:paraId="2B30ECE0"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Birkun A., Jr., Krivokhizhin S. (1998). Distribution of Small Cetaceans in the Northern Part of the Black Sea: Cetacean Strandings on Black Sea Coast of the Crimea in 1989-1996 and Cetacean Sightings in the Kerch Strait in 1997 (Report for CIESM, Monaco). BREMA Laboratory, Simferopol, 67 p.</w:t>
      </w:r>
    </w:p>
    <w:p w14:paraId="0EFC05F3"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Birkun Jr., A.A. &amp; Frantzis, A. 2008. </w:t>
      </w:r>
      <w:r w:rsidRPr="0088780C">
        <w:rPr>
          <w:i/>
          <w:iCs/>
          <w:snapToGrid w:val="0"/>
          <w:kern w:val="22"/>
          <w:szCs w:val="22"/>
        </w:rPr>
        <w:t>Phocoena phocoena ssp. relicta</w:t>
      </w:r>
      <w:r w:rsidRPr="0088780C">
        <w:rPr>
          <w:snapToGrid w:val="0"/>
          <w:kern w:val="22"/>
          <w:szCs w:val="22"/>
        </w:rPr>
        <w:t>. The IUCN Red List of Threatened Species. Version 2015.1. &lt;www.iucnredlist.org&gt;. Downloaded on 18 June 2015.</w:t>
      </w:r>
    </w:p>
    <w:p w14:paraId="757CF412"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Birkun, B. A. (2002). The current status of bottlenose dolphins in the Black Sea, 2, 1–25.</w:t>
      </w:r>
    </w:p>
    <w:p w14:paraId="55AC4A9A"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Celikkale, M.S., Unsal, S., Karacam, H., Durukanoglu, H.F. and Duzgunes, E., 1988. Assessment of dolphin stocks and their biological characteristics in the Black Sea. Projects and Applications General Directorate, Ministry of Agriculture, Forestry and Rural Affairs, Turkey, 80 pp. (In Turkish).</w:t>
      </w:r>
    </w:p>
    <w:p w14:paraId="4DB6DDB8"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Erkan, F., Gücü, A.C. (2000) The diel vertical distribution of zooplankton in the Southeast Black Sea. Turk J Zool. 24: 417-427.</w:t>
      </w:r>
    </w:p>
    <w:p w14:paraId="7B64CBA2"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bCs/>
          <w:snapToGrid w:val="0"/>
          <w:kern w:val="22"/>
          <w:szCs w:val="22"/>
        </w:rPr>
        <w:t>Eruz, Coskun. 2007. Environmentally Sensitive marine and ıntegrated Coastal Areas in Eastern Black Sea.(Report).</w:t>
      </w:r>
      <w:r w:rsidRPr="0088780C">
        <w:rPr>
          <w:rFonts w:eastAsia="MS Mincho"/>
          <w:snapToGrid w:val="0"/>
          <w:kern w:val="22"/>
          <w:szCs w:val="22"/>
        </w:rPr>
        <w:t xml:space="preserve"> Black Sea Technical University, Faculty of Marine Science.</w:t>
      </w:r>
    </w:p>
    <w:p w14:paraId="64E5065A"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rFonts w:eastAsia="Times New Roman"/>
          <w:snapToGrid w:val="0"/>
          <w:color w:val="212121"/>
          <w:kern w:val="22"/>
          <w:szCs w:val="22"/>
          <w:lang w:eastAsia="tr-TR"/>
        </w:rPr>
        <w:t>Gol’din, P. 2004. Grow and body size of the harbour porpoise, Phocoena phocoena (Cetacea, Phocoenidae), in the Sea of Azov and the Black Sea.Vestinik zoologii 38(4) : 59-73.</w:t>
      </w:r>
    </w:p>
    <w:p w14:paraId="41319851"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http://giovanni.sci.gsfc.nasa.gov, 2017</w:t>
      </w:r>
    </w:p>
    <w:p w14:paraId="26AD2B4D"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Mutlu, E., 1994. Qualitative and quantitative distribution of benthic molluscs along the Turkish Black Sea. Boll. Malacologico, 30: 277-286.</w:t>
      </w:r>
    </w:p>
    <w:p w14:paraId="5C62F493" w14:textId="1A04DFCB"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Saydam, G., 2015. Cetacean distributio</w:t>
      </w:r>
      <w:r w:rsidR="00217E02" w:rsidRPr="0088780C">
        <w:rPr>
          <w:snapToGrid w:val="0"/>
          <w:kern w:val="22"/>
          <w:szCs w:val="22"/>
        </w:rPr>
        <w:t>n in t</w:t>
      </w:r>
      <w:r w:rsidRPr="0088780C">
        <w:rPr>
          <w:snapToGrid w:val="0"/>
          <w:kern w:val="22"/>
          <w:szCs w:val="22"/>
        </w:rPr>
        <w:t>he Southern Black Sea: An Acoustıc Approach. 2015. Ms. Thesis.</w:t>
      </w:r>
    </w:p>
    <w:p w14:paraId="5B4D8FCE"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Sezgin, M., Kirkim, F., Dagli, E., Dogan, A., Unluoglu, A., Katagan, T. &amp; Benli, H.A., 2010. Sublittoral soft-bottom zoobenthic communities and diversity of southern coast of the Black Sea (Turkey). Rapp Comm Int Mer Medit 39: 662.</w:t>
      </w:r>
    </w:p>
    <w:p w14:paraId="4992BAF6"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Ünal, E. (2002) Seasonality of zooplankton in the Southern Black Sea in 1999 and genetics of Calanus euxinus (Copepoda). M.Sc. Thesis, IMS-Middle East Technical University, Ankara, p. 202.</w:t>
      </w:r>
    </w:p>
    <w:p w14:paraId="1D1B4324"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Sorokin, Y.A. 2002. The Black Sea: ecology and oceanography. Biology of Inland Waters. Backhuys, Leiden, The Netherlands, 875 pp.</w:t>
      </w:r>
    </w:p>
    <w:p w14:paraId="39EB7267"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Vedernikov, V.I. and Demidov, A.B. 1997. Vertical distribution of primary production and chlorophyll during different seasons in deep regions of the Black Sea. Oceanology 37: 376–384</w:t>
      </w:r>
    </w:p>
    <w:p w14:paraId="1890A759"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Yankova, M. Black Sea Fish Check List. Commission on the Protection of the Black Sea against Pollution, </w:t>
      </w:r>
      <w:hyperlink r:id="rId215" w:history="1">
        <w:r w:rsidRPr="0088780C">
          <w:rPr>
            <w:rStyle w:val="Hyperlink"/>
            <w:snapToGrid w:val="0"/>
            <w:kern w:val="22"/>
            <w:szCs w:val="22"/>
          </w:rPr>
          <w:t>http://www.blacksea-commission.org/_publ-BSFishList.asp</w:t>
        </w:r>
      </w:hyperlink>
      <w:r w:rsidRPr="0088780C">
        <w:rPr>
          <w:snapToGrid w:val="0"/>
          <w:kern w:val="22"/>
          <w:szCs w:val="22"/>
        </w:rPr>
        <w:t>.</w:t>
      </w:r>
    </w:p>
    <w:p w14:paraId="0070B137" w14:textId="77777777"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Yilmaz, A., Coban-Yildiz, Y. and Tugrul, S. 2006. Biogeochemical cycling and multilayer production in the Black Sea. Geophysical Research Abstracts, 8: 00541. doi: 1607-7962/gra/EGU06-A-00541</w:t>
      </w:r>
    </w:p>
    <w:p w14:paraId="7E4B4113" w14:textId="5AB237A4" w:rsidR="00A876F3" w:rsidRPr="0088780C" w:rsidRDefault="00A876F3" w:rsidP="00217E0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Yıldız, İ. and Feyzioğlu, A. M. 2014. Biological diversity and seasonal variation of mesozooplankton in the </w:t>
      </w:r>
      <w:r w:rsidR="00953367" w:rsidRPr="0088780C">
        <w:rPr>
          <w:snapToGrid w:val="0"/>
          <w:kern w:val="22"/>
          <w:szCs w:val="22"/>
        </w:rPr>
        <w:t>south-east</w:t>
      </w:r>
      <w:r w:rsidRPr="0088780C">
        <w:rPr>
          <w:snapToGrid w:val="0"/>
          <w:kern w:val="22"/>
          <w:szCs w:val="22"/>
        </w:rPr>
        <w:t>ern Black Sea coastal ecosystem. Turkish Journal of Zoology. 38: 179 – 190.</w:t>
      </w:r>
    </w:p>
    <w:p w14:paraId="280C7BA7" w14:textId="77777777" w:rsidR="00A876F3" w:rsidRPr="0088780C" w:rsidRDefault="00A876F3" w:rsidP="001013AF">
      <w:pPr>
        <w:suppressLineNumbers/>
        <w:suppressAutoHyphens/>
        <w:kinsoku w:val="0"/>
        <w:overflowPunct w:val="0"/>
        <w:autoSpaceDE w:val="0"/>
        <w:autoSpaceDN w:val="0"/>
        <w:ind w:left="709" w:hanging="709"/>
        <w:rPr>
          <w:snapToGrid w:val="0"/>
          <w:kern w:val="22"/>
          <w:szCs w:val="22"/>
        </w:rPr>
      </w:pPr>
    </w:p>
    <w:p w14:paraId="01F07D8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br w:type="page"/>
      </w:r>
    </w:p>
    <w:p w14:paraId="020C5EF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2FA2EE30"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18987F7A"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noProof/>
          <w:snapToGrid w:val="0"/>
          <w:kern w:val="22"/>
          <w:szCs w:val="22"/>
          <w:lang w:eastAsia="zh-CN"/>
        </w:rPr>
        <w:drawing>
          <wp:inline distT="0" distB="0" distL="0" distR="0" wp14:anchorId="3E4F8F0D" wp14:editId="0D2FC483">
            <wp:extent cx="5486400" cy="4572000"/>
            <wp:effectExtent l="0" t="0" r="0" b="0"/>
            <wp:docPr id="64566" name="Picture 64566" descr="C:\Users\grekin\AppData\Local\Microsoft\Windows\Temporary Internet Files\Content.Word\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rekin\AppData\Local\Microsoft\Windows\Temporary Internet Files\Content.Word\16.pn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2D5F2790" w14:textId="2567893F"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rPr>
        <w:t xml:space="preserve">Figure 1. </w:t>
      </w:r>
      <w:r w:rsidRPr="0088780C">
        <w:rPr>
          <w:rFonts w:eastAsia="MS Mincho"/>
          <w:b/>
          <w:bCs/>
          <w:snapToGrid w:val="0"/>
          <w:color w:val="000000" w:themeColor="text1"/>
          <w:kern w:val="22"/>
          <w:szCs w:val="22"/>
        </w:rPr>
        <w:t>Area meeting the EBSA criteria</w:t>
      </w:r>
    </w:p>
    <w:p w14:paraId="367D9AA7"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0BA2BC4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7D1CDD4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7C928072" wp14:editId="1B5691B9">
            <wp:extent cx="3209143" cy="1756076"/>
            <wp:effectExtent l="0" t="0" r="0" b="0"/>
            <wp:docPr id="413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a:blip r:embed="rId217"/>
                    <a:stretch>
                      <a:fillRect/>
                    </a:stretch>
                  </pic:blipFill>
                  <pic:spPr>
                    <a:xfrm>
                      <a:off x="0" y="0"/>
                      <a:ext cx="3209143" cy="1756076"/>
                    </a:xfrm>
                    <a:prstGeom prst="rect">
                      <a:avLst/>
                    </a:prstGeom>
                  </pic:spPr>
                </pic:pic>
              </a:graphicData>
            </a:graphic>
          </wp:inline>
        </w:drawing>
      </w:r>
    </w:p>
    <w:p w14:paraId="5762F56B" w14:textId="4412423F"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rPr>
        <w:t>Figure 2</w:t>
      </w:r>
      <w:r w:rsidR="001841D4" w:rsidRPr="0088780C">
        <w:rPr>
          <w:rFonts w:eastAsia="MS Mincho"/>
          <w:b/>
          <w:bCs/>
          <w:snapToGrid w:val="0"/>
          <w:color w:val="000000"/>
          <w:kern w:val="22"/>
          <w:szCs w:val="22"/>
        </w:rPr>
        <w:t>. A scene from Trabzon-Arsin</w:t>
      </w:r>
    </w:p>
    <w:p w14:paraId="0A6DDBEC"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339A9C3D"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Cs/>
          <w:noProof/>
          <w:snapToGrid w:val="0"/>
          <w:color w:val="000000"/>
          <w:kern w:val="22"/>
          <w:szCs w:val="22"/>
          <w:lang w:eastAsia="zh-CN"/>
        </w:rPr>
        <w:drawing>
          <wp:inline distT="0" distB="0" distL="0" distR="0" wp14:anchorId="632126DE" wp14:editId="09DD097D">
            <wp:extent cx="5760720" cy="2244621"/>
            <wp:effectExtent l="0" t="0" r="0" b="3810"/>
            <wp:docPr id="413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760720" cy="2244621"/>
                    </a:xfrm>
                    <a:prstGeom prst="rect">
                      <a:avLst/>
                    </a:prstGeom>
                    <a:noFill/>
                    <a:ln>
                      <a:noFill/>
                    </a:ln>
                  </pic:spPr>
                </pic:pic>
              </a:graphicData>
            </a:graphic>
          </wp:inline>
        </w:drawing>
      </w:r>
    </w:p>
    <w:p w14:paraId="4D68B02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B11F1E9" w14:textId="0B844148" w:rsidR="00A876F3" w:rsidRPr="0088780C" w:rsidRDefault="00A876F3" w:rsidP="001841D4">
      <w:pPr>
        <w:suppressLineNumbers/>
        <w:suppressAutoHyphens/>
        <w:kinsoku w:val="0"/>
        <w:overflowPunct w:val="0"/>
        <w:autoSpaceDE w:val="0"/>
        <w:autoSpaceDN w:val="0"/>
        <w:adjustRightInd w:val="0"/>
        <w:rPr>
          <w:rFonts w:eastAsiaTheme="minorHAnsi"/>
          <w:b/>
          <w:snapToGrid w:val="0"/>
          <w:kern w:val="22"/>
          <w:szCs w:val="22"/>
        </w:rPr>
      </w:pPr>
      <w:r w:rsidRPr="0088780C">
        <w:rPr>
          <w:rFonts w:eastAsiaTheme="minorHAnsi"/>
          <w:b/>
          <w:snapToGrid w:val="0"/>
          <w:kern w:val="22"/>
          <w:szCs w:val="22"/>
        </w:rPr>
        <w:t>Figure 3. Cetacean detection positive C-POD stations during October 2014 cruise, with respect to classified click trains after the analysis (Saydam, 2015)</w:t>
      </w:r>
    </w:p>
    <w:p w14:paraId="6BC92B30" w14:textId="77777777" w:rsidR="001841D4" w:rsidRPr="0088780C" w:rsidRDefault="001841D4" w:rsidP="001013AF">
      <w:pPr>
        <w:suppressLineNumbers/>
        <w:suppressAutoHyphens/>
        <w:kinsoku w:val="0"/>
        <w:overflowPunct w:val="0"/>
        <w:autoSpaceDE w:val="0"/>
        <w:autoSpaceDN w:val="0"/>
        <w:rPr>
          <w:rFonts w:eastAsia="MS Mincho"/>
          <w:bCs/>
          <w:snapToGrid w:val="0"/>
          <w:kern w:val="22"/>
          <w:szCs w:val="22"/>
        </w:rPr>
      </w:pPr>
    </w:p>
    <w:p w14:paraId="0B01831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540F49D8" w14:textId="020D6B45"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17:</w:t>
      </w:r>
      <w:r w:rsidRPr="0088780C">
        <w:rPr>
          <w:snapToGrid w:val="0"/>
          <w:kern w:val="22"/>
          <w:szCs w:val="22"/>
        </w:rPr>
        <w:t xml:space="preserve"> </w:t>
      </w:r>
      <w:r w:rsidRPr="0088780C">
        <w:rPr>
          <w:b/>
          <w:snapToGrid w:val="0"/>
          <w:kern w:val="22"/>
          <w:szCs w:val="22"/>
        </w:rPr>
        <w:t>Giresun – Tirebolu</w:t>
      </w:r>
    </w:p>
    <w:p w14:paraId="6990D5A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4618756" w14:textId="1F8ACDF2"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Abstract</w:t>
      </w:r>
    </w:p>
    <w:p w14:paraId="5C91F15E"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snapToGrid w:val="0"/>
          <w:kern w:val="22"/>
          <w:szCs w:val="22"/>
        </w:rPr>
        <w:t>This area is very important for marine pelagic and demersal fish species, especially turbot</w:t>
      </w:r>
      <w:r w:rsidRPr="0088780C">
        <w:rPr>
          <w:rFonts w:eastAsia="MS Mincho"/>
          <w:i/>
          <w:snapToGrid w:val="0"/>
          <w:kern w:val="22"/>
          <w:szCs w:val="22"/>
        </w:rPr>
        <w:t xml:space="preserve"> (Psetta maxima</w:t>
      </w:r>
      <w:r w:rsidRPr="0088780C">
        <w:rPr>
          <w:rFonts w:eastAsia="MS Mincho"/>
          <w:snapToGrid w:val="0"/>
          <w:kern w:val="22"/>
          <w:szCs w:val="22"/>
        </w:rPr>
        <w:t>), red mullet</w:t>
      </w:r>
      <w:r w:rsidRPr="0088780C">
        <w:rPr>
          <w:rFonts w:eastAsia="MS Mincho"/>
          <w:i/>
          <w:snapToGrid w:val="0"/>
          <w:kern w:val="22"/>
          <w:szCs w:val="22"/>
        </w:rPr>
        <w:t xml:space="preserve"> (Mullus barbatus</w:t>
      </w:r>
      <w:r w:rsidRPr="0088780C">
        <w:rPr>
          <w:rFonts w:eastAsia="MS Mincho"/>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grey mullet</w:t>
      </w:r>
      <w:r w:rsidRPr="0088780C">
        <w:rPr>
          <w:rFonts w:eastAsia="MS Mincho"/>
          <w:i/>
          <w:snapToGrid w:val="0"/>
          <w:kern w:val="22"/>
          <w:szCs w:val="22"/>
        </w:rPr>
        <w:t xml:space="preserve"> (Mugil</w:t>
      </w:r>
      <w:r w:rsidRPr="0088780C">
        <w:rPr>
          <w:rFonts w:eastAsia="MS Mincho"/>
          <w:snapToGrid w:val="0"/>
          <w:kern w:val="22"/>
          <w:szCs w:val="22"/>
        </w:rPr>
        <w:t xml:space="preserve"> spp.), and for seagrass</w:t>
      </w:r>
      <w:r w:rsidRPr="0088780C">
        <w:rPr>
          <w:rFonts w:eastAsia="MS Mincho"/>
          <w:i/>
          <w:snapToGrid w:val="0"/>
          <w:kern w:val="22"/>
          <w:szCs w:val="22"/>
        </w:rPr>
        <w:t xml:space="preserve"> (Zostera</w:t>
      </w:r>
      <w:r w:rsidRPr="0088780C">
        <w:rPr>
          <w:rFonts w:eastAsia="MS Mincho"/>
          <w:snapToGrid w:val="0"/>
          <w:kern w:val="22"/>
          <w:szCs w:val="22"/>
        </w:rPr>
        <w:t>). This area is an underwater canyon area, which provides reproduction and breeding grounds for demersal and pelagic fish species.</w:t>
      </w:r>
      <w:r w:rsidRPr="0088780C">
        <w:rPr>
          <w:snapToGrid w:val="0"/>
          <w:kern w:val="22"/>
          <w:szCs w:val="22"/>
        </w:rPr>
        <w:t xml:space="preserve"> </w:t>
      </w:r>
      <w:r w:rsidRPr="0088780C">
        <w:rPr>
          <w:rFonts w:eastAsia="MS Mincho"/>
          <w:snapToGrid w:val="0"/>
          <w:kern w:val="22"/>
          <w:szCs w:val="22"/>
        </w:rPr>
        <w:t>Biological diversity of this part of the Black Sea is very high, such that the area overlaps with a marine Important Bird and Biodiversity Area, primarily designated for its importance as wintering area for the vulnerable yelkouan shearwater (</w:t>
      </w:r>
      <w:r w:rsidRPr="0088780C">
        <w:rPr>
          <w:rFonts w:eastAsia="MS Mincho"/>
          <w:i/>
          <w:snapToGrid w:val="0"/>
          <w:kern w:val="22"/>
          <w:szCs w:val="22"/>
        </w:rPr>
        <w:t>Puffinus yelkouan</w:t>
      </w:r>
      <w:r w:rsidRPr="0088780C">
        <w:rPr>
          <w:rFonts w:eastAsia="MS Mincho"/>
          <w:snapToGrid w:val="0"/>
          <w:kern w:val="22"/>
          <w:szCs w:val="22"/>
        </w:rPr>
        <w:t>). The yelkouan shearwater is a Mediterranean endemic, and some 30 to 40 per cent of the population migrate to the Black Sea during the non-breeding season. The importance of the area for this species was confirmed by studies based on tracking birds from their colonies, and also from studies of habitat suitability. Studies conducted on the crustaceans of sandy muddy biotopes on the seabeds of central and eastern Black Sea indicate that species diversity is relatively high in shallow waters (&lt;50 m) and that diversity decreases in a direct correlation with increasing depth.</w:t>
      </w:r>
    </w:p>
    <w:p w14:paraId="65E5783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F40CFD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6472FF84" w14:textId="15C8A796"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snapToGrid w:val="0"/>
          <w:kern w:val="22"/>
          <w:szCs w:val="22"/>
        </w:rPr>
        <w:t>Tirebolu is a town within th</w:t>
      </w:r>
      <w:r w:rsidR="001841D4" w:rsidRPr="0088780C">
        <w:rPr>
          <w:rFonts w:eastAsia="MS Mincho"/>
          <w:snapToGrid w:val="0"/>
          <w:kern w:val="22"/>
          <w:szCs w:val="22"/>
        </w:rPr>
        <w:t xml:space="preserve">e district of Giresun, Turkey, </w:t>
      </w:r>
      <w:r w:rsidRPr="0088780C">
        <w:rPr>
          <w:rFonts w:eastAsia="MS Mincho"/>
          <w:snapToGrid w:val="0"/>
          <w:kern w:val="22"/>
          <w:szCs w:val="22"/>
        </w:rPr>
        <w:t xml:space="preserve">located in the eastern part of the Black Sea. </w:t>
      </w:r>
      <w:r w:rsidRPr="0088780C">
        <w:rPr>
          <w:snapToGrid w:val="0"/>
          <w:color w:val="222222"/>
          <w:kern w:val="22"/>
          <w:szCs w:val="22"/>
          <w:shd w:val="clear" w:color="auto" w:fill="FFFFFF"/>
        </w:rPr>
        <w:t xml:space="preserve">The length of the coast is about 20 km. </w:t>
      </w:r>
      <w:r w:rsidRPr="0088780C">
        <w:rPr>
          <w:snapToGrid w:val="0"/>
          <w:color w:val="222222"/>
          <w:kern w:val="22"/>
          <w:szCs w:val="22"/>
        </w:rPr>
        <w:t xml:space="preserve">Mean sea surface temperature is considerably different from the western part of the sea due to </w:t>
      </w:r>
      <w:r w:rsidRPr="0088780C">
        <w:rPr>
          <w:snapToGrid w:val="0"/>
          <w:kern w:val="22"/>
          <w:szCs w:val="22"/>
        </w:rPr>
        <w:t>the greater exposure of the western Black Sea to the cold air outbreaks from continental Europe, whereas the eastern basinis are protected from such cold outbreaks by the mountain chains along the southern and eastern coastlines. The relatively deep interior part of the sea is also slightly cooler than the peripheral zone due to the persistent upwelling motion associated with the cyclonic circulation system (</w:t>
      </w:r>
      <w:hyperlink r:id="rId219" w:history="1">
        <w:r w:rsidRPr="0088780C">
          <w:rPr>
            <w:rStyle w:val="Hyperlink"/>
            <w:snapToGrid w:val="0"/>
            <w:kern w:val="22"/>
            <w:szCs w:val="22"/>
          </w:rPr>
          <w:t>http://giovanni.sci.gsfc.nasa.gov</w:t>
        </w:r>
      </w:hyperlink>
      <w:r w:rsidR="001841D4" w:rsidRPr="0088780C">
        <w:rPr>
          <w:snapToGrid w:val="0"/>
          <w:kern w:val="22"/>
          <w:szCs w:val="22"/>
        </w:rPr>
        <w:t>, 2017).</w:t>
      </w:r>
    </w:p>
    <w:p w14:paraId="2AC14791" w14:textId="77777777" w:rsidR="00A876F3" w:rsidRPr="0088780C" w:rsidRDefault="00A876F3" w:rsidP="001013AF">
      <w:pPr>
        <w:suppressLineNumbers/>
        <w:suppressAutoHyphens/>
        <w:kinsoku w:val="0"/>
        <w:overflowPunct w:val="0"/>
        <w:autoSpaceDE w:val="0"/>
        <w:autoSpaceDN w:val="0"/>
        <w:rPr>
          <w:snapToGrid w:val="0"/>
          <w:color w:val="333333"/>
          <w:kern w:val="22"/>
          <w:szCs w:val="22"/>
        </w:rPr>
      </w:pPr>
    </w:p>
    <w:p w14:paraId="53E34CA2"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The biological diversity of this part of the Black Sea is very high; t</w:t>
      </w:r>
      <w:r w:rsidRPr="0088780C">
        <w:rPr>
          <w:rFonts w:eastAsia="MS Mincho"/>
          <w:snapToGrid w:val="0"/>
          <w:kern w:val="22"/>
          <w:sz w:val="22"/>
          <w:szCs w:val="22"/>
          <w:lang w:val="en-GB"/>
        </w:rPr>
        <w:t>he area overlaps with a marine Important Bird and Biodiversity Area (IBA; BirdLife International 2017a), designated primarily for its importance as a wintering area for the vulnerable yelkouan shearwater (</w:t>
      </w:r>
      <w:r w:rsidRPr="0088780C">
        <w:rPr>
          <w:rFonts w:eastAsia="MS Mincho"/>
          <w:i/>
          <w:snapToGrid w:val="0"/>
          <w:kern w:val="22"/>
          <w:sz w:val="22"/>
          <w:szCs w:val="22"/>
          <w:lang w:val="en-GB"/>
        </w:rPr>
        <w:t>Puffinus yelkouan</w:t>
      </w:r>
      <w:r w:rsidRPr="0088780C">
        <w:rPr>
          <w:rFonts w:eastAsia="MS Mincho"/>
          <w:snapToGrid w:val="0"/>
          <w:kern w:val="22"/>
          <w:sz w:val="22"/>
          <w:szCs w:val="22"/>
          <w:lang w:val="en-GB"/>
        </w:rPr>
        <w:t>). The yelkouan shearwater is a Mediterranean endemic (</w:t>
      </w:r>
      <w:r w:rsidRPr="0088780C">
        <w:rPr>
          <w:snapToGrid w:val="0"/>
          <w:kern w:val="22"/>
          <w:sz w:val="22"/>
          <w:szCs w:val="22"/>
          <w:lang w:val="en-GB"/>
        </w:rPr>
        <w:t>BirdLife International, 2017b), some</w:t>
      </w:r>
      <w:r w:rsidRPr="0088780C">
        <w:rPr>
          <w:rFonts w:eastAsia="MS Mincho"/>
          <w:snapToGrid w:val="0"/>
          <w:kern w:val="22"/>
          <w:sz w:val="22"/>
          <w:szCs w:val="22"/>
          <w:lang w:val="en-GB"/>
        </w:rPr>
        <w:t xml:space="preserve"> 30 to 40 per cent of which migrate to the Black Sea during the non-breeding season. The importance of the area for this species was confirmed by studies based on tracking birds from their colonies (</w:t>
      </w:r>
      <w:r w:rsidRPr="0088780C">
        <w:rPr>
          <w:snapToGrid w:val="0"/>
          <w:kern w:val="22"/>
          <w:sz w:val="22"/>
          <w:szCs w:val="22"/>
          <w:lang w:val="en-GB"/>
        </w:rPr>
        <w:t>Raine et al. 2012; Péron et al. 2013; Seabird Tracking Database 2017), and also from studies of habitat suitability (Ortega &amp; İsfendiyaroğlu 2017).</w:t>
      </w:r>
    </w:p>
    <w:p w14:paraId="51FFBD37"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5B0AC311"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Studies conducted on the crustaceans of the sandy, muddy biotopes on the seabeds of the central and eastern Black Sea indicate that species diversity is relatively high in shallow waters (&lt;50 m) and that diversity decreases in a direct correlation with increasing depth (Kirkim et al., 2006). Silty sea floors support high mollusk diversity (Mutlu, 1994). </w:t>
      </w:r>
      <w:r w:rsidRPr="0088780C">
        <w:rPr>
          <w:i/>
          <w:snapToGrid w:val="0"/>
          <w:kern w:val="22"/>
          <w:sz w:val="22"/>
          <w:szCs w:val="22"/>
          <w:lang w:val="en-GB"/>
        </w:rPr>
        <w:t>Lucinella divaricata, Chamelea gallina, Donax venustus</w:t>
      </w:r>
      <w:r w:rsidRPr="0088780C">
        <w:rPr>
          <w:snapToGrid w:val="0"/>
          <w:kern w:val="22"/>
          <w:sz w:val="22"/>
          <w:szCs w:val="22"/>
          <w:lang w:val="en-GB"/>
        </w:rPr>
        <w:t xml:space="preserve"> and </w:t>
      </w:r>
      <w:r w:rsidRPr="0088780C">
        <w:rPr>
          <w:i/>
          <w:snapToGrid w:val="0"/>
          <w:kern w:val="22"/>
          <w:sz w:val="22"/>
          <w:szCs w:val="22"/>
          <w:lang w:val="en-GB"/>
        </w:rPr>
        <w:t>Mytilaster lineatus</w:t>
      </w:r>
      <w:r w:rsidRPr="0088780C">
        <w:rPr>
          <w:snapToGrid w:val="0"/>
          <w:kern w:val="22"/>
          <w:sz w:val="22"/>
          <w:szCs w:val="22"/>
          <w:lang w:val="en-GB"/>
        </w:rPr>
        <w:t xml:space="preserve"> were commonly found in sediments with high sand content (93%) (Mutlu, 1994). </w:t>
      </w:r>
    </w:p>
    <w:p w14:paraId="46EA4615"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248F647B" w14:textId="06DC4F80"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 xml:space="preserve">Sezgin et al. (2010) investigated the diversity of the macrozoobenthos of the eastern Black Sea region of Turkey at 39 stations (13m -79 m depth range) and reported that the polychaete </w:t>
      </w:r>
      <w:r w:rsidRPr="0088780C">
        <w:rPr>
          <w:i/>
          <w:snapToGrid w:val="0"/>
          <w:kern w:val="22"/>
          <w:sz w:val="22"/>
          <w:szCs w:val="22"/>
          <w:lang w:val="en-GB"/>
        </w:rPr>
        <w:t xml:space="preserve">Melinna palmata, </w:t>
      </w:r>
      <w:r w:rsidRPr="0088780C">
        <w:rPr>
          <w:snapToGrid w:val="0"/>
          <w:kern w:val="22"/>
          <w:sz w:val="22"/>
          <w:szCs w:val="22"/>
          <w:lang w:val="en-GB"/>
        </w:rPr>
        <w:t>and the mollusks</w:t>
      </w:r>
      <w:r w:rsidRPr="0088780C">
        <w:rPr>
          <w:i/>
          <w:snapToGrid w:val="0"/>
          <w:kern w:val="22"/>
          <w:sz w:val="22"/>
          <w:szCs w:val="22"/>
          <w:lang w:val="en-GB"/>
        </w:rPr>
        <w:t xml:space="preserve"> Lentidium mediterraneum, Lucinella divaricata</w:t>
      </w:r>
      <w:r w:rsidRPr="0088780C">
        <w:rPr>
          <w:snapToGrid w:val="0"/>
          <w:kern w:val="22"/>
          <w:sz w:val="22"/>
          <w:szCs w:val="22"/>
          <w:lang w:val="en-GB"/>
        </w:rPr>
        <w:t xml:space="preserve"> and </w:t>
      </w:r>
      <w:r w:rsidRPr="0088780C">
        <w:rPr>
          <w:i/>
          <w:snapToGrid w:val="0"/>
          <w:kern w:val="22"/>
          <w:sz w:val="22"/>
          <w:szCs w:val="22"/>
          <w:lang w:val="en-GB"/>
        </w:rPr>
        <w:t>Chamelea gallina</w:t>
      </w:r>
      <w:r w:rsidRPr="0088780C">
        <w:rPr>
          <w:snapToGrid w:val="0"/>
          <w:kern w:val="22"/>
          <w:sz w:val="22"/>
          <w:szCs w:val="22"/>
          <w:lang w:val="en-GB"/>
        </w:rPr>
        <w:t xml:space="preserve"> were the most dominant species, while the polychaetes </w:t>
      </w:r>
      <w:r w:rsidRPr="0088780C">
        <w:rPr>
          <w:i/>
          <w:snapToGrid w:val="0"/>
          <w:kern w:val="22"/>
          <w:sz w:val="22"/>
          <w:szCs w:val="22"/>
          <w:lang w:val="en-GB"/>
        </w:rPr>
        <w:t>M. palmata, Micronephths stammeri, A. fragilis mediterranea, mollusks C. gallina</w:t>
      </w:r>
      <w:r w:rsidRPr="0088780C">
        <w:rPr>
          <w:snapToGrid w:val="0"/>
          <w:kern w:val="22"/>
          <w:sz w:val="22"/>
          <w:szCs w:val="22"/>
          <w:lang w:val="en-GB"/>
        </w:rPr>
        <w:t xml:space="preserve"> and </w:t>
      </w:r>
      <w:r w:rsidRPr="0088780C">
        <w:rPr>
          <w:i/>
          <w:snapToGrid w:val="0"/>
          <w:kern w:val="22"/>
          <w:sz w:val="22"/>
          <w:szCs w:val="22"/>
          <w:lang w:val="en-GB"/>
        </w:rPr>
        <w:t>Pitar rudis</w:t>
      </w:r>
      <w:r w:rsidRPr="0088780C">
        <w:rPr>
          <w:snapToGrid w:val="0"/>
          <w:kern w:val="22"/>
          <w:sz w:val="22"/>
          <w:szCs w:val="22"/>
          <w:lang w:val="en-GB"/>
        </w:rPr>
        <w:t xml:space="preserve"> were re</w:t>
      </w:r>
      <w:r w:rsidR="001841D4" w:rsidRPr="0088780C">
        <w:rPr>
          <w:snapToGrid w:val="0"/>
          <w:kern w:val="22"/>
          <w:sz w:val="22"/>
          <w:szCs w:val="22"/>
          <w:lang w:val="en-GB"/>
        </w:rPr>
        <w:t>corded as frequent in the area.</w:t>
      </w:r>
    </w:p>
    <w:p w14:paraId="2C0E75C9" w14:textId="77777777" w:rsidR="00A876F3" w:rsidRPr="0088780C" w:rsidRDefault="00A876F3" w:rsidP="001013AF">
      <w:pPr>
        <w:pStyle w:val="NormalWeb"/>
        <w:suppressLineNumbers/>
        <w:shd w:val="clear" w:color="auto" w:fill="FFFFFF"/>
        <w:suppressAutoHyphens/>
        <w:kinsoku w:val="0"/>
        <w:overflowPunct w:val="0"/>
        <w:autoSpaceDE w:val="0"/>
        <w:autoSpaceDN w:val="0"/>
        <w:spacing w:before="0" w:beforeAutospacing="0" w:after="0" w:afterAutospacing="0"/>
        <w:jc w:val="both"/>
        <w:rPr>
          <w:snapToGrid w:val="0"/>
          <w:kern w:val="22"/>
          <w:sz w:val="22"/>
          <w:szCs w:val="22"/>
          <w:lang w:val="en-GB"/>
        </w:rPr>
      </w:pPr>
    </w:p>
    <w:p w14:paraId="41C9753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bCs/>
          <w:snapToGrid w:val="0"/>
          <w:color w:val="000000"/>
          <w:kern w:val="22"/>
          <w:szCs w:val="22"/>
        </w:rPr>
        <w:t>The area is also important for threatened, endangered or declining species and/or habitats. Special importance for life-history stages of species is high in birds, and the area overlaps with a globally important non-breeding area for the yelkouan shearwater (</w:t>
      </w:r>
      <w:r w:rsidRPr="0088780C">
        <w:rPr>
          <w:rFonts w:eastAsia="MS Mincho"/>
          <w:bCs/>
          <w:i/>
          <w:snapToGrid w:val="0"/>
          <w:color w:val="000000"/>
          <w:kern w:val="22"/>
          <w:szCs w:val="22"/>
        </w:rPr>
        <w:t xml:space="preserve">Puffinus yelkouan) </w:t>
      </w:r>
      <w:r w:rsidRPr="0088780C">
        <w:rPr>
          <w:rFonts w:eastAsia="MS Mincho"/>
          <w:bCs/>
          <w:snapToGrid w:val="0"/>
          <w:color w:val="000000"/>
          <w:kern w:val="22"/>
          <w:szCs w:val="22"/>
        </w:rPr>
        <w:t>(listed as vulnerable by IUCN) (BirdLife International 2017).</w:t>
      </w:r>
      <w:r w:rsidRPr="0088780C">
        <w:rPr>
          <w:rFonts w:eastAsia="MS Mincho"/>
          <w:bCs/>
          <w:i/>
          <w:snapToGrid w:val="0"/>
          <w:color w:val="000000"/>
          <w:kern w:val="22"/>
          <w:szCs w:val="22"/>
        </w:rPr>
        <w:t xml:space="preserve"> </w:t>
      </w:r>
      <w:r w:rsidRPr="0088780C">
        <w:rPr>
          <w:rFonts w:eastAsia="MS Mincho"/>
          <w:bCs/>
          <w:snapToGrid w:val="0"/>
          <w:color w:val="000000"/>
          <w:kern w:val="22"/>
          <w:szCs w:val="22"/>
        </w:rPr>
        <w:t xml:space="preserve">It </w:t>
      </w:r>
      <w:r w:rsidRPr="0088780C">
        <w:rPr>
          <w:snapToGrid w:val="0"/>
          <w:kern w:val="22"/>
          <w:szCs w:val="22"/>
        </w:rPr>
        <w:t>also includes  feeding sites for the Mediterranean endemic subspecies of European shag</w:t>
      </w:r>
      <w:r w:rsidRPr="0088780C">
        <w:rPr>
          <w:i/>
          <w:snapToGrid w:val="0"/>
          <w:kern w:val="22"/>
          <w:szCs w:val="22"/>
        </w:rPr>
        <w:t xml:space="preserve"> (Phalacrocorax aristotelis desmarestii)</w:t>
      </w:r>
      <w:r w:rsidRPr="0088780C">
        <w:rPr>
          <w:snapToGrid w:val="0"/>
          <w:kern w:val="22"/>
          <w:szCs w:val="22"/>
        </w:rPr>
        <w:t xml:space="preserve"> during the breeding season (Doğa Derneği 2014).</w:t>
      </w:r>
    </w:p>
    <w:p w14:paraId="68A2869C"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E130163"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rFonts w:eastAsia="MS Mincho"/>
          <w:bCs/>
          <w:snapToGrid w:val="0"/>
          <w:color w:val="000000"/>
          <w:kern w:val="22"/>
          <w:szCs w:val="22"/>
        </w:rPr>
        <w:t>The area also overlaps with the distribution range of another vulnerable species, the Velvet Scoter (</w:t>
      </w:r>
      <w:r w:rsidRPr="0088780C">
        <w:rPr>
          <w:rFonts w:eastAsia="MS Mincho"/>
          <w:bCs/>
          <w:i/>
          <w:snapToGrid w:val="0"/>
          <w:color w:val="000000"/>
          <w:kern w:val="22"/>
          <w:szCs w:val="22"/>
        </w:rPr>
        <w:t xml:space="preserve">Melanitta fusca) </w:t>
      </w:r>
      <w:r w:rsidRPr="0088780C">
        <w:rPr>
          <w:rFonts w:eastAsia="MS Mincho"/>
          <w:bCs/>
          <w:snapToGrid w:val="0"/>
          <w:color w:val="000000"/>
          <w:kern w:val="22"/>
          <w:szCs w:val="22"/>
        </w:rPr>
        <w:t>(BirdLife International 2017)</w:t>
      </w:r>
      <w:r w:rsidRPr="0088780C">
        <w:rPr>
          <w:rFonts w:eastAsia="MS Mincho"/>
          <w:bCs/>
          <w:i/>
          <w:snapToGrid w:val="0"/>
          <w:color w:val="000000"/>
          <w:kern w:val="22"/>
          <w:szCs w:val="22"/>
        </w:rPr>
        <w:t>.</w:t>
      </w:r>
      <w:r w:rsidRPr="0088780C">
        <w:rPr>
          <w:rFonts w:eastAsia="MS Mincho"/>
          <w:bCs/>
          <w:snapToGrid w:val="0"/>
          <w:color w:val="000000"/>
          <w:kern w:val="22"/>
          <w:szCs w:val="22"/>
        </w:rPr>
        <w:t xml:space="preserve"> These two species are also included on Annex I of the EU Birds Directive.</w:t>
      </w:r>
    </w:p>
    <w:p w14:paraId="7A291053"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1464266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6123218D"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r w:rsidRPr="0088780C">
        <w:rPr>
          <w:snapToGrid w:val="0"/>
          <w:kern w:val="22"/>
          <w:szCs w:val="22"/>
          <w:shd w:val="clear" w:color="auto" w:fill="FFFFFF"/>
        </w:rPr>
        <w:t>Tirebolu is a town and a district of</w:t>
      </w:r>
      <w:r w:rsidRPr="0088780C">
        <w:rPr>
          <w:rStyle w:val="apple-converted-space"/>
          <w:snapToGrid w:val="0"/>
          <w:kern w:val="22"/>
          <w:szCs w:val="22"/>
          <w:shd w:val="clear" w:color="auto" w:fill="FFFFFF"/>
        </w:rPr>
        <w:t> </w:t>
      </w:r>
      <w:r w:rsidRPr="0088780C">
        <w:rPr>
          <w:snapToGrid w:val="0"/>
          <w:kern w:val="22"/>
          <w:szCs w:val="22"/>
          <w:shd w:val="clear" w:color="auto" w:fill="FFFFFF"/>
        </w:rPr>
        <w:t>Giresun Province</w:t>
      </w:r>
      <w:r w:rsidRPr="0088780C">
        <w:rPr>
          <w:rStyle w:val="apple-converted-space"/>
          <w:snapToGrid w:val="0"/>
          <w:kern w:val="22"/>
          <w:szCs w:val="22"/>
          <w:shd w:val="clear" w:color="auto" w:fill="FFFFFF"/>
        </w:rPr>
        <w:t> </w:t>
      </w:r>
      <w:r w:rsidRPr="0088780C">
        <w:rPr>
          <w:snapToGrid w:val="0"/>
          <w:kern w:val="22"/>
          <w:szCs w:val="22"/>
          <w:shd w:val="clear" w:color="auto" w:fill="FFFFFF"/>
        </w:rPr>
        <w:t>located in the</w:t>
      </w:r>
      <w:r w:rsidRPr="0088780C">
        <w:rPr>
          <w:rStyle w:val="apple-converted-space"/>
          <w:snapToGrid w:val="0"/>
          <w:kern w:val="22"/>
          <w:szCs w:val="22"/>
          <w:shd w:val="clear" w:color="auto" w:fill="FFFFFF"/>
        </w:rPr>
        <w:t> south-eastern part of the Black Sea</w:t>
      </w:r>
      <w:r w:rsidRPr="0088780C">
        <w:rPr>
          <w:snapToGrid w:val="0"/>
          <w:kern w:val="22"/>
          <w:szCs w:val="22"/>
          <w:shd w:val="clear" w:color="auto" w:fill="FFFFFF"/>
        </w:rPr>
        <w:t>. It is located with the Black Sea to the north, Güce and Espiye to the west, Görele to the east and Doğankent to the south.</w:t>
      </w:r>
    </w:p>
    <w:p w14:paraId="1BCB0507"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p>
    <w:p w14:paraId="568C991C" w14:textId="2E068F23"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shd w:val="clear" w:color="auto" w:fill="FFFFFF"/>
        </w:rPr>
        <w:t xml:space="preserve">The area is located between </w:t>
      </w:r>
      <w:r w:rsidRPr="0088780C">
        <w:rPr>
          <w:snapToGrid w:val="0"/>
          <w:kern w:val="22"/>
          <w:szCs w:val="22"/>
        </w:rPr>
        <w:t xml:space="preserve">40 59.23' N – 38 46.415' E, 41 0.241' N- 38 46.415' E, 41 0.489' N –38 48.48' </w:t>
      </w:r>
      <w:r w:rsidR="001841D4" w:rsidRPr="0088780C">
        <w:rPr>
          <w:snapToGrid w:val="0"/>
          <w:kern w:val="22"/>
          <w:szCs w:val="22"/>
        </w:rPr>
        <w:t>E and 41 0.24' N - 38 48.48' E.</w:t>
      </w:r>
    </w:p>
    <w:p w14:paraId="6ADAB085"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62B2C6F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7F88CEA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sea water of Tirebolu is a mixture of brackish, fresh and salt water. It has rocky and sandy soil structure. The sandy, rocky and river-mouth canyon structures protect the benthic and pelagic biodiversity of the area, which is an important fish breeding and feeding area. The region is home to the second-largest river in the eastern Black Sea region (Harşit River) and forms a rich habitat in the region with the alluviums and nutrients it carries. The area is permanently closed to fisheries.</w:t>
      </w:r>
    </w:p>
    <w:p w14:paraId="3E6D728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7CE866C" w14:textId="49B69283"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Special importance for life-history stages of species in birds is high and the area overlaps with a globally important non-breeding area for the yelkouan shearwater (</w:t>
      </w:r>
      <w:r w:rsidRPr="0088780C">
        <w:rPr>
          <w:rFonts w:eastAsia="MS Mincho"/>
          <w:i/>
          <w:snapToGrid w:val="0"/>
          <w:kern w:val="22"/>
          <w:szCs w:val="22"/>
        </w:rPr>
        <w:t>Puffinus yelkouan)</w:t>
      </w:r>
      <w:r w:rsidR="001841D4" w:rsidRPr="0088780C">
        <w:rPr>
          <w:rFonts w:eastAsia="MS Mincho"/>
          <w:snapToGrid w:val="0"/>
          <w:kern w:val="22"/>
          <w:szCs w:val="22"/>
        </w:rPr>
        <w:t>.</w:t>
      </w:r>
    </w:p>
    <w:p w14:paraId="1907A29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4F668E1"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snapToGrid w:val="0"/>
          <w:kern w:val="22"/>
          <w:szCs w:val="22"/>
        </w:rPr>
        <w:t>The yelkouan shearwater is a Mediterranean endemic (</w:t>
      </w:r>
      <w:r w:rsidRPr="0088780C">
        <w:rPr>
          <w:snapToGrid w:val="0"/>
          <w:kern w:val="22"/>
          <w:szCs w:val="22"/>
        </w:rPr>
        <w:t>BirdLife International, 2017b),</w:t>
      </w:r>
      <w:r w:rsidRPr="0088780C">
        <w:rPr>
          <w:rFonts w:eastAsia="MS Mincho"/>
          <w:snapToGrid w:val="0"/>
          <w:kern w:val="22"/>
          <w:szCs w:val="22"/>
        </w:rPr>
        <w:t xml:space="preserve">  30 to 40 per cent of which migrate  to the Black Sea during the non-breeding season. The importance of the area for this species was confirmed by studies based on tracking birds from their colonies (</w:t>
      </w:r>
      <w:r w:rsidRPr="0088780C">
        <w:rPr>
          <w:snapToGrid w:val="0"/>
          <w:kern w:val="22"/>
          <w:szCs w:val="22"/>
        </w:rPr>
        <w:t>Raine et al. 2012, Péron et al. 2013, Seabird Tracking Database 2017), and also from studies of habitat suitability (Ortega &amp; İsfendiyaroğlu 2017). The area</w:t>
      </w:r>
      <w:r w:rsidRPr="0088780C">
        <w:rPr>
          <w:rFonts w:eastAsia="MS Mincho"/>
          <w:snapToGrid w:val="0"/>
          <w:kern w:val="22"/>
          <w:szCs w:val="22"/>
        </w:rPr>
        <w:t xml:space="preserve"> also includes the feeding sites for the Mediterranean endemic subspecies of the European shag (</w:t>
      </w:r>
      <w:r w:rsidRPr="0088780C">
        <w:rPr>
          <w:rFonts w:eastAsia="MS Mincho"/>
          <w:i/>
          <w:snapToGrid w:val="0"/>
          <w:kern w:val="22"/>
          <w:szCs w:val="22"/>
        </w:rPr>
        <w:t>Phalacrocorax aristotelis desmarestii)</w:t>
      </w:r>
      <w:r w:rsidRPr="0088780C">
        <w:rPr>
          <w:rFonts w:eastAsia="MS Mincho"/>
          <w:snapToGrid w:val="0"/>
          <w:kern w:val="22"/>
          <w:szCs w:val="22"/>
        </w:rPr>
        <w:t xml:space="preserve"> during the breeding season (Doğa Derneği 2014) and another vulnerable species, the velvet scoter (</w:t>
      </w:r>
      <w:r w:rsidRPr="0088780C">
        <w:rPr>
          <w:rFonts w:eastAsia="MS Mincho"/>
          <w:i/>
          <w:snapToGrid w:val="0"/>
          <w:kern w:val="22"/>
          <w:szCs w:val="22"/>
        </w:rPr>
        <w:t>Melanitta fusca)</w:t>
      </w:r>
      <w:r w:rsidRPr="0088780C">
        <w:rPr>
          <w:rFonts w:eastAsia="MS Mincho"/>
          <w:snapToGrid w:val="0"/>
          <w:kern w:val="22"/>
          <w:szCs w:val="22"/>
        </w:rPr>
        <w:t xml:space="preserve"> (BirdLife International 2017).</w:t>
      </w:r>
    </w:p>
    <w:p w14:paraId="0C2265A5"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EA21F9E" w14:textId="7C1F7D8F" w:rsidR="00A876F3" w:rsidRPr="0088780C" w:rsidRDefault="00A876F3" w:rsidP="001013AF">
      <w:pPr>
        <w:suppressLineNumbers/>
        <w:suppressAutoHyphens/>
        <w:kinsoku w:val="0"/>
        <w:overflowPunct w:val="0"/>
        <w:autoSpaceDE w:val="0"/>
        <w:autoSpaceDN w:val="0"/>
        <w:rPr>
          <w:rFonts w:eastAsiaTheme="minorHAnsi"/>
          <w:snapToGrid w:val="0"/>
          <w:color w:val="000000"/>
          <w:kern w:val="22"/>
          <w:szCs w:val="22"/>
        </w:rPr>
      </w:pPr>
      <w:r w:rsidRPr="0088780C">
        <w:rPr>
          <w:rFonts w:eastAsiaTheme="minorHAnsi"/>
          <w:bCs/>
          <w:iCs/>
          <w:snapToGrid w:val="0"/>
          <w:color w:val="000000"/>
          <w:kern w:val="22"/>
          <w:szCs w:val="22"/>
          <w:u w:val="single"/>
        </w:rPr>
        <w:t>14 fish species reported to ocur in the area (Erüz, 2007)</w:t>
      </w:r>
    </w:p>
    <w:p w14:paraId="4CA3BE79" w14:textId="5F20CC36" w:rsidR="00A876F3" w:rsidRPr="0088780C" w:rsidRDefault="00A876F3" w:rsidP="001013AF">
      <w:pPr>
        <w:suppressLineNumbers/>
        <w:suppressAutoHyphens/>
        <w:kinsoku w:val="0"/>
        <w:overflowPunct w:val="0"/>
        <w:autoSpaceDE w:val="0"/>
        <w:autoSpaceDN w:val="0"/>
        <w:adjustRightInd w:val="0"/>
        <w:rPr>
          <w:rFonts w:eastAsia="MS Mincho"/>
          <w:i/>
          <w:snapToGrid w:val="0"/>
          <w:kern w:val="22"/>
          <w:szCs w:val="22"/>
        </w:rPr>
      </w:pPr>
      <w:r w:rsidRPr="0088780C">
        <w:rPr>
          <w:rFonts w:eastAsia="MS Mincho"/>
          <w:i/>
          <w:iCs/>
          <w:snapToGrid w:val="0"/>
          <w:kern w:val="22"/>
          <w:szCs w:val="22"/>
        </w:rPr>
        <w:t>Psetta maxima</w:t>
      </w:r>
      <w:r w:rsidRPr="0088780C">
        <w:rPr>
          <w:rFonts w:eastAsia="MS Mincho"/>
          <w:iCs/>
          <w:snapToGrid w:val="0"/>
          <w:kern w:val="22"/>
          <w:szCs w:val="22"/>
        </w:rPr>
        <w:t>(Turbot)</w:t>
      </w:r>
    </w:p>
    <w:p w14:paraId="40CF0C23"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r w:rsidRPr="0088780C">
        <w:rPr>
          <w:rFonts w:eastAsia="MS Mincho"/>
          <w:i/>
          <w:iCs/>
          <w:snapToGrid w:val="0"/>
          <w:kern w:val="22"/>
          <w:szCs w:val="22"/>
        </w:rPr>
        <w:t xml:space="preserve">Sciaena umbra </w:t>
      </w:r>
      <w:r w:rsidRPr="0088780C">
        <w:rPr>
          <w:rFonts w:eastAsia="MS Mincho"/>
          <w:iCs/>
          <w:snapToGrid w:val="0"/>
          <w:kern w:val="22"/>
          <w:szCs w:val="22"/>
        </w:rPr>
        <w:t>(Brown meagre)</w:t>
      </w:r>
    </w:p>
    <w:p w14:paraId="62116EEF"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r w:rsidRPr="0088780C">
        <w:rPr>
          <w:rFonts w:eastAsia="MS Mincho"/>
          <w:i/>
          <w:iCs/>
          <w:snapToGrid w:val="0"/>
          <w:kern w:val="22"/>
          <w:szCs w:val="22"/>
        </w:rPr>
        <w:t xml:space="preserve">Diplodus puntazzo </w:t>
      </w:r>
      <w:r w:rsidRPr="0088780C">
        <w:rPr>
          <w:rFonts w:eastAsia="MS Mincho"/>
          <w:iCs/>
          <w:snapToGrid w:val="0"/>
          <w:kern w:val="22"/>
          <w:szCs w:val="22"/>
        </w:rPr>
        <w:t>(Sharpsnout seabream)</w:t>
      </w:r>
    </w:p>
    <w:p w14:paraId="51D9A6F5"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r w:rsidRPr="0088780C">
        <w:rPr>
          <w:rFonts w:eastAsia="MS Mincho"/>
          <w:i/>
          <w:iCs/>
          <w:snapToGrid w:val="0"/>
          <w:kern w:val="22"/>
          <w:szCs w:val="22"/>
        </w:rPr>
        <w:t xml:space="preserve">Dicentrarchus labrax </w:t>
      </w:r>
      <w:r w:rsidRPr="0088780C">
        <w:rPr>
          <w:rFonts w:eastAsia="MS Mincho"/>
          <w:iCs/>
          <w:snapToGrid w:val="0"/>
          <w:kern w:val="22"/>
          <w:szCs w:val="22"/>
        </w:rPr>
        <w:t>(Common bass)</w:t>
      </w:r>
    </w:p>
    <w:p w14:paraId="25E6E091" w14:textId="2A68C155"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 xml:space="preserve">Liza aurata </w:t>
      </w:r>
      <w:r w:rsidRPr="0088780C">
        <w:rPr>
          <w:rFonts w:eastAsia="MS Mincho"/>
          <w:iCs/>
          <w:snapToGrid w:val="0"/>
          <w:kern w:val="22"/>
          <w:szCs w:val="22"/>
        </w:rPr>
        <w:t>(Golden grey mullet)</w:t>
      </w:r>
    </w:p>
    <w:p w14:paraId="2541F32B" w14:textId="62DE9A64"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Mugil</w:t>
      </w:r>
      <w:r w:rsidRPr="0088780C">
        <w:rPr>
          <w:rFonts w:eastAsia="MS Mincho"/>
          <w:i/>
          <w:snapToGrid w:val="0"/>
          <w:kern w:val="22"/>
          <w:szCs w:val="22"/>
        </w:rPr>
        <w:t xml:space="preserve"> </w:t>
      </w:r>
      <w:r w:rsidRPr="0088780C">
        <w:rPr>
          <w:rFonts w:eastAsia="MS Mincho"/>
          <w:i/>
          <w:iCs/>
          <w:snapToGrid w:val="0"/>
          <w:kern w:val="22"/>
          <w:szCs w:val="22"/>
        </w:rPr>
        <w:t xml:space="preserve">cephalus </w:t>
      </w:r>
      <w:r w:rsidRPr="0088780C">
        <w:rPr>
          <w:rFonts w:eastAsia="MS Mincho"/>
          <w:iCs/>
          <w:snapToGrid w:val="0"/>
          <w:kern w:val="22"/>
          <w:szCs w:val="22"/>
        </w:rPr>
        <w:t>(Flathead mullet)</w:t>
      </w:r>
    </w:p>
    <w:p w14:paraId="6E1A7FF3"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 xml:space="preserve">Mugil soiuy </w:t>
      </w:r>
      <w:r w:rsidRPr="0088780C">
        <w:rPr>
          <w:rFonts w:eastAsia="MS Mincho"/>
          <w:iCs/>
          <w:snapToGrid w:val="0"/>
          <w:kern w:val="22"/>
          <w:szCs w:val="22"/>
        </w:rPr>
        <w:t>(So-iuy mullet)</w:t>
      </w:r>
    </w:p>
    <w:p w14:paraId="09AB8A7C"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kern w:val="22"/>
          <w:szCs w:val="22"/>
        </w:rPr>
      </w:pPr>
      <w:r w:rsidRPr="0088780C">
        <w:rPr>
          <w:rFonts w:eastAsia="MS Mincho"/>
          <w:i/>
          <w:iCs/>
          <w:snapToGrid w:val="0"/>
          <w:kern w:val="22"/>
          <w:szCs w:val="22"/>
        </w:rPr>
        <w:t xml:space="preserve">Sparus aurata </w:t>
      </w:r>
      <w:r w:rsidRPr="0088780C">
        <w:rPr>
          <w:rFonts w:eastAsia="MS Mincho"/>
          <w:iCs/>
          <w:snapToGrid w:val="0"/>
          <w:kern w:val="22"/>
          <w:szCs w:val="22"/>
        </w:rPr>
        <w:t>(Gilthead seabream)</w:t>
      </w:r>
    </w:p>
    <w:p w14:paraId="14EC7E9B"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i/>
          <w:snapToGrid w:val="0"/>
          <w:kern w:val="22"/>
          <w:szCs w:val="22"/>
        </w:rPr>
        <w:t xml:space="preserve">Salpa salpa </w:t>
      </w:r>
      <w:r w:rsidRPr="0088780C">
        <w:rPr>
          <w:rFonts w:eastAsia="MS Mincho"/>
          <w:snapToGrid w:val="0"/>
          <w:kern w:val="22"/>
          <w:szCs w:val="22"/>
        </w:rPr>
        <w:t>(Goldline)</w:t>
      </w:r>
    </w:p>
    <w:p w14:paraId="4FC1C5B1"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r w:rsidRPr="0088780C">
        <w:rPr>
          <w:rFonts w:eastAsia="MS Mincho"/>
          <w:i/>
          <w:iCs/>
          <w:snapToGrid w:val="0"/>
          <w:kern w:val="22"/>
          <w:szCs w:val="22"/>
        </w:rPr>
        <w:t>Mullus</w:t>
      </w:r>
      <w:r w:rsidRPr="0088780C">
        <w:rPr>
          <w:rFonts w:eastAsia="MS Mincho"/>
          <w:i/>
          <w:snapToGrid w:val="0"/>
          <w:kern w:val="22"/>
          <w:szCs w:val="22"/>
        </w:rPr>
        <w:t xml:space="preserve"> </w:t>
      </w:r>
      <w:r w:rsidRPr="0088780C">
        <w:rPr>
          <w:rFonts w:eastAsia="MS Mincho"/>
          <w:i/>
          <w:iCs/>
          <w:snapToGrid w:val="0"/>
          <w:kern w:val="22"/>
          <w:szCs w:val="22"/>
        </w:rPr>
        <w:t xml:space="preserve">barbatus </w:t>
      </w:r>
      <w:r w:rsidRPr="0088780C">
        <w:rPr>
          <w:rFonts w:eastAsia="MS Mincho"/>
          <w:iCs/>
          <w:snapToGrid w:val="0"/>
          <w:kern w:val="22"/>
          <w:szCs w:val="22"/>
        </w:rPr>
        <w:t>(Red mullet)</w:t>
      </w:r>
    </w:p>
    <w:p w14:paraId="57C9F8C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i/>
          <w:iCs/>
          <w:snapToGrid w:val="0"/>
          <w:kern w:val="22"/>
          <w:szCs w:val="22"/>
        </w:rPr>
        <w:t xml:space="preserve">Dasyatis pastinaca </w:t>
      </w:r>
      <w:r w:rsidRPr="0088780C">
        <w:rPr>
          <w:rFonts w:eastAsia="MS Mincho"/>
          <w:iCs/>
          <w:snapToGrid w:val="0"/>
          <w:kern w:val="22"/>
          <w:szCs w:val="22"/>
        </w:rPr>
        <w:t>(Common stingray)</w:t>
      </w:r>
    </w:p>
    <w:p w14:paraId="7A59F68E" w14:textId="77777777" w:rsidR="00A876F3" w:rsidRPr="0088780C" w:rsidRDefault="00A876F3" w:rsidP="001013AF">
      <w:pPr>
        <w:suppressLineNumbers/>
        <w:suppressAutoHyphens/>
        <w:kinsoku w:val="0"/>
        <w:overflowPunct w:val="0"/>
        <w:autoSpaceDE w:val="0"/>
        <w:autoSpaceDN w:val="0"/>
        <w:adjustRightInd w:val="0"/>
        <w:rPr>
          <w:rFonts w:eastAsia="MS Mincho"/>
          <w:i/>
          <w:iCs/>
          <w:snapToGrid w:val="0"/>
          <w:kern w:val="22"/>
          <w:szCs w:val="22"/>
        </w:rPr>
      </w:pPr>
      <w:r w:rsidRPr="0088780C">
        <w:rPr>
          <w:rFonts w:eastAsia="MS Mincho"/>
          <w:i/>
          <w:iCs/>
          <w:snapToGrid w:val="0"/>
          <w:kern w:val="22"/>
          <w:szCs w:val="22"/>
        </w:rPr>
        <w:t xml:space="preserve">Diplodus annularis </w:t>
      </w:r>
      <w:r w:rsidRPr="0088780C">
        <w:rPr>
          <w:rFonts w:eastAsia="MS Mincho"/>
          <w:iCs/>
          <w:snapToGrid w:val="0"/>
          <w:kern w:val="22"/>
          <w:szCs w:val="22"/>
        </w:rPr>
        <w:t>(Annular seabream)</w:t>
      </w:r>
    </w:p>
    <w:p w14:paraId="6854A6FC"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kern w:val="22"/>
          <w:szCs w:val="22"/>
        </w:rPr>
      </w:pPr>
      <w:r w:rsidRPr="0088780C">
        <w:rPr>
          <w:rFonts w:eastAsia="MS Mincho"/>
          <w:i/>
          <w:iCs/>
          <w:snapToGrid w:val="0"/>
          <w:kern w:val="22"/>
          <w:szCs w:val="22"/>
        </w:rPr>
        <w:t>Syngnathus acus</w:t>
      </w:r>
      <w:r w:rsidRPr="0088780C">
        <w:rPr>
          <w:rFonts w:eastAsia="MS Mincho"/>
          <w:i/>
          <w:snapToGrid w:val="0"/>
          <w:kern w:val="22"/>
          <w:szCs w:val="22"/>
        </w:rPr>
        <w:t xml:space="preserve"> Linnaeus </w:t>
      </w:r>
      <w:r w:rsidRPr="0088780C">
        <w:rPr>
          <w:rFonts w:eastAsia="MS Mincho"/>
          <w:snapToGrid w:val="0"/>
          <w:kern w:val="22"/>
          <w:szCs w:val="22"/>
        </w:rPr>
        <w:t>(Greater pipefish)</w:t>
      </w:r>
    </w:p>
    <w:p w14:paraId="12970610"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r w:rsidRPr="0088780C">
        <w:rPr>
          <w:rFonts w:eastAsia="MS Mincho"/>
          <w:i/>
          <w:iCs/>
          <w:snapToGrid w:val="0"/>
          <w:kern w:val="22"/>
          <w:szCs w:val="22"/>
        </w:rPr>
        <w:t xml:space="preserve">Hippocampus hippocampus </w:t>
      </w:r>
      <w:r w:rsidRPr="0088780C">
        <w:rPr>
          <w:rFonts w:eastAsia="MS Mincho"/>
          <w:iCs/>
          <w:snapToGrid w:val="0"/>
          <w:kern w:val="22"/>
          <w:szCs w:val="22"/>
        </w:rPr>
        <w:t>(Short-snouted seahorse)</w:t>
      </w:r>
    </w:p>
    <w:p w14:paraId="46D05899"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kern w:val="22"/>
          <w:szCs w:val="22"/>
        </w:rPr>
      </w:pPr>
    </w:p>
    <w:p w14:paraId="41E3B5AE" w14:textId="77777777" w:rsidR="00A876F3" w:rsidRPr="0088780C" w:rsidRDefault="00A876F3" w:rsidP="001013AF">
      <w:pPr>
        <w:suppressLineNumbers/>
        <w:suppressAutoHyphens/>
        <w:kinsoku w:val="0"/>
        <w:overflowPunct w:val="0"/>
        <w:autoSpaceDE w:val="0"/>
        <w:autoSpaceDN w:val="0"/>
        <w:adjustRightInd w:val="0"/>
        <w:rPr>
          <w:rFonts w:eastAsiaTheme="minorHAnsi"/>
          <w:bCs/>
          <w:i/>
          <w:iCs/>
          <w:snapToGrid w:val="0"/>
          <w:color w:val="000000"/>
          <w:kern w:val="22"/>
          <w:szCs w:val="22"/>
          <w:u w:val="single"/>
        </w:rPr>
      </w:pPr>
      <w:r w:rsidRPr="0088780C">
        <w:rPr>
          <w:rFonts w:eastAsia="MS Mincho"/>
          <w:bCs/>
          <w:snapToGrid w:val="0"/>
          <w:kern w:val="22"/>
          <w:szCs w:val="22"/>
          <w:u w:val="single"/>
        </w:rPr>
        <w:t>Nine species of rocky algae found in the area:</w:t>
      </w:r>
    </w:p>
    <w:p w14:paraId="57BDB4B8" w14:textId="0FB27A1F" w:rsidR="00A876F3" w:rsidRPr="0088780C" w:rsidRDefault="001841D4"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Cystoseira barbata</w:t>
      </w:r>
    </w:p>
    <w:p w14:paraId="23CACEE3" w14:textId="231B4AEB" w:rsidR="00A876F3" w:rsidRPr="0088780C" w:rsidRDefault="001841D4" w:rsidP="001013AF">
      <w:pPr>
        <w:suppressLineNumbers/>
        <w:suppressAutoHyphens/>
        <w:kinsoku w:val="0"/>
        <w:overflowPunct w:val="0"/>
        <w:autoSpaceDE w:val="0"/>
        <w:autoSpaceDN w:val="0"/>
        <w:adjustRightInd w:val="0"/>
        <w:rPr>
          <w:rFonts w:eastAsiaTheme="minorHAnsi"/>
          <w:i/>
          <w:iCs/>
          <w:snapToGrid w:val="0"/>
          <w:color w:val="000000"/>
          <w:kern w:val="22"/>
          <w:szCs w:val="22"/>
        </w:rPr>
      </w:pPr>
      <w:r w:rsidRPr="0088780C">
        <w:rPr>
          <w:rFonts w:eastAsiaTheme="minorHAnsi"/>
          <w:i/>
          <w:iCs/>
          <w:snapToGrid w:val="0"/>
          <w:color w:val="000000"/>
          <w:kern w:val="22"/>
          <w:szCs w:val="22"/>
        </w:rPr>
        <w:t>Entoromorfha spp.</w:t>
      </w:r>
    </w:p>
    <w:p w14:paraId="366F9E5A" w14:textId="77777777" w:rsidR="00A876F3" w:rsidRPr="0088780C" w:rsidRDefault="00A876F3" w:rsidP="001013AF">
      <w:pPr>
        <w:suppressLineNumbers/>
        <w:suppressAutoHyphens/>
        <w:kinsoku w:val="0"/>
        <w:overflowPunct w:val="0"/>
        <w:autoSpaceDE w:val="0"/>
        <w:autoSpaceDN w:val="0"/>
        <w:rPr>
          <w:rFonts w:eastAsiaTheme="minorHAnsi"/>
          <w:i/>
          <w:iCs/>
          <w:snapToGrid w:val="0"/>
          <w:color w:val="000000"/>
          <w:kern w:val="22"/>
          <w:szCs w:val="22"/>
        </w:rPr>
      </w:pPr>
      <w:r w:rsidRPr="0088780C">
        <w:rPr>
          <w:rFonts w:eastAsiaTheme="minorHAnsi"/>
          <w:i/>
          <w:iCs/>
          <w:snapToGrid w:val="0"/>
          <w:color w:val="000000"/>
          <w:kern w:val="22"/>
          <w:szCs w:val="22"/>
        </w:rPr>
        <w:t>Ulva lactuca</w:t>
      </w:r>
    </w:p>
    <w:p w14:paraId="731AABE6" w14:textId="77777777" w:rsidR="00A876F3" w:rsidRPr="0088780C" w:rsidRDefault="00A876F3" w:rsidP="001013AF">
      <w:pPr>
        <w:suppressLineNumbers/>
        <w:suppressAutoHyphens/>
        <w:kinsoku w:val="0"/>
        <w:overflowPunct w:val="0"/>
        <w:autoSpaceDE w:val="0"/>
        <w:autoSpaceDN w:val="0"/>
        <w:rPr>
          <w:rFonts w:eastAsiaTheme="minorHAnsi"/>
          <w:i/>
          <w:iCs/>
          <w:snapToGrid w:val="0"/>
          <w:color w:val="000000"/>
          <w:kern w:val="22"/>
          <w:szCs w:val="22"/>
        </w:rPr>
      </w:pPr>
      <w:r w:rsidRPr="0088780C">
        <w:rPr>
          <w:rFonts w:eastAsiaTheme="minorHAnsi"/>
          <w:i/>
          <w:iCs/>
          <w:snapToGrid w:val="0"/>
          <w:color w:val="000000"/>
          <w:kern w:val="22"/>
          <w:szCs w:val="22"/>
        </w:rPr>
        <w:t>Zostera marina</w:t>
      </w:r>
    </w:p>
    <w:p w14:paraId="61418226" w14:textId="77777777" w:rsidR="00A876F3" w:rsidRPr="0088780C" w:rsidRDefault="00A876F3" w:rsidP="001013AF">
      <w:pPr>
        <w:suppressLineNumbers/>
        <w:suppressAutoHyphens/>
        <w:kinsoku w:val="0"/>
        <w:overflowPunct w:val="0"/>
        <w:autoSpaceDE w:val="0"/>
        <w:autoSpaceDN w:val="0"/>
        <w:rPr>
          <w:rFonts w:eastAsiaTheme="minorHAnsi"/>
          <w:i/>
          <w:iCs/>
          <w:snapToGrid w:val="0"/>
          <w:color w:val="000000"/>
          <w:kern w:val="22"/>
          <w:szCs w:val="22"/>
        </w:rPr>
      </w:pPr>
      <w:r w:rsidRPr="0088780C">
        <w:rPr>
          <w:rFonts w:eastAsiaTheme="minorHAnsi"/>
          <w:i/>
          <w:iCs/>
          <w:snapToGrid w:val="0"/>
          <w:color w:val="000000"/>
          <w:kern w:val="22"/>
          <w:szCs w:val="22"/>
        </w:rPr>
        <w:t>Zostera noltii</w:t>
      </w:r>
    </w:p>
    <w:p w14:paraId="292AE5B7" w14:textId="59493A24"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i/>
          <w:snapToGrid w:val="0"/>
          <w:kern w:val="22"/>
          <w:szCs w:val="22"/>
        </w:rPr>
        <w:t xml:space="preserve">Potamogeton </w:t>
      </w:r>
      <w:r w:rsidR="001841D4" w:rsidRPr="0088780C">
        <w:rPr>
          <w:rFonts w:eastAsia="MS Mincho"/>
          <w:i/>
          <w:snapToGrid w:val="0"/>
          <w:kern w:val="22"/>
          <w:szCs w:val="22"/>
        </w:rPr>
        <w:t>pectinatus</w:t>
      </w:r>
    </w:p>
    <w:p w14:paraId="6DBB6542" w14:textId="651339AF" w:rsidR="00A876F3" w:rsidRPr="0088780C" w:rsidRDefault="00F218E8" w:rsidP="001013AF">
      <w:pPr>
        <w:suppressLineNumbers/>
        <w:suppressAutoHyphens/>
        <w:kinsoku w:val="0"/>
        <w:overflowPunct w:val="0"/>
        <w:autoSpaceDE w:val="0"/>
        <w:autoSpaceDN w:val="0"/>
        <w:rPr>
          <w:rFonts w:eastAsia="MS Mincho"/>
          <w:i/>
          <w:snapToGrid w:val="0"/>
          <w:kern w:val="22"/>
          <w:szCs w:val="22"/>
        </w:rPr>
      </w:pPr>
      <w:r w:rsidRPr="0088780C">
        <w:rPr>
          <w:rFonts w:eastAsia="MS Mincho"/>
          <w:i/>
          <w:snapToGrid w:val="0"/>
          <w:kern w:val="22"/>
          <w:szCs w:val="22"/>
        </w:rPr>
        <w:t>Ruppia maritima</w:t>
      </w:r>
    </w:p>
    <w:p w14:paraId="492895A1" w14:textId="5A6CCF3F" w:rsidR="00A876F3" w:rsidRPr="0088780C" w:rsidRDefault="00F218E8" w:rsidP="001013AF">
      <w:pPr>
        <w:suppressLineNumbers/>
        <w:suppressAutoHyphens/>
        <w:kinsoku w:val="0"/>
        <w:overflowPunct w:val="0"/>
        <w:autoSpaceDE w:val="0"/>
        <w:autoSpaceDN w:val="0"/>
        <w:rPr>
          <w:rFonts w:eastAsia="MS Mincho"/>
          <w:i/>
          <w:snapToGrid w:val="0"/>
          <w:kern w:val="22"/>
          <w:szCs w:val="22"/>
        </w:rPr>
      </w:pPr>
      <w:r w:rsidRPr="0088780C">
        <w:rPr>
          <w:rFonts w:eastAsia="MS Mincho"/>
          <w:i/>
          <w:snapToGrid w:val="0"/>
          <w:kern w:val="22"/>
          <w:szCs w:val="22"/>
        </w:rPr>
        <w:t>Ruppia spiralis</w:t>
      </w:r>
    </w:p>
    <w:p w14:paraId="350116AF"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i/>
          <w:snapToGrid w:val="0"/>
          <w:kern w:val="22"/>
          <w:szCs w:val="22"/>
        </w:rPr>
        <w:t>Zannichellia major</w:t>
      </w:r>
    </w:p>
    <w:p w14:paraId="05CFFF36"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77E609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664CF7AB" w14:textId="07E949F3" w:rsidR="00A876F3" w:rsidRPr="0088780C" w:rsidRDefault="00A876F3" w:rsidP="00F218E8">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region is home to the second</w:t>
      </w:r>
      <w:r w:rsidR="00F218E8" w:rsidRPr="0088780C">
        <w:rPr>
          <w:rFonts w:eastAsia="MS Mincho"/>
          <w:snapToGrid w:val="0"/>
          <w:kern w:val="22"/>
          <w:szCs w:val="22"/>
        </w:rPr>
        <w:t xml:space="preserve"> </w:t>
      </w:r>
      <w:r w:rsidRPr="0088780C">
        <w:rPr>
          <w:rFonts w:eastAsia="MS Mincho"/>
          <w:snapToGrid w:val="0"/>
          <w:kern w:val="22"/>
          <w:szCs w:val="22"/>
        </w:rPr>
        <w:t>largest river (Harşit River) in the eastern Black Sea region, which forms a rich habitat as a result of the alluvium and nutrients it carries. The fishing closure will help to sustain many of the features that make this area ecologically or biologically significant.</w:t>
      </w:r>
    </w:p>
    <w:p w14:paraId="31C6416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DC7BD93" w14:textId="30F979C8"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w:t>
      </w:r>
      <w:r w:rsidR="00F218E8" w:rsidRPr="0088780C">
        <w:rPr>
          <w:rFonts w:eastAsia="MS Mincho"/>
          <w:b/>
          <w:snapToGrid w:val="0"/>
          <w:kern w:val="22"/>
          <w:szCs w:val="22"/>
        </w:rPr>
        <w:t xml:space="preserve"> area against CBD EBSA Criteria</w:t>
      </w:r>
    </w:p>
    <w:p w14:paraId="12C069E0"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3ADDFF49" w14:textId="77777777" w:rsidTr="006972AD">
        <w:tc>
          <w:tcPr>
            <w:tcW w:w="779" w:type="pct"/>
            <w:vMerge w:val="restart"/>
            <w:shd w:val="clear" w:color="auto" w:fill="auto"/>
          </w:tcPr>
          <w:p w14:paraId="7AAA7610" w14:textId="77777777" w:rsidR="00A876F3" w:rsidRPr="0088780C" w:rsidRDefault="00A876F3" w:rsidP="00F218E8">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78802CC9" w14:textId="77777777" w:rsidR="00A876F3" w:rsidRPr="0088780C" w:rsidRDefault="00A876F3" w:rsidP="00F218E8">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6843074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6E7B8DD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14FDDA9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69B75FA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271EA813" w14:textId="77777777" w:rsidTr="006972AD">
        <w:tc>
          <w:tcPr>
            <w:tcW w:w="779" w:type="pct"/>
            <w:vMerge/>
            <w:shd w:val="clear" w:color="auto" w:fill="auto"/>
          </w:tcPr>
          <w:p w14:paraId="7197570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55F29AA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572312B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7790E1F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0C39E6D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2459E12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217FCFEF" w14:textId="77777777" w:rsidTr="006972AD">
        <w:tc>
          <w:tcPr>
            <w:tcW w:w="779" w:type="pct"/>
            <w:shd w:val="clear" w:color="auto" w:fill="auto"/>
          </w:tcPr>
          <w:p w14:paraId="5E22A8C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72B0FBBB" w14:textId="35BB3FBC"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0AB62C4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09CE20B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3CA2D2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3E320F4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 xml:space="preserve"> </w:t>
            </w:r>
          </w:p>
        </w:tc>
      </w:tr>
      <w:tr w:rsidR="00A876F3" w:rsidRPr="0088780C" w14:paraId="03A36182" w14:textId="77777777" w:rsidTr="006972AD">
        <w:tc>
          <w:tcPr>
            <w:tcW w:w="5000" w:type="pct"/>
            <w:gridSpan w:val="11"/>
            <w:shd w:val="clear" w:color="auto" w:fill="auto"/>
          </w:tcPr>
          <w:p w14:paraId="3F58DAD1"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ECF5958"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rFonts w:eastAsia="MS Mincho"/>
                <w:snapToGrid w:val="0"/>
                <w:kern w:val="22"/>
                <w:szCs w:val="22"/>
              </w:rPr>
              <w:t xml:space="preserve"> The region is home to the second largest river (Harşit river) in the Eastern Black Sea Region and forms a rich habitat in the region with alluviums and nutrients it carries. </w:t>
            </w:r>
            <w:r w:rsidRPr="0088780C">
              <w:rPr>
                <w:rFonts w:eastAsia="Times New Roman"/>
                <w:snapToGrid w:val="0"/>
                <w:color w:val="000000"/>
                <w:kern w:val="22"/>
                <w:szCs w:val="22"/>
                <w:lang w:eastAsia="tr-TR"/>
              </w:rPr>
              <w:t xml:space="preserve">According to the Black Sea Fish Check List, the species </w:t>
            </w:r>
            <w:r w:rsidRPr="0088780C">
              <w:rPr>
                <w:rFonts w:eastAsia="Times New Roman"/>
                <w:i/>
                <w:snapToGrid w:val="0"/>
                <w:color w:val="000000"/>
                <w:kern w:val="22"/>
                <w:szCs w:val="22"/>
                <w:lang w:eastAsia="tr-TR"/>
              </w:rPr>
              <w:t xml:space="preserve">Hippocampus </w:t>
            </w:r>
            <w:r w:rsidRPr="0088780C">
              <w:rPr>
                <w:rFonts w:eastAsia="Times New Roman"/>
                <w:iCs/>
                <w:snapToGrid w:val="0"/>
                <w:color w:val="000000"/>
                <w:kern w:val="22"/>
                <w:szCs w:val="22"/>
                <w:lang w:eastAsia="tr-TR"/>
              </w:rPr>
              <w:t>hippocampus, which is present in the area, is endangered</w:t>
            </w:r>
            <w:r w:rsidRPr="0088780C">
              <w:rPr>
                <w:rFonts w:eastAsia="Times New Roman"/>
                <w:snapToGrid w:val="0"/>
                <w:color w:val="000000"/>
                <w:kern w:val="22"/>
                <w:szCs w:val="22"/>
                <w:lang w:eastAsia="tr-TR"/>
              </w:rPr>
              <w:t xml:space="preserve"> in Turkey (</w:t>
            </w:r>
            <w:hyperlink r:id="rId220" w:history="1">
              <w:r w:rsidRPr="0088780C">
                <w:rPr>
                  <w:rStyle w:val="Hyperlink"/>
                  <w:rFonts w:eastAsia="Times New Roman"/>
                  <w:snapToGrid w:val="0"/>
                  <w:kern w:val="22"/>
                  <w:szCs w:val="22"/>
                  <w:lang w:eastAsia="tr-TR"/>
                </w:rPr>
                <w:t>http://www.blacksea-commission.org/_publ-BSFishList.asp</w:t>
              </w:r>
            </w:hyperlink>
            <w:r w:rsidRPr="0088780C">
              <w:rPr>
                <w:rFonts w:eastAsia="Times New Roman"/>
                <w:snapToGrid w:val="0"/>
                <w:color w:val="000000"/>
                <w:kern w:val="22"/>
                <w:szCs w:val="22"/>
                <w:lang w:eastAsia="tr-TR"/>
              </w:rPr>
              <w:t>) (Yankova, n.d.).</w:t>
            </w:r>
          </w:p>
        </w:tc>
      </w:tr>
      <w:tr w:rsidR="00A876F3" w:rsidRPr="0088780C" w14:paraId="2D52E65C" w14:textId="77777777" w:rsidTr="006972AD">
        <w:tc>
          <w:tcPr>
            <w:tcW w:w="779" w:type="pct"/>
            <w:shd w:val="clear" w:color="auto" w:fill="auto"/>
          </w:tcPr>
          <w:p w14:paraId="2DE07837" w14:textId="77777777" w:rsidR="00A876F3" w:rsidRPr="0088780C" w:rsidRDefault="00A876F3" w:rsidP="00F218E8">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1770B47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59C814F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BD847F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34E274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4845802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7616E980" w14:textId="77777777" w:rsidTr="006972AD">
        <w:tc>
          <w:tcPr>
            <w:tcW w:w="5000" w:type="pct"/>
            <w:gridSpan w:val="11"/>
            <w:shd w:val="clear" w:color="auto" w:fill="auto"/>
          </w:tcPr>
          <w:p w14:paraId="605C311C"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BD4E945"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bCs/>
                <w:snapToGrid w:val="0"/>
                <w:color w:val="000000"/>
                <w:kern w:val="22"/>
                <w:szCs w:val="22"/>
              </w:rPr>
              <w:t>The area overlaps with a globally important non-breeding area for the yelkouan shearwater (</w:t>
            </w:r>
            <w:r w:rsidRPr="0088780C">
              <w:rPr>
                <w:rFonts w:eastAsia="MS Mincho"/>
                <w:bCs/>
                <w:i/>
                <w:snapToGrid w:val="0"/>
                <w:color w:val="000000"/>
                <w:kern w:val="22"/>
                <w:szCs w:val="22"/>
              </w:rPr>
              <w:t>Puffinus yelkouan)</w:t>
            </w:r>
            <w:r w:rsidRPr="0088780C">
              <w:rPr>
                <w:rFonts w:eastAsia="MS Mincho"/>
                <w:bCs/>
                <w:snapToGrid w:val="0"/>
                <w:color w:val="000000"/>
                <w:kern w:val="22"/>
                <w:szCs w:val="22"/>
              </w:rPr>
              <w:t xml:space="preserve">. It </w:t>
            </w:r>
            <w:r w:rsidRPr="0088780C">
              <w:rPr>
                <w:snapToGrid w:val="0"/>
                <w:kern w:val="22"/>
                <w:szCs w:val="22"/>
              </w:rPr>
              <w:t>also includes feeding sites for the Mediterranean endemic subspecies of European shag (</w:t>
            </w:r>
            <w:r w:rsidRPr="0088780C">
              <w:rPr>
                <w:i/>
                <w:snapToGrid w:val="0"/>
                <w:kern w:val="22"/>
                <w:szCs w:val="22"/>
              </w:rPr>
              <w:t>Phalacrocorax aristotelis desmarestii)</w:t>
            </w:r>
            <w:r w:rsidRPr="0088780C">
              <w:rPr>
                <w:snapToGrid w:val="0"/>
                <w:kern w:val="22"/>
                <w:szCs w:val="22"/>
              </w:rPr>
              <w:t xml:space="preserve"> during the breeding season (Doğa Derneği 2014).</w:t>
            </w:r>
          </w:p>
          <w:p w14:paraId="4205DDB3"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snapToGrid w:val="0"/>
                <w:kern w:val="22"/>
                <w:szCs w:val="22"/>
              </w:rPr>
              <w:t>The area’s sandy, rocky and river-mouth canyon structures protect the benthic and pelagic biodiversity of the area, which is an important fish breeding and feeding area.</w:t>
            </w:r>
          </w:p>
        </w:tc>
      </w:tr>
      <w:tr w:rsidR="00A876F3" w:rsidRPr="0088780C" w14:paraId="07702183" w14:textId="77777777" w:rsidTr="006972AD">
        <w:tc>
          <w:tcPr>
            <w:tcW w:w="779" w:type="pct"/>
            <w:shd w:val="clear" w:color="auto" w:fill="auto"/>
          </w:tcPr>
          <w:p w14:paraId="6808CCA8" w14:textId="77777777" w:rsidR="00A876F3" w:rsidRPr="0088780C" w:rsidRDefault="00A876F3" w:rsidP="00F218E8">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34A03E4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0282A75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95AF4F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173CC2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326C7FD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0C66AB09" w14:textId="77777777" w:rsidTr="006972AD">
        <w:tc>
          <w:tcPr>
            <w:tcW w:w="5000" w:type="pct"/>
            <w:gridSpan w:val="11"/>
            <w:shd w:val="clear" w:color="auto" w:fill="auto"/>
          </w:tcPr>
          <w:p w14:paraId="73C254FC"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14342CF" w14:textId="77777777" w:rsidR="00A876F3" w:rsidRPr="0088780C" w:rsidRDefault="00A876F3" w:rsidP="001013AF">
            <w:pPr>
              <w:suppressLineNumbers/>
              <w:suppressAutoHyphens/>
              <w:kinsoku w:val="0"/>
              <w:overflowPunct w:val="0"/>
              <w:autoSpaceDE w:val="0"/>
              <w:autoSpaceDN w:val="0"/>
              <w:rPr>
                <w:rFonts w:eastAsiaTheme="minorHAnsi"/>
                <w:snapToGrid w:val="0"/>
                <w:kern w:val="22"/>
                <w:szCs w:val="22"/>
              </w:rPr>
            </w:pPr>
            <w:r w:rsidRPr="0088780C">
              <w:rPr>
                <w:rFonts w:eastAsia="MS Mincho"/>
                <w:bCs/>
                <w:snapToGrid w:val="0"/>
                <w:color w:val="000000"/>
                <w:kern w:val="22"/>
                <w:szCs w:val="22"/>
              </w:rPr>
              <w:t>A globally threatened seabird species, the Yelkouan shearwater (</w:t>
            </w:r>
            <w:r w:rsidRPr="0088780C">
              <w:rPr>
                <w:rFonts w:eastAsia="MS Mincho"/>
                <w:bCs/>
                <w:i/>
                <w:snapToGrid w:val="0"/>
                <w:color w:val="000000"/>
                <w:kern w:val="22"/>
                <w:szCs w:val="22"/>
              </w:rPr>
              <w:t>Puffinus yelkouan),</w:t>
            </w:r>
            <w:r w:rsidRPr="0088780C">
              <w:rPr>
                <w:rFonts w:eastAsia="MS Mincho"/>
                <w:bCs/>
                <w:snapToGrid w:val="0"/>
                <w:color w:val="000000"/>
                <w:kern w:val="22"/>
                <w:szCs w:val="22"/>
              </w:rPr>
              <w:t xml:space="preserve"> listed as vulnerable by IUCN, is known to occur in the area (BirdLife International 2017) . The area also overlaps with the distribution range of another vulnerable species, the velvet scoter (</w:t>
            </w:r>
            <w:r w:rsidRPr="0088780C">
              <w:rPr>
                <w:rFonts w:eastAsia="MS Mincho"/>
                <w:bCs/>
                <w:i/>
                <w:snapToGrid w:val="0"/>
                <w:color w:val="000000"/>
                <w:kern w:val="22"/>
                <w:szCs w:val="22"/>
              </w:rPr>
              <w:t>Melanitta fusca)</w:t>
            </w:r>
            <w:r w:rsidRPr="0088780C">
              <w:rPr>
                <w:rFonts w:eastAsia="MS Mincho"/>
                <w:bCs/>
                <w:snapToGrid w:val="0"/>
                <w:color w:val="000000"/>
                <w:kern w:val="22"/>
                <w:szCs w:val="22"/>
              </w:rPr>
              <w:t>. These two species are also included on Annex I of the EU Birds Directive.</w:t>
            </w:r>
          </w:p>
        </w:tc>
      </w:tr>
      <w:tr w:rsidR="00A876F3" w:rsidRPr="0088780C" w14:paraId="1F62DC44" w14:textId="77777777" w:rsidTr="006972AD">
        <w:tc>
          <w:tcPr>
            <w:tcW w:w="779" w:type="pct"/>
            <w:shd w:val="clear" w:color="auto" w:fill="auto"/>
          </w:tcPr>
          <w:p w14:paraId="59BC35B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24656A5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61AE287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153E77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AE30EC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33BAC6A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54D71FA8" w14:textId="77777777" w:rsidTr="006972AD">
        <w:tc>
          <w:tcPr>
            <w:tcW w:w="5000" w:type="pct"/>
            <w:gridSpan w:val="11"/>
            <w:shd w:val="clear" w:color="auto" w:fill="auto"/>
          </w:tcPr>
          <w:p w14:paraId="2EA8E503"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12DAF499" w14:textId="079338E7" w:rsidR="00A876F3" w:rsidRPr="0088780C" w:rsidRDefault="00A876F3" w:rsidP="00883D29">
            <w:pPr>
              <w:suppressLineNumbers/>
              <w:tabs>
                <w:tab w:val="num" w:pos="720"/>
              </w:tabs>
              <w:suppressAutoHyphens/>
              <w:kinsoku w:val="0"/>
              <w:overflowPunct w:val="0"/>
              <w:autoSpaceDE w:val="0"/>
              <w:autoSpaceDN w:val="0"/>
              <w:rPr>
                <w:rFonts w:eastAsia="MS Mincho"/>
                <w:snapToGrid w:val="0"/>
                <w:kern w:val="22"/>
                <w:szCs w:val="22"/>
              </w:rPr>
            </w:pPr>
            <w:r w:rsidRPr="0088780C">
              <w:rPr>
                <w:rFonts w:eastAsia="MS Mincho"/>
                <w:bCs/>
                <w:snapToGrid w:val="0"/>
                <w:color w:val="000000"/>
                <w:kern w:val="22"/>
                <w:szCs w:val="22"/>
              </w:rPr>
              <w:t>The area overlaps with a globally important non-breeding area for the yelkouan shearwater (</w:t>
            </w:r>
            <w:r w:rsidRPr="0088780C">
              <w:rPr>
                <w:rFonts w:eastAsia="MS Mincho"/>
                <w:bCs/>
                <w:i/>
                <w:snapToGrid w:val="0"/>
                <w:color w:val="000000"/>
                <w:kern w:val="22"/>
                <w:szCs w:val="22"/>
              </w:rPr>
              <w:t>Puffinus yelkouan)</w:t>
            </w:r>
            <w:r w:rsidRPr="0088780C">
              <w:rPr>
                <w:rFonts w:eastAsia="MS Mincho"/>
                <w:bCs/>
                <w:snapToGrid w:val="0"/>
                <w:color w:val="000000"/>
                <w:kern w:val="22"/>
                <w:szCs w:val="22"/>
              </w:rPr>
              <w:t xml:space="preserve">. </w:t>
            </w:r>
            <w:r w:rsidRPr="0088780C">
              <w:rPr>
                <w:rFonts w:eastAsia="MS Mincho"/>
                <w:snapToGrid w:val="0"/>
                <w:kern w:val="22"/>
                <w:szCs w:val="22"/>
              </w:rPr>
              <w:t>The vulnerable seabird Yelkouan shearwater (</w:t>
            </w:r>
            <w:r w:rsidRPr="0088780C">
              <w:rPr>
                <w:rFonts w:eastAsia="MS Mincho"/>
                <w:i/>
                <w:snapToGrid w:val="0"/>
                <w:kern w:val="22"/>
                <w:szCs w:val="22"/>
              </w:rPr>
              <w:t>Puffinus yelkouan</w:t>
            </w:r>
            <w:r w:rsidRPr="0088780C">
              <w:rPr>
                <w:rFonts w:eastAsia="MS Mincho"/>
                <w:snapToGrid w:val="0"/>
                <w:kern w:val="22"/>
                <w:szCs w:val="22"/>
              </w:rPr>
              <w:t>) occurs in the area; this is a long-lived species with low fecundity and late sexual maturity, which is particularly vulnerable to factors increasing adult mortality rates, such as by-catch in fisheries and other at-sea threats, which are often considered the major causes of population decline (Oppel et al. 2011).</w:t>
            </w:r>
          </w:p>
          <w:p w14:paraId="6DB9E86B" w14:textId="77777777" w:rsidR="00883D29" w:rsidRPr="0088780C" w:rsidRDefault="00883D29" w:rsidP="00883D29">
            <w:pPr>
              <w:suppressLineNumbers/>
              <w:tabs>
                <w:tab w:val="num" w:pos="720"/>
              </w:tabs>
              <w:suppressAutoHyphens/>
              <w:kinsoku w:val="0"/>
              <w:overflowPunct w:val="0"/>
              <w:autoSpaceDE w:val="0"/>
              <w:autoSpaceDN w:val="0"/>
              <w:rPr>
                <w:rFonts w:eastAsia="MS Mincho"/>
                <w:bCs/>
                <w:snapToGrid w:val="0"/>
                <w:color w:val="000000"/>
                <w:kern w:val="22"/>
                <w:szCs w:val="22"/>
              </w:rPr>
            </w:pPr>
          </w:p>
          <w:p w14:paraId="74E654DD" w14:textId="77777777" w:rsidR="00A876F3" w:rsidRPr="0088780C" w:rsidRDefault="00A876F3" w:rsidP="001013AF">
            <w:pPr>
              <w:suppressLineNumbers/>
              <w:tabs>
                <w:tab w:val="num" w:pos="720"/>
              </w:tabs>
              <w:suppressAutoHyphens/>
              <w:kinsoku w:val="0"/>
              <w:overflowPunct w:val="0"/>
              <w:autoSpaceDE w:val="0"/>
              <w:autoSpaceDN w:val="0"/>
              <w:rPr>
                <w:snapToGrid w:val="0"/>
                <w:kern w:val="22"/>
                <w:szCs w:val="22"/>
              </w:rPr>
            </w:pPr>
            <w:r w:rsidRPr="0088780C">
              <w:rPr>
                <w:rFonts w:eastAsia="MS Mincho"/>
                <w:bCs/>
                <w:snapToGrid w:val="0"/>
                <w:color w:val="000000"/>
                <w:kern w:val="22"/>
                <w:szCs w:val="22"/>
              </w:rPr>
              <w:t xml:space="preserve">It </w:t>
            </w:r>
            <w:r w:rsidRPr="0088780C">
              <w:rPr>
                <w:snapToGrid w:val="0"/>
                <w:kern w:val="22"/>
                <w:szCs w:val="22"/>
              </w:rPr>
              <w:t>also includes the feeding sites for the Mediterranean endemic subspecies of European shag (</w:t>
            </w:r>
            <w:r w:rsidRPr="0088780C">
              <w:rPr>
                <w:i/>
                <w:snapToGrid w:val="0"/>
                <w:kern w:val="22"/>
                <w:szCs w:val="22"/>
              </w:rPr>
              <w:t>Phalacrocorax aristotelis desmarestii)</w:t>
            </w:r>
            <w:r w:rsidRPr="0088780C">
              <w:rPr>
                <w:snapToGrid w:val="0"/>
                <w:kern w:val="22"/>
                <w:szCs w:val="22"/>
              </w:rPr>
              <w:t xml:space="preserve"> during the breeding season.</w:t>
            </w:r>
          </w:p>
          <w:p w14:paraId="35FAB336" w14:textId="77777777" w:rsidR="00883D29" w:rsidRPr="0088780C" w:rsidRDefault="00883D29" w:rsidP="001013AF">
            <w:pPr>
              <w:suppressLineNumbers/>
              <w:tabs>
                <w:tab w:val="num" w:pos="720"/>
              </w:tabs>
              <w:suppressAutoHyphens/>
              <w:kinsoku w:val="0"/>
              <w:overflowPunct w:val="0"/>
              <w:autoSpaceDE w:val="0"/>
              <w:autoSpaceDN w:val="0"/>
              <w:rPr>
                <w:snapToGrid w:val="0"/>
                <w:kern w:val="22"/>
                <w:szCs w:val="22"/>
              </w:rPr>
            </w:pPr>
          </w:p>
          <w:p w14:paraId="4352A6D5" w14:textId="77777777" w:rsidR="00A876F3" w:rsidRPr="0088780C" w:rsidRDefault="00A876F3" w:rsidP="001013AF">
            <w:pPr>
              <w:suppressLineNumbers/>
              <w:suppressAutoHyphens/>
              <w:kinsoku w:val="0"/>
              <w:overflowPunct w:val="0"/>
              <w:autoSpaceDE w:val="0"/>
              <w:autoSpaceDN w:val="0"/>
              <w:rPr>
                <w:rFonts w:eastAsia="MS Mincho"/>
                <w:snapToGrid w:val="0"/>
                <w:spacing w:val="-2"/>
                <w:kern w:val="22"/>
                <w:szCs w:val="22"/>
              </w:rPr>
            </w:pPr>
            <w:r w:rsidRPr="0088780C">
              <w:rPr>
                <w:rFonts w:eastAsia="Times New Roman"/>
                <w:snapToGrid w:val="0"/>
                <w:color w:val="000000"/>
                <w:spacing w:val="-2"/>
                <w:kern w:val="22"/>
                <w:szCs w:val="22"/>
                <w:lang w:eastAsia="tr-TR"/>
              </w:rPr>
              <w:t xml:space="preserve">According to the Black Sea Fish Check List, the species </w:t>
            </w:r>
            <w:r w:rsidRPr="0088780C">
              <w:rPr>
                <w:rFonts w:eastAsia="Times New Roman"/>
                <w:i/>
                <w:snapToGrid w:val="0"/>
                <w:color w:val="000000"/>
                <w:spacing w:val="-2"/>
                <w:kern w:val="22"/>
                <w:szCs w:val="22"/>
                <w:lang w:eastAsia="tr-TR"/>
              </w:rPr>
              <w:t>Hippocampus hippocampus,</w:t>
            </w:r>
            <w:r w:rsidRPr="0088780C">
              <w:rPr>
                <w:rFonts w:eastAsia="Times New Roman"/>
                <w:snapToGrid w:val="0"/>
                <w:color w:val="000000"/>
                <w:spacing w:val="-2"/>
                <w:kern w:val="22"/>
                <w:szCs w:val="22"/>
                <w:lang w:eastAsia="tr-TR"/>
              </w:rPr>
              <w:t xml:space="preserve"> </w:t>
            </w:r>
            <w:r w:rsidRPr="0088780C">
              <w:rPr>
                <w:rFonts w:eastAsia="Times New Roman"/>
                <w:iCs/>
                <w:snapToGrid w:val="0"/>
                <w:color w:val="000000"/>
                <w:spacing w:val="-2"/>
                <w:kern w:val="22"/>
                <w:szCs w:val="22"/>
                <w:lang w:eastAsia="tr-TR"/>
              </w:rPr>
              <w:t>which is present in the area,</w:t>
            </w:r>
            <w:r w:rsidRPr="0088780C">
              <w:rPr>
                <w:rFonts w:eastAsia="Times New Roman"/>
                <w:snapToGrid w:val="0"/>
                <w:color w:val="000000"/>
                <w:spacing w:val="-2"/>
                <w:kern w:val="22"/>
                <w:szCs w:val="22"/>
                <w:lang w:eastAsia="tr-TR"/>
              </w:rPr>
              <w:t xml:space="preserve"> is endangered in Turkey (</w:t>
            </w:r>
            <w:hyperlink r:id="rId221" w:history="1">
              <w:r w:rsidRPr="0088780C">
                <w:rPr>
                  <w:rStyle w:val="Hyperlink"/>
                  <w:rFonts w:eastAsia="Times New Roman"/>
                  <w:snapToGrid w:val="0"/>
                  <w:spacing w:val="-2"/>
                  <w:kern w:val="22"/>
                  <w:szCs w:val="22"/>
                  <w:lang w:eastAsia="tr-TR"/>
                </w:rPr>
                <w:t>http://www.blacksea-commission.org/_publ-BSFishList.asp</w:t>
              </w:r>
            </w:hyperlink>
            <w:r w:rsidRPr="0088780C">
              <w:rPr>
                <w:rFonts w:eastAsia="Times New Roman"/>
                <w:snapToGrid w:val="0"/>
                <w:color w:val="000000"/>
                <w:spacing w:val="-2"/>
                <w:kern w:val="22"/>
                <w:szCs w:val="22"/>
                <w:lang w:eastAsia="tr-TR"/>
              </w:rPr>
              <w:t>) (Yankova, n.d.).</w:t>
            </w:r>
          </w:p>
        </w:tc>
      </w:tr>
      <w:tr w:rsidR="00A876F3" w:rsidRPr="0088780C" w14:paraId="6EAD2A3B" w14:textId="77777777" w:rsidTr="006972AD">
        <w:tc>
          <w:tcPr>
            <w:tcW w:w="779" w:type="pct"/>
            <w:shd w:val="clear" w:color="auto" w:fill="auto"/>
          </w:tcPr>
          <w:p w14:paraId="5BE6478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2C53A5B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20085D5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10" w:type="pct"/>
            <w:gridSpan w:val="2"/>
            <w:shd w:val="clear" w:color="auto" w:fill="auto"/>
          </w:tcPr>
          <w:p w14:paraId="7BF22EA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4F5425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1FFE025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447A8E03" w14:textId="77777777" w:rsidTr="006972AD">
        <w:tc>
          <w:tcPr>
            <w:tcW w:w="5000" w:type="pct"/>
            <w:gridSpan w:val="11"/>
            <w:shd w:val="clear" w:color="auto" w:fill="auto"/>
          </w:tcPr>
          <w:p w14:paraId="043A1D16"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tc>
      </w:tr>
      <w:tr w:rsidR="00A876F3" w:rsidRPr="0088780C" w14:paraId="5CE8CD73" w14:textId="77777777" w:rsidTr="006972AD">
        <w:tc>
          <w:tcPr>
            <w:tcW w:w="779" w:type="pct"/>
            <w:shd w:val="clear" w:color="auto" w:fill="auto"/>
          </w:tcPr>
          <w:p w14:paraId="2CA6EBB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1AACE70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7626D4F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AC441F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623C33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0506474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 xml:space="preserve"> </w:t>
            </w:r>
          </w:p>
        </w:tc>
      </w:tr>
      <w:tr w:rsidR="00A876F3" w:rsidRPr="0088780C" w14:paraId="2EED296B" w14:textId="77777777" w:rsidTr="006972AD">
        <w:tc>
          <w:tcPr>
            <w:tcW w:w="5000" w:type="pct"/>
            <w:gridSpan w:val="11"/>
            <w:shd w:val="clear" w:color="auto" w:fill="auto"/>
          </w:tcPr>
          <w:p w14:paraId="6A1E9522"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324C29D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sea water of Tirebolu is a mixture of brackish, fresh and salt water. It has rocky and sandy soil structure. Its sandy, rocky and river-mouth canyon structures provide protection of the benthic and pelagic biodiversity of the area, which is an important fish breeding and feeding area. The region is home to the second-largest river in the eastern Black Sea region and carries alluvium and nutrients that form a rich habitat. The area is closed to fisheries.</w:t>
            </w:r>
            <w:r w:rsidRPr="0088780C">
              <w:rPr>
                <w:snapToGrid w:val="0"/>
                <w:kern w:val="22"/>
                <w:szCs w:val="22"/>
              </w:rPr>
              <w:t xml:space="preserve"> </w:t>
            </w:r>
            <w:r w:rsidRPr="0088780C">
              <w:rPr>
                <w:rFonts w:eastAsia="MS Mincho"/>
                <w:snapToGrid w:val="0"/>
                <w:kern w:val="22"/>
                <w:szCs w:val="22"/>
              </w:rPr>
              <w:t>There are six species of marine meadows (</w:t>
            </w:r>
            <w:r w:rsidRPr="0088780C">
              <w:rPr>
                <w:rFonts w:eastAsia="MS Mincho"/>
                <w:i/>
                <w:snapToGrid w:val="0"/>
                <w:kern w:val="22"/>
                <w:szCs w:val="22"/>
              </w:rPr>
              <w:t>Zostera marina, Z. Noltii, Potamogeton pectinatus, Ruppia maritima, R. Spiralis</w:t>
            </w:r>
            <w:r w:rsidRPr="0088780C">
              <w:rPr>
                <w:rFonts w:eastAsia="MS Mincho"/>
                <w:snapToGrid w:val="0"/>
                <w:kern w:val="22"/>
                <w:szCs w:val="22"/>
              </w:rPr>
              <w:t xml:space="preserve"> and </w:t>
            </w:r>
            <w:r w:rsidRPr="0088780C">
              <w:rPr>
                <w:rFonts w:eastAsia="MS Mincho"/>
                <w:i/>
                <w:snapToGrid w:val="0"/>
                <w:kern w:val="22"/>
                <w:szCs w:val="22"/>
              </w:rPr>
              <w:t>Zannichellia major</w:t>
            </w:r>
            <w:r w:rsidRPr="0088780C">
              <w:rPr>
                <w:rFonts w:eastAsia="MS Mincho"/>
                <w:snapToGrid w:val="0"/>
                <w:kern w:val="22"/>
                <w:szCs w:val="22"/>
              </w:rPr>
              <w:t xml:space="preserve">), which are spawning grounds for 34 fish species. In the shallow areas of the Tirebolu (1-10 metres), there are </w:t>
            </w:r>
            <w:r w:rsidRPr="0088780C">
              <w:rPr>
                <w:rFonts w:eastAsia="MS Mincho"/>
                <w:i/>
                <w:snapToGrid w:val="0"/>
                <w:kern w:val="22"/>
                <w:szCs w:val="22"/>
              </w:rPr>
              <w:t>Cystoseira barbata</w:t>
            </w:r>
            <w:r w:rsidRPr="0088780C">
              <w:rPr>
                <w:rFonts w:eastAsia="MS Mincho"/>
                <w:snapToGrid w:val="0"/>
                <w:kern w:val="22"/>
                <w:szCs w:val="22"/>
              </w:rPr>
              <w:t xml:space="preserve"> sea algae, which can represent the uncontaminated areas of the Black Sea ecosystem (Republic of Turkey, 2008)</w:t>
            </w:r>
          </w:p>
        </w:tc>
      </w:tr>
      <w:tr w:rsidR="00A876F3" w:rsidRPr="0088780C" w14:paraId="18B44530" w14:textId="77777777" w:rsidTr="006972AD">
        <w:tc>
          <w:tcPr>
            <w:tcW w:w="783" w:type="pct"/>
            <w:shd w:val="clear" w:color="auto" w:fill="auto"/>
          </w:tcPr>
          <w:p w14:paraId="5B5AB653"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421180CB"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3486C22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30D2A31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1BC866A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c>
          <w:tcPr>
            <w:tcW w:w="385" w:type="pct"/>
            <w:shd w:val="clear" w:color="auto" w:fill="auto"/>
          </w:tcPr>
          <w:p w14:paraId="7217DE3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 xml:space="preserve"> </w:t>
            </w:r>
          </w:p>
        </w:tc>
      </w:tr>
      <w:tr w:rsidR="00A876F3" w:rsidRPr="0088780C" w14:paraId="2B449D44" w14:textId="77777777" w:rsidTr="006972AD">
        <w:tc>
          <w:tcPr>
            <w:tcW w:w="5000" w:type="pct"/>
            <w:gridSpan w:val="11"/>
            <w:shd w:val="clear" w:color="auto" w:fill="auto"/>
          </w:tcPr>
          <w:p w14:paraId="56CF0340"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5EBC8CA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closed to fisheries.</w:t>
            </w:r>
          </w:p>
          <w:p w14:paraId="026D0424" w14:textId="42B57D23"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Marine meadows (</w:t>
            </w:r>
            <w:r w:rsidRPr="0088780C">
              <w:rPr>
                <w:rFonts w:eastAsia="MS Mincho"/>
                <w:i/>
                <w:snapToGrid w:val="0"/>
                <w:kern w:val="22"/>
                <w:szCs w:val="22"/>
              </w:rPr>
              <w:t>Zostera marina, Z. Noltii, Potamogeton pectinatus, Ruppia maritima, R. Spiralis</w:t>
            </w:r>
            <w:r w:rsidRPr="0088780C">
              <w:rPr>
                <w:rFonts w:eastAsia="MS Mincho"/>
                <w:snapToGrid w:val="0"/>
                <w:kern w:val="22"/>
                <w:szCs w:val="22"/>
              </w:rPr>
              <w:t xml:space="preserve"> and </w:t>
            </w:r>
            <w:r w:rsidRPr="0088780C">
              <w:rPr>
                <w:rFonts w:eastAsia="MS Mincho"/>
                <w:i/>
                <w:snapToGrid w:val="0"/>
                <w:kern w:val="22"/>
                <w:szCs w:val="22"/>
              </w:rPr>
              <w:t>Zannichellia major</w:t>
            </w:r>
            <w:r w:rsidRPr="0088780C">
              <w:rPr>
                <w:rFonts w:eastAsia="MS Mincho"/>
                <w:snapToGrid w:val="0"/>
                <w:kern w:val="22"/>
                <w:szCs w:val="22"/>
              </w:rPr>
              <w:t>) are the dominant structure of the coasts in this area. Possession of sandy, rocky and river - mouth canyon structures protect the benthic and pelagic biodiversity of the area, which is an important fish breeding and feeding area. The region is home to the second-largest river in the eastern Black Sea region, which carries alluviums and nutrie</w:t>
            </w:r>
            <w:r w:rsidR="00883D29" w:rsidRPr="0088780C">
              <w:rPr>
                <w:rFonts w:eastAsia="MS Mincho"/>
                <w:snapToGrid w:val="0"/>
                <w:kern w:val="22"/>
                <w:szCs w:val="22"/>
              </w:rPr>
              <w:t>nts that create a rich habitat.</w:t>
            </w:r>
          </w:p>
        </w:tc>
      </w:tr>
    </w:tbl>
    <w:p w14:paraId="0251F86D"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kern w:val="22"/>
          <w:szCs w:val="22"/>
        </w:rPr>
      </w:pPr>
    </w:p>
    <w:p w14:paraId="1DB412FD" w14:textId="77777777" w:rsidR="00A876F3" w:rsidRPr="0088780C" w:rsidRDefault="00A876F3" w:rsidP="00883D29">
      <w:pPr>
        <w:keepNext/>
        <w:suppressLineNumbers/>
        <w:suppressAutoHyphens/>
        <w:kinsoku w:val="0"/>
        <w:overflowPunct w:val="0"/>
        <w:autoSpaceDE w:val="0"/>
        <w:autoSpaceDN w:val="0"/>
        <w:spacing w:after="60"/>
        <w:rPr>
          <w:snapToGrid w:val="0"/>
          <w:kern w:val="22"/>
          <w:szCs w:val="22"/>
        </w:rPr>
      </w:pPr>
      <w:r w:rsidRPr="0088780C">
        <w:rPr>
          <w:rFonts w:eastAsia="MS Mincho"/>
          <w:b/>
          <w:snapToGrid w:val="0"/>
          <w:kern w:val="22"/>
          <w:szCs w:val="22"/>
        </w:rPr>
        <w:t>References</w:t>
      </w:r>
    </w:p>
    <w:p w14:paraId="20493FE4" w14:textId="7C7C0B5E"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Acker, J.G. and G. Leptoukh, </w:t>
      </w:r>
      <w:r w:rsidR="00D8482D" w:rsidRPr="0088780C">
        <w:rPr>
          <w:snapToGrid w:val="0"/>
          <w:kern w:val="22"/>
          <w:szCs w:val="22"/>
        </w:rPr>
        <w:t>“</w:t>
      </w:r>
      <w:r w:rsidRPr="0088780C">
        <w:rPr>
          <w:snapToGrid w:val="0"/>
          <w:kern w:val="22"/>
          <w:szCs w:val="22"/>
        </w:rPr>
        <w:t>Online Analysis Enhances Use of NASA Earth Science Data</w:t>
      </w:r>
      <w:r w:rsidR="00D8482D" w:rsidRPr="0088780C">
        <w:rPr>
          <w:snapToGrid w:val="0"/>
          <w:kern w:val="22"/>
          <w:szCs w:val="22"/>
        </w:rPr>
        <w:t>”</w:t>
      </w:r>
      <w:r w:rsidRPr="0088780C">
        <w:rPr>
          <w:snapToGrid w:val="0"/>
          <w:kern w:val="22"/>
          <w:szCs w:val="22"/>
        </w:rPr>
        <w:t>, Eos, Trans. AGU, Vol. 88, No. 2 (9 January 2007), pages 14 and 17.</w:t>
      </w:r>
    </w:p>
    <w:p w14:paraId="3524DF5A"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Ağırbaş, A., Feyzioğlu, A. M., Kopuz, U. 2014. Seasonal Changes of Phytoplankton Chlorophyll a, Primary Production and their Relation in the Continental Shelf Area of the South Eastern Black Sea. Turkish Journal of Fisheries and Aquatic Sciences 14: 713-726.</w:t>
      </w:r>
    </w:p>
    <w:p w14:paraId="62994B25"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BirdLife International, 2017a. Marine IBA e-atlas. Delivering sites networks for seabird conservation. Accessed from https://maps.birdlife.org/marineIBAs/default.html on 10/03/2017.</w:t>
      </w:r>
    </w:p>
    <w:p w14:paraId="2DE4C746"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BirdLife International, 2017b. Species factsheet: </w:t>
      </w:r>
      <w:r w:rsidRPr="0088780C">
        <w:rPr>
          <w:i/>
          <w:snapToGrid w:val="0"/>
          <w:kern w:val="22"/>
          <w:szCs w:val="22"/>
        </w:rPr>
        <w:t>Puffinus yelkouan</w:t>
      </w:r>
      <w:r w:rsidRPr="0088780C">
        <w:rPr>
          <w:snapToGrid w:val="0"/>
          <w:kern w:val="22"/>
          <w:szCs w:val="22"/>
        </w:rPr>
        <w:t>. Downloaded from http://www.birdlife.org on 10/03/2017.</w:t>
      </w:r>
    </w:p>
    <w:p w14:paraId="3CBD936F"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Doğa Derneği, 2014. Black Sea Seabirds Project Layman’s report, Istanbul.</w:t>
      </w:r>
    </w:p>
    <w:p w14:paraId="4FCDDC58"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Erkan, F., Gücü, A.C. (2000) The diel vertical distribution of zooplankton in the Southeast Black Sea. Turk J Zool. 24: 417-427.</w:t>
      </w:r>
    </w:p>
    <w:p w14:paraId="278AFFB3"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rFonts w:eastAsia="MS Mincho"/>
          <w:bCs/>
          <w:snapToGrid w:val="0"/>
          <w:kern w:val="22"/>
          <w:szCs w:val="22"/>
        </w:rPr>
        <w:t>Eruz, Coskun. 2007. Environmentally Sensitive marine and ıntegrated Coastal Areas in Eastern Black Sea.(Report).</w:t>
      </w:r>
      <w:r w:rsidRPr="0088780C">
        <w:rPr>
          <w:rFonts w:eastAsia="MS Mincho"/>
          <w:snapToGrid w:val="0"/>
          <w:kern w:val="22"/>
          <w:szCs w:val="22"/>
        </w:rPr>
        <w:t xml:space="preserve"> Black Sea Technical University, Faculty of Marine Science.</w:t>
      </w:r>
    </w:p>
    <w:p w14:paraId="1A8046CD" w14:textId="77777777" w:rsidR="00A876F3" w:rsidRPr="0088780C" w:rsidRDefault="00E7219D" w:rsidP="00883D29">
      <w:pPr>
        <w:suppressLineNumbers/>
        <w:suppressAutoHyphens/>
        <w:kinsoku w:val="0"/>
        <w:overflowPunct w:val="0"/>
        <w:autoSpaceDE w:val="0"/>
        <w:autoSpaceDN w:val="0"/>
        <w:spacing w:after="60"/>
        <w:ind w:left="720" w:hanging="720"/>
        <w:rPr>
          <w:snapToGrid w:val="0"/>
          <w:kern w:val="22"/>
          <w:szCs w:val="22"/>
        </w:rPr>
      </w:pPr>
      <w:hyperlink r:id="rId222" w:history="1">
        <w:r w:rsidR="00A876F3" w:rsidRPr="0088780C">
          <w:rPr>
            <w:rStyle w:val="Hyperlink"/>
            <w:snapToGrid w:val="0"/>
            <w:kern w:val="22"/>
            <w:szCs w:val="22"/>
          </w:rPr>
          <w:t>http://giovanni.sci.gsfc.nasa.gov</w:t>
        </w:r>
      </w:hyperlink>
      <w:r w:rsidR="00A876F3" w:rsidRPr="0088780C">
        <w:rPr>
          <w:snapToGrid w:val="0"/>
          <w:kern w:val="22"/>
          <w:szCs w:val="22"/>
        </w:rPr>
        <w:t>, 2017</w:t>
      </w:r>
    </w:p>
    <w:p w14:paraId="4628F8F8"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Mutlu, E., 1994. Qualitative and quantitative distribution of benthic molluscs along the Turkish Black Sea. Boll. Malacologico, 30: 277-286.</w:t>
      </w:r>
    </w:p>
    <w:p w14:paraId="2CE41B69"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Oppel S., Raine, A.F., Borg, J.J., Raine, H., bonnaud, E., Bourgeois, K., Breton, A.R. 2011. Is the Yelkouan shearwater </w:t>
      </w:r>
      <w:r w:rsidRPr="0088780C">
        <w:rPr>
          <w:i/>
          <w:snapToGrid w:val="0"/>
          <w:kern w:val="22"/>
          <w:szCs w:val="22"/>
        </w:rPr>
        <w:t>Puffinus yelkouan</w:t>
      </w:r>
      <w:r w:rsidRPr="0088780C">
        <w:rPr>
          <w:snapToGrid w:val="0"/>
          <w:kern w:val="22"/>
          <w:szCs w:val="22"/>
        </w:rPr>
        <w:t xml:space="preserve"> threatened by low adult survival probabilities? Biological Conservation 114: 225-2263.</w:t>
      </w:r>
    </w:p>
    <w:p w14:paraId="45FC5267"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Ortega M.P., İsfendiyaroğlu S., 2017. Predicting foraging hotspots for Yelkouan Shearwater in the Black Sea. Deep-Sea Research Part II </w:t>
      </w:r>
      <w:r w:rsidRPr="0088780C">
        <w:rPr>
          <w:i/>
          <w:snapToGrid w:val="0"/>
          <w:kern w:val="22"/>
          <w:szCs w:val="22"/>
        </w:rPr>
        <w:t>in press</w:t>
      </w:r>
    </w:p>
    <w:p w14:paraId="7BF2094A"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Péron, C., Grémillet, D., Prudor, A., Pettex, E., Saraux, C., Soriano-Redondo, A., Authier, M., Fort J., 2013. Importance of coastal Marine Protected Areas for the conservation of pelagic seabirds: The case of Vulnerable yelkouan shearwaters in the Mediterranean Sea. Biological Conservation 168: 210-221.</w:t>
      </w:r>
    </w:p>
    <w:p w14:paraId="0F5B4DDA"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Raine, A.F., Borg, J.J., Raine, H., Phillips, R.A., 2012. Migration strategies of the Yelkouan Shearwater </w:t>
      </w:r>
      <w:r w:rsidRPr="0088780C">
        <w:rPr>
          <w:i/>
          <w:snapToGrid w:val="0"/>
          <w:kern w:val="22"/>
          <w:szCs w:val="22"/>
        </w:rPr>
        <w:t>Puffinus yelkouan</w:t>
      </w:r>
      <w:r w:rsidRPr="0088780C">
        <w:rPr>
          <w:snapToGrid w:val="0"/>
          <w:kern w:val="22"/>
          <w:szCs w:val="22"/>
        </w:rPr>
        <w:t>. Journal of Ornithology 154: 411-422.</w:t>
      </w:r>
    </w:p>
    <w:p w14:paraId="3CC66250"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Republic of Turkey. 2008. National Biodiversity Strategy and Action Plan of Turkey (NBSAP) 2007. Ankara: Ministry of Environment and Forestry, General Directorate of Nature Conservation and National Parks. </w:t>
      </w:r>
    </w:p>
    <w:p w14:paraId="21B660CB"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Seabird Tracking Database 2017. Tracking Ocean Wanderers – BirdLife Seabird Tracking Database www. http://seabirdtracking.org/, accessed on 10/03/2017</w:t>
      </w:r>
    </w:p>
    <w:p w14:paraId="6CAC1B64"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Sezgin, M., Kirkim, F., Dagli, E., Dogan, A., Unluoglu, A., Katagan, T. &amp; Benli, H.A., 2010. Sublittoral soft-bottom zoobenthic communities and diversity of southern coast of the Black Sea (Turkey). Rapp Comm Int Mer Medit 39: 662.</w:t>
      </w:r>
    </w:p>
    <w:p w14:paraId="21A3CEC1"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Ünal, E. (2002) Seasonality of zooplankton in the Southern Black Sea in 1999 and genetics of Calanus euxinus (Copepoda). M.Sc. Thesis, IMS-Middle East Technical University, Ankara, p. 202.</w:t>
      </w:r>
    </w:p>
    <w:p w14:paraId="243F8CAB" w14:textId="77777777" w:rsidR="00A876F3" w:rsidRPr="0088780C" w:rsidRDefault="00A876F3" w:rsidP="00883D29">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Yankova, M. Black Sea Fish Check List. Commission on the Protection of the Black Sea against Pollution, </w:t>
      </w:r>
      <w:hyperlink r:id="rId223" w:history="1">
        <w:r w:rsidRPr="0088780C">
          <w:rPr>
            <w:rStyle w:val="Hyperlink"/>
            <w:snapToGrid w:val="0"/>
            <w:kern w:val="22"/>
            <w:szCs w:val="22"/>
          </w:rPr>
          <w:t>http://www.blacksea-commission.org/_publ-BSFishList.asp</w:t>
        </w:r>
      </w:hyperlink>
      <w:r w:rsidRPr="0088780C">
        <w:rPr>
          <w:snapToGrid w:val="0"/>
          <w:kern w:val="22"/>
          <w:szCs w:val="22"/>
        </w:rPr>
        <w:t>.</w:t>
      </w:r>
    </w:p>
    <w:p w14:paraId="35044BB2" w14:textId="77777777" w:rsidR="00A876F3" w:rsidRPr="0088780C" w:rsidRDefault="00E7219D" w:rsidP="00883D29">
      <w:pPr>
        <w:suppressLineNumbers/>
        <w:suppressAutoHyphens/>
        <w:kinsoku w:val="0"/>
        <w:overflowPunct w:val="0"/>
        <w:autoSpaceDE w:val="0"/>
        <w:autoSpaceDN w:val="0"/>
        <w:spacing w:after="60"/>
        <w:ind w:left="720" w:hanging="720"/>
        <w:rPr>
          <w:snapToGrid w:val="0"/>
          <w:kern w:val="22"/>
          <w:szCs w:val="22"/>
        </w:rPr>
      </w:pPr>
      <w:hyperlink r:id="rId224" w:history="1">
        <w:r w:rsidR="00A876F3" w:rsidRPr="0088780C">
          <w:rPr>
            <w:rStyle w:val="Hyperlink"/>
            <w:snapToGrid w:val="0"/>
            <w:kern w:val="22"/>
            <w:szCs w:val="22"/>
          </w:rPr>
          <w:t>www.yelkouanshearwater.org</w:t>
        </w:r>
      </w:hyperlink>
      <w:r w:rsidR="00A876F3" w:rsidRPr="0088780C">
        <w:rPr>
          <w:snapToGrid w:val="0"/>
          <w:kern w:val="22"/>
          <w:szCs w:val="22"/>
        </w:rPr>
        <w:t>, 2017</w:t>
      </w:r>
    </w:p>
    <w:p w14:paraId="00D8C1C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168DFE0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0562DA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6521407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7B39FAD"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noProof/>
          <w:snapToGrid w:val="0"/>
          <w:kern w:val="22"/>
          <w:szCs w:val="22"/>
          <w:lang w:eastAsia="zh-CN"/>
        </w:rPr>
        <w:drawing>
          <wp:inline distT="0" distB="0" distL="0" distR="0" wp14:anchorId="7FC1B708" wp14:editId="459797B4">
            <wp:extent cx="5486400" cy="4572000"/>
            <wp:effectExtent l="0" t="0" r="0" b="0"/>
            <wp:docPr id="64567" name="Picture 64567" descr="C:\Users\grekin\AppData\Local\Microsoft\Windows\Temporary Internet Files\Content.Word\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grekin\AppData\Local\Microsoft\Windows\Temporary Internet Files\Content.Word\17.png"/>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51018664" w14:textId="77777777"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rPr>
        <w:t xml:space="preserve">Figure 1. </w:t>
      </w:r>
      <w:r w:rsidRPr="0088780C">
        <w:rPr>
          <w:rFonts w:eastAsia="MS Mincho"/>
          <w:b/>
          <w:bCs/>
          <w:snapToGrid w:val="0"/>
          <w:color w:val="000000" w:themeColor="text1"/>
          <w:kern w:val="22"/>
          <w:szCs w:val="22"/>
        </w:rPr>
        <w:t>Area meeting the EBSA criteria</w:t>
      </w:r>
    </w:p>
    <w:p w14:paraId="428D7C4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8E664D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63A3C083" wp14:editId="1C1D3F8D">
            <wp:extent cx="2924947" cy="1953865"/>
            <wp:effectExtent l="0" t="0" r="0" b="8890"/>
            <wp:docPr id="414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a:blip r:embed="rId226"/>
                    <a:stretch>
                      <a:fillRect/>
                    </a:stretch>
                  </pic:blipFill>
                  <pic:spPr>
                    <a:xfrm>
                      <a:off x="0" y="0"/>
                      <a:ext cx="2924947" cy="1953865"/>
                    </a:xfrm>
                    <a:prstGeom prst="rect">
                      <a:avLst/>
                    </a:prstGeom>
                  </pic:spPr>
                </pic:pic>
              </a:graphicData>
            </a:graphic>
          </wp:inline>
        </w:drawing>
      </w:r>
    </w:p>
    <w:p w14:paraId="49B8A31E" w14:textId="7E973CA7"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rPr>
        <w:t xml:space="preserve">Figure 2. A scene </w:t>
      </w:r>
      <w:r w:rsidR="00701B7E" w:rsidRPr="0088780C">
        <w:rPr>
          <w:rFonts w:eastAsia="MS Mincho"/>
          <w:b/>
          <w:bCs/>
          <w:snapToGrid w:val="0"/>
          <w:color w:val="000000"/>
          <w:kern w:val="22"/>
          <w:szCs w:val="22"/>
        </w:rPr>
        <w:t>from Giresun Tirebolu</w:t>
      </w:r>
    </w:p>
    <w:p w14:paraId="0AFEBD12" w14:textId="69A80C51" w:rsidR="00701B7E" w:rsidRPr="0088780C" w:rsidRDefault="00701B7E">
      <w:pPr>
        <w:jc w:val="left"/>
        <w:rPr>
          <w:rFonts w:eastAsia="MS Mincho"/>
          <w:bCs/>
          <w:snapToGrid w:val="0"/>
          <w:color w:val="000000"/>
          <w:kern w:val="22"/>
          <w:szCs w:val="22"/>
        </w:rPr>
      </w:pPr>
      <w:r w:rsidRPr="0088780C">
        <w:rPr>
          <w:rFonts w:eastAsia="MS Mincho"/>
          <w:bCs/>
          <w:snapToGrid w:val="0"/>
          <w:color w:val="000000"/>
          <w:kern w:val="22"/>
          <w:szCs w:val="22"/>
        </w:rPr>
        <w:br w:type="page"/>
      </w:r>
    </w:p>
    <w:p w14:paraId="6EED62C7" w14:textId="77777777" w:rsidR="00701B7E" w:rsidRPr="0088780C" w:rsidRDefault="00701B7E" w:rsidP="00701B7E">
      <w:pPr>
        <w:suppressLineNumbers/>
        <w:suppressAutoHyphens/>
        <w:kinsoku w:val="0"/>
        <w:overflowPunct w:val="0"/>
        <w:autoSpaceDE w:val="0"/>
        <w:autoSpaceDN w:val="0"/>
        <w:rPr>
          <w:rFonts w:eastAsia="MS Mincho"/>
          <w:bCs/>
          <w:snapToGrid w:val="0"/>
          <w:color w:val="000000"/>
          <w:kern w:val="22"/>
          <w:szCs w:val="22"/>
        </w:rPr>
      </w:pPr>
    </w:p>
    <w:p w14:paraId="4B568326"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noProof/>
          <w:snapToGrid w:val="0"/>
          <w:kern w:val="22"/>
          <w:szCs w:val="22"/>
          <w:lang w:eastAsia="zh-CN"/>
        </w:rPr>
        <w:drawing>
          <wp:inline distT="0" distB="0" distL="0" distR="0" wp14:anchorId="291BD586" wp14:editId="2BDB2C3B">
            <wp:extent cx="1497965" cy="2463165"/>
            <wp:effectExtent l="0" t="0" r="6985" b="0"/>
            <wp:docPr id="4141" name="Resim 1" descr="http://yelkouanshearwater.org/wp-content/uploads/Maraton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yelkouanshearwater.org/wp-content/uploads/MaratonBanner.jpg"/>
                    <pic:cNvPicPr>
                      <a:picLocks noChangeAspect="1" noChangeArrowheads="1"/>
                    </pic:cNvPicPr>
                  </pic:nvPicPr>
                  <pic:blipFill rotWithShape="1">
                    <a:blip r:embed="rId227">
                      <a:extLst>
                        <a:ext uri="{28A0092B-C50C-407E-A947-70E740481C1C}">
                          <a14:useLocalDpi xmlns:a14="http://schemas.microsoft.com/office/drawing/2010/main" val="0"/>
                        </a:ext>
                      </a:extLst>
                    </a:blip>
                    <a:srcRect b="21452"/>
                    <a:stretch/>
                  </pic:blipFill>
                  <pic:spPr bwMode="auto">
                    <a:xfrm>
                      <a:off x="0" y="0"/>
                      <a:ext cx="1497965" cy="2463165"/>
                    </a:xfrm>
                    <a:prstGeom prst="rect">
                      <a:avLst/>
                    </a:prstGeom>
                    <a:noFill/>
                    <a:ln>
                      <a:noFill/>
                    </a:ln>
                    <a:extLst>
                      <a:ext uri="{53640926-AAD7-44D8-BBD7-CCE9431645EC}">
                        <a14:shadowObscured xmlns:a14="http://schemas.microsoft.com/office/drawing/2010/main"/>
                      </a:ext>
                    </a:extLst>
                  </pic:spPr>
                </pic:pic>
              </a:graphicData>
            </a:graphic>
          </wp:inline>
        </w:drawing>
      </w:r>
    </w:p>
    <w:p w14:paraId="50F22D0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 3. Yelkouan shearwater (</w:t>
      </w:r>
      <w:hyperlink r:id="rId228" w:history="1">
        <w:r w:rsidRPr="0088780C">
          <w:rPr>
            <w:rStyle w:val="Hyperlink"/>
            <w:rFonts w:eastAsia="MS Mincho"/>
            <w:b/>
            <w:snapToGrid w:val="0"/>
            <w:kern w:val="22"/>
            <w:szCs w:val="22"/>
          </w:rPr>
          <w:t>www.yelkouanshearwater.org</w:t>
        </w:r>
      </w:hyperlink>
      <w:r w:rsidRPr="0088780C">
        <w:rPr>
          <w:rFonts w:eastAsia="MS Mincho"/>
          <w:b/>
          <w:snapToGrid w:val="0"/>
          <w:kern w:val="22"/>
          <w:szCs w:val="22"/>
        </w:rPr>
        <w:t>, 2017)</w:t>
      </w:r>
    </w:p>
    <w:p w14:paraId="75B773A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19DC103B" w14:textId="3DCD1EF1"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18: P</w:t>
      </w:r>
      <w:r w:rsidRPr="0088780C">
        <w:rPr>
          <w:b/>
          <w:snapToGrid w:val="0"/>
          <w:kern w:val="22"/>
          <w:szCs w:val="22"/>
        </w:rPr>
        <w:t>re-estuarine area of the Ural River in the Caspian Sea</w:t>
      </w:r>
    </w:p>
    <w:p w14:paraId="2A675D0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A67EAB2" w14:textId="7FC82ADE" w:rsidR="00A876F3" w:rsidRPr="0088780C" w:rsidRDefault="00701B7E"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Abstract</w:t>
      </w:r>
    </w:p>
    <w:p w14:paraId="5FA387C1" w14:textId="1195CCF8"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snapToGrid w:val="0"/>
          <w:kern w:val="22"/>
          <w:szCs w:val="22"/>
        </w:rPr>
        <w:t xml:space="preserve">The pre-estuarine area of the Ural River (Zhayik River) is </w:t>
      </w:r>
      <w:r w:rsidR="00701B7E" w:rsidRPr="0088780C">
        <w:rPr>
          <w:snapToGrid w:val="0"/>
          <w:kern w:val="22"/>
          <w:szCs w:val="22"/>
        </w:rPr>
        <w:t xml:space="preserve">located in </w:t>
      </w:r>
      <w:r w:rsidRPr="0088780C">
        <w:rPr>
          <w:snapToGrid w:val="0"/>
          <w:kern w:val="22"/>
          <w:szCs w:val="22"/>
        </w:rPr>
        <w:t>the northern part of the Caspian Sea, adjacent to the mouth of the Ural River. This is an important area for the reproduction of anadromous (sturgeon) and freshwater (carp, perch) fishes. Here in the spring period, pre-spawn concentrations of all numerous fish species are concentrated, which then rush to spawn upstream of the Ural River in spawning grounds located in its lower and middle reaches, and after spawning, the producers and young fish migrate to the  lower estuary space (brackish shallow part of the sea) to feed. The fish economy of the Ural-Caspian basin develops under the influence of complex interactions of natural (natural cycles of river water content, transgression and regression of the sea) and anthropogenic (pollution of the natural environment by oil products, legal and poaching fish) factors. The uniqueness of this object is that there are small remaining sturgeon stocks (e.g., Russian sturgeon, beluga, stellate sturgeon, thorn), which, despite the moratorium on industrial catch, are exposed to illegal, unreported and unregulated (IUU) catch, as well as other anthropogenic impacts in the form of loss of habitats and spawning grounds.</w:t>
      </w:r>
    </w:p>
    <w:p w14:paraId="1F9BCFD5" w14:textId="77777777" w:rsidR="00A876F3" w:rsidRPr="0088780C" w:rsidRDefault="00A876F3" w:rsidP="001013AF">
      <w:pPr>
        <w:suppressLineNumbers/>
        <w:shd w:val="clear" w:color="auto" w:fill="FFFFFF"/>
        <w:suppressAutoHyphens/>
        <w:kinsoku w:val="0"/>
        <w:overflowPunct w:val="0"/>
        <w:autoSpaceDE w:val="0"/>
        <w:autoSpaceDN w:val="0"/>
        <w:textAlignment w:val="baseline"/>
        <w:rPr>
          <w:rFonts w:eastAsia="MS Mincho"/>
          <w:bCs/>
          <w:snapToGrid w:val="0"/>
          <w:kern w:val="22"/>
          <w:szCs w:val="22"/>
        </w:rPr>
      </w:pPr>
    </w:p>
    <w:p w14:paraId="3780D441" w14:textId="77777777" w:rsidR="00A876F3" w:rsidRPr="0088780C" w:rsidRDefault="00A876F3" w:rsidP="001013AF">
      <w:pPr>
        <w:suppressLineNumbers/>
        <w:shd w:val="clear" w:color="auto" w:fill="FFFFFF"/>
        <w:suppressAutoHyphens/>
        <w:kinsoku w:val="0"/>
        <w:overflowPunct w:val="0"/>
        <w:autoSpaceDE w:val="0"/>
        <w:autoSpaceDN w:val="0"/>
        <w:textAlignment w:val="baseline"/>
        <w:rPr>
          <w:rFonts w:eastAsia="MS Mincho"/>
          <w:b/>
          <w:snapToGrid w:val="0"/>
          <w:kern w:val="22"/>
          <w:szCs w:val="22"/>
        </w:rPr>
      </w:pPr>
      <w:r w:rsidRPr="0088780C">
        <w:rPr>
          <w:rFonts w:eastAsia="MS Mincho"/>
          <w:b/>
          <w:snapToGrid w:val="0"/>
          <w:kern w:val="22"/>
          <w:szCs w:val="22"/>
        </w:rPr>
        <w:t>Location</w:t>
      </w:r>
    </w:p>
    <w:p w14:paraId="645B8C1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snapToGrid w:val="0"/>
          <w:kern w:val="22"/>
          <w:szCs w:val="22"/>
        </w:rPr>
        <w:t>The status and exact geographical coordinates of the lower estuary of the Ural River have not been precisely determined. Geographically, the lower estuary area of the Ural River occupies the brackish shallow water area of the Caspian Sea near the confluence of the Ural River (Zhayik) into the sea. In this case, the exact boundaries of the lower estuary have not been established. It is proposed to establish the exact boundaries of the lower estuary space at an isobath of 3 metres.</w:t>
      </w:r>
    </w:p>
    <w:p w14:paraId="271A3D53" w14:textId="77777777" w:rsidR="00A876F3" w:rsidRPr="0088780C" w:rsidRDefault="00A876F3" w:rsidP="001013AF">
      <w:pPr>
        <w:suppressLineNumbers/>
        <w:suppressAutoHyphens/>
        <w:kinsoku w:val="0"/>
        <w:overflowPunct w:val="0"/>
        <w:autoSpaceDE w:val="0"/>
        <w:autoSpaceDN w:val="0"/>
        <w:rPr>
          <w:snapToGrid w:val="0"/>
          <w:kern w:val="22"/>
          <w:szCs w:val="22"/>
          <w:lang w:eastAsia="ru-RU"/>
        </w:rPr>
      </w:pPr>
    </w:p>
    <w:p w14:paraId="34AF735E"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Introduction</w:t>
      </w:r>
    </w:p>
    <w:p w14:paraId="49E9AB4C"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Conventionally, the Ural-Caspian fishing area is divided into several isolated areas: the northeastern part of the Caspian Sea; the lower reaches of the Zhaiyk River with a lower estuary area; and the eastern part of the Volga River delta (Kigash River with a lower estuary space).</w:t>
      </w:r>
    </w:p>
    <w:p w14:paraId="245D6DC2"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p>
    <w:p w14:paraId="2F487B94"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The Ural River is part of the Ural-Caspian fishing area. Here, there are commercial stocks of such fish as carp, pike, perch, asp, bream, catfish, gusher, bluefish, sabrefish, bersh. Also, the Ural River plays an important role in the process of formation and restoration of fishing resources in the Ural-Caspian basin. The main spawning grounds of sturgeon (980 hectares) are located here, as well as about 5000 hectares of floodplain providing fish-spawning areas. In floodplain spills, spawning of both local and semi-migratory fish species takes place. Given the remoteness from the sea, commercial fish species migrate to the spawning grounds of the most resilient fish populations. Consequently, the spawning of semi-migratory and anadromous fish is important for improving the qualitative composition of populations.</w:t>
      </w:r>
    </w:p>
    <w:p w14:paraId="0AB996EA"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p>
    <w:p w14:paraId="0CDF40B0" w14:textId="65D7961D"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The delta of the Ural River begins almost in the city of Atyrau. On the Golden Arm passes the river part of the Ural-Caspian canal, which further passes along the mouth of the channel to the sea part of the channel with depths of up to 1.8 m. This channel connects the mouth of the Urals with the Ural furrow, the deepest part of the eastern part of the North Caspian. The Ural furrow is an extension of the Ural submarine channel and was developed by the river with a lower sea level standing. The status and exact geographic</w:t>
      </w:r>
      <w:r w:rsidR="00DE74F9" w:rsidRPr="0088780C">
        <w:rPr>
          <w:rFonts w:ascii="Times New Roman" w:hAnsi="Times New Roman"/>
          <w:snapToGrid w:val="0"/>
          <w:kern w:val="22"/>
          <w:lang w:val="en-GB"/>
        </w:rPr>
        <w:t xml:space="preserve">al coordinates of the </w:t>
      </w:r>
      <w:r w:rsidRPr="0088780C">
        <w:rPr>
          <w:rFonts w:ascii="Times New Roman" w:hAnsi="Times New Roman"/>
          <w:snapToGrid w:val="0"/>
          <w:kern w:val="22"/>
          <w:lang w:val="en-GB"/>
        </w:rPr>
        <w:t>lower estuary of the Ural River have not been precisely determined.</w:t>
      </w:r>
    </w:p>
    <w:p w14:paraId="6BC163D2"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p>
    <w:p w14:paraId="751F5EDB" w14:textId="2C31AF30"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Geographically, it occupies a sea area within 30 to 50 km from the mouth of the Ural River (Figure</w:t>
      </w:r>
      <w:r w:rsidR="00DE74F9" w:rsidRPr="0088780C">
        <w:rPr>
          <w:rFonts w:ascii="Times New Roman" w:hAnsi="Times New Roman"/>
          <w:snapToGrid w:val="0"/>
          <w:kern w:val="22"/>
          <w:lang w:val="en-GB"/>
        </w:rPr>
        <w:t> </w:t>
      </w:r>
      <w:r w:rsidRPr="0088780C">
        <w:rPr>
          <w:rFonts w:ascii="Times New Roman" w:hAnsi="Times New Roman"/>
          <w:snapToGrid w:val="0"/>
          <w:kern w:val="22"/>
          <w:lang w:val="en-GB"/>
        </w:rPr>
        <w:t>2)</w:t>
      </w:r>
      <w:r w:rsidR="00DE74F9" w:rsidRPr="0088780C">
        <w:rPr>
          <w:rFonts w:ascii="Times New Roman" w:hAnsi="Times New Roman"/>
          <w:snapToGrid w:val="0"/>
          <w:kern w:val="22"/>
          <w:lang w:val="en-GB"/>
        </w:rPr>
        <w:t xml:space="preserve">. A part of the water area of </w:t>
      </w:r>
      <w:r w:rsidRPr="0088780C">
        <w:rPr>
          <w:rFonts w:ascii="Times New Roman" w:hAnsi="Times New Roman"/>
          <w:snapToGrid w:val="0"/>
          <w:kern w:val="22"/>
          <w:lang w:val="en-GB"/>
        </w:rPr>
        <w:t>the pre-estuarine area is occupied by the buffer zone of the Ak-Zhayyk Biosphere Reserve (Figure 3). The Kazakh</w:t>
      </w:r>
      <w:r w:rsidR="00DE74F9" w:rsidRPr="0088780C">
        <w:rPr>
          <w:rFonts w:ascii="Times New Roman" w:hAnsi="Times New Roman"/>
          <w:snapToGrid w:val="0"/>
          <w:kern w:val="22"/>
          <w:lang w:val="en-GB"/>
        </w:rPr>
        <w:t xml:space="preserve"> Research Institute of Fishery </w:t>
      </w:r>
      <w:r w:rsidRPr="0088780C">
        <w:rPr>
          <w:rFonts w:ascii="Times New Roman" w:hAnsi="Times New Roman"/>
          <w:snapToGrid w:val="0"/>
          <w:kern w:val="22"/>
          <w:lang w:val="en-GB"/>
        </w:rPr>
        <w:t>conducts research annually on the developed grid of stations (Figure 4).</w:t>
      </w:r>
    </w:p>
    <w:p w14:paraId="4F86E33B"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p>
    <w:p w14:paraId="04C82907" w14:textId="5A1D7F28" w:rsidR="00A876F3" w:rsidRPr="0088780C" w:rsidRDefault="00DE74F9"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 xml:space="preserve">The sea is </w:t>
      </w:r>
      <w:r w:rsidR="00A876F3" w:rsidRPr="0088780C">
        <w:rPr>
          <w:rFonts w:ascii="Times New Roman" w:hAnsi="Times New Roman"/>
          <w:snapToGrid w:val="0"/>
          <w:kern w:val="22"/>
          <w:lang w:val="en-GB"/>
        </w:rPr>
        <w:t>between 2 and 5 metres deep in this area. The average oxygen concentration in the water is 8.64 mg / dm</w:t>
      </w:r>
      <w:r w:rsidR="00A876F3" w:rsidRPr="0088780C">
        <w:rPr>
          <w:rFonts w:ascii="Times New Roman" w:hAnsi="Times New Roman"/>
          <w:snapToGrid w:val="0"/>
          <w:kern w:val="22"/>
          <w:vertAlign w:val="superscript"/>
          <w:lang w:val="en-GB"/>
        </w:rPr>
        <w:t>3</w:t>
      </w:r>
      <w:r w:rsidR="00A876F3" w:rsidRPr="0088780C">
        <w:rPr>
          <w:rFonts w:ascii="Times New Roman" w:hAnsi="Times New Roman"/>
          <w:snapToGrid w:val="0"/>
          <w:kern w:val="22"/>
          <w:lang w:val="en-GB"/>
        </w:rPr>
        <w:t>. The total mineralization of water in the investigated sea area averaged 3787 mg / dm</w:t>
      </w:r>
      <w:r w:rsidR="00A876F3" w:rsidRPr="0088780C">
        <w:rPr>
          <w:rFonts w:ascii="Times New Roman" w:hAnsi="Times New Roman"/>
          <w:snapToGrid w:val="0"/>
          <w:kern w:val="22"/>
          <w:vertAlign w:val="superscript"/>
          <w:lang w:val="en-GB"/>
        </w:rPr>
        <w:t>3</w:t>
      </w:r>
      <w:r w:rsidR="00A876F3" w:rsidRPr="0088780C">
        <w:rPr>
          <w:rFonts w:ascii="Times New Roman" w:hAnsi="Times New Roman"/>
          <w:snapToGrid w:val="0"/>
          <w:kern w:val="22"/>
          <w:lang w:val="en-GB"/>
        </w:rPr>
        <w:t>. The highest concentration was recorded at station 41, where the salt content in water was 6540 mg / dm</w:t>
      </w:r>
      <w:r w:rsidR="00A876F3" w:rsidRPr="0088780C">
        <w:rPr>
          <w:rFonts w:ascii="Times New Roman" w:hAnsi="Times New Roman"/>
          <w:snapToGrid w:val="0"/>
          <w:kern w:val="22"/>
          <w:vertAlign w:val="superscript"/>
          <w:lang w:val="en-GB"/>
        </w:rPr>
        <w:t>3</w:t>
      </w:r>
      <w:r w:rsidR="00A876F3" w:rsidRPr="0088780C">
        <w:rPr>
          <w:rFonts w:ascii="Times New Roman" w:hAnsi="Times New Roman"/>
          <w:snapToGrid w:val="0"/>
          <w:kern w:val="22"/>
          <w:lang w:val="en-GB"/>
        </w:rPr>
        <w:t>. This mineralization support sboth freshwater and brackish-water fish. There are no marine species here. Physical and geographical conditions have created here an ideal zone for feeding juveniles of all kinds of fish, including sturgeon (Acipenseridae).</w:t>
      </w:r>
    </w:p>
    <w:p w14:paraId="0DDA95D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5B1FCBF" w14:textId="77777777" w:rsidR="00A876F3" w:rsidRPr="0088780C" w:rsidRDefault="00A876F3" w:rsidP="001013AF">
      <w:pPr>
        <w:suppressLineNumbers/>
        <w:suppressAutoHyphens/>
        <w:kinsoku w:val="0"/>
        <w:overflowPunct w:val="0"/>
        <w:autoSpaceDE w:val="0"/>
        <w:autoSpaceDN w:val="0"/>
        <w:rPr>
          <w:b/>
          <w:bCs/>
          <w:snapToGrid w:val="0"/>
          <w:kern w:val="22"/>
          <w:szCs w:val="22"/>
        </w:rPr>
      </w:pPr>
      <w:r w:rsidRPr="0088780C">
        <w:rPr>
          <w:b/>
          <w:bCs/>
          <w:snapToGrid w:val="0"/>
          <w:kern w:val="22"/>
          <w:szCs w:val="22"/>
        </w:rPr>
        <w:t>Feature description of the area</w:t>
      </w:r>
    </w:p>
    <w:p w14:paraId="6839D6FE" w14:textId="0998530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sea is between 2 and 5 metres deep in this area. In summer, the water temperature is, on average, 30.3°C. The average depth reaches 3.1 m. Transparency of water varies from 0.2 m to 1.0 m in stations. The total mineralization of water in the summer period ranged from 0.6 to 6.3 g / dm</w:t>
      </w:r>
      <w:r w:rsidRPr="0088780C">
        <w:rPr>
          <w:snapToGrid w:val="0"/>
          <w:kern w:val="22"/>
          <w:szCs w:val="22"/>
          <w:vertAlign w:val="superscript"/>
        </w:rPr>
        <w:t>3</w:t>
      </w:r>
      <w:r w:rsidRPr="0088780C">
        <w:rPr>
          <w:snapToGrid w:val="0"/>
          <w:kern w:val="22"/>
          <w:szCs w:val="22"/>
        </w:rPr>
        <w:t>. The content of oxygen dissolved in water is at an optimum level in all seasons</w:t>
      </w:r>
      <w:r w:rsidR="00DE74F9" w:rsidRPr="0088780C">
        <w:rPr>
          <w:snapToGrid w:val="0"/>
          <w:kern w:val="22"/>
          <w:szCs w:val="22"/>
        </w:rPr>
        <w:t xml:space="preserve"> of the year (references 1, 2).</w:t>
      </w:r>
    </w:p>
    <w:p w14:paraId="0DF9C38A"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1CF42E0" w14:textId="643E7E8E"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distribution of zooplankton is determined mainly by the temperature of water and salinity. In the qualitative composition of zooplankton in 2016, 46 taxa of zooplankton organisms were found, including 23 species of rotifers, 8 species of cladocera and 11 species of copepods. The total average number of zooplankton organisms in the summer was 24.0 thousand specimens / m</w:t>
      </w:r>
      <w:r w:rsidRPr="0088780C">
        <w:rPr>
          <w:snapToGrid w:val="0"/>
          <w:kern w:val="22"/>
          <w:szCs w:val="22"/>
          <w:vertAlign w:val="superscript"/>
        </w:rPr>
        <w:t>3</w:t>
      </w:r>
      <w:r w:rsidRPr="0088780C">
        <w:rPr>
          <w:snapToGrid w:val="0"/>
          <w:kern w:val="22"/>
          <w:szCs w:val="22"/>
        </w:rPr>
        <w:t>. Dominants in the numerical ratio were rotifers</w:t>
      </w:r>
      <w:r w:rsidR="00DE74F9" w:rsidRPr="0088780C">
        <w:rPr>
          <w:snapToGrid w:val="0"/>
          <w:kern w:val="22"/>
          <w:szCs w:val="22"/>
        </w:rPr>
        <w:t xml:space="preserve"> </w:t>
      </w:r>
      <w:r w:rsidRPr="0088780C">
        <w:rPr>
          <w:snapToGrid w:val="0"/>
          <w:kern w:val="22"/>
          <w:szCs w:val="22"/>
        </w:rPr>
        <w:t>—</w:t>
      </w:r>
      <w:r w:rsidR="00DE74F9" w:rsidRPr="0088780C">
        <w:rPr>
          <w:snapToGrid w:val="0"/>
          <w:kern w:val="22"/>
          <w:szCs w:val="22"/>
        </w:rPr>
        <w:t xml:space="preserve"> </w:t>
      </w:r>
      <w:r w:rsidRPr="0088780C">
        <w:rPr>
          <w:snapToGrid w:val="0"/>
          <w:kern w:val="22"/>
          <w:szCs w:val="22"/>
        </w:rPr>
        <w:t>13.32 thousand specimens / m3. Subdominants were copepods. They numbered 3.44 thousand specimens / m</w:t>
      </w:r>
      <w:r w:rsidRPr="0088780C">
        <w:rPr>
          <w:snapToGrid w:val="0"/>
          <w:kern w:val="22"/>
          <w:szCs w:val="22"/>
          <w:vertAlign w:val="superscript"/>
        </w:rPr>
        <w:t>3</w:t>
      </w:r>
      <w:r w:rsidRPr="0088780C">
        <w:rPr>
          <w:snapToGrid w:val="0"/>
          <w:kern w:val="22"/>
          <w:szCs w:val="22"/>
        </w:rPr>
        <w:t>. The share of branching was insignificant, at 2.02 thousand specimens / m</w:t>
      </w:r>
      <w:r w:rsidRPr="0088780C">
        <w:rPr>
          <w:snapToGrid w:val="0"/>
          <w:kern w:val="22"/>
          <w:szCs w:val="22"/>
          <w:vertAlign w:val="superscript"/>
        </w:rPr>
        <w:t>3</w:t>
      </w:r>
      <w:r w:rsidRPr="0088780C">
        <w:rPr>
          <w:snapToGrid w:val="0"/>
          <w:kern w:val="22"/>
          <w:szCs w:val="22"/>
        </w:rPr>
        <w:t>.</w:t>
      </w:r>
    </w:p>
    <w:p w14:paraId="474558A0"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p>
    <w:p w14:paraId="4A65D661"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The distribution of bottom invertebrates is determined primarily by salinity. The biomass of forms increases with increasing salinity, and its highest values are observed in areas affected by saline middle Caspian waters at depths of more than 6 m. Seasonal changes in the sea benthos are determined by the features of reproduction and growth of benthic invertebrates, their death from being eaten by fish and the influence of unfavorable environmental factors. The qualitative composition of the macrozoobenthos of the pre-estuarine area in spring 2016 formed four main groups: crustaceans (</w:t>
      </w:r>
      <w:r w:rsidRPr="0088780C">
        <w:rPr>
          <w:rFonts w:ascii="Times New Roman" w:hAnsi="Times New Roman"/>
          <w:i/>
          <w:snapToGrid w:val="0"/>
          <w:kern w:val="22"/>
          <w:lang w:val="en-GB"/>
        </w:rPr>
        <w:t>Semorophilidae, Gammaridae, Cumacea</w:t>
      </w:r>
      <w:r w:rsidRPr="0088780C">
        <w:rPr>
          <w:rFonts w:ascii="Times New Roman" w:hAnsi="Times New Roman"/>
          <w:snapToGrid w:val="0"/>
          <w:kern w:val="22"/>
          <w:lang w:val="en-GB"/>
        </w:rPr>
        <w:t>), worms (</w:t>
      </w:r>
      <w:r w:rsidRPr="0088780C">
        <w:rPr>
          <w:rFonts w:ascii="Times New Roman" w:hAnsi="Times New Roman"/>
          <w:i/>
          <w:snapToGrid w:val="0"/>
          <w:kern w:val="22"/>
          <w:lang w:val="en-GB"/>
        </w:rPr>
        <w:t>Kl. Oligochaeta, Polychaeta</w:t>
      </w:r>
      <w:r w:rsidRPr="0088780C">
        <w:rPr>
          <w:rFonts w:ascii="Times New Roman" w:hAnsi="Times New Roman"/>
          <w:snapToGrid w:val="0"/>
          <w:kern w:val="22"/>
          <w:lang w:val="en-GB"/>
        </w:rPr>
        <w:t>) and insects (</w:t>
      </w:r>
      <w:r w:rsidRPr="0088780C">
        <w:rPr>
          <w:rFonts w:ascii="Times New Roman" w:hAnsi="Times New Roman"/>
          <w:i/>
          <w:snapToGrid w:val="0"/>
          <w:kern w:val="22"/>
          <w:lang w:val="en-GB"/>
        </w:rPr>
        <w:t>Chironomidae</w:t>
      </w:r>
      <w:r w:rsidRPr="0088780C">
        <w:rPr>
          <w:rFonts w:ascii="Times New Roman" w:hAnsi="Times New Roman"/>
          <w:snapToGrid w:val="0"/>
          <w:kern w:val="22"/>
          <w:lang w:val="en-GB"/>
        </w:rPr>
        <w:t>). The taxonomic composition in the spring period comprised 16 taxa. The biomass of the zoobenthos in the study area varied from 11.6 g / m</w:t>
      </w:r>
      <w:r w:rsidRPr="0088780C">
        <w:rPr>
          <w:rFonts w:ascii="Times New Roman" w:hAnsi="Times New Roman"/>
          <w:snapToGrid w:val="0"/>
          <w:kern w:val="22"/>
          <w:vertAlign w:val="superscript"/>
          <w:lang w:val="en-GB"/>
        </w:rPr>
        <w:t>2</w:t>
      </w:r>
      <w:r w:rsidRPr="0088780C">
        <w:rPr>
          <w:rFonts w:ascii="Times New Roman" w:hAnsi="Times New Roman"/>
          <w:snapToGrid w:val="0"/>
          <w:kern w:val="22"/>
          <w:lang w:val="en-GB"/>
        </w:rPr>
        <w:t xml:space="preserve"> to 14.0 g / m</w:t>
      </w:r>
      <w:r w:rsidRPr="0088780C">
        <w:rPr>
          <w:rFonts w:ascii="Times New Roman" w:hAnsi="Times New Roman"/>
          <w:snapToGrid w:val="0"/>
          <w:kern w:val="22"/>
          <w:vertAlign w:val="superscript"/>
          <w:lang w:val="en-GB"/>
        </w:rPr>
        <w:t>2</w:t>
      </w:r>
      <w:r w:rsidRPr="0088780C">
        <w:rPr>
          <w:rFonts w:ascii="Times New Roman" w:hAnsi="Times New Roman"/>
          <w:snapToGrid w:val="0"/>
          <w:kern w:val="22"/>
          <w:lang w:val="en-GB"/>
        </w:rPr>
        <w:t>; the average biomass of the zoobenthos was 21.6 g / m</w:t>
      </w:r>
      <w:r w:rsidRPr="0088780C">
        <w:rPr>
          <w:rFonts w:ascii="Times New Roman" w:hAnsi="Times New Roman"/>
          <w:snapToGrid w:val="0"/>
          <w:kern w:val="22"/>
          <w:vertAlign w:val="superscript"/>
          <w:lang w:val="en-GB"/>
        </w:rPr>
        <w:t>2</w:t>
      </w:r>
      <w:r w:rsidRPr="0088780C">
        <w:rPr>
          <w:rFonts w:ascii="Times New Roman" w:hAnsi="Times New Roman"/>
          <w:snapToGrid w:val="0"/>
          <w:kern w:val="22"/>
          <w:lang w:val="en-GB"/>
        </w:rPr>
        <w:t>, excluding non-fodder mollusks - 16.8 g / m</w:t>
      </w:r>
      <w:r w:rsidRPr="0088780C">
        <w:rPr>
          <w:rFonts w:ascii="Times New Roman" w:hAnsi="Times New Roman"/>
          <w:snapToGrid w:val="0"/>
          <w:kern w:val="22"/>
          <w:vertAlign w:val="superscript"/>
          <w:lang w:val="en-GB"/>
        </w:rPr>
        <w:t>2</w:t>
      </w:r>
      <w:r w:rsidRPr="0088780C">
        <w:rPr>
          <w:rFonts w:ascii="Times New Roman" w:hAnsi="Times New Roman"/>
          <w:snapToGrid w:val="0"/>
          <w:kern w:val="22"/>
          <w:lang w:val="en-GB"/>
        </w:rPr>
        <w:t>.</w:t>
      </w:r>
    </w:p>
    <w:p w14:paraId="3FDE226D"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p>
    <w:p w14:paraId="47DB8B9C" w14:textId="78DB76DF" w:rsidR="00A876F3" w:rsidRPr="0088780C" w:rsidRDefault="00A876F3" w:rsidP="00DE74F9">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The Ural River, including the pre-estuarine area of the Caspian Sea, includes a significant area of wetland, which is where fi</w:t>
      </w:r>
      <w:r w:rsidR="00DE74F9" w:rsidRPr="0088780C">
        <w:rPr>
          <w:rFonts w:ascii="Times New Roman" w:hAnsi="Times New Roman"/>
          <w:snapToGrid w:val="0"/>
          <w:kern w:val="22"/>
          <w:lang w:val="en-GB"/>
        </w:rPr>
        <w:t xml:space="preserve">sh migrate between the sea and </w:t>
      </w:r>
      <w:r w:rsidRPr="0088780C">
        <w:rPr>
          <w:rFonts w:ascii="Times New Roman" w:hAnsi="Times New Roman"/>
          <w:snapToGrid w:val="0"/>
          <w:kern w:val="22"/>
          <w:lang w:val="en-GB"/>
        </w:rPr>
        <w:t>the wetland. Throughout the year, this area is used for fish breeding and feeding.</w:t>
      </w:r>
    </w:p>
    <w:p w14:paraId="4C87BB9C"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p>
    <w:p w14:paraId="0E3524A5"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The prehistoric ichthyofauna includes vobes (</w:t>
      </w:r>
      <w:r w:rsidRPr="0088780C">
        <w:rPr>
          <w:rFonts w:ascii="Times New Roman" w:hAnsi="Times New Roman"/>
          <w:i/>
          <w:snapToGrid w:val="0"/>
          <w:kern w:val="22"/>
          <w:lang w:val="en-GB"/>
        </w:rPr>
        <w:t>Rutilus rutilus caspicus</w:t>
      </w:r>
      <w:r w:rsidRPr="0088780C">
        <w:rPr>
          <w:rFonts w:ascii="Times New Roman" w:hAnsi="Times New Roman"/>
          <w:snapToGrid w:val="0"/>
          <w:kern w:val="22"/>
          <w:lang w:val="en-GB"/>
        </w:rPr>
        <w:t>), carp (</w:t>
      </w:r>
      <w:r w:rsidRPr="0088780C">
        <w:rPr>
          <w:rFonts w:ascii="Times New Roman" w:hAnsi="Times New Roman"/>
          <w:i/>
          <w:snapToGrid w:val="0"/>
          <w:kern w:val="22"/>
          <w:lang w:val="en-GB"/>
        </w:rPr>
        <w:t>Cyprinus carpio L</w:t>
      </w:r>
      <w:r w:rsidRPr="0088780C">
        <w:rPr>
          <w:rFonts w:ascii="Times New Roman" w:hAnsi="Times New Roman"/>
          <w:snapToGrid w:val="0"/>
          <w:kern w:val="22"/>
          <w:lang w:val="en-GB"/>
        </w:rPr>
        <w:t>.), asp (</w:t>
      </w:r>
      <w:r w:rsidRPr="0088780C">
        <w:rPr>
          <w:rFonts w:ascii="Times New Roman" w:hAnsi="Times New Roman"/>
          <w:i/>
          <w:snapToGrid w:val="0"/>
          <w:kern w:val="22"/>
          <w:lang w:val="en-GB"/>
        </w:rPr>
        <w:t>Aspius aspius L</w:t>
      </w:r>
      <w:r w:rsidRPr="0088780C">
        <w:rPr>
          <w:rFonts w:ascii="Times New Roman" w:hAnsi="Times New Roman"/>
          <w:snapToGrid w:val="0"/>
          <w:kern w:val="22"/>
          <w:lang w:val="en-GB"/>
        </w:rPr>
        <w:t>.), bream (</w:t>
      </w:r>
      <w:r w:rsidRPr="0088780C">
        <w:rPr>
          <w:rFonts w:ascii="Times New Roman" w:hAnsi="Times New Roman"/>
          <w:i/>
          <w:snapToGrid w:val="0"/>
          <w:kern w:val="22"/>
          <w:lang w:val="en-GB"/>
        </w:rPr>
        <w:t>Abramis brama orientalis Berg</w:t>
      </w:r>
      <w:r w:rsidRPr="0088780C">
        <w:rPr>
          <w:rFonts w:ascii="Times New Roman" w:hAnsi="Times New Roman"/>
          <w:snapToGrid w:val="0"/>
          <w:kern w:val="22"/>
          <w:lang w:val="en-GB"/>
        </w:rPr>
        <w:t>), pike (</w:t>
      </w:r>
      <w:r w:rsidRPr="0088780C">
        <w:rPr>
          <w:rFonts w:ascii="Times New Roman" w:hAnsi="Times New Roman"/>
          <w:i/>
          <w:snapToGrid w:val="0"/>
          <w:kern w:val="22"/>
          <w:lang w:val="en-GB"/>
        </w:rPr>
        <w:t>Esox lucius</w:t>
      </w:r>
      <w:r w:rsidRPr="0088780C">
        <w:rPr>
          <w:rFonts w:ascii="Times New Roman" w:hAnsi="Times New Roman"/>
          <w:snapToGrid w:val="0"/>
          <w:kern w:val="22"/>
          <w:lang w:val="en-GB"/>
        </w:rPr>
        <w:t>), crucian carp (</w:t>
      </w:r>
      <w:r w:rsidRPr="0088780C">
        <w:rPr>
          <w:rFonts w:ascii="Times New Roman" w:hAnsi="Times New Roman"/>
          <w:i/>
          <w:snapToGrid w:val="0"/>
          <w:kern w:val="22"/>
          <w:lang w:val="en-GB"/>
        </w:rPr>
        <w:t xml:space="preserve">Carassius carassius), </w:t>
      </w:r>
      <w:r w:rsidRPr="0088780C">
        <w:rPr>
          <w:rFonts w:ascii="Times New Roman" w:hAnsi="Times New Roman"/>
          <w:snapToGrid w:val="0"/>
          <w:kern w:val="22"/>
          <w:lang w:val="en-GB"/>
        </w:rPr>
        <w:t>sechel</w:t>
      </w:r>
      <w:r w:rsidRPr="0088780C">
        <w:rPr>
          <w:rFonts w:ascii="Times New Roman" w:hAnsi="Times New Roman"/>
          <w:i/>
          <w:snapToGrid w:val="0"/>
          <w:kern w:val="22"/>
          <w:lang w:val="en-GB"/>
        </w:rPr>
        <w:t xml:space="preserve"> (Pelicus cultratus)</w:t>
      </w:r>
      <w:r w:rsidRPr="0088780C">
        <w:rPr>
          <w:rFonts w:ascii="Times New Roman" w:hAnsi="Times New Roman"/>
          <w:snapToGrid w:val="0"/>
          <w:kern w:val="22"/>
          <w:lang w:val="en-GB"/>
        </w:rPr>
        <w:t>, pike-perch (</w:t>
      </w:r>
      <w:r w:rsidRPr="0088780C">
        <w:rPr>
          <w:rFonts w:ascii="Times New Roman" w:hAnsi="Times New Roman"/>
          <w:i/>
          <w:snapToGrid w:val="0"/>
          <w:kern w:val="22"/>
          <w:lang w:val="en-GB"/>
        </w:rPr>
        <w:t>Stizostedion lucioperca L</w:t>
      </w:r>
      <w:r w:rsidRPr="0088780C">
        <w:rPr>
          <w:rFonts w:ascii="Times New Roman" w:hAnsi="Times New Roman"/>
          <w:snapToGrid w:val="0"/>
          <w:kern w:val="22"/>
          <w:lang w:val="en-GB"/>
        </w:rPr>
        <w:t>.), bersh (</w:t>
      </w:r>
      <w:r w:rsidRPr="0088780C">
        <w:rPr>
          <w:rFonts w:ascii="Times New Roman" w:hAnsi="Times New Roman"/>
          <w:i/>
          <w:snapToGrid w:val="0"/>
          <w:kern w:val="22"/>
          <w:lang w:val="en-GB"/>
        </w:rPr>
        <w:t>Stizostedion volgensis</w:t>
      </w:r>
      <w:r w:rsidRPr="0088780C">
        <w:rPr>
          <w:rFonts w:ascii="Times New Roman" w:hAnsi="Times New Roman"/>
          <w:snapToGrid w:val="0"/>
          <w:kern w:val="22"/>
          <w:lang w:val="en-GB"/>
        </w:rPr>
        <w:t>), catfish (</w:t>
      </w:r>
      <w:r w:rsidRPr="0088780C">
        <w:rPr>
          <w:rFonts w:ascii="Times New Roman" w:hAnsi="Times New Roman"/>
          <w:i/>
          <w:snapToGrid w:val="0"/>
          <w:kern w:val="22"/>
          <w:lang w:val="en-GB"/>
        </w:rPr>
        <w:t>Silurus glanis</w:t>
      </w:r>
      <w:r w:rsidRPr="0088780C">
        <w:rPr>
          <w:rFonts w:ascii="Times New Roman" w:hAnsi="Times New Roman"/>
          <w:snapToGrid w:val="0"/>
          <w:kern w:val="22"/>
          <w:lang w:val="en-GB"/>
        </w:rPr>
        <w:t>), Caspian pheasant (</w:t>
      </w:r>
      <w:r w:rsidRPr="0088780C">
        <w:rPr>
          <w:rFonts w:ascii="Times New Roman" w:hAnsi="Times New Roman"/>
          <w:i/>
          <w:snapToGrid w:val="0"/>
          <w:kern w:val="22"/>
          <w:lang w:val="en-GB"/>
        </w:rPr>
        <w:t>Alosa caspia</w:t>
      </w:r>
      <w:r w:rsidRPr="0088780C">
        <w:rPr>
          <w:rFonts w:ascii="Times New Roman" w:hAnsi="Times New Roman"/>
          <w:snapToGrid w:val="0"/>
          <w:kern w:val="22"/>
          <w:lang w:val="en-GB"/>
        </w:rPr>
        <w:t>), beluga (</w:t>
      </w:r>
      <w:r w:rsidRPr="0088780C">
        <w:rPr>
          <w:rFonts w:ascii="Times New Roman" w:hAnsi="Times New Roman"/>
          <w:i/>
          <w:snapToGrid w:val="0"/>
          <w:kern w:val="22"/>
          <w:lang w:val="en-GB"/>
        </w:rPr>
        <w:t>Huso huso</w:t>
      </w:r>
      <w:r w:rsidRPr="0088780C">
        <w:rPr>
          <w:rFonts w:ascii="Times New Roman" w:hAnsi="Times New Roman"/>
          <w:snapToGrid w:val="0"/>
          <w:kern w:val="22"/>
          <w:lang w:val="en-GB"/>
        </w:rPr>
        <w:t>), Russian sturgeon (</w:t>
      </w:r>
      <w:r w:rsidRPr="0088780C">
        <w:rPr>
          <w:rFonts w:ascii="Times New Roman" w:hAnsi="Times New Roman"/>
          <w:i/>
          <w:snapToGrid w:val="0"/>
          <w:kern w:val="22"/>
          <w:lang w:val="en-GB"/>
        </w:rPr>
        <w:t>Acipenser gueldenstaedtii</w:t>
      </w:r>
      <w:r w:rsidRPr="0088780C">
        <w:rPr>
          <w:rFonts w:ascii="Times New Roman" w:hAnsi="Times New Roman"/>
          <w:snapToGrid w:val="0"/>
          <w:kern w:val="22"/>
          <w:lang w:val="en-GB"/>
        </w:rPr>
        <w:t>), sturgeon (</w:t>
      </w:r>
      <w:r w:rsidRPr="0088780C">
        <w:rPr>
          <w:rFonts w:ascii="Times New Roman" w:hAnsi="Times New Roman"/>
          <w:i/>
          <w:snapToGrid w:val="0"/>
          <w:kern w:val="22"/>
          <w:lang w:val="en-GB"/>
        </w:rPr>
        <w:t>Acipenser stellatus</w:t>
      </w:r>
      <w:r w:rsidRPr="0088780C">
        <w:rPr>
          <w:rFonts w:ascii="Times New Roman" w:hAnsi="Times New Roman"/>
          <w:snapToGrid w:val="0"/>
          <w:kern w:val="22"/>
          <w:lang w:val="en-GB"/>
        </w:rPr>
        <w:t>), sterlet (</w:t>
      </w:r>
      <w:r w:rsidRPr="0088780C">
        <w:rPr>
          <w:rFonts w:ascii="Times New Roman" w:hAnsi="Times New Roman"/>
          <w:i/>
          <w:snapToGrid w:val="0"/>
          <w:kern w:val="22"/>
          <w:lang w:val="en-GB"/>
        </w:rPr>
        <w:t>Acipenserruthenus</w:t>
      </w:r>
      <w:r w:rsidRPr="0088780C">
        <w:rPr>
          <w:rFonts w:ascii="Times New Roman" w:hAnsi="Times New Roman"/>
          <w:snapToGrid w:val="0"/>
          <w:kern w:val="22"/>
          <w:lang w:val="en-GB"/>
        </w:rPr>
        <w:t>), thorn (</w:t>
      </w:r>
      <w:r w:rsidRPr="0088780C">
        <w:rPr>
          <w:rFonts w:ascii="Times New Roman" w:hAnsi="Times New Roman"/>
          <w:i/>
          <w:snapToGrid w:val="0"/>
          <w:kern w:val="22"/>
          <w:lang w:val="en-GB"/>
        </w:rPr>
        <w:t>Acipenser nudiventris</w:t>
      </w:r>
      <w:r w:rsidRPr="0088780C">
        <w:rPr>
          <w:rFonts w:ascii="Times New Roman" w:hAnsi="Times New Roman"/>
          <w:snapToGrid w:val="0"/>
          <w:kern w:val="22"/>
          <w:lang w:val="en-GB"/>
        </w:rPr>
        <w:t>) and a number of non-commercial fish species (e.g., stickleback, white-eyed, char, pinewood, loach).</w:t>
      </w:r>
    </w:p>
    <w:p w14:paraId="27CB80AB"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p>
    <w:p w14:paraId="4513F8D6" w14:textId="479FDCF6" w:rsidR="00A876F3" w:rsidRPr="0088780C" w:rsidRDefault="0054074B"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 xml:space="preserve">According to </w:t>
      </w:r>
      <w:r w:rsidR="00A876F3" w:rsidRPr="0088780C">
        <w:rPr>
          <w:rFonts w:ascii="Times New Roman" w:hAnsi="Times New Roman"/>
          <w:snapToGrid w:val="0"/>
          <w:kern w:val="22"/>
          <w:lang w:val="en-GB"/>
        </w:rPr>
        <w:t xml:space="preserve">the Kazakhstan Agency of Applied Ecology LLP , the most common  fish species recorded </w:t>
      </w:r>
      <w:r w:rsidRPr="0088780C">
        <w:rPr>
          <w:rFonts w:ascii="Times New Roman" w:hAnsi="Times New Roman"/>
          <w:snapToGrid w:val="0"/>
          <w:kern w:val="22"/>
          <w:lang w:val="en-GB"/>
        </w:rPr>
        <w:t xml:space="preserve">in autumn 2015 at the boundary </w:t>
      </w:r>
      <w:r w:rsidR="00A876F3" w:rsidRPr="0088780C">
        <w:rPr>
          <w:rFonts w:ascii="Times New Roman" w:hAnsi="Times New Roman"/>
          <w:snapToGrid w:val="0"/>
          <w:kern w:val="22"/>
          <w:lang w:val="en-GB"/>
        </w:rPr>
        <w:t>of the pre-estuarine area of the Ural River were vobla (34.2%), followed by sabrefish (31.6%), North Caspian pusanok (21.1%), bream (10.5%) and pike perch (2.6%) (Figure 5). Thus, about 80% of the composition of the ichthyofauna, even at the bound</w:t>
      </w:r>
      <w:r w:rsidRPr="0088780C">
        <w:rPr>
          <w:rFonts w:ascii="Times New Roman" w:hAnsi="Times New Roman"/>
          <w:snapToGrid w:val="0"/>
          <w:kern w:val="22"/>
          <w:lang w:val="en-GB"/>
        </w:rPr>
        <w:t xml:space="preserve">ary of the pre-estuarine area, </w:t>
      </w:r>
      <w:r w:rsidR="00A876F3" w:rsidRPr="0088780C">
        <w:rPr>
          <w:rFonts w:ascii="Times New Roman" w:hAnsi="Times New Roman"/>
          <w:snapToGrid w:val="0"/>
          <w:kern w:val="22"/>
          <w:lang w:val="en-GB"/>
        </w:rPr>
        <w:t>comprises freshwater species and ichthyomassa (more than 90%).</w:t>
      </w:r>
    </w:p>
    <w:p w14:paraId="2A3E05FB"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p>
    <w:p w14:paraId="287838AA"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Of the 18 fish listed in the Red Book of Kazakhstan (2008), five species inhabit the Ural - Caspian basin: the caspian lamprey (</w:t>
      </w:r>
      <w:r w:rsidRPr="0088780C">
        <w:rPr>
          <w:rFonts w:ascii="Times New Roman" w:hAnsi="Times New Roman"/>
          <w:i/>
          <w:snapToGrid w:val="0"/>
          <w:kern w:val="22"/>
          <w:lang w:val="en-GB"/>
        </w:rPr>
        <w:t>Caspiomyzon wagneri</w:t>
      </w:r>
      <w:r w:rsidRPr="0088780C">
        <w:rPr>
          <w:rFonts w:ascii="Times New Roman" w:hAnsi="Times New Roman"/>
          <w:snapToGrid w:val="0"/>
          <w:kern w:val="22"/>
          <w:lang w:val="en-GB"/>
        </w:rPr>
        <w:t>), the Volga herring (</w:t>
      </w:r>
      <w:r w:rsidRPr="0088780C">
        <w:rPr>
          <w:rFonts w:ascii="Times New Roman" w:hAnsi="Times New Roman"/>
          <w:i/>
          <w:snapToGrid w:val="0"/>
          <w:kern w:val="22"/>
          <w:lang w:val="en-GB"/>
        </w:rPr>
        <w:t>Alosa kessleri volgensis</w:t>
      </w:r>
      <w:r w:rsidRPr="0088780C">
        <w:rPr>
          <w:rFonts w:ascii="Times New Roman" w:hAnsi="Times New Roman"/>
          <w:snapToGrid w:val="0"/>
          <w:kern w:val="22"/>
          <w:lang w:val="en-GB"/>
        </w:rPr>
        <w:t>), the Caspian salmon (</w:t>
      </w:r>
      <w:r w:rsidRPr="0088780C">
        <w:rPr>
          <w:rFonts w:ascii="Times New Roman" w:hAnsi="Times New Roman"/>
          <w:i/>
          <w:snapToGrid w:val="0"/>
          <w:kern w:val="22"/>
          <w:lang w:val="en-GB"/>
        </w:rPr>
        <w:t>Salmo trutta caspius</w:t>
      </w:r>
      <w:r w:rsidRPr="0088780C">
        <w:rPr>
          <w:rFonts w:ascii="Times New Roman" w:hAnsi="Times New Roman"/>
          <w:snapToGrid w:val="0"/>
          <w:kern w:val="22"/>
          <w:lang w:val="en-GB"/>
        </w:rPr>
        <w:t>), the white salmon (</w:t>
      </w:r>
      <w:r w:rsidRPr="0088780C">
        <w:rPr>
          <w:rFonts w:ascii="Times New Roman" w:hAnsi="Times New Roman"/>
          <w:i/>
          <w:snapToGrid w:val="0"/>
          <w:kern w:val="22"/>
          <w:lang w:val="en-GB"/>
        </w:rPr>
        <w:t>Stenodus leucichthys Leucichthys</w:t>
      </w:r>
      <w:r w:rsidRPr="0088780C">
        <w:rPr>
          <w:rFonts w:ascii="Times New Roman" w:hAnsi="Times New Roman"/>
          <w:snapToGrid w:val="0"/>
          <w:kern w:val="22"/>
          <w:lang w:val="en-GB"/>
        </w:rPr>
        <w:t>), kutum (</w:t>
      </w:r>
      <w:r w:rsidRPr="0088780C">
        <w:rPr>
          <w:rFonts w:ascii="Times New Roman" w:hAnsi="Times New Roman"/>
          <w:i/>
          <w:snapToGrid w:val="0"/>
          <w:kern w:val="22"/>
          <w:lang w:val="en-GB"/>
        </w:rPr>
        <w:t>Rutilus frizii kutum</w:t>
      </w:r>
      <w:r w:rsidRPr="0088780C">
        <w:rPr>
          <w:rFonts w:ascii="Times New Roman" w:hAnsi="Times New Roman"/>
          <w:snapToGrid w:val="0"/>
          <w:kern w:val="22"/>
          <w:lang w:val="en-GB"/>
        </w:rPr>
        <w:t>). These species have become extremely rare  in the pre-estuarine area in recent years.</w:t>
      </w:r>
    </w:p>
    <w:p w14:paraId="27229A5D"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p>
    <w:p w14:paraId="7588BBFF" w14:textId="43BC743C"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The area is a habitat for commercially valuable speci</w:t>
      </w:r>
      <w:r w:rsidR="0054074B" w:rsidRPr="0088780C">
        <w:rPr>
          <w:rFonts w:ascii="Times New Roman" w:hAnsi="Times New Roman"/>
          <w:snapToGrid w:val="0"/>
          <w:kern w:val="22"/>
          <w:lang w:val="en-GB"/>
        </w:rPr>
        <w:t>es of sturgeon and their young.</w:t>
      </w:r>
    </w:p>
    <w:p w14:paraId="19A11A27" w14:textId="77777777" w:rsidR="00A876F3" w:rsidRPr="0088780C" w:rsidRDefault="00A876F3" w:rsidP="001013AF">
      <w:pPr>
        <w:suppressLineNumbers/>
        <w:suppressAutoHyphens/>
        <w:kinsoku w:val="0"/>
        <w:overflowPunct w:val="0"/>
        <w:autoSpaceDE w:val="0"/>
        <w:autoSpaceDN w:val="0"/>
        <w:rPr>
          <w:snapToGrid w:val="0"/>
          <w:kern w:val="22"/>
          <w:szCs w:val="22"/>
          <w:lang w:eastAsia="ru-RU"/>
        </w:rPr>
      </w:pPr>
    </w:p>
    <w:p w14:paraId="54750F07" w14:textId="77777777" w:rsidR="00A876F3" w:rsidRPr="0088780C" w:rsidRDefault="00A876F3" w:rsidP="0054074B">
      <w:pPr>
        <w:keepNext/>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Feature condition and future outlook of the area</w:t>
      </w:r>
    </w:p>
    <w:p w14:paraId="29CE569C" w14:textId="17FB946B"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physical factors of the environment, depth, salinity, hydrochemical regime, the state of the fodder base of fish,are in a satisfactory state. Fishing for fine-mesh species, often unregulated, has a significant effect on fish stocks. The excessive number of fishing gear and fishing efforts leads to the fact that in spring a significant part of the spawning herd of fish cannot overcome the fishing </w:t>
      </w:r>
      <w:r w:rsidR="00D8482D" w:rsidRPr="0088780C">
        <w:rPr>
          <w:rFonts w:eastAsia="MS Mincho"/>
          <w:snapToGrid w:val="0"/>
          <w:kern w:val="22"/>
          <w:szCs w:val="22"/>
        </w:rPr>
        <w:t>“</w:t>
      </w:r>
      <w:r w:rsidRPr="0088780C">
        <w:rPr>
          <w:rFonts w:eastAsia="MS Mincho"/>
          <w:snapToGrid w:val="0"/>
          <w:kern w:val="22"/>
          <w:szCs w:val="22"/>
        </w:rPr>
        <w:t>barrier</w:t>
      </w:r>
      <w:r w:rsidR="00D8482D" w:rsidRPr="0088780C">
        <w:rPr>
          <w:rFonts w:eastAsia="MS Mincho"/>
          <w:snapToGrid w:val="0"/>
          <w:kern w:val="22"/>
          <w:szCs w:val="22"/>
        </w:rPr>
        <w:t>”</w:t>
      </w:r>
      <w:r w:rsidRPr="0088780C">
        <w:rPr>
          <w:rFonts w:eastAsia="MS Mincho"/>
          <w:snapToGrid w:val="0"/>
          <w:kern w:val="22"/>
          <w:szCs w:val="22"/>
        </w:rPr>
        <w:t xml:space="preserve"> (fishing nets) and enter the river to spawn. Fish stocks are declining. The ban on scientific fishing of sturgeon species since 2009 has made it impossible to conduct qualitative studies on the state of fish spawning, since  there is no basis on which to reliably estimate their state in a body of water.</w:t>
      </w:r>
    </w:p>
    <w:p w14:paraId="6BDD7B0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AC6C6D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a habitat for commercially valuable protected fish species — sturgeon and their young.</w:t>
      </w:r>
      <w:r w:rsidRPr="0088780C">
        <w:rPr>
          <w:snapToGrid w:val="0"/>
          <w:kern w:val="22"/>
          <w:szCs w:val="22"/>
        </w:rPr>
        <w:t xml:space="preserve"> Part of the pre-estuary space includes a zone where fishing is forbidden year-round. Outside the restricted area, commercial fishing is conducted in the pre-estuarine area, including a significant proportion of IUU catch. Fishing equipment used is presented in Table 2.</w:t>
      </w:r>
    </w:p>
    <w:p w14:paraId="26C7F304" w14:textId="77777777" w:rsidR="00A876F3" w:rsidRPr="0088780C" w:rsidRDefault="00A876F3" w:rsidP="001013AF">
      <w:pPr>
        <w:suppressLineNumbers/>
        <w:suppressAutoHyphens/>
        <w:kinsoku w:val="0"/>
        <w:overflowPunct w:val="0"/>
        <w:autoSpaceDE w:val="0"/>
        <w:autoSpaceDN w:val="0"/>
        <w:ind w:firstLine="720"/>
        <w:rPr>
          <w:rFonts w:eastAsia="MS Mincho"/>
          <w:snapToGrid w:val="0"/>
          <w:kern w:val="22"/>
          <w:szCs w:val="22"/>
        </w:rPr>
      </w:pPr>
    </w:p>
    <w:p w14:paraId="5FC2950D"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b/>
          <w:bCs/>
          <w:snapToGrid w:val="0"/>
          <w:kern w:val="22"/>
          <w:szCs w:val="22"/>
          <w:lang w:eastAsia="ru-RU"/>
        </w:rPr>
        <w:t>Assessment of the area against CBD EBSA criteria</w:t>
      </w:r>
    </w:p>
    <w:p w14:paraId="46DD0131"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3626"/>
        <w:gridCol w:w="870"/>
        <w:gridCol w:w="45"/>
        <w:gridCol w:w="45"/>
        <w:gridCol w:w="60"/>
        <w:gridCol w:w="90"/>
        <w:gridCol w:w="180"/>
        <w:gridCol w:w="51"/>
        <w:gridCol w:w="674"/>
        <w:gridCol w:w="15"/>
        <w:gridCol w:w="15"/>
        <w:gridCol w:w="48"/>
        <w:gridCol w:w="48"/>
        <w:gridCol w:w="119"/>
        <w:gridCol w:w="46"/>
        <w:gridCol w:w="1016"/>
        <w:gridCol w:w="15"/>
        <w:gridCol w:w="30"/>
        <w:gridCol w:w="150"/>
        <w:gridCol w:w="13"/>
        <w:gridCol w:w="1107"/>
      </w:tblGrid>
      <w:tr w:rsidR="00A876F3" w:rsidRPr="0088780C" w14:paraId="1804B78F" w14:textId="77777777" w:rsidTr="006972AD">
        <w:trPr>
          <w:trHeight w:val="630"/>
        </w:trPr>
        <w:tc>
          <w:tcPr>
            <w:tcW w:w="1631" w:type="dxa"/>
            <w:vMerge w:val="restart"/>
          </w:tcPr>
          <w:p w14:paraId="27839D1A"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before="60" w:after="60"/>
              <w:jc w:val="center"/>
              <w:rPr>
                <w:b/>
                <w:snapToGrid w:val="0"/>
                <w:kern w:val="22"/>
                <w:szCs w:val="22"/>
              </w:rPr>
            </w:pPr>
            <w:r w:rsidRPr="0088780C">
              <w:rPr>
                <w:b/>
                <w:snapToGrid w:val="0"/>
                <w:kern w:val="22"/>
                <w:szCs w:val="22"/>
              </w:rPr>
              <w:t>Criteria</w:t>
            </w:r>
          </w:p>
        </w:tc>
        <w:tc>
          <w:tcPr>
            <w:tcW w:w="3702" w:type="dxa"/>
            <w:vMerge w:val="restart"/>
          </w:tcPr>
          <w:p w14:paraId="7F2EC249"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before="60" w:after="60"/>
              <w:jc w:val="center"/>
              <w:rPr>
                <w:b/>
                <w:snapToGrid w:val="0"/>
                <w:kern w:val="22"/>
                <w:szCs w:val="22"/>
              </w:rPr>
            </w:pPr>
            <w:r w:rsidRPr="0088780C">
              <w:rPr>
                <w:b/>
                <w:snapToGrid w:val="0"/>
                <w:kern w:val="22"/>
                <w:szCs w:val="22"/>
              </w:rPr>
              <w:t>Description</w:t>
            </w:r>
          </w:p>
          <w:p w14:paraId="3FE0748A"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before="60" w:after="60"/>
              <w:jc w:val="center"/>
              <w:rPr>
                <w:b/>
                <w:snapToGrid w:val="0"/>
                <w:kern w:val="22"/>
                <w:szCs w:val="22"/>
              </w:rPr>
            </w:pPr>
            <w:r w:rsidRPr="0088780C">
              <w:rPr>
                <w:snapToGrid w:val="0"/>
                <w:kern w:val="22"/>
                <w:szCs w:val="22"/>
                <w:lang w:eastAsia="ru-RU"/>
              </w:rPr>
              <w:t>(Annex I to decision IX/20)</w:t>
            </w:r>
          </w:p>
        </w:tc>
        <w:tc>
          <w:tcPr>
            <w:tcW w:w="4556" w:type="dxa"/>
            <w:gridSpan w:val="20"/>
          </w:tcPr>
          <w:p w14:paraId="20E39C17" w14:textId="77777777" w:rsidR="00A876F3" w:rsidRPr="0088780C" w:rsidRDefault="00A876F3" w:rsidP="001013AF">
            <w:pPr>
              <w:suppressLineNumbers/>
              <w:suppressAutoHyphens/>
              <w:kinsoku w:val="0"/>
              <w:overflowPunct w:val="0"/>
              <w:autoSpaceDE w:val="0"/>
              <w:autoSpaceDN w:val="0"/>
              <w:adjustRightInd w:val="0"/>
              <w:jc w:val="center"/>
              <w:rPr>
                <w:b/>
                <w:bCs/>
                <w:snapToGrid w:val="0"/>
                <w:kern w:val="22"/>
                <w:szCs w:val="22"/>
                <w:lang w:eastAsia="ru-RU"/>
              </w:rPr>
            </w:pPr>
            <w:r w:rsidRPr="0088780C">
              <w:rPr>
                <w:b/>
                <w:bCs/>
                <w:snapToGrid w:val="0"/>
                <w:kern w:val="22"/>
                <w:szCs w:val="22"/>
                <w:lang w:eastAsia="ru-RU"/>
              </w:rPr>
              <w:t>Ranking of criterion relevance</w:t>
            </w:r>
          </w:p>
          <w:p w14:paraId="56E7DC8B"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before="60" w:after="60"/>
              <w:jc w:val="center"/>
              <w:rPr>
                <w:b/>
                <w:snapToGrid w:val="0"/>
                <w:kern w:val="22"/>
                <w:szCs w:val="22"/>
              </w:rPr>
            </w:pPr>
            <w:r w:rsidRPr="0088780C">
              <w:rPr>
                <w:snapToGrid w:val="0"/>
                <w:kern w:val="22"/>
                <w:szCs w:val="22"/>
                <w:lang w:eastAsia="ru-RU"/>
              </w:rPr>
              <w:t>(please mark one column with an X)</w:t>
            </w:r>
          </w:p>
        </w:tc>
      </w:tr>
      <w:tr w:rsidR="00A876F3" w:rsidRPr="0088780C" w14:paraId="0F6B70E2" w14:textId="77777777" w:rsidTr="006972AD">
        <w:trPr>
          <w:trHeight w:val="330"/>
        </w:trPr>
        <w:tc>
          <w:tcPr>
            <w:tcW w:w="1631" w:type="dxa"/>
            <w:vMerge/>
          </w:tcPr>
          <w:p w14:paraId="0802B47B"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before="60" w:after="60"/>
              <w:jc w:val="center"/>
              <w:rPr>
                <w:b/>
                <w:snapToGrid w:val="0"/>
                <w:kern w:val="22"/>
                <w:szCs w:val="22"/>
              </w:rPr>
            </w:pPr>
          </w:p>
        </w:tc>
        <w:tc>
          <w:tcPr>
            <w:tcW w:w="3702" w:type="dxa"/>
            <w:vMerge/>
          </w:tcPr>
          <w:p w14:paraId="6AD289C1"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before="60" w:after="60"/>
              <w:jc w:val="center"/>
              <w:rPr>
                <w:b/>
                <w:snapToGrid w:val="0"/>
                <w:kern w:val="22"/>
                <w:szCs w:val="22"/>
              </w:rPr>
            </w:pPr>
          </w:p>
        </w:tc>
        <w:tc>
          <w:tcPr>
            <w:tcW w:w="1341" w:type="dxa"/>
            <w:gridSpan w:val="7"/>
          </w:tcPr>
          <w:p w14:paraId="29FB9E5C"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before="60" w:after="60"/>
              <w:jc w:val="center"/>
              <w:rPr>
                <w:b/>
                <w:bCs/>
                <w:snapToGrid w:val="0"/>
                <w:kern w:val="22"/>
                <w:szCs w:val="22"/>
                <w:lang w:eastAsia="ru-RU"/>
              </w:rPr>
            </w:pPr>
            <w:r w:rsidRPr="0088780C">
              <w:rPr>
                <w:b/>
                <w:bCs/>
                <w:snapToGrid w:val="0"/>
                <w:kern w:val="22"/>
                <w:szCs w:val="22"/>
                <w:lang w:eastAsia="ru-RU"/>
              </w:rPr>
              <w:t>No information</w:t>
            </w:r>
          </w:p>
        </w:tc>
        <w:tc>
          <w:tcPr>
            <w:tcW w:w="967" w:type="dxa"/>
            <w:gridSpan w:val="7"/>
          </w:tcPr>
          <w:p w14:paraId="34F702F8"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before="60" w:after="60"/>
              <w:jc w:val="center"/>
              <w:rPr>
                <w:b/>
                <w:bCs/>
                <w:snapToGrid w:val="0"/>
                <w:kern w:val="22"/>
                <w:szCs w:val="22"/>
                <w:lang w:eastAsia="ru-RU"/>
              </w:rPr>
            </w:pPr>
            <w:r w:rsidRPr="0088780C">
              <w:rPr>
                <w:b/>
                <w:bCs/>
                <w:snapToGrid w:val="0"/>
                <w:kern w:val="22"/>
                <w:szCs w:val="22"/>
                <w:lang w:eastAsia="ru-RU"/>
              </w:rPr>
              <w:t>Low</w:t>
            </w:r>
          </w:p>
        </w:tc>
        <w:tc>
          <w:tcPr>
            <w:tcW w:w="1140" w:type="dxa"/>
            <w:gridSpan w:val="5"/>
          </w:tcPr>
          <w:p w14:paraId="0339ABE1"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before="60" w:after="60"/>
              <w:jc w:val="center"/>
              <w:rPr>
                <w:b/>
                <w:bCs/>
                <w:snapToGrid w:val="0"/>
                <w:kern w:val="22"/>
                <w:szCs w:val="22"/>
                <w:lang w:eastAsia="ru-RU"/>
              </w:rPr>
            </w:pPr>
            <w:r w:rsidRPr="0088780C">
              <w:rPr>
                <w:b/>
                <w:bCs/>
                <w:snapToGrid w:val="0"/>
                <w:kern w:val="22"/>
                <w:szCs w:val="22"/>
                <w:lang w:eastAsia="ru-RU"/>
              </w:rPr>
              <w:t>Medium</w:t>
            </w:r>
          </w:p>
        </w:tc>
        <w:tc>
          <w:tcPr>
            <w:tcW w:w="1108" w:type="dxa"/>
          </w:tcPr>
          <w:p w14:paraId="56838AAA"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before="60" w:after="60"/>
              <w:jc w:val="center"/>
              <w:rPr>
                <w:b/>
                <w:bCs/>
                <w:snapToGrid w:val="0"/>
                <w:kern w:val="22"/>
                <w:szCs w:val="22"/>
                <w:lang w:eastAsia="ru-RU"/>
              </w:rPr>
            </w:pPr>
            <w:r w:rsidRPr="0088780C">
              <w:rPr>
                <w:b/>
                <w:bCs/>
                <w:snapToGrid w:val="0"/>
                <w:kern w:val="22"/>
                <w:szCs w:val="22"/>
                <w:lang w:eastAsia="ru-RU"/>
              </w:rPr>
              <w:t>High</w:t>
            </w:r>
          </w:p>
        </w:tc>
      </w:tr>
      <w:tr w:rsidR="00A876F3" w:rsidRPr="0088780C" w14:paraId="3591EB4C" w14:textId="77777777" w:rsidTr="006972AD">
        <w:tc>
          <w:tcPr>
            <w:tcW w:w="1631" w:type="dxa"/>
          </w:tcPr>
          <w:p w14:paraId="27D63F68" w14:textId="77777777" w:rsidR="00A876F3" w:rsidRPr="0088780C" w:rsidRDefault="00A876F3" w:rsidP="001013AF">
            <w:pPr>
              <w:suppressLineNumbers/>
              <w:tabs>
                <w:tab w:val="center" w:pos="4320"/>
                <w:tab w:val="right" w:pos="8640"/>
              </w:tabs>
              <w:suppressAutoHyphens/>
              <w:kinsoku w:val="0"/>
              <w:overflowPunct w:val="0"/>
              <w:autoSpaceDE w:val="0"/>
              <w:autoSpaceDN w:val="0"/>
              <w:rPr>
                <w:b/>
                <w:snapToGrid w:val="0"/>
                <w:kern w:val="22"/>
                <w:szCs w:val="22"/>
              </w:rPr>
            </w:pPr>
            <w:r w:rsidRPr="0088780C">
              <w:rPr>
                <w:b/>
                <w:snapToGrid w:val="0"/>
                <w:kern w:val="22"/>
                <w:szCs w:val="22"/>
              </w:rPr>
              <w:t>Uniqueness or rarity</w:t>
            </w:r>
          </w:p>
        </w:tc>
        <w:tc>
          <w:tcPr>
            <w:tcW w:w="3702" w:type="dxa"/>
          </w:tcPr>
          <w:p w14:paraId="614B4030"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r w:rsidRPr="0088780C">
              <w:rPr>
                <w:snapToGrid w:val="0"/>
                <w:kern w:val="22"/>
                <w:szCs w:val="22"/>
              </w:rPr>
              <w:t>An area in which either i) unique (unique in its kind), rare (found in only a few places) or endemic species, populations or communities are present; and / or ii) unique, rare or special habitats or ecosystems; and / or iii) unique or unusual geomorphological or oceanographic elements.</w:t>
            </w:r>
          </w:p>
        </w:tc>
        <w:tc>
          <w:tcPr>
            <w:tcW w:w="1341" w:type="dxa"/>
            <w:gridSpan w:val="7"/>
          </w:tcPr>
          <w:p w14:paraId="1EEA4F40"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967" w:type="dxa"/>
            <w:gridSpan w:val="7"/>
          </w:tcPr>
          <w:p w14:paraId="1DEF0D9D"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40" w:type="dxa"/>
            <w:gridSpan w:val="5"/>
          </w:tcPr>
          <w:p w14:paraId="76E9FED2"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08" w:type="dxa"/>
          </w:tcPr>
          <w:p w14:paraId="09E1C6BD"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snapToGrid w:val="0"/>
                <w:kern w:val="22"/>
                <w:szCs w:val="22"/>
              </w:rPr>
            </w:pPr>
            <w:r w:rsidRPr="0088780C">
              <w:rPr>
                <w:snapToGrid w:val="0"/>
                <w:kern w:val="22"/>
                <w:szCs w:val="22"/>
              </w:rPr>
              <w:t>X</w:t>
            </w:r>
          </w:p>
        </w:tc>
      </w:tr>
      <w:tr w:rsidR="00A876F3" w:rsidRPr="0088780C" w14:paraId="406E605C" w14:textId="77777777" w:rsidTr="006972AD">
        <w:tc>
          <w:tcPr>
            <w:tcW w:w="9889" w:type="dxa"/>
            <w:gridSpan w:val="22"/>
          </w:tcPr>
          <w:p w14:paraId="39FC83A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27534442" w14:textId="7FA40F3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The sea is shallow here—within 2 to 5 metres. The average oxygen concentration in the water is 8.64 mg/dm</w:t>
            </w:r>
            <w:r w:rsidRPr="0088780C">
              <w:rPr>
                <w:rFonts w:ascii="Times New Roman" w:hAnsi="Times New Roman"/>
                <w:snapToGrid w:val="0"/>
                <w:kern w:val="22"/>
                <w:vertAlign w:val="superscript"/>
                <w:lang w:val="en-GB"/>
              </w:rPr>
              <w:t>3</w:t>
            </w:r>
            <w:r w:rsidRPr="0088780C">
              <w:rPr>
                <w:rFonts w:ascii="Times New Roman" w:hAnsi="Times New Roman"/>
                <w:snapToGrid w:val="0"/>
                <w:kern w:val="22"/>
                <w:lang w:val="en-GB"/>
              </w:rPr>
              <w:t>. The  level of mineralization in the seawater averaged 3787 mg/dm</w:t>
            </w:r>
            <w:r w:rsidRPr="0088780C">
              <w:rPr>
                <w:rFonts w:ascii="Times New Roman" w:hAnsi="Times New Roman"/>
                <w:snapToGrid w:val="0"/>
                <w:kern w:val="22"/>
                <w:vertAlign w:val="superscript"/>
                <w:lang w:val="en-GB"/>
              </w:rPr>
              <w:t>3</w:t>
            </w:r>
            <w:r w:rsidRPr="0088780C">
              <w:rPr>
                <w:rFonts w:ascii="Times New Roman" w:hAnsi="Times New Roman"/>
                <w:snapToGrid w:val="0"/>
                <w:kern w:val="22"/>
                <w:lang w:val="en-GB"/>
              </w:rPr>
              <w:t>. The highest concentration was recorded at station 41, where the salt content in water was 6540 mg/dm</w:t>
            </w:r>
            <w:r w:rsidRPr="0088780C">
              <w:rPr>
                <w:rFonts w:ascii="Times New Roman" w:hAnsi="Times New Roman"/>
                <w:snapToGrid w:val="0"/>
                <w:kern w:val="22"/>
                <w:vertAlign w:val="superscript"/>
                <w:lang w:val="en-GB"/>
              </w:rPr>
              <w:t>3</w:t>
            </w:r>
            <w:r w:rsidRPr="0088780C">
              <w:rPr>
                <w:rFonts w:ascii="Times New Roman" w:hAnsi="Times New Roman"/>
                <w:snapToGrid w:val="0"/>
                <w:kern w:val="22"/>
                <w:lang w:val="en-GB"/>
              </w:rPr>
              <w:t>. This mineralization level supports  both freshwater and brackish-water fish. There are no marine species here. Physical and geographical conditions have created here an ideal zone for feeding juveniles of all kinds of fish, including sturgeon (</w:t>
            </w:r>
            <w:r w:rsidRPr="0088780C">
              <w:rPr>
                <w:rFonts w:ascii="Times New Roman" w:hAnsi="Times New Roman"/>
                <w:i/>
                <w:snapToGrid w:val="0"/>
                <w:kern w:val="22"/>
                <w:lang w:val="en-GB"/>
              </w:rPr>
              <w:t>Acipenseridae</w:t>
            </w:r>
            <w:r w:rsidRPr="0088780C">
              <w:rPr>
                <w:rFonts w:ascii="Times New Roman" w:hAnsi="Times New Roman"/>
                <w:snapToGrid w:val="0"/>
                <w:kern w:val="22"/>
                <w:lang w:val="en-GB"/>
              </w:rPr>
              <w:t>). The area is a habitat for sturgeon and their young, species that are both valuable and protected. Here there are beluga (</w:t>
            </w:r>
            <w:r w:rsidRPr="0088780C">
              <w:rPr>
                <w:rFonts w:ascii="Times New Roman" w:hAnsi="Times New Roman"/>
                <w:i/>
                <w:snapToGrid w:val="0"/>
                <w:kern w:val="22"/>
                <w:lang w:val="en-GB"/>
              </w:rPr>
              <w:t>Huso huso</w:t>
            </w:r>
            <w:r w:rsidRPr="0088780C">
              <w:rPr>
                <w:rFonts w:ascii="Times New Roman" w:hAnsi="Times New Roman"/>
                <w:snapToGrid w:val="0"/>
                <w:kern w:val="22"/>
                <w:lang w:val="en-GB"/>
              </w:rPr>
              <w:t>), Russian sturgeon (</w:t>
            </w:r>
            <w:r w:rsidRPr="0088780C">
              <w:rPr>
                <w:rFonts w:ascii="Times New Roman" w:hAnsi="Times New Roman"/>
                <w:i/>
                <w:snapToGrid w:val="0"/>
                <w:kern w:val="22"/>
                <w:lang w:val="en-GB"/>
              </w:rPr>
              <w:t>Acipenser gueldenstaedtii</w:t>
            </w:r>
            <w:r w:rsidRPr="0088780C">
              <w:rPr>
                <w:rFonts w:ascii="Times New Roman" w:hAnsi="Times New Roman"/>
                <w:snapToGrid w:val="0"/>
                <w:kern w:val="22"/>
                <w:lang w:val="en-GB"/>
              </w:rPr>
              <w:t>), stellate sturgeon (</w:t>
            </w:r>
            <w:r w:rsidRPr="0088780C">
              <w:rPr>
                <w:rFonts w:ascii="Times New Roman" w:hAnsi="Times New Roman"/>
                <w:i/>
                <w:snapToGrid w:val="0"/>
                <w:kern w:val="22"/>
                <w:lang w:val="en-GB"/>
              </w:rPr>
              <w:t>Acipenser stellatus</w:t>
            </w:r>
            <w:r w:rsidRPr="0088780C">
              <w:rPr>
                <w:rFonts w:ascii="Times New Roman" w:hAnsi="Times New Roman"/>
                <w:snapToGrid w:val="0"/>
                <w:kern w:val="22"/>
                <w:lang w:val="en-GB"/>
              </w:rPr>
              <w:t>), sterlet (</w:t>
            </w:r>
            <w:r w:rsidRPr="0088780C">
              <w:rPr>
                <w:rFonts w:ascii="Times New Roman" w:hAnsi="Times New Roman"/>
                <w:i/>
                <w:snapToGrid w:val="0"/>
                <w:kern w:val="22"/>
                <w:lang w:val="en-GB"/>
              </w:rPr>
              <w:t>Acipenserruthenus</w:t>
            </w:r>
            <w:r w:rsidRPr="0088780C">
              <w:rPr>
                <w:rFonts w:ascii="Times New Roman" w:hAnsi="Times New Roman"/>
                <w:snapToGrid w:val="0"/>
                <w:kern w:val="22"/>
                <w:lang w:val="en-GB"/>
              </w:rPr>
              <w:t>) and thorn (</w:t>
            </w:r>
            <w:r w:rsidRPr="0088780C">
              <w:rPr>
                <w:rFonts w:ascii="Times New Roman" w:hAnsi="Times New Roman"/>
                <w:i/>
                <w:snapToGrid w:val="0"/>
                <w:kern w:val="22"/>
                <w:lang w:val="en-GB"/>
              </w:rPr>
              <w:t>Acipenser nudiventris</w:t>
            </w:r>
            <w:r w:rsidRPr="0088780C">
              <w:rPr>
                <w:rFonts w:ascii="Times New Roman" w:hAnsi="Times New Roman"/>
                <w:snapToGrid w:val="0"/>
                <w:kern w:val="22"/>
                <w:lang w:val="en-GB"/>
              </w:rPr>
              <w:t xml:space="preserve">), which are included on the IUCN Red List and Appendix II of CITES. The Ural River is the only unregulated dam in the Caspian Sea and is the only natural spawning ground of sturgeon. This area is a wetland and a place for pre-spawning concentrations of sturgeon and valuable commercial fish species and foraging their young. The loss of this habitat as a result of anthropogenic factors and the total catch of the Ural (Caspian) sturgeon populations will make it impossible to restore their numbers in natural populations in the future, that is, lead to a reduction of biological diversity (2, 3, 5, 7, 8). </w:t>
            </w:r>
            <w:r w:rsidRPr="0088780C">
              <w:rPr>
                <w:rFonts w:ascii="Times New Roman" w:eastAsia="MS Mincho" w:hAnsi="Times New Roman"/>
                <w:snapToGrid w:val="0"/>
                <w:kern w:val="22"/>
                <w:lang w:val="en-GB"/>
              </w:rPr>
              <w:t>The area overlaps with an Important Bird and Biodiversity Area (IBA; BirdLife International 2017a) that was primarily designated due to its importance for waterbirds, with an overall number thought to exceed 20,000. More than 250 bird species occur in the area, including the vulnerable Dalmatian pelican (</w:t>
            </w:r>
            <w:r w:rsidRPr="0088780C">
              <w:rPr>
                <w:rFonts w:ascii="Times New Roman" w:eastAsia="MS Mincho" w:hAnsi="Times New Roman"/>
                <w:i/>
                <w:snapToGrid w:val="0"/>
                <w:kern w:val="22"/>
                <w:lang w:val="en-GB"/>
              </w:rPr>
              <w:t>Pelecanus crispus)</w:t>
            </w:r>
            <w:r w:rsidRPr="0088780C">
              <w:rPr>
                <w:rFonts w:ascii="Times New Roman" w:eastAsia="MS Mincho" w:hAnsi="Times New Roman"/>
                <w:snapToGrid w:val="0"/>
                <w:kern w:val="22"/>
                <w:lang w:val="en-GB"/>
              </w:rPr>
              <w:t>, the great cormorant (</w:t>
            </w:r>
            <w:r w:rsidRPr="0088780C">
              <w:rPr>
                <w:rFonts w:ascii="Times New Roman" w:eastAsia="MS Mincho" w:hAnsi="Times New Roman"/>
                <w:i/>
                <w:snapToGrid w:val="0"/>
                <w:kern w:val="22"/>
                <w:lang w:val="en-GB"/>
              </w:rPr>
              <w:t>Phalacrocorax carbo)</w:t>
            </w:r>
            <w:r w:rsidRPr="0088780C">
              <w:rPr>
                <w:rFonts w:ascii="Times New Roman" w:eastAsia="MS Mincho" w:hAnsi="Times New Roman"/>
                <w:snapToGrid w:val="0"/>
                <w:kern w:val="22"/>
                <w:lang w:val="en-GB"/>
              </w:rPr>
              <w:t xml:space="preserve"> and Pallas's gull (</w:t>
            </w:r>
            <w:r w:rsidRPr="0088780C">
              <w:rPr>
                <w:rFonts w:ascii="Times New Roman" w:eastAsia="MS Mincho" w:hAnsi="Times New Roman"/>
                <w:i/>
                <w:snapToGrid w:val="0"/>
                <w:kern w:val="22"/>
                <w:lang w:val="en-GB"/>
              </w:rPr>
              <w:t xml:space="preserve">Larus ichthyaetus) </w:t>
            </w:r>
            <w:r w:rsidRPr="0088780C">
              <w:rPr>
                <w:rFonts w:ascii="Times New Roman" w:eastAsia="MS Mincho" w:hAnsi="Times New Roman"/>
                <w:snapToGrid w:val="0"/>
                <w:kern w:val="22"/>
                <w:lang w:val="en-GB"/>
              </w:rPr>
              <w:t>(9, 10).</w:t>
            </w:r>
          </w:p>
        </w:tc>
      </w:tr>
      <w:tr w:rsidR="00A876F3" w:rsidRPr="0088780C" w14:paraId="24E77340" w14:textId="77777777" w:rsidTr="0054074B">
        <w:trPr>
          <w:cantSplit/>
        </w:trPr>
        <w:tc>
          <w:tcPr>
            <w:tcW w:w="1631" w:type="dxa"/>
          </w:tcPr>
          <w:p w14:paraId="65736EBB" w14:textId="77777777" w:rsidR="00A876F3" w:rsidRPr="0088780C" w:rsidRDefault="00A876F3" w:rsidP="00866E8B">
            <w:pPr>
              <w:suppressLineNumbers/>
              <w:tabs>
                <w:tab w:val="center" w:pos="4320"/>
                <w:tab w:val="right" w:pos="8640"/>
              </w:tabs>
              <w:suppressAutoHyphens/>
              <w:kinsoku w:val="0"/>
              <w:overflowPunct w:val="0"/>
              <w:autoSpaceDE w:val="0"/>
              <w:autoSpaceDN w:val="0"/>
              <w:jc w:val="left"/>
              <w:rPr>
                <w:b/>
                <w:snapToGrid w:val="0"/>
                <w:kern w:val="22"/>
                <w:szCs w:val="22"/>
              </w:rPr>
            </w:pPr>
            <w:r w:rsidRPr="0088780C">
              <w:rPr>
                <w:b/>
                <w:snapToGrid w:val="0"/>
                <w:kern w:val="22"/>
                <w:szCs w:val="22"/>
              </w:rPr>
              <w:t>Special importance for life-history stages of species</w:t>
            </w:r>
          </w:p>
        </w:tc>
        <w:tc>
          <w:tcPr>
            <w:tcW w:w="3702" w:type="dxa"/>
          </w:tcPr>
          <w:p w14:paraId="186BD673"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The area necessary for the survival and successful habitat of the population.</w:t>
            </w:r>
          </w:p>
        </w:tc>
        <w:tc>
          <w:tcPr>
            <w:tcW w:w="1290" w:type="dxa"/>
            <w:gridSpan w:val="6"/>
          </w:tcPr>
          <w:p w14:paraId="7C0EBD6F"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975" w:type="dxa"/>
            <w:gridSpan w:val="7"/>
          </w:tcPr>
          <w:p w14:paraId="5C864C59"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170" w:type="dxa"/>
            <w:gridSpan w:val="5"/>
          </w:tcPr>
          <w:p w14:paraId="272BEA72"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121" w:type="dxa"/>
            <w:gridSpan w:val="2"/>
          </w:tcPr>
          <w:p w14:paraId="5ACDD168"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jc w:val="center"/>
              <w:rPr>
                <w:snapToGrid w:val="0"/>
                <w:kern w:val="22"/>
                <w:szCs w:val="22"/>
              </w:rPr>
            </w:pPr>
            <w:r w:rsidRPr="0088780C">
              <w:rPr>
                <w:snapToGrid w:val="0"/>
                <w:kern w:val="22"/>
                <w:szCs w:val="22"/>
              </w:rPr>
              <w:t>X</w:t>
            </w:r>
          </w:p>
        </w:tc>
      </w:tr>
      <w:tr w:rsidR="00A876F3" w:rsidRPr="0088780C" w14:paraId="0E5FC065" w14:textId="77777777" w:rsidTr="006972AD">
        <w:tc>
          <w:tcPr>
            <w:tcW w:w="9889" w:type="dxa"/>
            <w:gridSpan w:val="22"/>
          </w:tcPr>
          <w:p w14:paraId="5E3D2A60"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6B8F93B1"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This is the only area for sturgeon and commercial fish species to migrate to the Ural River to spawn. This region is the only place of pre-spawning concentration of sturgeon and commercial fish species and feeding their young in the whole water basin.</w:t>
            </w:r>
          </w:p>
          <w:p w14:paraId="7E21DFF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498F717" w14:textId="090805B1"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area contains aquatic zones for juveniles, and habitats for migratory species (feeding areas, migration routes). Forty-six taxa of zooplankton organisms were found here, including 23 species of rotifers,  eight species of cladocera and 11 species of copepods. The total average number of zooplankton organisms in the summer was  24 000 specimens/m</w:t>
            </w:r>
            <w:r w:rsidRPr="0088780C">
              <w:rPr>
                <w:snapToGrid w:val="0"/>
                <w:kern w:val="22"/>
                <w:szCs w:val="22"/>
                <w:vertAlign w:val="superscript"/>
              </w:rPr>
              <w:t>3</w:t>
            </w:r>
            <w:r w:rsidRPr="0088780C">
              <w:rPr>
                <w:snapToGrid w:val="0"/>
                <w:kern w:val="22"/>
                <w:szCs w:val="22"/>
              </w:rPr>
              <w:t>. The qualitative composition of the macrozoobenthos of the coastal area in spring 2016 formed three main groups: crustaceans (</w:t>
            </w:r>
            <w:r w:rsidRPr="0088780C">
              <w:rPr>
                <w:i/>
                <w:snapToGrid w:val="0"/>
                <w:kern w:val="22"/>
                <w:szCs w:val="22"/>
              </w:rPr>
              <w:t>Semorophilidae</w:t>
            </w:r>
            <w:r w:rsidRPr="0088780C">
              <w:rPr>
                <w:snapToGrid w:val="0"/>
                <w:kern w:val="22"/>
                <w:szCs w:val="22"/>
              </w:rPr>
              <w:t xml:space="preserve">, </w:t>
            </w:r>
            <w:r w:rsidRPr="0088780C">
              <w:rPr>
                <w:i/>
                <w:snapToGrid w:val="0"/>
                <w:kern w:val="22"/>
                <w:szCs w:val="22"/>
              </w:rPr>
              <w:t>Gammaridae</w:t>
            </w:r>
            <w:r w:rsidRPr="0088780C">
              <w:rPr>
                <w:snapToGrid w:val="0"/>
                <w:kern w:val="22"/>
                <w:szCs w:val="22"/>
              </w:rPr>
              <w:t xml:space="preserve">, </w:t>
            </w:r>
            <w:r w:rsidRPr="0088780C">
              <w:rPr>
                <w:i/>
                <w:snapToGrid w:val="0"/>
                <w:kern w:val="22"/>
                <w:szCs w:val="22"/>
              </w:rPr>
              <w:t>Cumacea</w:t>
            </w:r>
            <w:r w:rsidRPr="0088780C">
              <w:rPr>
                <w:snapToGrid w:val="0"/>
                <w:kern w:val="22"/>
                <w:szCs w:val="22"/>
              </w:rPr>
              <w:t>), worms (</w:t>
            </w:r>
            <w:r w:rsidRPr="0088780C">
              <w:rPr>
                <w:i/>
                <w:snapToGrid w:val="0"/>
                <w:kern w:val="22"/>
                <w:szCs w:val="22"/>
              </w:rPr>
              <w:t>Kl. Oligochaeta, Polychaeta</w:t>
            </w:r>
            <w:r w:rsidRPr="0088780C">
              <w:rPr>
                <w:snapToGrid w:val="0"/>
                <w:kern w:val="22"/>
                <w:szCs w:val="22"/>
              </w:rPr>
              <w:t>) and insects (</w:t>
            </w:r>
            <w:r w:rsidRPr="0088780C">
              <w:rPr>
                <w:i/>
                <w:snapToGrid w:val="0"/>
                <w:kern w:val="22"/>
                <w:szCs w:val="22"/>
              </w:rPr>
              <w:t>Chironomidae</w:t>
            </w:r>
            <w:r w:rsidRPr="0088780C">
              <w:rPr>
                <w:snapToGrid w:val="0"/>
                <w:kern w:val="22"/>
                <w:szCs w:val="22"/>
              </w:rPr>
              <w:t>). The taxonomic composition in the spring period comprised 16 taxa. The biomass of zoobenthos in the investigated water area varied from 11.6 g / m</w:t>
            </w:r>
            <w:r w:rsidRPr="0088780C">
              <w:rPr>
                <w:snapToGrid w:val="0"/>
                <w:kern w:val="22"/>
                <w:szCs w:val="22"/>
                <w:vertAlign w:val="superscript"/>
              </w:rPr>
              <w:t xml:space="preserve">2 </w:t>
            </w:r>
            <w:r w:rsidRPr="0088780C">
              <w:rPr>
                <w:snapToGrid w:val="0"/>
                <w:kern w:val="22"/>
                <w:szCs w:val="22"/>
              </w:rPr>
              <w:t>(quarter 12) to 14.0 g / m</w:t>
            </w:r>
            <w:r w:rsidRPr="0088780C">
              <w:rPr>
                <w:snapToGrid w:val="0"/>
                <w:kern w:val="22"/>
                <w:szCs w:val="22"/>
                <w:vertAlign w:val="superscript"/>
              </w:rPr>
              <w:t xml:space="preserve">2 </w:t>
            </w:r>
            <w:r w:rsidRPr="0088780C">
              <w:rPr>
                <w:snapToGrid w:val="0"/>
                <w:kern w:val="22"/>
                <w:szCs w:val="22"/>
              </w:rPr>
              <w:t>(quarter 41); the average biomass of the zoobenthos was 21.6 g / m</w:t>
            </w:r>
            <w:r w:rsidRPr="0088780C">
              <w:rPr>
                <w:snapToGrid w:val="0"/>
                <w:kern w:val="22"/>
                <w:szCs w:val="22"/>
                <w:vertAlign w:val="superscript"/>
              </w:rPr>
              <w:t>2</w:t>
            </w:r>
            <w:r w:rsidRPr="0088780C">
              <w:rPr>
                <w:snapToGrid w:val="0"/>
                <w:kern w:val="22"/>
                <w:szCs w:val="22"/>
              </w:rPr>
              <w:t xml:space="preserve">, so the fodder base is suitable for the feeding of young </w:t>
            </w:r>
            <w:r w:rsidR="00866E8B" w:rsidRPr="0088780C">
              <w:rPr>
                <w:snapToGrid w:val="0"/>
                <w:kern w:val="22"/>
                <w:szCs w:val="22"/>
              </w:rPr>
              <w:t>fish of all kinds (3, 5, 7, 8).</w:t>
            </w:r>
          </w:p>
          <w:p w14:paraId="2B4C25C4"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351A626"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bCs/>
                <w:snapToGrid w:val="0"/>
                <w:color w:val="000000"/>
                <w:kern w:val="22"/>
                <w:szCs w:val="22"/>
              </w:rPr>
              <w:t xml:space="preserve">The area overlaps with a passage area of global importance for the vulnerable </w:t>
            </w:r>
            <w:r w:rsidRPr="0088780C">
              <w:rPr>
                <w:rFonts w:eastAsia="MS Mincho"/>
                <w:snapToGrid w:val="0"/>
                <w:kern w:val="22"/>
                <w:szCs w:val="22"/>
              </w:rPr>
              <w:t>Dalmatian pelican (</w:t>
            </w:r>
            <w:r w:rsidRPr="0088780C">
              <w:rPr>
                <w:rFonts w:eastAsia="MS Mincho"/>
                <w:i/>
                <w:snapToGrid w:val="0"/>
                <w:kern w:val="22"/>
                <w:szCs w:val="22"/>
              </w:rPr>
              <w:t>Pelecanus crispus)</w:t>
            </w:r>
            <w:r w:rsidRPr="0088780C">
              <w:rPr>
                <w:rFonts w:eastAsia="MS Mincho"/>
                <w:bCs/>
                <w:snapToGrid w:val="0"/>
                <w:color w:val="000000"/>
                <w:kern w:val="22"/>
                <w:szCs w:val="22"/>
              </w:rPr>
              <w:t xml:space="preserve">, and for other species such as </w:t>
            </w:r>
            <w:r w:rsidRPr="0088780C">
              <w:rPr>
                <w:rFonts w:eastAsia="MS Mincho"/>
                <w:snapToGrid w:val="0"/>
                <w:kern w:val="22"/>
                <w:szCs w:val="22"/>
              </w:rPr>
              <w:t>Pallas's gull (</w:t>
            </w:r>
            <w:r w:rsidRPr="0088780C">
              <w:rPr>
                <w:rFonts w:eastAsia="MS Mincho"/>
                <w:i/>
                <w:snapToGrid w:val="0"/>
                <w:kern w:val="22"/>
                <w:szCs w:val="22"/>
              </w:rPr>
              <w:t>Larus ichthyaetus)</w:t>
            </w:r>
            <w:r w:rsidRPr="0088780C">
              <w:rPr>
                <w:rFonts w:eastAsia="MS Mincho"/>
                <w:snapToGrid w:val="0"/>
                <w:kern w:val="22"/>
                <w:szCs w:val="22"/>
              </w:rPr>
              <w:t>, Caspian tern (</w:t>
            </w:r>
            <w:r w:rsidRPr="0088780C">
              <w:rPr>
                <w:rFonts w:eastAsia="MS Mincho"/>
                <w:i/>
                <w:snapToGrid w:val="0"/>
                <w:kern w:val="22"/>
                <w:szCs w:val="22"/>
              </w:rPr>
              <w:t>Hydroprogne caspia)</w:t>
            </w:r>
            <w:r w:rsidRPr="0088780C">
              <w:rPr>
                <w:rFonts w:eastAsia="MS Mincho"/>
                <w:snapToGrid w:val="0"/>
                <w:kern w:val="22"/>
                <w:szCs w:val="22"/>
              </w:rPr>
              <w:t xml:space="preserve"> and the great cormorant (</w:t>
            </w:r>
            <w:r w:rsidRPr="0088780C">
              <w:rPr>
                <w:rFonts w:eastAsia="MS Mincho"/>
                <w:i/>
                <w:snapToGrid w:val="0"/>
                <w:kern w:val="22"/>
                <w:szCs w:val="22"/>
              </w:rPr>
              <w:t xml:space="preserve">Phalacrocorax carbo). </w:t>
            </w:r>
            <w:r w:rsidRPr="0088780C">
              <w:rPr>
                <w:rFonts w:eastAsia="MS Mincho"/>
                <w:bCs/>
                <w:snapToGrid w:val="0"/>
                <w:color w:val="000000"/>
                <w:kern w:val="22"/>
                <w:szCs w:val="22"/>
              </w:rPr>
              <w:t xml:space="preserve">It is also important for the breeding populations of </w:t>
            </w:r>
            <w:r w:rsidRPr="0088780C">
              <w:rPr>
                <w:rFonts w:eastAsia="MS Mincho"/>
                <w:snapToGrid w:val="0"/>
                <w:kern w:val="22"/>
                <w:szCs w:val="22"/>
              </w:rPr>
              <w:t>whiskered tern (</w:t>
            </w:r>
            <w:r w:rsidRPr="0088780C">
              <w:rPr>
                <w:rFonts w:eastAsia="MS Mincho"/>
                <w:i/>
                <w:snapToGrid w:val="0"/>
                <w:kern w:val="22"/>
                <w:szCs w:val="22"/>
              </w:rPr>
              <w:t>Chlidonias hybrid)</w:t>
            </w:r>
            <w:r w:rsidRPr="0088780C">
              <w:rPr>
                <w:snapToGrid w:val="0"/>
                <w:kern w:val="22"/>
                <w:szCs w:val="22"/>
              </w:rPr>
              <w:t xml:space="preserve"> (</w:t>
            </w:r>
            <w:r w:rsidRPr="0088780C">
              <w:rPr>
                <w:rFonts w:eastAsia="MS Mincho"/>
                <w:snapToGrid w:val="0"/>
                <w:kern w:val="22"/>
                <w:szCs w:val="22"/>
              </w:rPr>
              <w:t>BirdLife International 2017</w:t>
            </w:r>
            <w:r w:rsidRPr="0088780C">
              <w:rPr>
                <w:snapToGrid w:val="0"/>
                <w:kern w:val="22"/>
                <w:szCs w:val="22"/>
              </w:rPr>
              <w:t>). The area is used as stopover during the migratory periods by more than 20.000 waterbirds (9, 10).</w:t>
            </w:r>
          </w:p>
        </w:tc>
      </w:tr>
      <w:tr w:rsidR="00A876F3" w:rsidRPr="0088780C" w14:paraId="0BD44FDC" w14:textId="77777777" w:rsidTr="006972AD">
        <w:tc>
          <w:tcPr>
            <w:tcW w:w="1631" w:type="dxa"/>
          </w:tcPr>
          <w:p w14:paraId="0A64AC33"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Importance for threatened, endangered or declining species and/or habitats</w:t>
            </w:r>
          </w:p>
        </w:tc>
        <w:tc>
          <w:tcPr>
            <w:tcW w:w="3702" w:type="dxa"/>
          </w:tcPr>
          <w:p w14:paraId="532EDB45"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Area containing a habitat for the survival or restoration of endangered, endangered or endangered species; Or an area containing significant communities of such species.</w:t>
            </w:r>
          </w:p>
        </w:tc>
        <w:tc>
          <w:tcPr>
            <w:tcW w:w="1110" w:type="dxa"/>
            <w:gridSpan w:val="5"/>
          </w:tcPr>
          <w:p w14:paraId="479ECF7E"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035" w:type="dxa"/>
            <w:gridSpan w:val="7"/>
          </w:tcPr>
          <w:p w14:paraId="328ADE0E"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140" w:type="dxa"/>
            <w:gridSpan w:val="5"/>
          </w:tcPr>
          <w:p w14:paraId="14758B4A"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271" w:type="dxa"/>
            <w:gridSpan w:val="3"/>
          </w:tcPr>
          <w:p w14:paraId="7C6D654E"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jc w:val="center"/>
              <w:rPr>
                <w:snapToGrid w:val="0"/>
                <w:kern w:val="22"/>
                <w:szCs w:val="22"/>
              </w:rPr>
            </w:pPr>
            <w:r w:rsidRPr="0088780C">
              <w:rPr>
                <w:snapToGrid w:val="0"/>
                <w:kern w:val="22"/>
                <w:szCs w:val="22"/>
              </w:rPr>
              <w:t>X</w:t>
            </w:r>
          </w:p>
        </w:tc>
      </w:tr>
      <w:tr w:rsidR="00A876F3" w:rsidRPr="0088780C" w14:paraId="3E316D7C" w14:textId="77777777" w:rsidTr="006972AD">
        <w:tc>
          <w:tcPr>
            <w:tcW w:w="9889" w:type="dxa"/>
            <w:gridSpan w:val="22"/>
          </w:tcPr>
          <w:p w14:paraId="6B085B6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3AA745E6" w14:textId="13CF12CC"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Areas critical for threatened, endangered or endangered species. Most sturgeon species are listedI on the IUCN Red List as critically endangered, and all sturgeon species are included in Annex II of CITES (4, 5, 7, 8). </w:t>
            </w:r>
            <w:r w:rsidRPr="0088780C">
              <w:rPr>
                <w:rFonts w:eastAsia="MS Mincho"/>
                <w:bCs/>
                <w:snapToGrid w:val="0"/>
                <w:color w:val="000000"/>
                <w:kern w:val="22"/>
                <w:szCs w:val="22"/>
              </w:rPr>
              <w:t xml:space="preserve">A globally threatened seabird species listed as vulnerable by IUCN is known to occur in the area (BirdLife International 2017b) – the </w:t>
            </w:r>
            <w:r w:rsidRPr="0088780C">
              <w:rPr>
                <w:rFonts w:eastAsia="MS Mincho"/>
                <w:snapToGrid w:val="0"/>
                <w:kern w:val="22"/>
                <w:szCs w:val="22"/>
              </w:rPr>
              <w:t>Dalmatian pelican (</w:t>
            </w:r>
            <w:r w:rsidRPr="0088780C">
              <w:rPr>
                <w:rFonts w:eastAsia="MS Mincho"/>
                <w:i/>
                <w:snapToGrid w:val="0"/>
                <w:kern w:val="22"/>
                <w:szCs w:val="22"/>
              </w:rPr>
              <w:t>Pelecanus crispus)</w:t>
            </w:r>
            <w:r w:rsidRPr="0088780C">
              <w:rPr>
                <w:rFonts w:eastAsia="MS Mincho"/>
                <w:bCs/>
                <w:snapToGrid w:val="0"/>
                <w:color w:val="000000"/>
                <w:kern w:val="22"/>
                <w:szCs w:val="22"/>
              </w:rPr>
              <w:t>. This species is also listed in CITES Appendix I, CMS Appendixes I and II.</w:t>
            </w:r>
          </w:p>
        </w:tc>
      </w:tr>
      <w:tr w:rsidR="00A876F3" w:rsidRPr="0088780C" w14:paraId="75EA634F" w14:textId="77777777" w:rsidTr="006972AD">
        <w:tc>
          <w:tcPr>
            <w:tcW w:w="1631" w:type="dxa"/>
          </w:tcPr>
          <w:p w14:paraId="0941FB3A"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Vulnerability, fragility, sensitivity, or slow recovery</w:t>
            </w:r>
          </w:p>
        </w:tc>
        <w:tc>
          <w:tcPr>
            <w:tcW w:w="3702" w:type="dxa"/>
          </w:tcPr>
          <w:p w14:paraId="434F96FE"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r w:rsidRPr="0088780C">
              <w:rPr>
                <w:snapToGrid w:val="0"/>
                <w:kern w:val="22"/>
                <w:szCs w:val="22"/>
              </w:rPr>
              <w:t>A region containing a relatively large number of sensitive habitats, biotopes or species that are functionally fragile (highly prone to degradation or depletion due to anthropogenic activities or natural events) or are characterized by slow recovery rates.</w:t>
            </w:r>
          </w:p>
        </w:tc>
        <w:tc>
          <w:tcPr>
            <w:tcW w:w="1020" w:type="dxa"/>
            <w:gridSpan w:val="4"/>
          </w:tcPr>
          <w:p w14:paraId="5F606D95"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080" w:type="dxa"/>
            <w:gridSpan w:val="7"/>
          </w:tcPr>
          <w:p w14:paraId="1158C8C5"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55" w:type="dxa"/>
            <w:gridSpan w:val="5"/>
          </w:tcPr>
          <w:p w14:paraId="161AE6AA"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snapToGrid w:val="0"/>
                <w:kern w:val="22"/>
                <w:szCs w:val="22"/>
              </w:rPr>
            </w:pPr>
            <w:r w:rsidRPr="0088780C">
              <w:rPr>
                <w:snapToGrid w:val="0"/>
                <w:kern w:val="22"/>
                <w:szCs w:val="22"/>
              </w:rPr>
              <w:t>X</w:t>
            </w:r>
          </w:p>
        </w:tc>
        <w:tc>
          <w:tcPr>
            <w:tcW w:w="1301" w:type="dxa"/>
            <w:gridSpan w:val="4"/>
          </w:tcPr>
          <w:p w14:paraId="210FCAF9"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r>
      <w:tr w:rsidR="00A876F3" w:rsidRPr="0088780C" w14:paraId="07F4DA0C" w14:textId="77777777" w:rsidTr="006972AD">
        <w:tc>
          <w:tcPr>
            <w:tcW w:w="9889" w:type="dxa"/>
            <w:gridSpan w:val="22"/>
          </w:tcPr>
          <w:p w14:paraId="3BF0B80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1CD08E6E" w14:textId="0A10D821"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area is a habitat for valuable protected species of fish, sturgeon, and their young. Sturgeon species have low fertility, low growth rate, a long period of puberty and a long life cycle. However, this is not the only place they inhabit and reproduce. The area may be subject to degradation as a result of sea-level regression processes and a reduction in the water flow of the Ural River (5, 6, 7, 8).</w:t>
            </w:r>
            <w:r w:rsidRPr="0088780C">
              <w:rPr>
                <w:rFonts w:eastAsia="MS Mincho"/>
                <w:bCs/>
                <w:snapToGrid w:val="0"/>
                <w:color w:val="000000"/>
                <w:kern w:val="22"/>
                <w:szCs w:val="22"/>
              </w:rPr>
              <w:t xml:space="preserve"> The area is important to the vulnerable </w:t>
            </w:r>
            <w:r w:rsidRPr="0088780C">
              <w:rPr>
                <w:rFonts w:eastAsia="MS Mincho"/>
                <w:snapToGrid w:val="0"/>
                <w:kern w:val="22"/>
                <w:szCs w:val="22"/>
              </w:rPr>
              <w:t>Dalmatian pelican (</w:t>
            </w:r>
            <w:r w:rsidRPr="0088780C">
              <w:rPr>
                <w:rFonts w:eastAsia="MS Mincho"/>
                <w:i/>
                <w:snapToGrid w:val="0"/>
                <w:kern w:val="22"/>
                <w:szCs w:val="22"/>
              </w:rPr>
              <w:t>Pelecanus crispus)</w:t>
            </w:r>
            <w:r w:rsidRPr="0088780C">
              <w:rPr>
                <w:rFonts w:eastAsia="MS Mincho"/>
                <w:bCs/>
                <w:snapToGrid w:val="0"/>
                <w:color w:val="000000"/>
                <w:kern w:val="22"/>
                <w:szCs w:val="22"/>
              </w:rPr>
              <w:t>, a long-lived species with late sexual maturity (9, 10).</w:t>
            </w:r>
          </w:p>
        </w:tc>
      </w:tr>
      <w:tr w:rsidR="00A876F3" w:rsidRPr="0088780C" w14:paraId="554C4A44" w14:textId="77777777" w:rsidTr="00866E8B">
        <w:trPr>
          <w:cantSplit/>
        </w:trPr>
        <w:tc>
          <w:tcPr>
            <w:tcW w:w="1631" w:type="dxa"/>
          </w:tcPr>
          <w:p w14:paraId="575DA7CB" w14:textId="77777777" w:rsidR="00A876F3" w:rsidRPr="0088780C" w:rsidRDefault="00A876F3" w:rsidP="001013AF">
            <w:pPr>
              <w:suppressLineNumbers/>
              <w:tabs>
                <w:tab w:val="center" w:pos="4320"/>
                <w:tab w:val="right" w:pos="8640"/>
              </w:tabs>
              <w:suppressAutoHyphens/>
              <w:kinsoku w:val="0"/>
              <w:overflowPunct w:val="0"/>
              <w:autoSpaceDE w:val="0"/>
              <w:autoSpaceDN w:val="0"/>
              <w:rPr>
                <w:b/>
                <w:snapToGrid w:val="0"/>
                <w:kern w:val="22"/>
                <w:szCs w:val="22"/>
              </w:rPr>
            </w:pPr>
            <w:r w:rsidRPr="0088780C">
              <w:rPr>
                <w:b/>
                <w:snapToGrid w:val="0"/>
                <w:kern w:val="22"/>
                <w:szCs w:val="22"/>
              </w:rPr>
              <w:t>Biological productivity</w:t>
            </w:r>
          </w:p>
        </w:tc>
        <w:tc>
          <w:tcPr>
            <w:tcW w:w="3702" w:type="dxa"/>
          </w:tcPr>
          <w:p w14:paraId="3E7EBE8C" w14:textId="4340306C" w:rsidR="00A876F3" w:rsidRPr="0088780C" w:rsidRDefault="00A876F3" w:rsidP="00866E8B">
            <w:pPr>
              <w:suppressLineNumbers/>
              <w:suppressAutoHyphens/>
              <w:kinsoku w:val="0"/>
              <w:overflowPunct w:val="0"/>
              <w:autoSpaceDE w:val="0"/>
              <w:autoSpaceDN w:val="0"/>
              <w:adjustRightInd w:val="0"/>
              <w:rPr>
                <w:snapToGrid w:val="0"/>
                <w:kern w:val="22"/>
                <w:szCs w:val="22"/>
              </w:rPr>
            </w:pPr>
            <w:r w:rsidRPr="0088780C">
              <w:rPr>
                <w:snapToGrid w:val="0"/>
                <w:kern w:val="22"/>
                <w:szCs w:val="22"/>
                <w:lang w:eastAsia="ru-RU"/>
              </w:rPr>
              <w:t>Area containing species, populations orcommunities with comparatively higher natural biological productivity.</w:t>
            </w:r>
          </w:p>
        </w:tc>
        <w:tc>
          <w:tcPr>
            <w:tcW w:w="960" w:type="dxa"/>
            <w:gridSpan w:val="3"/>
          </w:tcPr>
          <w:p w14:paraId="1F60E99D" w14:textId="77777777" w:rsidR="00A876F3" w:rsidRPr="0088780C" w:rsidRDefault="00A876F3" w:rsidP="001013AF">
            <w:pPr>
              <w:pStyle w:val="ListParagraph"/>
              <w:suppressLineNumbers/>
              <w:suppressAutoHyphens/>
              <w:kinsoku w:val="0"/>
              <w:overflowPunct w:val="0"/>
              <w:autoSpaceDE w:val="0"/>
              <w:autoSpaceDN w:val="0"/>
              <w:ind w:left="880"/>
              <w:rPr>
                <w:snapToGrid w:val="0"/>
                <w:kern w:val="22"/>
                <w:szCs w:val="22"/>
              </w:rPr>
            </w:pPr>
          </w:p>
        </w:tc>
        <w:tc>
          <w:tcPr>
            <w:tcW w:w="1095" w:type="dxa"/>
            <w:gridSpan w:val="7"/>
          </w:tcPr>
          <w:p w14:paraId="63EEDCF6" w14:textId="77777777" w:rsidR="00A876F3" w:rsidRPr="0088780C" w:rsidRDefault="00A876F3" w:rsidP="001013AF">
            <w:pPr>
              <w:pStyle w:val="ListParagraph"/>
              <w:suppressLineNumbers/>
              <w:suppressAutoHyphens/>
              <w:kinsoku w:val="0"/>
              <w:overflowPunct w:val="0"/>
              <w:autoSpaceDE w:val="0"/>
              <w:autoSpaceDN w:val="0"/>
              <w:ind w:left="880"/>
              <w:rPr>
                <w:snapToGrid w:val="0"/>
                <w:kern w:val="22"/>
                <w:szCs w:val="22"/>
              </w:rPr>
            </w:pPr>
          </w:p>
        </w:tc>
        <w:tc>
          <w:tcPr>
            <w:tcW w:w="1185" w:type="dxa"/>
            <w:gridSpan w:val="5"/>
          </w:tcPr>
          <w:p w14:paraId="5D9FBAA8" w14:textId="77777777" w:rsidR="00A876F3" w:rsidRPr="0088780C" w:rsidRDefault="00A876F3" w:rsidP="001013AF">
            <w:pPr>
              <w:pStyle w:val="ListParagraph"/>
              <w:suppressLineNumbers/>
              <w:suppressAutoHyphens/>
              <w:kinsoku w:val="0"/>
              <w:overflowPunct w:val="0"/>
              <w:autoSpaceDE w:val="0"/>
              <w:autoSpaceDN w:val="0"/>
              <w:ind w:left="880"/>
              <w:rPr>
                <w:snapToGrid w:val="0"/>
                <w:kern w:val="22"/>
                <w:szCs w:val="22"/>
              </w:rPr>
            </w:pPr>
            <w:r w:rsidRPr="0088780C">
              <w:rPr>
                <w:snapToGrid w:val="0"/>
                <w:kern w:val="22"/>
                <w:szCs w:val="22"/>
              </w:rPr>
              <w:t>X</w:t>
            </w:r>
          </w:p>
        </w:tc>
        <w:tc>
          <w:tcPr>
            <w:tcW w:w="1316" w:type="dxa"/>
            <w:gridSpan w:val="5"/>
          </w:tcPr>
          <w:p w14:paraId="53C8B172" w14:textId="77777777" w:rsidR="00A876F3" w:rsidRPr="0088780C" w:rsidRDefault="00A876F3" w:rsidP="001013AF">
            <w:pPr>
              <w:pStyle w:val="ListParagraph"/>
              <w:suppressLineNumbers/>
              <w:suppressAutoHyphens/>
              <w:kinsoku w:val="0"/>
              <w:overflowPunct w:val="0"/>
              <w:autoSpaceDE w:val="0"/>
              <w:autoSpaceDN w:val="0"/>
              <w:ind w:left="880"/>
              <w:rPr>
                <w:b/>
                <w:snapToGrid w:val="0"/>
                <w:kern w:val="22"/>
                <w:szCs w:val="22"/>
              </w:rPr>
            </w:pPr>
          </w:p>
        </w:tc>
      </w:tr>
      <w:tr w:rsidR="00A876F3" w:rsidRPr="0088780C" w14:paraId="2E0EC6CA" w14:textId="77777777" w:rsidTr="006972AD">
        <w:tc>
          <w:tcPr>
            <w:tcW w:w="9889" w:type="dxa"/>
            <w:gridSpan w:val="22"/>
          </w:tcPr>
          <w:p w14:paraId="6AC9E319"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5E1A3276" w14:textId="77777777" w:rsidR="00A876F3" w:rsidRPr="0088780C" w:rsidRDefault="00A876F3" w:rsidP="001013AF">
            <w:pPr>
              <w:pStyle w:val="NoSpacing"/>
              <w:suppressLineNumbers/>
              <w:suppressAutoHyphens/>
              <w:kinsoku w:val="0"/>
              <w:overflowPunct w:val="0"/>
              <w:autoSpaceDE w:val="0"/>
              <w:autoSpaceDN w:val="0"/>
              <w:jc w:val="both"/>
              <w:rPr>
                <w:rFonts w:ascii="Times New Roman" w:hAnsi="Times New Roman"/>
                <w:snapToGrid w:val="0"/>
                <w:kern w:val="22"/>
                <w:lang w:val="en-GB"/>
              </w:rPr>
            </w:pPr>
            <w:r w:rsidRPr="0088780C">
              <w:rPr>
                <w:rFonts w:ascii="Times New Roman" w:hAnsi="Times New Roman"/>
                <w:snapToGrid w:val="0"/>
                <w:kern w:val="22"/>
                <w:lang w:val="en-GB"/>
              </w:rPr>
              <w:t>This area plays an important role in maintaining the viability of ecosystems in the region and in increasing the rate of growth of organisms and their ability to reproduce (1, 2). The total average number of zooplankton organisms in the summer was 24 000 specimens/m</w:t>
            </w:r>
            <w:r w:rsidRPr="0088780C">
              <w:rPr>
                <w:rFonts w:ascii="Times New Roman" w:hAnsi="Times New Roman"/>
                <w:snapToGrid w:val="0"/>
                <w:kern w:val="22"/>
                <w:vertAlign w:val="superscript"/>
                <w:lang w:val="en-GB"/>
              </w:rPr>
              <w:t>3</w:t>
            </w:r>
            <w:r w:rsidRPr="0088780C">
              <w:rPr>
                <w:rFonts w:ascii="Times New Roman" w:hAnsi="Times New Roman"/>
                <w:snapToGrid w:val="0"/>
                <w:kern w:val="22"/>
                <w:lang w:val="en-GB"/>
              </w:rPr>
              <w:t>. Dominants in the numerical ratio were rotifers, of which there were 13 320 specimens/m</w:t>
            </w:r>
            <w:r w:rsidRPr="0088780C">
              <w:rPr>
                <w:rFonts w:ascii="Times New Roman" w:hAnsi="Times New Roman"/>
                <w:snapToGrid w:val="0"/>
                <w:kern w:val="22"/>
                <w:vertAlign w:val="superscript"/>
                <w:lang w:val="en-GB"/>
              </w:rPr>
              <w:t>3</w:t>
            </w:r>
            <w:r w:rsidRPr="0088780C">
              <w:rPr>
                <w:rFonts w:ascii="Times New Roman" w:hAnsi="Times New Roman"/>
                <w:snapToGrid w:val="0"/>
                <w:kern w:val="22"/>
                <w:lang w:val="en-GB"/>
              </w:rPr>
              <w:t>. Subdominants were copepods, which numbered 34 400 thousand/m</w:t>
            </w:r>
            <w:r w:rsidRPr="0088780C">
              <w:rPr>
                <w:rFonts w:ascii="Times New Roman" w:hAnsi="Times New Roman"/>
                <w:snapToGrid w:val="0"/>
                <w:kern w:val="22"/>
                <w:vertAlign w:val="superscript"/>
                <w:lang w:val="en-GB"/>
              </w:rPr>
              <w:t>3</w:t>
            </w:r>
            <w:r w:rsidRPr="0088780C">
              <w:rPr>
                <w:rFonts w:ascii="Times New Roman" w:hAnsi="Times New Roman"/>
                <w:snapToGrid w:val="0"/>
                <w:kern w:val="22"/>
                <w:lang w:val="en-GB"/>
              </w:rPr>
              <w:t>. The share of branching was insignificant – 2 020 specimens/m</w:t>
            </w:r>
            <w:r w:rsidRPr="0088780C">
              <w:rPr>
                <w:rFonts w:ascii="Times New Roman" w:hAnsi="Times New Roman"/>
                <w:snapToGrid w:val="0"/>
                <w:kern w:val="22"/>
                <w:vertAlign w:val="superscript"/>
                <w:lang w:val="en-GB"/>
              </w:rPr>
              <w:t>3</w:t>
            </w:r>
            <w:r w:rsidRPr="0088780C">
              <w:rPr>
                <w:rFonts w:ascii="Times New Roman" w:hAnsi="Times New Roman"/>
                <w:snapToGrid w:val="0"/>
                <w:kern w:val="22"/>
                <w:lang w:val="en-GB"/>
              </w:rPr>
              <w:t>. The biomass of the zoobenthos in the study area varied from 11.6 g / m</w:t>
            </w:r>
            <w:r w:rsidRPr="0088780C">
              <w:rPr>
                <w:rFonts w:ascii="Times New Roman" w:hAnsi="Times New Roman"/>
                <w:snapToGrid w:val="0"/>
                <w:kern w:val="22"/>
                <w:vertAlign w:val="superscript"/>
                <w:lang w:val="en-GB"/>
              </w:rPr>
              <w:t>2</w:t>
            </w:r>
            <w:r w:rsidRPr="0088780C">
              <w:rPr>
                <w:rFonts w:ascii="Times New Roman" w:hAnsi="Times New Roman"/>
                <w:snapToGrid w:val="0"/>
                <w:kern w:val="22"/>
                <w:lang w:val="en-GB"/>
              </w:rPr>
              <w:t xml:space="preserve"> to 14.0 g / m</w:t>
            </w:r>
            <w:r w:rsidRPr="0088780C">
              <w:rPr>
                <w:rFonts w:ascii="Times New Roman" w:hAnsi="Times New Roman"/>
                <w:snapToGrid w:val="0"/>
                <w:kern w:val="22"/>
                <w:vertAlign w:val="superscript"/>
                <w:lang w:val="en-GB"/>
              </w:rPr>
              <w:t>2</w:t>
            </w:r>
            <w:r w:rsidRPr="0088780C">
              <w:rPr>
                <w:rFonts w:ascii="Times New Roman" w:hAnsi="Times New Roman"/>
                <w:snapToGrid w:val="0"/>
                <w:kern w:val="22"/>
                <w:lang w:val="en-GB"/>
              </w:rPr>
              <w:t>, while the average biomass of the zoobenthos was 21.6 g / m</w:t>
            </w:r>
            <w:r w:rsidRPr="0088780C">
              <w:rPr>
                <w:rFonts w:ascii="Times New Roman" w:hAnsi="Times New Roman"/>
                <w:snapToGrid w:val="0"/>
                <w:kern w:val="22"/>
                <w:vertAlign w:val="superscript"/>
                <w:lang w:val="en-GB"/>
              </w:rPr>
              <w:t>2</w:t>
            </w:r>
            <w:r w:rsidRPr="0088780C">
              <w:rPr>
                <w:rFonts w:ascii="Times New Roman" w:hAnsi="Times New Roman"/>
                <w:snapToGrid w:val="0"/>
                <w:kern w:val="22"/>
                <w:lang w:val="en-GB"/>
              </w:rPr>
              <w:t>, 16.8 g/m</w:t>
            </w:r>
            <w:r w:rsidRPr="0088780C">
              <w:rPr>
                <w:rFonts w:ascii="Times New Roman" w:hAnsi="Times New Roman"/>
                <w:snapToGrid w:val="0"/>
                <w:kern w:val="22"/>
                <w:vertAlign w:val="superscript"/>
                <w:lang w:val="en-GB"/>
              </w:rPr>
              <w:t xml:space="preserve">2 </w:t>
            </w:r>
            <w:r w:rsidRPr="0088780C">
              <w:rPr>
                <w:rFonts w:ascii="Times New Roman" w:hAnsi="Times New Roman"/>
                <w:snapToGrid w:val="0"/>
                <w:kern w:val="22"/>
                <w:lang w:val="en-GB"/>
              </w:rPr>
              <w:t>excluding non-fodder mollusks. This is a breeding place for only a few species of fish (carp, crucian carp); other species spawn in the river. Regarding the zoobenthos, the productivity of this area is inferior to that of the nearby regions of the sea.</w:t>
            </w:r>
          </w:p>
        </w:tc>
      </w:tr>
      <w:tr w:rsidR="00A876F3" w:rsidRPr="0088780C" w14:paraId="047A228B" w14:textId="77777777" w:rsidTr="006972AD">
        <w:tc>
          <w:tcPr>
            <w:tcW w:w="1631" w:type="dxa"/>
          </w:tcPr>
          <w:p w14:paraId="07ECF8C5"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Biological diversity</w:t>
            </w:r>
          </w:p>
        </w:tc>
        <w:tc>
          <w:tcPr>
            <w:tcW w:w="3702" w:type="dxa"/>
          </w:tcPr>
          <w:p w14:paraId="291058B0"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lang w:eastAsia="ru-RU"/>
              </w:rPr>
              <w:t>Area contains comparatively higher diversity of ecosystems, habitats, communities, or species, or has higher genetic diversity.</w:t>
            </w:r>
          </w:p>
        </w:tc>
        <w:tc>
          <w:tcPr>
            <w:tcW w:w="915" w:type="dxa"/>
            <w:gridSpan w:val="2"/>
          </w:tcPr>
          <w:p w14:paraId="73271779" w14:textId="77777777" w:rsidR="00A876F3" w:rsidRPr="0088780C" w:rsidRDefault="00A876F3" w:rsidP="001013AF">
            <w:pPr>
              <w:pStyle w:val="ListParagraph"/>
              <w:suppressLineNumbers/>
              <w:suppressAutoHyphens/>
              <w:kinsoku w:val="0"/>
              <w:overflowPunct w:val="0"/>
              <w:autoSpaceDE w:val="0"/>
              <w:autoSpaceDN w:val="0"/>
              <w:ind w:left="880"/>
              <w:rPr>
                <w:snapToGrid w:val="0"/>
                <w:kern w:val="22"/>
                <w:szCs w:val="22"/>
              </w:rPr>
            </w:pPr>
          </w:p>
        </w:tc>
        <w:tc>
          <w:tcPr>
            <w:tcW w:w="1125" w:type="dxa"/>
            <w:gridSpan w:val="7"/>
          </w:tcPr>
          <w:p w14:paraId="3DBC7E5C" w14:textId="77777777" w:rsidR="00A876F3" w:rsidRPr="0088780C" w:rsidRDefault="00A876F3" w:rsidP="001013AF">
            <w:pPr>
              <w:pStyle w:val="ListParagraph"/>
              <w:suppressLineNumbers/>
              <w:suppressAutoHyphens/>
              <w:kinsoku w:val="0"/>
              <w:overflowPunct w:val="0"/>
              <w:autoSpaceDE w:val="0"/>
              <w:autoSpaceDN w:val="0"/>
              <w:ind w:left="880"/>
              <w:rPr>
                <w:snapToGrid w:val="0"/>
                <w:kern w:val="22"/>
                <w:szCs w:val="22"/>
              </w:rPr>
            </w:pPr>
          </w:p>
        </w:tc>
        <w:tc>
          <w:tcPr>
            <w:tcW w:w="1245" w:type="dxa"/>
            <w:gridSpan w:val="8"/>
          </w:tcPr>
          <w:p w14:paraId="03485D93" w14:textId="77777777" w:rsidR="00A876F3" w:rsidRPr="0088780C" w:rsidRDefault="00A876F3" w:rsidP="001013AF">
            <w:pPr>
              <w:pStyle w:val="ListParagraph"/>
              <w:suppressLineNumbers/>
              <w:suppressAutoHyphens/>
              <w:kinsoku w:val="0"/>
              <w:overflowPunct w:val="0"/>
              <w:autoSpaceDE w:val="0"/>
              <w:autoSpaceDN w:val="0"/>
              <w:ind w:left="880"/>
              <w:rPr>
                <w:bCs/>
                <w:snapToGrid w:val="0"/>
                <w:kern w:val="22"/>
                <w:szCs w:val="22"/>
              </w:rPr>
            </w:pPr>
          </w:p>
        </w:tc>
        <w:tc>
          <w:tcPr>
            <w:tcW w:w="1271" w:type="dxa"/>
            <w:gridSpan w:val="3"/>
          </w:tcPr>
          <w:p w14:paraId="0A3A9531" w14:textId="77777777" w:rsidR="00A876F3" w:rsidRPr="0088780C" w:rsidRDefault="00A876F3" w:rsidP="001013AF">
            <w:pPr>
              <w:pStyle w:val="ListParagraph"/>
              <w:suppressLineNumbers/>
              <w:suppressAutoHyphens/>
              <w:kinsoku w:val="0"/>
              <w:overflowPunct w:val="0"/>
              <w:autoSpaceDE w:val="0"/>
              <w:autoSpaceDN w:val="0"/>
              <w:ind w:left="880"/>
              <w:rPr>
                <w:snapToGrid w:val="0"/>
                <w:kern w:val="22"/>
                <w:szCs w:val="22"/>
              </w:rPr>
            </w:pPr>
            <w:r w:rsidRPr="0088780C">
              <w:rPr>
                <w:snapToGrid w:val="0"/>
                <w:kern w:val="22"/>
                <w:szCs w:val="22"/>
              </w:rPr>
              <w:t>X</w:t>
            </w:r>
          </w:p>
        </w:tc>
      </w:tr>
      <w:tr w:rsidR="00A876F3" w:rsidRPr="0088780C" w14:paraId="359405D6" w14:textId="77777777" w:rsidTr="006972AD">
        <w:tc>
          <w:tcPr>
            <w:tcW w:w="9889" w:type="dxa"/>
            <w:gridSpan w:val="22"/>
          </w:tcPr>
          <w:p w14:paraId="5C8BD945"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7C1B1225" w14:textId="22A8715C" w:rsidR="00A876F3" w:rsidRPr="0088780C" w:rsidRDefault="00A876F3" w:rsidP="004C1B5B">
            <w:pPr>
              <w:pStyle w:val="ListParagraph"/>
              <w:suppressLineNumbers/>
              <w:suppressAutoHyphens/>
              <w:kinsoku w:val="0"/>
              <w:overflowPunct w:val="0"/>
              <w:autoSpaceDE w:val="0"/>
              <w:autoSpaceDN w:val="0"/>
              <w:ind w:leftChars="0" w:left="0"/>
              <w:rPr>
                <w:snapToGrid w:val="0"/>
                <w:kern w:val="22"/>
                <w:szCs w:val="22"/>
              </w:rPr>
            </w:pPr>
            <w:r w:rsidRPr="0088780C">
              <w:rPr>
                <w:snapToGrid w:val="0"/>
                <w:kern w:val="22"/>
                <w:szCs w:val="22"/>
              </w:rPr>
              <w:t>This region is located at the junction of fresh water (the mouth of the Ural River) and sea water (the Caspian Sea) and is characterized by an exceptionally high diversity of ecosystems, habitats, communities and species, and higher genetic diversity. The ichthyofauna of  this area includes vobla (</w:t>
            </w:r>
            <w:r w:rsidRPr="0088780C">
              <w:rPr>
                <w:i/>
                <w:snapToGrid w:val="0"/>
                <w:kern w:val="22"/>
                <w:szCs w:val="22"/>
              </w:rPr>
              <w:t>Rutilus rutilus caspicus</w:t>
            </w:r>
            <w:r w:rsidRPr="0088780C">
              <w:rPr>
                <w:snapToGrid w:val="0"/>
                <w:kern w:val="22"/>
                <w:szCs w:val="22"/>
              </w:rPr>
              <w:t>), carp (</w:t>
            </w:r>
            <w:r w:rsidRPr="0088780C">
              <w:rPr>
                <w:i/>
                <w:snapToGrid w:val="0"/>
                <w:kern w:val="22"/>
                <w:szCs w:val="22"/>
              </w:rPr>
              <w:t>Cyprinus carpio L</w:t>
            </w:r>
            <w:r w:rsidRPr="0088780C">
              <w:rPr>
                <w:snapToGrid w:val="0"/>
                <w:kern w:val="22"/>
                <w:szCs w:val="22"/>
              </w:rPr>
              <w:t>.), asp (</w:t>
            </w:r>
            <w:r w:rsidRPr="0088780C">
              <w:rPr>
                <w:i/>
                <w:snapToGrid w:val="0"/>
                <w:kern w:val="22"/>
                <w:szCs w:val="22"/>
              </w:rPr>
              <w:t>Aspius aspius L</w:t>
            </w:r>
            <w:r w:rsidRPr="0088780C">
              <w:rPr>
                <w:snapToGrid w:val="0"/>
                <w:kern w:val="22"/>
                <w:szCs w:val="22"/>
              </w:rPr>
              <w:t>.), bream (</w:t>
            </w:r>
            <w:r w:rsidRPr="0088780C">
              <w:rPr>
                <w:i/>
                <w:snapToGrid w:val="0"/>
                <w:kern w:val="22"/>
                <w:szCs w:val="22"/>
              </w:rPr>
              <w:t>Abramis brama orientalis Berg</w:t>
            </w:r>
            <w:r w:rsidRPr="0088780C">
              <w:rPr>
                <w:snapToGrid w:val="0"/>
                <w:kern w:val="22"/>
                <w:szCs w:val="22"/>
              </w:rPr>
              <w:t>), pike (</w:t>
            </w:r>
            <w:r w:rsidRPr="0088780C">
              <w:rPr>
                <w:i/>
                <w:snapToGrid w:val="0"/>
                <w:kern w:val="22"/>
                <w:szCs w:val="22"/>
              </w:rPr>
              <w:t>Esox lucius</w:t>
            </w:r>
            <w:r w:rsidRPr="0088780C">
              <w:rPr>
                <w:snapToGrid w:val="0"/>
                <w:kern w:val="22"/>
                <w:szCs w:val="22"/>
              </w:rPr>
              <w:t>), (</w:t>
            </w:r>
            <w:r w:rsidRPr="0088780C">
              <w:rPr>
                <w:i/>
                <w:snapToGrid w:val="0"/>
                <w:kern w:val="22"/>
                <w:szCs w:val="22"/>
              </w:rPr>
              <w:t>Blicca bjoerkna</w:t>
            </w:r>
            <w:r w:rsidRPr="0088780C">
              <w:rPr>
                <w:snapToGrid w:val="0"/>
                <w:kern w:val="22"/>
                <w:szCs w:val="22"/>
              </w:rPr>
              <w:t>), crucian carp (</w:t>
            </w:r>
            <w:r w:rsidRPr="0088780C">
              <w:rPr>
                <w:i/>
                <w:snapToGrid w:val="0"/>
                <w:kern w:val="22"/>
                <w:szCs w:val="22"/>
              </w:rPr>
              <w:t>Carassius carassius),</w:t>
            </w:r>
            <w:r w:rsidRPr="0088780C">
              <w:rPr>
                <w:snapToGrid w:val="0"/>
                <w:kern w:val="22"/>
                <w:szCs w:val="22"/>
              </w:rPr>
              <w:t>sechel</w:t>
            </w:r>
            <w:r w:rsidRPr="0088780C">
              <w:rPr>
                <w:i/>
                <w:snapToGrid w:val="0"/>
                <w:kern w:val="22"/>
                <w:szCs w:val="22"/>
              </w:rPr>
              <w:t xml:space="preserve"> (Pelicus cultratus)</w:t>
            </w:r>
            <w:r w:rsidRPr="0088780C">
              <w:rPr>
                <w:snapToGrid w:val="0"/>
                <w:kern w:val="22"/>
                <w:szCs w:val="22"/>
              </w:rPr>
              <w:t>, pike-perch (</w:t>
            </w:r>
            <w:r w:rsidRPr="0088780C">
              <w:rPr>
                <w:i/>
                <w:snapToGrid w:val="0"/>
                <w:kern w:val="22"/>
                <w:szCs w:val="22"/>
              </w:rPr>
              <w:t>Stizostedion lucioperca L</w:t>
            </w:r>
            <w:r w:rsidRPr="0088780C">
              <w:rPr>
                <w:snapToGrid w:val="0"/>
                <w:kern w:val="22"/>
                <w:szCs w:val="22"/>
              </w:rPr>
              <w:t>.), borsh (</w:t>
            </w:r>
            <w:r w:rsidRPr="0088780C">
              <w:rPr>
                <w:i/>
                <w:snapToGrid w:val="0"/>
                <w:kern w:val="22"/>
                <w:szCs w:val="22"/>
              </w:rPr>
              <w:t>Stizostedion volgensis</w:t>
            </w:r>
            <w:r w:rsidRPr="0088780C">
              <w:rPr>
                <w:snapToGrid w:val="0"/>
                <w:kern w:val="22"/>
                <w:szCs w:val="22"/>
              </w:rPr>
              <w:t>), catfish (</w:t>
            </w:r>
            <w:r w:rsidRPr="0088780C">
              <w:rPr>
                <w:i/>
                <w:snapToGrid w:val="0"/>
                <w:kern w:val="22"/>
                <w:szCs w:val="22"/>
              </w:rPr>
              <w:t>Silurus glanis</w:t>
            </w:r>
            <w:r w:rsidRPr="0088780C">
              <w:rPr>
                <w:snapToGrid w:val="0"/>
                <w:kern w:val="22"/>
                <w:szCs w:val="22"/>
              </w:rPr>
              <w:t>), Caspian pheasant (</w:t>
            </w:r>
            <w:r w:rsidRPr="0088780C">
              <w:rPr>
                <w:i/>
                <w:snapToGrid w:val="0"/>
                <w:kern w:val="22"/>
                <w:szCs w:val="22"/>
              </w:rPr>
              <w:t>Alosa caspia</w:t>
            </w:r>
            <w:r w:rsidRPr="0088780C">
              <w:rPr>
                <w:snapToGrid w:val="0"/>
                <w:kern w:val="22"/>
                <w:szCs w:val="22"/>
              </w:rPr>
              <w:t>), beluga (</w:t>
            </w:r>
            <w:r w:rsidRPr="0088780C">
              <w:rPr>
                <w:i/>
                <w:snapToGrid w:val="0"/>
                <w:kern w:val="22"/>
                <w:szCs w:val="22"/>
              </w:rPr>
              <w:t>Huso huso</w:t>
            </w:r>
            <w:r w:rsidRPr="0088780C">
              <w:rPr>
                <w:snapToGrid w:val="0"/>
                <w:kern w:val="22"/>
                <w:szCs w:val="22"/>
              </w:rPr>
              <w:t>), Russian sturgeon (</w:t>
            </w:r>
            <w:r w:rsidRPr="0088780C">
              <w:rPr>
                <w:i/>
                <w:snapToGrid w:val="0"/>
                <w:kern w:val="22"/>
                <w:szCs w:val="22"/>
              </w:rPr>
              <w:t>Acipenser gueldenstaedtii</w:t>
            </w:r>
            <w:r w:rsidRPr="0088780C">
              <w:rPr>
                <w:snapToGrid w:val="0"/>
                <w:kern w:val="22"/>
                <w:szCs w:val="22"/>
              </w:rPr>
              <w:t>), sturgeon (</w:t>
            </w:r>
            <w:r w:rsidRPr="0088780C">
              <w:rPr>
                <w:i/>
                <w:snapToGrid w:val="0"/>
                <w:kern w:val="22"/>
                <w:szCs w:val="22"/>
              </w:rPr>
              <w:t>Acipenser stellatus</w:t>
            </w:r>
            <w:r w:rsidRPr="0088780C">
              <w:rPr>
                <w:snapToGrid w:val="0"/>
                <w:kern w:val="22"/>
                <w:szCs w:val="22"/>
              </w:rPr>
              <w:t>), sterlet (</w:t>
            </w:r>
            <w:r w:rsidRPr="0088780C">
              <w:rPr>
                <w:i/>
                <w:snapToGrid w:val="0"/>
                <w:kern w:val="22"/>
                <w:szCs w:val="22"/>
              </w:rPr>
              <w:t>Acipenserruthenus</w:t>
            </w:r>
            <w:r w:rsidRPr="0088780C">
              <w:rPr>
                <w:snapToGrid w:val="0"/>
                <w:kern w:val="22"/>
                <w:szCs w:val="22"/>
              </w:rPr>
              <w:t>), thorn (</w:t>
            </w:r>
            <w:r w:rsidRPr="0088780C">
              <w:rPr>
                <w:i/>
                <w:snapToGrid w:val="0"/>
                <w:kern w:val="22"/>
                <w:szCs w:val="22"/>
              </w:rPr>
              <w:t>Acipenser nudiventris</w:t>
            </w:r>
            <w:r w:rsidRPr="0088780C">
              <w:rPr>
                <w:snapToGrid w:val="0"/>
                <w:kern w:val="22"/>
                <w:szCs w:val="22"/>
              </w:rPr>
              <w:t>) and a number of non-commercial fish species (e.g., stickleback, white-eyed, char, pinewood, loach). Due to the low salinity of the water, both freshwater and marine s</w:t>
            </w:r>
            <w:r w:rsidR="004C1B5B" w:rsidRPr="0088780C">
              <w:rPr>
                <w:snapToGrid w:val="0"/>
                <w:kern w:val="22"/>
                <w:szCs w:val="22"/>
              </w:rPr>
              <w:t xml:space="preserve">pecies live here. According to </w:t>
            </w:r>
            <w:r w:rsidRPr="0088780C">
              <w:rPr>
                <w:snapToGrid w:val="0"/>
                <w:kern w:val="22"/>
                <w:szCs w:val="22"/>
              </w:rPr>
              <w:t xml:space="preserve">the Kazakhstan Agency of Applied Ecology, </w:t>
            </w:r>
            <w:r w:rsidR="004C1B5B" w:rsidRPr="0088780C">
              <w:rPr>
                <w:snapToGrid w:val="0"/>
                <w:kern w:val="22"/>
                <w:szCs w:val="22"/>
              </w:rPr>
              <w:t xml:space="preserve">in autumn 2015, the proportion </w:t>
            </w:r>
            <w:r w:rsidRPr="0088780C">
              <w:rPr>
                <w:snapToGrid w:val="0"/>
                <w:kern w:val="22"/>
                <w:szCs w:val="22"/>
              </w:rPr>
              <w:t xml:space="preserve">of fish species at the limit of this area </w:t>
            </w:r>
            <w:r w:rsidR="004C1B5B" w:rsidRPr="0088780C">
              <w:rPr>
                <w:snapToGrid w:val="0"/>
                <w:kern w:val="22"/>
                <w:szCs w:val="22"/>
              </w:rPr>
              <w:t xml:space="preserve">(quarter 47) was Caspian roach </w:t>
            </w:r>
            <w:r w:rsidRPr="0088780C">
              <w:rPr>
                <w:snapToGrid w:val="0"/>
                <w:kern w:val="22"/>
                <w:szCs w:val="22"/>
              </w:rPr>
              <w:t>(</w:t>
            </w:r>
            <w:r w:rsidRPr="0088780C">
              <w:rPr>
                <w:i/>
                <w:snapToGrid w:val="0"/>
                <w:kern w:val="22"/>
                <w:szCs w:val="22"/>
              </w:rPr>
              <w:t>Rutilus caspicus,</w:t>
            </w:r>
            <w:r w:rsidRPr="0088780C">
              <w:rPr>
                <w:snapToGrid w:val="0"/>
                <w:kern w:val="22"/>
                <w:szCs w:val="22"/>
              </w:rPr>
              <w:t xml:space="preserve"> 34.2%), sichel (</w:t>
            </w:r>
            <w:r w:rsidRPr="0088780C">
              <w:rPr>
                <w:i/>
                <w:snapToGrid w:val="0"/>
                <w:kern w:val="22"/>
                <w:szCs w:val="22"/>
              </w:rPr>
              <w:t>Pelecus cultratus</w:t>
            </w:r>
            <w:r w:rsidRPr="0088780C">
              <w:rPr>
                <w:snapToGrid w:val="0"/>
                <w:kern w:val="22"/>
                <w:szCs w:val="22"/>
              </w:rPr>
              <w:t>, 31.6%), North Caspian pheasant (21.1%), bream (10.5%), and pike perch (2.6%) (Figure 6). Thus, about 80% of the composition of the ichthyofauna, even at the limit of this area, is made up of freshwater species; in terms of biomass, the composition is more than 90% (1, 2).</w:t>
            </w:r>
          </w:p>
        </w:tc>
      </w:tr>
      <w:tr w:rsidR="00A876F3" w:rsidRPr="0088780C" w14:paraId="535B3809" w14:textId="77777777" w:rsidTr="006972AD">
        <w:tc>
          <w:tcPr>
            <w:tcW w:w="1631" w:type="dxa"/>
          </w:tcPr>
          <w:p w14:paraId="0AB0A7E8"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Naturalness</w:t>
            </w:r>
          </w:p>
        </w:tc>
        <w:tc>
          <w:tcPr>
            <w:tcW w:w="3702" w:type="dxa"/>
          </w:tcPr>
          <w:p w14:paraId="3626157F"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lang w:eastAsia="ru-RU"/>
              </w:rPr>
              <w:t>Area with a comparatively higher degree of naturalness as a result of the lack of or low level of human-induced disturbance or degradation.</w:t>
            </w:r>
          </w:p>
        </w:tc>
        <w:tc>
          <w:tcPr>
            <w:tcW w:w="870" w:type="dxa"/>
          </w:tcPr>
          <w:p w14:paraId="6E137509"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55" w:type="dxa"/>
            <w:gridSpan w:val="7"/>
          </w:tcPr>
          <w:p w14:paraId="7B7DDA8B"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260" w:type="dxa"/>
            <w:gridSpan w:val="9"/>
          </w:tcPr>
          <w:p w14:paraId="26360580"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snapToGrid w:val="0"/>
                <w:kern w:val="22"/>
                <w:szCs w:val="22"/>
              </w:rPr>
            </w:pPr>
            <w:r w:rsidRPr="0088780C">
              <w:rPr>
                <w:snapToGrid w:val="0"/>
                <w:kern w:val="22"/>
                <w:szCs w:val="22"/>
              </w:rPr>
              <w:t>X</w:t>
            </w:r>
          </w:p>
        </w:tc>
        <w:tc>
          <w:tcPr>
            <w:tcW w:w="1271" w:type="dxa"/>
            <w:gridSpan w:val="3"/>
          </w:tcPr>
          <w:p w14:paraId="017DD4D9"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r>
      <w:tr w:rsidR="00A876F3" w:rsidRPr="0088780C" w14:paraId="6CEA11DF" w14:textId="77777777" w:rsidTr="006972AD">
        <w:trPr>
          <w:trHeight w:val="746"/>
        </w:trPr>
        <w:tc>
          <w:tcPr>
            <w:tcW w:w="9889" w:type="dxa"/>
            <w:gridSpan w:val="22"/>
          </w:tcPr>
          <w:p w14:paraId="6D819BBE"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2040B19A"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The area is characterized by an average degree of degradation of natural ecosystems, on the one hand because part of it is a protected area, and on the other, because of an increase in anthropogenic load (excessive fishing, increasing pollution due to nearby oilfield development sites).</w:t>
            </w:r>
          </w:p>
        </w:tc>
      </w:tr>
    </w:tbl>
    <w:p w14:paraId="6ABC894D"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5DEC4163" w14:textId="77777777" w:rsidR="00A876F3" w:rsidRPr="0088780C" w:rsidRDefault="00A876F3" w:rsidP="004C1B5B">
      <w:pPr>
        <w:keepNext/>
        <w:suppressLineNumbers/>
        <w:suppressAutoHyphens/>
        <w:kinsoku w:val="0"/>
        <w:overflowPunct w:val="0"/>
        <w:autoSpaceDE w:val="0"/>
        <w:autoSpaceDN w:val="0"/>
        <w:spacing w:after="60"/>
        <w:rPr>
          <w:b/>
          <w:snapToGrid w:val="0"/>
          <w:kern w:val="22"/>
          <w:szCs w:val="22"/>
        </w:rPr>
      </w:pPr>
      <w:r w:rsidRPr="0088780C">
        <w:rPr>
          <w:b/>
          <w:snapToGrid w:val="0"/>
          <w:kern w:val="22"/>
          <w:szCs w:val="22"/>
        </w:rPr>
        <w:t>References</w:t>
      </w:r>
    </w:p>
    <w:p w14:paraId="4B955AD1" w14:textId="77777777" w:rsidR="00A876F3" w:rsidRPr="0088780C" w:rsidRDefault="00A876F3" w:rsidP="004C1B5B">
      <w:pPr>
        <w:suppressLineNumbers/>
        <w:suppressAutoHyphens/>
        <w:kinsoku w:val="0"/>
        <w:overflowPunct w:val="0"/>
        <w:autoSpaceDE w:val="0"/>
        <w:autoSpaceDN w:val="0"/>
        <w:spacing w:after="60"/>
        <w:ind w:left="720" w:hanging="720"/>
        <w:rPr>
          <w:snapToGrid w:val="0"/>
          <w:kern w:val="22"/>
          <w:szCs w:val="22"/>
          <w:lang w:val="ru-RU"/>
        </w:rPr>
      </w:pPr>
      <w:r w:rsidRPr="0088780C">
        <w:rPr>
          <w:rFonts w:eastAsia="MS Mincho"/>
          <w:snapToGrid w:val="0"/>
          <w:kern w:val="22"/>
          <w:szCs w:val="22"/>
          <w:lang w:val="ru-RU"/>
        </w:rPr>
        <w:t xml:space="preserve">1 </w:t>
      </w:r>
      <w:r w:rsidRPr="0088780C">
        <w:rPr>
          <w:snapToGrid w:val="0"/>
          <w:kern w:val="22"/>
          <w:szCs w:val="22"/>
          <w:lang w:val="ru-RU"/>
        </w:rPr>
        <w:t>Проведение комплексных морских исследований по оценке состояния биологических ресурсов казахстанской части Каспийского моря//Биологическое обоснование. – ТОО «КАПЭ», Алматы, 2015. – 163 с.</w:t>
      </w:r>
    </w:p>
    <w:p w14:paraId="3BC9D453" w14:textId="77777777" w:rsidR="00A876F3" w:rsidRPr="0088780C" w:rsidRDefault="00A876F3" w:rsidP="004C1B5B">
      <w:pPr>
        <w:pStyle w:val="NoSpacing"/>
        <w:suppressLineNumbers/>
        <w:suppressAutoHyphens/>
        <w:kinsoku w:val="0"/>
        <w:overflowPunct w:val="0"/>
        <w:autoSpaceDE w:val="0"/>
        <w:autoSpaceDN w:val="0"/>
        <w:spacing w:after="60"/>
        <w:ind w:left="720" w:hanging="720"/>
        <w:jc w:val="both"/>
        <w:rPr>
          <w:rFonts w:ascii="Times New Roman" w:hAnsi="Times New Roman"/>
          <w:snapToGrid w:val="0"/>
          <w:kern w:val="22"/>
        </w:rPr>
      </w:pPr>
      <w:r w:rsidRPr="0088780C">
        <w:rPr>
          <w:rFonts w:ascii="Times New Roman" w:hAnsi="Times New Roman"/>
          <w:snapToGrid w:val="0"/>
          <w:kern w:val="22"/>
        </w:rPr>
        <w:t>2 Определение рыбопродуктивности рыбохозяйственных водоемов и/или их участков, разработка биологических обоснований ОДУ и ООПТ, режиму и регулированию рыболовства на водоемах международного, республиканского и местного значений Жайык-Каспийского бассейна. Раздел: Река Жайык с предустьевым пространством, река Кигаш с предустьевым пространством, буферная зона государственного природного резервата «АкЖайык» (закл.)//Биологическое обоснование. – ТОО «КазНИИРХ», 2016. – 261 с.</w:t>
      </w:r>
    </w:p>
    <w:p w14:paraId="48E34A2B" w14:textId="77777777" w:rsidR="00A876F3" w:rsidRPr="0088780C" w:rsidRDefault="00A876F3" w:rsidP="004C1B5B">
      <w:pPr>
        <w:pStyle w:val="Heading2"/>
        <w:keepNext w:val="0"/>
        <w:suppressLineNumbers/>
        <w:suppressAutoHyphens/>
        <w:kinsoku w:val="0"/>
        <w:overflowPunct w:val="0"/>
        <w:autoSpaceDE w:val="0"/>
        <w:autoSpaceDN w:val="0"/>
        <w:spacing w:before="0" w:after="60"/>
        <w:ind w:left="720" w:hanging="720"/>
        <w:jc w:val="both"/>
        <w:rPr>
          <w:b w:val="0"/>
          <w:snapToGrid w:val="0"/>
          <w:kern w:val="22"/>
          <w:szCs w:val="22"/>
          <w:lang w:val="ru-RU"/>
        </w:rPr>
      </w:pPr>
      <w:r w:rsidRPr="0088780C">
        <w:rPr>
          <w:b w:val="0"/>
          <w:i w:val="0"/>
          <w:iCs w:val="0"/>
          <w:snapToGrid w:val="0"/>
          <w:kern w:val="22"/>
          <w:szCs w:val="22"/>
          <w:lang w:val="ru-RU"/>
        </w:rPr>
        <w:t xml:space="preserve">3 </w:t>
      </w:r>
      <w:r w:rsidRPr="0088780C">
        <w:rPr>
          <w:b w:val="0"/>
          <w:snapToGrid w:val="0"/>
          <w:kern w:val="22"/>
          <w:szCs w:val="22"/>
          <w:lang w:val="ru-RU"/>
        </w:rPr>
        <w:t xml:space="preserve">Ким Ю.А., Куликов Е.В., Кузьменко С.В. </w:t>
      </w:r>
      <w:r w:rsidRPr="0088780C">
        <w:rPr>
          <w:b w:val="0"/>
          <w:bCs w:val="0"/>
          <w:snapToGrid w:val="0"/>
          <w:kern w:val="22"/>
          <w:szCs w:val="22"/>
          <w:lang w:val="ru-RU"/>
        </w:rPr>
        <w:t>Методы подхода сохранения биоресурсов Жайык-Каспийского бассейна</w:t>
      </w:r>
      <w:r w:rsidRPr="0088780C">
        <w:rPr>
          <w:b w:val="0"/>
          <w:snapToGrid w:val="0"/>
          <w:kern w:val="22"/>
          <w:szCs w:val="22"/>
          <w:lang w:val="ru-RU"/>
        </w:rPr>
        <w:t>// Сб. Управление инновациями в современной науке, 2015. – г. Самара. – С. 21-27.</w:t>
      </w:r>
    </w:p>
    <w:p w14:paraId="52A1418A" w14:textId="58155532" w:rsidR="00A876F3" w:rsidRPr="0088780C" w:rsidRDefault="00A876F3" w:rsidP="004C1B5B">
      <w:pPr>
        <w:pStyle w:val="Heading2"/>
        <w:keepNext w:val="0"/>
        <w:suppressLineNumbers/>
        <w:suppressAutoHyphens/>
        <w:kinsoku w:val="0"/>
        <w:overflowPunct w:val="0"/>
        <w:autoSpaceDE w:val="0"/>
        <w:autoSpaceDN w:val="0"/>
        <w:spacing w:before="0" w:after="60"/>
        <w:ind w:left="720" w:hanging="720"/>
        <w:jc w:val="both"/>
        <w:rPr>
          <w:b w:val="0"/>
          <w:snapToGrid w:val="0"/>
          <w:kern w:val="22"/>
          <w:szCs w:val="22"/>
          <w:lang w:val="en-US"/>
        </w:rPr>
      </w:pPr>
      <w:r w:rsidRPr="0088780C">
        <w:rPr>
          <w:b w:val="0"/>
          <w:i w:val="0"/>
          <w:iCs w:val="0"/>
          <w:snapToGrid w:val="0"/>
          <w:kern w:val="22"/>
          <w:szCs w:val="22"/>
          <w:lang w:val="ru-RU"/>
        </w:rPr>
        <w:t xml:space="preserve">4 </w:t>
      </w:r>
      <w:r w:rsidRPr="0088780C">
        <w:rPr>
          <w:b w:val="0"/>
          <w:snapToGrid w:val="0"/>
          <w:kern w:val="22"/>
          <w:szCs w:val="22"/>
          <w:lang w:val="ru-RU"/>
        </w:rPr>
        <w:t>Исбеков К.Б., Асылбекова С.Ж., Куликов Е.В., Ким А.И. Браконьерство – один из основных факторов снижения численности осетровых рыб Каспийского бассейна//Астраханский вестник экологического образовани</w:t>
      </w:r>
      <w:r w:rsidR="00963E7B" w:rsidRPr="0088780C">
        <w:rPr>
          <w:b w:val="0"/>
          <w:snapToGrid w:val="0"/>
          <w:kern w:val="22"/>
          <w:szCs w:val="22"/>
          <w:lang w:val="ru-RU"/>
        </w:rPr>
        <w:t>я, 2015. – № 1(31). – С. 50-57.</w:t>
      </w:r>
    </w:p>
    <w:p w14:paraId="0F5C36E2" w14:textId="77777777" w:rsidR="00A876F3" w:rsidRPr="0088780C" w:rsidRDefault="00A876F3" w:rsidP="004C1B5B">
      <w:pPr>
        <w:suppressLineNumbers/>
        <w:suppressAutoHyphens/>
        <w:kinsoku w:val="0"/>
        <w:overflowPunct w:val="0"/>
        <w:autoSpaceDE w:val="0"/>
        <w:autoSpaceDN w:val="0"/>
        <w:spacing w:after="60"/>
        <w:ind w:left="720" w:hanging="720"/>
        <w:rPr>
          <w:snapToGrid w:val="0"/>
          <w:kern w:val="22"/>
          <w:szCs w:val="22"/>
          <w:lang w:val="ru-RU"/>
        </w:rPr>
      </w:pPr>
      <w:r w:rsidRPr="0088780C">
        <w:rPr>
          <w:rFonts w:eastAsia="Calibri"/>
          <w:snapToGrid w:val="0"/>
          <w:kern w:val="22"/>
          <w:szCs w:val="22"/>
          <w:lang w:val="ru-RU"/>
        </w:rPr>
        <w:t>5 Камелов А.К., Сокольский А.Ф., Альпеисов Ш.А. Современное состояние и подходы к восстановлению численности русского осетра Урало-Каспийского бассейна. – Алматы, 2005. – 41 с.</w:t>
      </w:r>
    </w:p>
    <w:p w14:paraId="5FB23738" w14:textId="77777777" w:rsidR="00A876F3" w:rsidRPr="0088780C" w:rsidRDefault="00A876F3" w:rsidP="004C1B5B">
      <w:pPr>
        <w:pStyle w:val="10"/>
        <w:suppressLineNumbers/>
        <w:suppressAutoHyphens/>
        <w:kinsoku w:val="0"/>
        <w:overflowPunct w:val="0"/>
        <w:autoSpaceDE w:val="0"/>
        <w:autoSpaceDN w:val="0"/>
        <w:spacing w:after="60"/>
        <w:ind w:left="720" w:hanging="720"/>
        <w:rPr>
          <w:snapToGrid w:val="0"/>
          <w:kern w:val="22"/>
          <w:sz w:val="22"/>
          <w:szCs w:val="22"/>
        </w:rPr>
      </w:pPr>
      <w:r w:rsidRPr="0088780C">
        <w:rPr>
          <w:snapToGrid w:val="0"/>
          <w:kern w:val="22"/>
          <w:sz w:val="22"/>
          <w:szCs w:val="22"/>
        </w:rPr>
        <w:t>6 Беляева В.Н., Иванов В.П., Зиланов В.К. Научные основы устойчивого рыболовства и регионального распределения промысловых объектов Каспийского моря.- М.: ВНИРО, 1998. – 167 с.</w:t>
      </w:r>
    </w:p>
    <w:p w14:paraId="52FD453F" w14:textId="77777777" w:rsidR="00A876F3" w:rsidRPr="0088780C" w:rsidRDefault="00A876F3" w:rsidP="004C1B5B">
      <w:pPr>
        <w:pStyle w:val="Heading1"/>
        <w:keepNext w:val="0"/>
        <w:suppressLineNumbers/>
        <w:suppressAutoHyphens/>
        <w:kinsoku w:val="0"/>
        <w:overflowPunct w:val="0"/>
        <w:autoSpaceDE w:val="0"/>
        <w:autoSpaceDN w:val="0"/>
        <w:spacing w:before="0" w:after="60"/>
        <w:ind w:left="720" w:hanging="720"/>
        <w:jc w:val="both"/>
        <w:rPr>
          <w:b w:val="0"/>
          <w:snapToGrid w:val="0"/>
          <w:kern w:val="22"/>
          <w:szCs w:val="22"/>
          <w:lang w:val="ru-RU"/>
        </w:rPr>
      </w:pPr>
      <w:r w:rsidRPr="0088780C">
        <w:rPr>
          <w:b w:val="0"/>
          <w:snapToGrid w:val="0"/>
          <w:kern w:val="22"/>
          <w:szCs w:val="22"/>
          <w:lang w:val="ru-RU"/>
        </w:rPr>
        <w:t>7 Современное состояние популяции русского осетра реки Урал и мероприятия по ее восстановлению: Автореферат дисс. на соиск. уч. степ. канд. биол. наук/Камелов А.К. – Астрахань, 2004 – 128 с.</w:t>
      </w:r>
    </w:p>
    <w:p w14:paraId="59565CEC" w14:textId="77777777" w:rsidR="00A876F3" w:rsidRPr="0088780C" w:rsidRDefault="00A876F3" w:rsidP="004C1B5B">
      <w:pPr>
        <w:suppressLineNumbers/>
        <w:suppressAutoHyphens/>
        <w:kinsoku w:val="0"/>
        <w:overflowPunct w:val="0"/>
        <w:autoSpaceDE w:val="0"/>
        <w:autoSpaceDN w:val="0"/>
        <w:spacing w:after="60"/>
        <w:ind w:left="720" w:hanging="720"/>
        <w:rPr>
          <w:snapToGrid w:val="0"/>
          <w:kern w:val="22"/>
          <w:szCs w:val="22"/>
          <w:lang w:val="ru-RU" w:eastAsia="ru-RU"/>
        </w:rPr>
      </w:pPr>
      <w:r w:rsidRPr="0088780C">
        <w:rPr>
          <w:snapToGrid w:val="0"/>
          <w:kern w:val="22"/>
          <w:szCs w:val="22"/>
          <w:lang w:val="ru-RU" w:eastAsia="ru-RU"/>
        </w:rPr>
        <w:t>8 Инвентаризация нерестилищ в прикаспийских государствах. Обзор базовых отчетов стран по нерестилищам в России, Казахстане, Азербайджане, Иране и Туркменистане//Закл. отчет. – Проект КаспЭко, 2012. – 104 с.</w:t>
      </w:r>
    </w:p>
    <w:p w14:paraId="6137BE2C" w14:textId="77777777" w:rsidR="00A876F3" w:rsidRPr="0088780C" w:rsidRDefault="00A876F3" w:rsidP="004C1B5B">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9 BirdLife International, 2017a. Important Bird Areas factsheet: Delta of the Ural River. Downloaded from </w:t>
      </w:r>
      <w:hyperlink r:id="rId229" w:history="1">
        <w:r w:rsidRPr="0088780C">
          <w:rPr>
            <w:rStyle w:val="Hyperlink"/>
            <w:snapToGrid w:val="0"/>
            <w:kern w:val="22"/>
            <w:szCs w:val="22"/>
          </w:rPr>
          <w:t>http://datazone.birdlife.org/site/factsheet/delta-of-the-ural-river-iba-kazakhstan/details on 26/04/2017</w:t>
        </w:r>
      </w:hyperlink>
      <w:r w:rsidRPr="0088780C">
        <w:rPr>
          <w:snapToGrid w:val="0"/>
          <w:kern w:val="22"/>
          <w:szCs w:val="22"/>
        </w:rPr>
        <w:t>.</w:t>
      </w:r>
    </w:p>
    <w:p w14:paraId="3287822A" w14:textId="77777777" w:rsidR="00A876F3" w:rsidRPr="0088780C" w:rsidRDefault="00A876F3" w:rsidP="004C1B5B">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10 BirdLife International 2017b. IUCN Red List for birds. Downloaded from </w:t>
      </w:r>
      <w:hyperlink r:id="rId230" w:history="1">
        <w:r w:rsidRPr="0088780C">
          <w:rPr>
            <w:rStyle w:val="Hyperlink"/>
            <w:snapToGrid w:val="0"/>
            <w:kern w:val="22"/>
            <w:szCs w:val="22"/>
          </w:rPr>
          <w:t>http://www.birdlife.org</w:t>
        </w:r>
      </w:hyperlink>
      <w:r w:rsidRPr="0088780C">
        <w:rPr>
          <w:snapToGrid w:val="0"/>
          <w:kern w:val="22"/>
          <w:szCs w:val="22"/>
        </w:rPr>
        <w:t xml:space="preserve"> on 27/04/2017.</w:t>
      </w:r>
    </w:p>
    <w:p w14:paraId="1399597B" w14:textId="77777777" w:rsidR="00A876F3" w:rsidRPr="0088780C" w:rsidRDefault="00A876F3" w:rsidP="001013AF">
      <w:pPr>
        <w:suppressLineNumbers/>
        <w:suppressAutoHyphens/>
        <w:kinsoku w:val="0"/>
        <w:overflowPunct w:val="0"/>
        <w:autoSpaceDE w:val="0"/>
        <w:autoSpaceDN w:val="0"/>
        <w:rPr>
          <w:snapToGrid w:val="0"/>
          <w:kern w:val="22"/>
          <w:szCs w:val="22"/>
          <w:lang w:eastAsia="ru-RU"/>
        </w:rPr>
      </w:pPr>
    </w:p>
    <w:p w14:paraId="7D0A7D73"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br w:type="page"/>
      </w:r>
    </w:p>
    <w:p w14:paraId="167BA6B5"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Maps, Figures and Tables</w:t>
      </w:r>
    </w:p>
    <w:p w14:paraId="20B72008"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p>
    <w:p w14:paraId="2C54A82D"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noProof/>
          <w:snapToGrid w:val="0"/>
          <w:kern w:val="22"/>
          <w:szCs w:val="22"/>
          <w:lang w:eastAsia="zh-CN"/>
        </w:rPr>
        <w:drawing>
          <wp:inline distT="0" distB="0" distL="0" distR="0" wp14:anchorId="123C8FE7" wp14:editId="38695ACC">
            <wp:extent cx="5486400" cy="4572000"/>
            <wp:effectExtent l="0" t="0" r="0" b="0"/>
            <wp:docPr id="4096" name="Picture 4096" descr="C:\Users\grekin\AppData\Local\Microsoft\Windows\Temporary Internet Files\Content.Word\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grekin\AppData\Local\Microsoft\Windows\Temporary Internet Files\Content.Word\18.png"/>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46C494F3"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Figure 1. Area meeting the EBSA criteria</w:t>
      </w:r>
    </w:p>
    <w:p w14:paraId="7E92F681" w14:textId="4572352F" w:rsidR="00963E7B" w:rsidRPr="0088780C" w:rsidRDefault="00963E7B">
      <w:pPr>
        <w:jc w:val="left"/>
        <w:rPr>
          <w:b/>
          <w:bCs/>
          <w:snapToGrid w:val="0"/>
          <w:kern w:val="22"/>
          <w:szCs w:val="22"/>
          <w:lang w:eastAsia="ru-RU"/>
        </w:rPr>
      </w:pPr>
      <w:r w:rsidRPr="0088780C">
        <w:rPr>
          <w:b/>
          <w:bCs/>
          <w:snapToGrid w:val="0"/>
          <w:kern w:val="22"/>
          <w:szCs w:val="22"/>
          <w:lang w:eastAsia="ru-RU"/>
        </w:rPr>
        <w:br w:type="page"/>
      </w:r>
    </w:p>
    <w:p w14:paraId="6707B6F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E02DE33" w14:textId="77777777" w:rsidR="00A876F3" w:rsidRPr="0088780C" w:rsidRDefault="00A876F3" w:rsidP="001013AF">
      <w:pPr>
        <w:suppressLineNumbers/>
        <w:suppressAutoHyphens/>
        <w:kinsoku w:val="0"/>
        <w:overflowPunct w:val="0"/>
        <w:autoSpaceDE w:val="0"/>
        <w:autoSpaceDN w:val="0"/>
        <w:jc w:val="center"/>
        <w:rPr>
          <w:snapToGrid w:val="0"/>
          <w:color w:val="000000"/>
          <w:kern w:val="22"/>
          <w:szCs w:val="22"/>
        </w:rPr>
      </w:pPr>
      <w:r w:rsidRPr="0088780C">
        <w:rPr>
          <w:noProof/>
          <w:snapToGrid w:val="0"/>
          <w:color w:val="000000"/>
          <w:kern w:val="22"/>
          <w:szCs w:val="22"/>
          <w:lang w:eastAsia="zh-CN"/>
        </w:rPr>
        <mc:AlternateContent>
          <mc:Choice Requires="wps">
            <w:drawing>
              <wp:anchor distT="0" distB="0" distL="114300" distR="114300" simplePos="0" relativeHeight="251661312" behindDoc="0" locked="0" layoutInCell="1" allowOverlap="1" wp14:anchorId="3CCD21B2" wp14:editId="24927E7C">
                <wp:simplePos x="0" y="0"/>
                <wp:positionH relativeFrom="column">
                  <wp:posOffset>2975610</wp:posOffset>
                </wp:positionH>
                <wp:positionV relativeFrom="paragraph">
                  <wp:posOffset>764540</wp:posOffset>
                </wp:positionV>
                <wp:extent cx="278130" cy="172720"/>
                <wp:effectExtent l="13335" t="12065" r="13335" b="5715"/>
                <wp:wrapNone/>
                <wp:docPr id="414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 cy="172720"/>
                        </a:xfrm>
                        <a:prstGeom prst="ellipse">
                          <a:avLst/>
                        </a:prstGeom>
                        <a:solidFill>
                          <a:srgbClr val="FFFFFF">
                            <a:alpha val="0"/>
                          </a:srgbClr>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39B8E8" id="Oval 3" o:spid="_x0000_s1026" style="position:absolute;margin-left:234.3pt;margin-top:60.2pt;width:21.9pt;height:1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" strokecolor="red">
                <v:fill opacity="0"/>
              </v:oval>
            </w:pict>
          </mc:Fallback>
        </mc:AlternateContent>
      </w:r>
      <w:r w:rsidRPr="0088780C">
        <w:rPr>
          <w:noProof/>
          <w:snapToGrid w:val="0"/>
          <w:color w:val="000000"/>
          <w:kern w:val="22"/>
          <w:szCs w:val="22"/>
          <w:lang w:eastAsia="zh-CN"/>
        </w:rPr>
        <w:drawing>
          <wp:inline distT="0" distB="0" distL="0" distR="0" wp14:anchorId="230B2634" wp14:editId="7DC5537B">
            <wp:extent cx="3077074" cy="4128653"/>
            <wp:effectExtent l="38100" t="38100" r="104775" b="100965"/>
            <wp:docPr id="4144" name="Picture 30" descr="/Users/jcleary/Desktop/Screen Shot 2017-04-05 at 6.44.1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Users/jcleary/Desktop/Screen Shot 2017-04-05 at 6.44.18 PM.png"/>
                    <pic:cNvPicPr>
                      <a:picLocks noChangeAspect="1" noChangeArrowheads="1"/>
                    </pic:cNvPicPr>
                  </pic:nvPicPr>
                  <pic:blipFill>
                    <a:blip r:embed="rId232" cstate="screen">
                      <a:extLst>
                        <a:ext uri="{28A0092B-C50C-407E-A947-70E740481C1C}">
                          <a14:useLocalDpi xmlns:a14="http://schemas.microsoft.com/office/drawing/2010/main"/>
                        </a:ext>
                      </a:extLst>
                    </a:blip>
                    <a:srcRect/>
                    <a:stretch>
                      <a:fillRect/>
                    </a:stretch>
                  </pic:blipFill>
                  <pic:spPr bwMode="auto">
                    <a:xfrm>
                      <a:off x="0" y="0"/>
                      <a:ext cx="3076575" cy="4128135"/>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3F131468" w14:textId="77777777" w:rsidR="00A876F3" w:rsidRPr="0088780C" w:rsidRDefault="00A876F3" w:rsidP="00963E7B">
      <w:pPr>
        <w:suppressLineNumbers/>
        <w:suppressAutoHyphens/>
        <w:kinsoku w:val="0"/>
        <w:overflowPunct w:val="0"/>
        <w:autoSpaceDE w:val="0"/>
        <w:autoSpaceDN w:val="0"/>
        <w:jc w:val="center"/>
        <w:rPr>
          <w:b/>
          <w:snapToGrid w:val="0"/>
          <w:kern w:val="22"/>
          <w:szCs w:val="22"/>
        </w:rPr>
      </w:pPr>
      <w:r w:rsidRPr="0088780C">
        <w:rPr>
          <w:b/>
          <w:snapToGrid w:val="0"/>
          <w:kern w:val="22"/>
          <w:szCs w:val="22"/>
        </w:rPr>
        <w:t>Figure 2. General location of the pre-estuarine area of the Caspian Sea</w:t>
      </w:r>
    </w:p>
    <w:p w14:paraId="5A02B75E" w14:textId="77777777" w:rsidR="00A876F3" w:rsidRPr="0088780C" w:rsidRDefault="00A876F3" w:rsidP="00963E7B">
      <w:pPr>
        <w:suppressLineNumbers/>
        <w:suppressAutoHyphens/>
        <w:kinsoku w:val="0"/>
        <w:overflowPunct w:val="0"/>
        <w:autoSpaceDE w:val="0"/>
        <w:autoSpaceDN w:val="0"/>
        <w:jc w:val="left"/>
        <w:rPr>
          <w:snapToGrid w:val="0"/>
          <w:kern w:val="22"/>
          <w:szCs w:val="22"/>
        </w:rPr>
      </w:pPr>
    </w:p>
    <w:p w14:paraId="354165F8" w14:textId="77777777" w:rsidR="00A876F3" w:rsidRPr="0088780C" w:rsidRDefault="00A876F3" w:rsidP="00963E7B">
      <w:pPr>
        <w:suppressLineNumbers/>
        <w:suppressAutoHyphens/>
        <w:kinsoku w:val="0"/>
        <w:overflowPunct w:val="0"/>
        <w:autoSpaceDE w:val="0"/>
        <w:autoSpaceDN w:val="0"/>
        <w:jc w:val="left"/>
        <w:rPr>
          <w:snapToGrid w:val="0"/>
          <w:color w:val="000000"/>
          <w:kern w:val="22"/>
          <w:szCs w:val="22"/>
        </w:rPr>
      </w:pPr>
    </w:p>
    <w:p w14:paraId="28F1A640"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1620978A" wp14:editId="7B62345D">
            <wp:extent cx="3423285" cy="2650490"/>
            <wp:effectExtent l="0" t="0" r="5715" b="0"/>
            <wp:docPr id="4145" name="Picture 4145" descr="ak-zhayi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k-zhayik_2"/>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3423285" cy="2650490"/>
                    </a:xfrm>
                    <a:prstGeom prst="rect">
                      <a:avLst/>
                    </a:prstGeom>
                    <a:noFill/>
                    <a:ln>
                      <a:noFill/>
                    </a:ln>
                  </pic:spPr>
                </pic:pic>
              </a:graphicData>
            </a:graphic>
          </wp:inline>
        </w:drawing>
      </w:r>
    </w:p>
    <w:p w14:paraId="59839FD8" w14:textId="2E1957B2" w:rsidR="00A876F3" w:rsidRPr="0088780C" w:rsidRDefault="00A876F3" w:rsidP="00963E7B">
      <w:pPr>
        <w:suppressLineNumbers/>
        <w:suppressAutoHyphens/>
        <w:kinsoku w:val="0"/>
        <w:overflowPunct w:val="0"/>
        <w:autoSpaceDE w:val="0"/>
        <w:autoSpaceDN w:val="0"/>
        <w:jc w:val="center"/>
        <w:rPr>
          <w:rFonts w:eastAsia="MS Mincho"/>
          <w:b/>
          <w:snapToGrid w:val="0"/>
          <w:kern w:val="22"/>
          <w:szCs w:val="22"/>
        </w:rPr>
      </w:pPr>
      <w:r w:rsidRPr="0088780C">
        <w:rPr>
          <w:b/>
          <w:snapToGrid w:val="0"/>
          <w:kern w:val="22"/>
          <w:szCs w:val="22"/>
        </w:rPr>
        <w:t>Figure 3. Zones of the Ak-Zhayik Biosphere Reserve</w:t>
      </w:r>
    </w:p>
    <w:p w14:paraId="2997FCF5" w14:textId="4550F33C" w:rsidR="00963E7B" w:rsidRPr="0088780C" w:rsidRDefault="00963E7B">
      <w:pPr>
        <w:jc w:val="left"/>
        <w:rPr>
          <w:rFonts w:eastAsia="MS Mincho"/>
          <w:snapToGrid w:val="0"/>
          <w:kern w:val="22"/>
          <w:szCs w:val="22"/>
        </w:rPr>
      </w:pPr>
      <w:r w:rsidRPr="0088780C">
        <w:rPr>
          <w:rFonts w:eastAsia="MS Mincho"/>
          <w:snapToGrid w:val="0"/>
          <w:kern w:val="22"/>
          <w:szCs w:val="22"/>
        </w:rPr>
        <w:br w:type="page"/>
      </w:r>
    </w:p>
    <w:p w14:paraId="4D902647" w14:textId="77777777" w:rsidR="00A876F3" w:rsidRPr="0088780C" w:rsidRDefault="00A876F3" w:rsidP="00963E7B">
      <w:pPr>
        <w:suppressLineNumbers/>
        <w:suppressAutoHyphens/>
        <w:kinsoku w:val="0"/>
        <w:overflowPunct w:val="0"/>
        <w:autoSpaceDE w:val="0"/>
        <w:autoSpaceDN w:val="0"/>
        <w:jc w:val="left"/>
        <w:rPr>
          <w:rFonts w:eastAsia="MS Mincho"/>
          <w:snapToGrid w:val="0"/>
          <w:kern w:val="22"/>
          <w:szCs w:val="22"/>
        </w:rPr>
      </w:pPr>
    </w:p>
    <w:p w14:paraId="46D01487"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lang w:eastAsia="ru-RU"/>
        </w:rPr>
      </w:pPr>
      <w:r w:rsidRPr="0088780C">
        <w:rPr>
          <w:rFonts w:eastAsia="MS Mincho"/>
          <w:noProof/>
          <w:snapToGrid w:val="0"/>
          <w:kern w:val="22"/>
          <w:szCs w:val="22"/>
          <w:lang w:eastAsia="zh-CN"/>
        </w:rPr>
        <w:drawing>
          <wp:inline distT="0" distB="0" distL="0" distR="0" wp14:anchorId="017FCC93" wp14:editId="1ED7CF63">
            <wp:extent cx="5213985" cy="2188210"/>
            <wp:effectExtent l="0" t="0" r="5715" b="2540"/>
            <wp:docPr id="41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4">
                      <a:extLst>
                        <a:ext uri="{28A0092B-C50C-407E-A947-70E740481C1C}">
                          <a14:useLocalDpi xmlns:a14="http://schemas.microsoft.com/office/drawing/2010/main" val="0"/>
                        </a:ext>
                      </a:extLst>
                    </a:blip>
                    <a:srcRect l="969" t="6061" r="64867" b="58691"/>
                    <a:stretch>
                      <a:fillRect/>
                    </a:stretch>
                  </pic:blipFill>
                  <pic:spPr bwMode="auto">
                    <a:xfrm>
                      <a:off x="0" y="0"/>
                      <a:ext cx="5213985" cy="2188210"/>
                    </a:xfrm>
                    <a:prstGeom prst="rect">
                      <a:avLst/>
                    </a:prstGeom>
                    <a:noFill/>
                    <a:ln>
                      <a:noFill/>
                    </a:ln>
                  </pic:spPr>
                </pic:pic>
              </a:graphicData>
            </a:graphic>
          </wp:inline>
        </w:drawing>
      </w:r>
    </w:p>
    <w:p w14:paraId="37B04A7F" w14:textId="77777777" w:rsidR="00A876F3" w:rsidRPr="0088780C" w:rsidRDefault="00A876F3" w:rsidP="00963E7B">
      <w:pPr>
        <w:suppressLineNumbers/>
        <w:suppressAutoHyphens/>
        <w:kinsoku w:val="0"/>
        <w:overflowPunct w:val="0"/>
        <w:autoSpaceDE w:val="0"/>
        <w:autoSpaceDN w:val="0"/>
        <w:jc w:val="center"/>
        <w:rPr>
          <w:b/>
          <w:snapToGrid w:val="0"/>
          <w:kern w:val="22"/>
          <w:szCs w:val="22"/>
        </w:rPr>
      </w:pPr>
      <w:r w:rsidRPr="0088780C">
        <w:rPr>
          <w:b/>
          <w:snapToGrid w:val="0"/>
          <w:kern w:val="22"/>
          <w:szCs w:val="22"/>
        </w:rPr>
        <w:t>Figure 4. Observation stations in the pre-estuarine area</w:t>
      </w:r>
    </w:p>
    <w:p w14:paraId="46B7C55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3196116"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lang w:eastAsia="ru-RU"/>
        </w:rPr>
      </w:pPr>
      <w:r w:rsidRPr="0088780C">
        <w:rPr>
          <w:rFonts w:eastAsia="MS Mincho"/>
          <w:b/>
          <w:noProof/>
          <w:snapToGrid w:val="0"/>
          <w:kern w:val="22"/>
          <w:szCs w:val="22"/>
          <w:lang w:eastAsia="zh-CN"/>
        </w:rPr>
        <w:drawing>
          <wp:inline distT="0" distB="0" distL="0" distR="0" wp14:anchorId="583BD458" wp14:editId="0A4E0EF9">
            <wp:extent cx="5676900" cy="2912110"/>
            <wp:effectExtent l="0" t="0" r="0" b="2540"/>
            <wp:docPr id="4147" name="Рисунок 2" descr="УК бассей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УК бассейн 1.jpg"/>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676900" cy="2912110"/>
                    </a:xfrm>
                    <a:prstGeom prst="rect">
                      <a:avLst/>
                    </a:prstGeom>
                    <a:noFill/>
                    <a:ln>
                      <a:noFill/>
                    </a:ln>
                  </pic:spPr>
                </pic:pic>
              </a:graphicData>
            </a:graphic>
          </wp:inline>
        </w:drawing>
      </w:r>
    </w:p>
    <w:p w14:paraId="4FAE51D2" w14:textId="77777777" w:rsidR="00A876F3" w:rsidRPr="0088780C" w:rsidRDefault="00A876F3" w:rsidP="00963E7B">
      <w:pPr>
        <w:suppressLineNumbers/>
        <w:suppressAutoHyphens/>
        <w:kinsoku w:val="0"/>
        <w:overflowPunct w:val="0"/>
        <w:autoSpaceDE w:val="0"/>
        <w:autoSpaceDN w:val="0"/>
        <w:ind w:left="180"/>
        <w:jc w:val="left"/>
        <w:rPr>
          <w:b/>
          <w:snapToGrid w:val="0"/>
          <w:kern w:val="22"/>
          <w:szCs w:val="22"/>
        </w:rPr>
      </w:pPr>
      <w:r w:rsidRPr="0088780C">
        <w:rPr>
          <w:b/>
          <w:snapToGrid w:val="0"/>
          <w:kern w:val="22"/>
          <w:szCs w:val="22"/>
        </w:rPr>
        <w:t>Figure 5. Map-scheme of the area with the designation of a restricted area for fishing and fishing areas in the river and sea</w:t>
      </w:r>
    </w:p>
    <w:p w14:paraId="6D85D468"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lang w:eastAsia="ru-RU"/>
        </w:rPr>
      </w:pPr>
    </w:p>
    <w:p w14:paraId="423281EF"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lang w:eastAsia="ru-RU"/>
        </w:rPr>
      </w:pPr>
      <w:r w:rsidRPr="0088780C">
        <w:rPr>
          <w:rFonts w:eastAsia="MS Mincho"/>
          <w:noProof/>
          <w:snapToGrid w:val="0"/>
          <w:kern w:val="22"/>
          <w:szCs w:val="22"/>
          <w:lang w:eastAsia="zh-CN"/>
        </w:rPr>
        <w:drawing>
          <wp:inline distT="0" distB="0" distL="0" distR="0" wp14:anchorId="6FA11DE7" wp14:editId="130510A5">
            <wp:extent cx="6085205" cy="2171700"/>
            <wp:effectExtent l="0" t="0" r="0" b="0"/>
            <wp:docPr id="4148" name="Picture 4148" descr="Untitled-2 Копиров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2 Копировать"/>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085205" cy="2171700"/>
                    </a:xfrm>
                    <a:prstGeom prst="rect">
                      <a:avLst/>
                    </a:prstGeom>
                    <a:noFill/>
                    <a:ln>
                      <a:noFill/>
                    </a:ln>
                  </pic:spPr>
                </pic:pic>
              </a:graphicData>
            </a:graphic>
          </wp:inline>
        </w:drawing>
      </w:r>
    </w:p>
    <w:p w14:paraId="1C02FC65" w14:textId="0146B66A" w:rsidR="00A876F3" w:rsidRPr="0088780C" w:rsidRDefault="00A876F3" w:rsidP="00963E7B">
      <w:pPr>
        <w:suppressLineNumbers/>
        <w:suppressAutoHyphens/>
        <w:kinsoku w:val="0"/>
        <w:overflowPunct w:val="0"/>
        <w:autoSpaceDE w:val="0"/>
        <w:autoSpaceDN w:val="0"/>
        <w:rPr>
          <w:snapToGrid w:val="0"/>
          <w:kern w:val="22"/>
          <w:szCs w:val="22"/>
        </w:rPr>
      </w:pPr>
      <w:r w:rsidRPr="0088780C">
        <w:rPr>
          <w:b/>
          <w:snapToGrid w:val="0"/>
          <w:kern w:val="22"/>
          <w:szCs w:val="22"/>
        </w:rPr>
        <w:t>Figure 6. Map of distribution of commercial fish in quarter 47 of the northern part of the Caspian Sea in autumn 2015</w:t>
      </w:r>
      <w:r w:rsidRPr="0088780C">
        <w:rPr>
          <w:snapToGrid w:val="0"/>
          <w:kern w:val="22"/>
          <w:szCs w:val="22"/>
        </w:rPr>
        <w:br w:type="page"/>
      </w:r>
    </w:p>
    <w:p w14:paraId="39995D13" w14:textId="77777777" w:rsidR="00A876F3" w:rsidRPr="0088780C" w:rsidRDefault="00A876F3" w:rsidP="001013AF">
      <w:pPr>
        <w:suppressLineNumbers/>
        <w:suppressAutoHyphens/>
        <w:kinsoku w:val="0"/>
        <w:overflowPunct w:val="0"/>
        <w:autoSpaceDE w:val="0"/>
        <w:autoSpaceDN w:val="0"/>
        <w:adjustRightInd w:val="0"/>
        <w:rPr>
          <w:b/>
          <w:bCs/>
          <w:snapToGrid w:val="0"/>
          <w:kern w:val="22"/>
          <w:szCs w:val="22"/>
        </w:rPr>
      </w:pPr>
      <w:r w:rsidRPr="0088780C">
        <w:rPr>
          <w:b/>
          <w:bCs/>
          <w:snapToGrid w:val="0"/>
          <w:kern w:val="22"/>
          <w:szCs w:val="22"/>
        </w:rPr>
        <w:t>Table 1. Average hydrological parameters in the  area in the spring of 2016</w:t>
      </w:r>
    </w:p>
    <w:p w14:paraId="4B946616"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tbl>
      <w:tblPr>
        <w:tblW w:w="0" w:type="auto"/>
        <w:jc w:val="center"/>
        <w:tblLayout w:type="fixed"/>
        <w:tblLook w:val="0000" w:firstRow="0" w:lastRow="0" w:firstColumn="0" w:lastColumn="0" w:noHBand="0" w:noVBand="0"/>
      </w:tblPr>
      <w:tblGrid>
        <w:gridCol w:w="2970"/>
        <w:gridCol w:w="2164"/>
        <w:gridCol w:w="2165"/>
        <w:gridCol w:w="2253"/>
      </w:tblGrid>
      <w:tr w:rsidR="00A876F3" w:rsidRPr="0088780C" w14:paraId="7E648417" w14:textId="77777777" w:rsidTr="00963E7B">
        <w:trPr>
          <w:jc w:val="center"/>
        </w:trPr>
        <w:tc>
          <w:tcPr>
            <w:tcW w:w="2970" w:type="dxa"/>
            <w:tcBorders>
              <w:top w:val="single" w:sz="3" w:space="0" w:color="000000"/>
              <w:left w:val="single" w:sz="3" w:space="0" w:color="000000"/>
              <w:bottom w:val="single" w:sz="3" w:space="0" w:color="000000"/>
              <w:right w:val="single" w:sz="3" w:space="0" w:color="000000"/>
            </w:tcBorders>
            <w:shd w:val="clear" w:color="000000" w:fill="FFFFFF"/>
          </w:tcPr>
          <w:p w14:paraId="171D3F13"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i/>
                <w:iCs/>
                <w:snapToGrid w:val="0"/>
                <w:kern w:val="22"/>
                <w:lang w:val="en-GB"/>
              </w:rPr>
            </w:pPr>
            <w:r w:rsidRPr="0088780C">
              <w:rPr>
                <w:rFonts w:ascii="Times New Roman" w:hAnsi="Times New Roman"/>
                <w:i/>
                <w:iCs/>
                <w:snapToGrid w:val="0"/>
                <w:kern w:val="22"/>
                <w:lang w:val="en-GB"/>
              </w:rPr>
              <w:t>Quarter</w:t>
            </w:r>
          </w:p>
        </w:tc>
        <w:tc>
          <w:tcPr>
            <w:tcW w:w="2164" w:type="dxa"/>
            <w:tcBorders>
              <w:top w:val="single" w:sz="3" w:space="0" w:color="000000"/>
              <w:left w:val="single" w:sz="3" w:space="0" w:color="000000"/>
              <w:bottom w:val="single" w:sz="3" w:space="0" w:color="000000"/>
              <w:right w:val="single" w:sz="3" w:space="0" w:color="000000"/>
            </w:tcBorders>
            <w:shd w:val="clear" w:color="000000" w:fill="FFFFFF"/>
          </w:tcPr>
          <w:p w14:paraId="580970A7"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i/>
                <w:iCs/>
                <w:snapToGrid w:val="0"/>
                <w:kern w:val="22"/>
                <w:lang w:val="en-GB"/>
              </w:rPr>
            </w:pPr>
            <w:r w:rsidRPr="0088780C">
              <w:rPr>
                <w:rFonts w:ascii="Times New Roman" w:hAnsi="Times New Roman"/>
                <w:i/>
                <w:iCs/>
                <w:snapToGrid w:val="0"/>
                <w:kern w:val="22"/>
                <w:lang w:val="en-GB"/>
              </w:rPr>
              <w:t xml:space="preserve">Т, </w:t>
            </w:r>
            <w:r w:rsidRPr="0088780C">
              <w:rPr>
                <w:rFonts w:ascii="Times New Roman" w:hAnsi="Times New Roman"/>
                <w:i/>
                <w:iCs/>
                <w:snapToGrid w:val="0"/>
                <w:kern w:val="22"/>
                <w:vertAlign w:val="superscript"/>
                <w:lang w:val="en-GB"/>
              </w:rPr>
              <w:t>о</w:t>
            </w:r>
            <w:r w:rsidRPr="0088780C">
              <w:rPr>
                <w:rFonts w:ascii="Times New Roman" w:hAnsi="Times New Roman"/>
                <w:i/>
                <w:iCs/>
                <w:snapToGrid w:val="0"/>
                <w:kern w:val="22"/>
                <w:lang w:val="en-GB"/>
              </w:rPr>
              <w:t>С</w:t>
            </w:r>
          </w:p>
        </w:tc>
        <w:tc>
          <w:tcPr>
            <w:tcW w:w="2165" w:type="dxa"/>
            <w:tcBorders>
              <w:top w:val="single" w:sz="3" w:space="0" w:color="000000"/>
              <w:left w:val="single" w:sz="3" w:space="0" w:color="000000"/>
              <w:bottom w:val="single" w:sz="3" w:space="0" w:color="000000"/>
              <w:right w:val="single" w:sz="3" w:space="0" w:color="000000"/>
            </w:tcBorders>
            <w:shd w:val="clear" w:color="000000" w:fill="FFFFFF"/>
          </w:tcPr>
          <w:p w14:paraId="7D338BB5"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i/>
                <w:iCs/>
                <w:snapToGrid w:val="0"/>
                <w:kern w:val="22"/>
                <w:lang w:val="en-GB"/>
              </w:rPr>
            </w:pPr>
            <w:r w:rsidRPr="0088780C">
              <w:rPr>
                <w:rFonts w:ascii="Times New Roman" w:hAnsi="Times New Roman"/>
                <w:i/>
                <w:iCs/>
                <w:snapToGrid w:val="0"/>
                <w:kern w:val="22"/>
                <w:lang w:val="en-GB"/>
              </w:rPr>
              <w:t>Depth, m</w:t>
            </w:r>
          </w:p>
        </w:tc>
        <w:tc>
          <w:tcPr>
            <w:tcW w:w="2253" w:type="dxa"/>
            <w:tcBorders>
              <w:top w:val="single" w:sz="3" w:space="0" w:color="000000"/>
              <w:left w:val="single" w:sz="3" w:space="0" w:color="000000"/>
              <w:bottom w:val="single" w:sz="3" w:space="0" w:color="000000"/>
              <w:right w:val="single" w:sz="3" w:space="0" w:color="000000"/>
            </w:tcBorders>
            <w:shd w:val="clear" w:color="000000" w:fill="FFFFFF"/>
          </w:tcPr>
          <w:p w14:paraId="3D83A52D"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i/>
                <w:iCs/>
                <w:snapToGrid w:val="0"/>
                <w:kern w:val="22"/>
                <w:lang w:val="en-GB"/>
              </w:rPr>
            </w:pPr>
            <w:r w:rsidRPr="0088780C">
              <w:rPr>
                <w:rStyle w:val="alt-edited"/>
                <w:rFonts w:ascii="Times New Roman" w:hAnsi="Times New Roman"/>
                <w:i/>
                <w:iCs/>
                <w:snapToGrid w:val="0"/>
                <w:kern w:val="22"/>
                <w:lang w:val="en-GB"/>
              </w:rPr>
              <w:t>Water transparency, m</w:t>
            </w:r>
          </w:p>
        </w:tc>
      </w:tr>
      <w:tr w:rsidR="00A876F3" w:rsidRPr="0088780C" w14:paraId="5D837B19" w14:textId="77777777" w:rsidTr="006972AD">
        <w:trPr>
          <w:trHeight w:val="1"/>
          <w:jc w:val="center"/>
        </w:trPr>
        <w:tc>
          <w:tcPr>
            <w:tcW w:w="2970" w:type="dxa"/>
            <w:tcBorders>
              <w:top w:val="single" w:sz="3" w:space="0" w:color="000000"/>
              <w:left w:val="single" w:sz="3" w:space="0" w:color="000000"/>
              <w:bottom w:val="single" w:sz="3" w:space="0" w:color="000000"/>
              <w:right w:val="single" w:sz="3" w:space="0" w:color="000000"/>
            </w:tcBorders>
            <w:shd w:val="clear" w:color="000000" w:fill="FFFFFF"/>
          </w:tcPr>
          <w:p w14:paraId="712C50E7"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8</w:t>
            </w:r>
          </w:p>
        </w:tc>
        <w:tc>
          <w:tcPr>
            <w:tcW w:w="2164" w:type="dxa"/>
            <w:tcBorders>
              <w:top w:val="single" w:sz="3" w:space="0" w:color="000000"/>
              <w:left w:val="single" w:sz="3" w:space="0" w:color="000000"/>
              <w:bottom w:val="single" w:sz="3" w:space="0" w:color="000000"/>
              <w:right w:val="single" w:sz="3" w:space="0" w:color="000000"/>
            </w:tcBorders>
            <w:shd w:val="clear" w:color="000000" w:fill="FFFFFF"/>
          </w:tcPr>
          <w:p w14:paraId="4C289325"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22,8</w:t>
            </w:r>
          </w:p>
        </w:tc>
        <w:tc>
          <w:tcPr>
            <w:tcW w:w="2165" w:type="dxa"/>
            <w:tcBorders>
              <w:top w:val="single" w:sz="3" w:space="0" w:color="000000"/>
              <w:left w:val="single" w:sz="3" w:space="0" w:color="000000"/>
              <w:bottom w:val="single" w:sz="3" w:space="0" w:color="000000"/>
              <w:right w:val="single" w:sz="3" w:space="0" w:color="000000"/>
            </w:tcBorders>
            <w:shd w:val="clear" w:color="000000" w:fill="FFFFFF"/>
          </w:tcPr>
          <w:p w14:paraId="4BA1DB91"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1,3</w:t>
            </w:r>
          </w:p>
        </w:tc>
        <w:tc>
          <w:tcPr>
            <w:tcW w:w="2253" w:type="dxa"/>
            <w:tcBorders>
              <w:top w:val="single" w:sz="3" w:space="0" w:color="000000"/>
              <w:left w:val="single" w:sz="3" w:space="0" w:color="000000"/>
              <w:bottom w:val="single" w:sz="3" w:space="0" w:color="000000"/>
              <w:right w:val="single" w:sz="3" w:space="0" w:color="000000"/>
            </w:tcBorders>
            <w:shd w:val="clear" w:color="000000" w:fill="FFFFFF"/>
          </w:tcPr>
          <w:p w14:paraId="1B711D73"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0,2</w:t>
            </w:r>
          </w:p>
        </w:tc>
      </w:tr>
      <w:tr w:rsidR="00A876F3" w:rsidRPr="0088780C" w14:paraId="78BDF39F" w14:textId="77777777" w:rsidTr="006972AD">
        <w:trPr>
          <w:trHeight w:val="1"/>
          <w:jc w:val="center"/>
        </w:trPr>
        <w:tc>
          <w:tcPr>
            <w:tcW w:w="2970" w:type="dxa"/>
            <w:tcBorders>
              <w:top w:val="single" w:sz="3" w:space="0" w:color="000000"/>
              <w:left w:val="single" w:sz="3" w:space="0" w:color="000000"/>
              <w:bottom w:val="single" w:sz="3" w:space="0" w:color="000000"/>
              <w:right w:val="single" w:sz="3" w:space="0" w:color="000000"/>
            </w:tcBorders>
            <w:shd w:val="clear" w:color="000000" w:fill="FFFFFF"/>
          </w:tcPr>
          <w:p w14:paraId="18166260"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12</w:t>
            </w:r>
          </w:p>
        </w:tc>
        <w:tc>
          <w:tcPr>
            <w:tcW w:w="2164" w:type="dxa"/>
            <w:tcBorders>
              <w:top w:val="single" w:sz="3" w:space="0" w:color="000000"/>
              <w:left w:val="single" w:sz="3" w:space="0" w:color="000000"/>
              <w:bottom w:val="single" w:sz="3" w:space="0" w:color="000000"/>
              <w:right w:val="single" w:sz="3" w:space="0" w:color="000000"/>
            </w:tcBorders>
            <w:shd w:val="clear" w:color="000000" w:fill="FFFFFF"/>
          </w:tcPr>
          <w:p w14:paraId="2DC8ACC1"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20,4</w:t>
            </w:r>
          </w:p>
        </w:tc>
        <w:tc>
          <w:tcPr>
            <w:tcW w:w="2165" w:type="dxa"/>
            <w:tcBorders>
              <w:top w:val="single" w:sz="3" w:space="0" w:color="000000"/>
              <w:left w:val="single" w:sz="3" w:space="0" w:color="000000"/>
              <w:bottom w:val="single" w:sz="3" w:space="0" w:color="000000"/>
              <w:right w:val="single" w:sz="3" w:space="0" w:color="000000"/>
            </w:tcBorders>
            <w:shd w:val="clear" w:color="000000" w:fill="FFFFFF"/>
          </w:tcPr>
          <w:p w14:paraId="06984494"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3,7</w:t>
            </w:r>
          </w:p>
        </w:tc>
        <w:tc>
          <w:tcPr>
            <w:tcW w:w="2253" w:type="dxa"/>
            <w:tcBorders>
              <w:top w:val="single" w:sz="3" w:space="0" w:color="000000"/>
              <w:left w:val="single" w:sz="3" w:space="0" w:color="000000"/>
              <w:bottom w:val="single" w:sz="3" w:space="0" w:color="000000"/>
              <w:right w:val="single" w:sz="3" w:space="0" w:color="000000"/>
            </w:tcBorders>
            <w:shd w:val="clear" w:color="000000" w:fill="FFFFFF"/>
          </w:tcPr>
          <w:p w14:paraId="1A8B9ACA"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0,12</w:t>
            </w:r>
          </w:p>
        </w:tc>
      </w:tr>
      <w:tr w:rsidR="00A876F3" w:rsidRPr="0088780C" w14:paraId="3538D702" w14:textId="77777777" w:rsidTr="006972AD">
        <w:trPr>
          <w:trHeight w:val="1"/>
          <w:jc w:val="center"/>
        </w:trPr>
        <w:tc>
          <w:tcPr>
            <w:tcW w:w="2970" w:type="dxa"/>
            <w:tcBorders>
              <w:top w:val="single" w:sz="3" w:space="0" w:color="000000"/>
              <w:left w:val="single" w:sz="3" w:space="0" w:color="000000"/>
              <w:bottom w:val="single" w:sz="3" w:space="0" w:color="000000"/>
              <w:right w:val="single" w:sz="3" w:space="0" w:color="000000"/>
            </w:tcBorders>
            <w:shd w:val="clear" w:color="000000" w:fill="FFFFFF"/>
          </w:tcPr>
          <w:p w14:paraId="2A381C77"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21</w:t>
            </w:r>
          </w:p>
        </w:tc>
        <w:tc>
          <w:tcPr>
            <w:tcW w:w="2164" w:type="dxa"/>
            <w:tcBorders>
              <w:top w:val="single" w:sz="3" w:space="0" w:color="000000"/>
              <w:left w:val="single" w:sz="3" w:space="0" w:color="000000"/>
              <w:bottom w:val="single" w:sz="3" w:space="0" w:color="000000"/>
              <w:right w:val="single" w:sz="3" w:space="0" w:color="000000"/>
            </w:tcBorders>
            <w:shd w:val="clear" w:color="000000" w:fill="FFFFFF"/>
          </w:tcPr>
          <w:p w14:paraId="45A8C4E4"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22,8</w:t>
            </w:r>
          </w:p>
        </w:tc>
        <w:tc>
          <w:tcPr>
            <w:tcW w:w="2165" w:type="dxa"/>
            <w:tcBorders>
              <w:top w:val="single" w:sz="3" w:space="0" w:color="000000"/>
              <w:left w:val="single" w:sz="3" w:space="0" w:color="000000"/>
              <w:bottom w:val="single" w:sz="3" w:space="0" w:color="000000"/>
              <w:right w:val="single" w:sz="3" w:space="0" w:color="000000"/>
            </w:tcBorders>
            <w:shd w:val="clear" w:color="000000" w:fill="FFFFFF"/>
          </w:tcPr>
          <w:p w14:paraId="7696397D"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3,0</w:t>
            </w:r>
          </w:p>
        </w:tc>
        <w:tc>
          <w:tcPr>
            <w:tcW w:w="2253" w:type="dxa"/>
            <w:tcBorders>
              <w:top w:val="single" w:sz="3" w:space="0" w:color="000000"/>
              <w:left w:val="single" w:sz="3" w:space="0" w:color="000000"/>
              <w:bottom w:val="single" w:sz="3" w:space="0" w:color="000000"/>
              <w:right w:val="single" w:sz="3" w:space="0" w:color="000000"/>
            </w:tcBorders>
            <w:shd w:val="clear" w:color="000000" w:fill="FFFFFF"/>
          </w:tcPr>
          <w:p w14:paraId="7C28685E"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0,4</w:t>
            </w:r>
          </w:p>
        </w:tc>
      </w:tr>
      <w:tr w:rsidR="00A876F3" w:rsidRPr="0088780C" w14:paraId="30F32104" w14:textId="77777777" w:rsidTr="006972AD">
        <w:trPr>
          <w:trHeight w:val="1"/>
          <w:jc w:val="center"/>
        </w:trPr>
        <w:tc>
          <w:tcPr>
            <w:tcW w:w="2970" w:type="dxa"/>
            <w:tcBorders>
              <w:top w:val="single" w:sz="3" w:space="0" w:color="000000"/>
              <w:left w:val="single" w:sz="3" w:space="0" w:color="000000"/>
              <w:bottom w:val="single" w:sz="3" w:space="0" w:color="000000"/>
              <w:right w:val="single" w:sz="3" w:space="0" w:color="000000"/>
            </w:tcBorders>
            <w:shd w:val="clear" w:color="000000" w:fill="FFFFFF"/>
          </w:tcPr>
          <w:p w14:paraId="609D411D"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23</w:t>
            </w:r>
          </w:p>
        </w:tc>
        <w:tc>
          <w:tcPr>
            <w:tcW w:w="2164" w:type="dxa"/>
            <w:tcBorders>
              <w:top w:val="single" w:sz="3" w:space="0" w:color="000000"/>
              <w:left w:val="single" w:sz="3" w:space="0" w:color="000000"/>
              <w:bottom w:val="single" w:sz="3" w:space="0" w:color="000000"/>
              <w:right w:val="single" w:sz="3" w:space="0" w:color="000000"/>
            </w:tcBorders>
            <w:shd w:val="clear" w:color="000000" w:fill="FFFFFF"/>
          </w:tcPr>
          <w:p w14:paraId="0BD7EA21"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24</w:t>
            </w:r>
          </w:p>
        </w:tc>
        <w:tc>
          <w:tcPr>
            <w:tcW w:w="2165" w:type="dxa"/>
            <w:tcBorders>
              <w:top w:val="single" w:sz="3" w:space="0" w:color="000000"/>
              <w:left w:val="single" w:sz="3" w:space="0" w:color="000000"/>
              <w:bottom w:val="single" w:sz="3" w:space="0" w:color="000000"/>
              <w:right w:val="single" w:sz="3" w:space="0" w:color="000000"/>
            </w:tcBorders>
            <w:shd w:val="clear" w:color="000000" w:fill="FFFFFF"/>
          </w:tcPr>
          <w:p w14:paraId="753D9960"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4,7</w:t>
            </w:r>
          </w:p>
        </w:tc>
        <w:tc>
          <w:tcPr>
            <w:tcW w:w="2253" w:type="dxa"/>
            <w:tcBorders>
              <w:top w:val="single" w:sz="3" w:space="0" w:color="000000"/>
              <w:left w:val="single" w:sz="3" w:space="0" w:color="000000"/>
              <w:bottom w:val="single" w:sz="3" w:space="0" w:color="000000"/>
              <w:right w:val="single" w:sz="3" w:space="0" w:color="000000"/>
            </w:tcBorders>
            <w:shd w:val="clear" w:color="000000" w:fill="FFFFFF"/>
          </w:tcPr>
          <w:p w14:paraId="5731EA37"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0,6</w:t>
            </w:r>
          </w:p>
        </w:tc>
      </w:tr>
      <w:tr w:rsidR="00A876F3" w:rsidRPr="0088780C" w14:paraId="28BF7533" w14:textId="77777777" w:rsidTr="006972AD">
        <w:trPr>
          <w:trHeight w:val="1"/>
          <w:jc w:val="center"/>
        </w:trPr>
        <w:tc>
          <w:tcPr>
            <w:tcW w:w="2970" w:type="dxa"/>
            <w:tcBorders>
              <w:top w:val="single" w:sz="3" w:space="0" w:color="000000"/>
              <w:left w:val="single" w:sz="3" w:space="0" w:color="000000"/>
              <w:bottom w:val="single" w:sz="3" w:space="0" w:color="000000"/>
              <w:right w:val="single" w:sz="3" w:space="0" w:color="000000"/>
            </w:tcBorders>
            <w:shd w:val="clear" w:color="000000" w:fill="FFFFFF"/>
          </w:tcPr>
          <w:p w14:paraId="7A46528B"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25</w:t>
            </w:r>
          </w:p>
        </w:tc>
        <w:tc>
          <w:tcPr>
            <w:tcW w:w="2164" w:type="dxa"/>
            <w:tcBorders>
              <w:top w:val="single" w:sz="3" w:space="0" w:color="000000"/>
              <w:left w:val="single" w:sz="3" w:space="0" w:color="000000"/>
              <w:bottom w:val="single" w:sz="3" w:space="0" w:color="000000"/>
              <w:right w:val="single" w:sz="3" w:space="0" w:color="000000"/>
            </w:tcBorders>
            <w:shd w:val="clear" w:color="000000" w:fill="FFFFFF"/>
          </w:tcPr>
          <w:p w14:paraId="76D99242"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21,5</w:t>
            </w:r>
          </w:p>
        </w:tc>
        <w:tc>
          <w:tcPr>
            <w:tcW w:w="2165" w:type="dxa"/>
            <w:tcBorders>
              <w:top w:val="single" w:sz="3" w:space="0" w:color="000000"/>
              <w:left w:val="single" w:sz="3" w:space="0" w:color="000000"/>
              <w:bottom w:val="single" w:sz="3" w:space="0" w:color="000000"/>
              <w:right w:val="single" w:sz="3" w:space="0" w:color="000000"/>
            </w:tcBorders>
            <w:shd w:val="clear" w:color="000000" w:fill="FFFFFF"/>
          </w:tcPr>
          <w:p w14:paraId="13CCE03F"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2,7</w:t>
            </w:r>
          </w:p>
        </w:tc>
        <w:tc>
          <w:tcPr>
            <w:tcW w:w="2253" w:type="dxa"/>
            <w:tcBorders>
              <w:top w:val="single" w:sz="3" w:space="0" w:color="000000"/>
              <w:left w:val="single" w:sz="3" w:space="0" w:color="000000"/>
              <w:bottom w:val="single" w:sz="3" w:space="0" w:color="000000"/>
              <w:right w:val="single" w:sz="3" w:space="0" w:color="000000"/>
            </w:tcBorders>
            <w:shd w:val="clear" w:color="000000" w:fill="FFFFFF"/>
          </w:tcPr>
          <w:p w14:paraId="35C38483"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1,5</w:t>
            </w:r>
          </w:p>
        </w:tc>
      </w:tr>
      <w:tr w:rsidR="00A876F3" w:rsidRPr="0088780C" w14:paraId="1DF105A4" w14:textId="77777777" w:rsidTr="006972AD">
        <w:trPr>
          <w:trHeight w:val="1"/>
          <w:jc w:val="center"/>
        </w:trPr>
        <w:tc>
          <w:tcPr>
            <w:tcW w:w="2970" w:type="dxa"/>
            <w:tcBorders>
              <w:top w:val="single" w:sz="3" w:space="0" w:color="000000"/>
              <w:left w:val="single" w:sz="3" w:space="0" w:color="000000"/>
              <w:bottom w:val="single" w:sz="3" w:space="0" w:color="000000"/>
              <w:right w:val="single" w:sz="3" w:space="0" w:color="000000"/>
            </w:tcBorders>
            <w:shd w:val="clear" w:color="000000" w:fill="FFFFFF"/>
          </w:tcPr>
          <w:p w14:paraId="53FFF6AC"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27</w:t>
            </w:r>
          </w:p>
        </w:tc>
        <w:tc>
          <w:tcPr>
            <w:tcW w:w="2164" w:type="dxa"/>
            <w:tcBorders>
              <w:top w:val="single" w:sz="3" w:space="0" w:color="000000"/>
              <w:left w:val="single" w:sz="3" w:space="0" w:color="000000"/>
              <w:bottom w:val="single" w:sz="3" w:space="0" w:color="000000"/>
              <w:right w:val="single" w:sz="3" w:space="0" w:color="000000"/>
            </w:tcBorders>
            <w:shd w:val="clear" w:color="000000" w:fill="FFFFFF"/>
          </w:tcPr>
          <w:p w14:paraId="1DA719D3"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24,5</w:t>
            </w:r>
          </w:p>
        </w:tc>
        <w:tc>
          <w:tcPr>
            <w:tcW w:w="2165" w:type="dxa"/>
            <w:tcBorders>
              <w:top w:val="single" w:sz="3" w:space="0" w:color="000000"/>
              <w:left w:val="single" w:sz="3" w:space="0" w:color="000000"/>
              <w:bottom w:val="single" w:sz="3" w:space="0" w:color="000000"/>
              <w:right w:val="single" w:sz="3" w:space="0" w:color="000000"/>
            </w:tcBorders>
            <w:shd w:val="clear" w:color="000000" w:fill="FFFFFF"/>
          </w:tcPr>
          <w:p w14:paraId="2E96785D"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1,5</w:t>
            </w:r>
          </w:p>
        </w:tc>
        <w:tc>
          <w:tcPr>
            <w:tcW w:w="2253" w:type="dxa"/>
            <w:tcBorders>
              <w:top w:val="single" w:sz="3" w:space="0" w:color="000000"/>
              <w:left w:val="single" w:sz="3" w:space="0" w:color="000000"/>
              <w:bottom w:val="single" w:sz="3" w:space="0" w:color="000000"/>
              <w:right w:val="single" w:sz="3" w:space="0" w:color="000000"/>
            </w:tcBorders>
            <w:shd w:val="clear" w:color="000000" w:fill="FFFFFF"/>
          </w:tcPr>
          <w:p w14:paraId="5D9450EA"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0,3</w:t>
            </w:r>
          </w:p>
        </w:tc>
      </w:tr>
      <w:tr w:rsidR="00A876F3" w:rsidRPr="0088780C" w14:paraId="5FAF2E80" w14:textId="77777777" w:rsidTr="006972AD">
        <w:trPr>
          <w:trHeight w:val="1"/>
          <w:jc w:val="center"/>
        </w:trPr>
        <w:tc>
          <w:tcPr>
            <w:tcW w:w="2970" w:type="dxa"/>
            <w:tcBorders>
              <w:top w:val="single" w:sz="3" w:space="0" w:color="000000"/>
              <w:left w:val="single" w:sz="3" w:space="0" w:color="000000"/>
              <w:bottom w:val="single" w:sz="3" w:space="0" w:color="000000"/>
              <w:right w:val="single" w:sz="3" w:space="0" w:color="000000"/>
            </w:tcBorders>
            <w:shd w:val="clear" w:color="000000" w:fill="FFFFFF"/>
          </w:tcPr>
          <w:p w14:paraId="427215E2"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41</w:t>
            </w:r>
          </w:p>
        </w:tc>
        <w:tc>
          <w:tcPr>
            <w:tcW w:w="2164" w:type="dxa"/>
            <w:tcBorders>
              <w:top w:val="single" w:sz="3" w:space="0" w:color="000000"/>
              <w:left w:val="single" w:sz="3" w:space="0" w:color="000000"/>
              <w:bottom w:val="single" w:sz="3" w:space="0" w:color="000000"/>
              <w:right w:val="single" w:sz="3" w:space="0" w:color="000000"/>
            </w:tcBorders>
            <w:shd w:val="clear" w:color="000000" w:fill="FFFFFF"/>
          </w:tcPr>
          <w:p w14:paraId="2DBE4682"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22,1</w:t>
            </w:r>
          </w:p>
        </w:tc>
        <w:tc>
          <w:tcPr>
            <w:tcW w:w="2165" w:type="dxa"/>
            <w:tcBorders>
              <w:top w:val="single" w:sz="3" w:space="0" w:color="000000"/>
              <w:left w:val="single" w:sz="3" w:space="0" w:color="000000"/>
              <w:bottom w:val="single" w:sz="3" w:space="0" w:color="000000"/>
              <w:right w:val="single" w:sz="3" w:space="0" w:color="000000"/>
            </w:tcBorders>
            <w:shd w:val="clear" w:color="000000" w:fill="FFFFFF"/>
          </w:tcPr>
          <w:p w14:paraId="77A3C709"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3,4</w:t>
            </w:r>
          </w:p>
        </w:tc>
        <w:tc>
          <w:tcPr>
            <w:tcW w:w="2253" w:type="dxa"/>
            <w:tcBorders>
              <w:top w:val="single" w:sz="3" w:space="0" w:color="000000"/>
              <w:left w:val="single" w:sz="3" w:space="0" w:color="000000"/>
              <w:bottom w:val="single" w:sz="3" w:space="0" w:color="000000"/>
              <w:right w:val="single" w:sz="3" w:space="0" w:color="000000"/>
            </w:tcBorders>
            <w:shd w:val="clear" w:color="000000" w:fill="FFFFFF"/>
          </w:tcPr>
          <w:p w14:paraId="61178DFE"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0,35</w:t>
            </w:r>
          </w:p>
        </w:tc>
      </w:tr>
      <w:tr w:rsidR="00A876F3" w:rsidRPr="0088780C" w14:paraId="47B68818" w14:textId="77777777" w:rsidTr="006972AD">
        <w:trPr>
          <w:trHeight w:val="1"/>
          <w:jc w:val="center"/>
        </w:trPr>
        <w:tc>
          <w:tcPr>
            <w:tcW w:w="2970" w:type="dxa"/>
            <w:tcBorders>
              <w:top w:val="single" w:sz="3" w:space="0" w:color="000000"/>
              <w:left w:val="single" w:sz="3" w:space="0" w:color="000000"/>
              <w:bottom w:val="single" w:sz="3" w:space="0" w:color="000000"/>
              <w:right w:val="single" w:sz="3" w:space="0" w:color="000000"/>
            </w:tcBorders>
            <w:shd w:val="clear" w:color="000000" w:fill="FFFFFF"/>
          </w:tcPr>
          <w:p w14:paraId="5E97CD8C"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43</w:t>
            </w:r>
          </w:p>
        </w:tc>
        <w:tc>
          <w:tcPr>
            <w:tcW w:w="2164" w:type="dxa"/>
            <w:tcBorders>
              <w:top w:val="single" w:sz="3" w:space="0" w:color="000000"/>
              <w:left w:val="single" w:sz="3" w:space="0" w:color="000000"/>
              <w:bottom w:val="single" w:sz="3" w:space="0" w:color="000000"/>
              <w:right w:val="single" w:sz="3" w:space="0" w:color="000000"/>
            </w:tcBorders>
            <w:shd w:val="clear" w:color="000000" w:fill="FFFFFF"/>
          </w:tcPr>
          <w:p w14:paraId="00B56707"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23</w:t>
            </w:r>
          </w:p>
        </w:tc>
        <w:tc>
          <w:tcPr>
            <w:tcW w:w="2165" w:type="dxa"/>
            <w:tcBorders>
              <w:top w:val="single" w:sz="3" w:space="0" w:color="000000"/>
              <w:left w:val="single" w:sz="3" w:space="0" w:color="000000"/>
              <w:bottom w:val="single" w:sz="3" w:space="0" w:color="000000"/>
              <w:right w:val="single" w:sz="3" w:space="0" w:color="000000"/>
            </w:tcBorders>
            <w:shd w:val="clear" w:color="000000" w:fill="FFFFFF"/>
          </w:tcPr>
          <w:p w14:paraId="4A3E31FD"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3,5</w:t>
            </w:r>
          </w:p>
        </w:tc>
        <w:tc>
          <w:tcPr>
            <w:tcW w:w="2253" w:type="dxa"/>
            <w:tcBorders>
              <w:top w:val="single" w:sz="3" w:space="0" w:color="000000"/>
              <w:left w:val="single" w:sz="3" w:space="0" w:color="000000"/>
              <w:bottom w:val="single" w:sz="3" w:space="0" w:color="000000"/>
              <w:right w:val="single" w:sz="3" w:space="0" w:color="000000"/>
            </w:tcBorders>
            <w:shd w:val="clear" w:color="000000" w:fill="FFFFFF"/>
          </w:tcPr>
          <w:p w14:paraId="4F108476"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0,5</w:t>
            </w:r>
          </w:p>
        </w:tc>
      </w:tr>
      <w:tr w:rsidR="00A876F3" w:rsidRPr="0088780C" w14:paraId="79A00E59" w14:textId="77777777" w:rsidTr="006972AD">
        <w:trPr>
          <w:trHeight w:val="1"/>
          <w:jc w:val="center"/>
        </w:trPr>
        <w:tc>
          <w:tcPr>
            <w:tcW w:w="2970" w:type="dxa"/>
            <w:tcBorders>
              <w:top w:val="single" w:sz="3" w:space="0" w:color="000000"/>
              <w:left w:val="single" w:sz="3" w:space="0" w:color="000000"/>
              <w:bottom w:val="single" w:sz="3" w:space="0" w:color="000000"/>
              <w:right w:val="single" w:sz="3" w:space="0" w:color="000000"/>
            </w:tcBorders>
            <w:shd w:val="clear" w:color="000000" w:fill="FFFFFF"/>
          </w:tcPr>
          <w:p w14:paraId="408FE9C5"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Average</w:t>
            </w:r>
          </w:p>
        </w:tc>
        <w:tc>
          <w:tcPr>
            <w:tcW w:w="2164" w:type="dxa"/>
            <w:tcBorders>
              <w:top w:val="single" w:sz="3" w:space="0" w:color="000000"/>
              <w:left w:val="single" w:sz="3" w:space="0" w:color="000000"/>
              <w:bottom w:val="single" w:sz="3" w:space="0" w:color="000000"/>
              <w:right w:val="single" w:sz="3" w:space="0" w:color="000000"/>
            </w:tcBorders>
            <w:shd w:val="clear" w:color="000000" w:fill="FFFFFF"/>
          </w:tcPr>
          <w:p w14:paraId="6C07F75E"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22,6</w:t>
            </w:r>
          </w:p>
        </w:tc>
        <w:tc>
          <w:tcPr>
            <w:tcW w:w="2165" w:type="dxa"/>
            <w:tcBorders>
              <w:top w:val="single" w:sz="3" w:space="0" w:color="000000"/>
              <w:left w:val="single" w:sz="3" w:space="0" w:color="000000"/>
              <w:bottom w:val="single" w:sz="3" w:space="0" w:color="000000"/>
              <w:right w:val="single" w:sz="3" w:space="0" w:color="000000"/>
            </w:tcBorders>
            <w:shd w:val="clear" w:color="000000" w:fill="FFFFFF"/>
          </w:tcPr>
          <w:p w14:paraId="08A9B1F6"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2,97</w:t>
            </w:r>
          </w:p>
        </w:tc>
        <w:tc>
          <w:tcPr>
            <w:tcW w:w="2253" w:type="dxa"/>
            <w:tcBorders>
              <w:top w:val="single" w:sz="3" w:space="0" w:color="000000"/>
              <w:left w:val="single" w:sz="3" w:space="0" w:color="000000"/>
              <w:bottom w:val="single" w:sz="3" w:space="0" w:color="000000"/>
              <w:right w:val="single" w:sz="3" w:space="0" w:color="000000"/>
            </w:tcBorders>
            <w:shd w:val="clear" w:color="000000" w:fill="FFFFFF"/>
          </w:tcPr>
          <w:p w14:paraId="711CD18D" w14:textId="77777777" w:rsidR="00A876F3" w:rsidRPr="0088780C" w:rsidRDefault="00A876F3" w:rsidP="001013AF">
            <w:pPr>
              <w:pStyle w:val="NoSpacing"/>
              <w:suppressLineNumbers/>
              <w:suppressAutoHyphens/>
              <w:kinsoku w:val="0"/>
              <w:overflowPunct w:val="0"/>
              <w:autoSpaceDE w:val="0"/>
              <w:autoSpaceDN w:val="0"/>
              <w:jc w:val="center"/>
              <w:rPr>
                <w:rFonts w:ascii="Times New Roman" w:hAnsi="Times New Roman"/>
                <w:snapToGrid w:val="0"/>
                <w:kern w:val="22"/>
                <w:lang w:val="en-GB"/>
              </w:rPr>
            </w:pPr>
            <w:r w:rsidRPr="0088780C">
              <w:rPr>
                <w:rFonts w:ascii="Times New Roman" w:hAnsi="Times New Roman"/>
                <w:snapToGrid w:val="0"/>
                <w:kern w:val="22"/>
                <w:lang w:val="en-GB"/>
              </w:rPr>
              <w:t>0,49</w:t>
            </w:r>
          </w:p>
        </w:tc>
      </w:tr>
    </w:tbl>
    <w:p w14:paraId="0C535D8D"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7538AF61" w14:textId="77777777" w:rsidR="00A876F3" w:rsidRPr="0088780C" w:rsidRDefault="00A876F3" w:rsidP="001013AF">
      <w:pPr>
        <w:suppressLineNumbers/>
        <w:suppressAutoHyphens/>
        <w:kinsoku w:val="0"/>
        <w:overflowPunct w:val="0"/>
        <w:autoSpaceDE w:val="0"/>
        <w:autoSpaceDN w:val="0"/>
        <w:rPr>
          <w:bCs/>
          <w:snapToGrid w:val="0"/>
          <w:kern w:val="22"/>
          <w:szCs w:val="22"/>
        </w:rPr>
      </w:pPr>
    </w:p>
    <w:p w14:paraId="1AAD0F2E" w14:textId="77777777" w:rsidR="00A876F3" w:rsidRPr="0088780C" w:rsidRDefault="00A876F3" w:rsidP="00EF0BA2">
      <w:pPr>
        <w:suppressLineNumbers/>
        <w:suppressAutoHyphens/>
        <w:kinsoku w:val="0"/>
        <w:overflowPunct w:val="0"/>
        <w:autoSpaceDE w:val="0"/>
        <w:autoSpaceDN w:val="0"/>
        <w:ind w:left="810"/>
        <w:rPr>
          <w:rFonts w:eastAsia="MS Mincho"/>
          <w:b/>
          <w:bCs/>
          <w:snapToGrid w:val="0"/>
          <w:kern w:val="22"/>
          <w:szCs w:val="22"/>
        </w:rPr>
      </w:pPr>
      <w:r w:rsidRPr="0088780C">
        <w:rPr>
          <w:b/>
          <w:bCs/>
          <w:snapToGrid w:val="0"/>
          <w:kern w:val="22"/>
          <w:szCs w:val="22"/>
        </w:rPr>
        <w:t>Table 2. Fishing gear in the coastal part of the northern Caspian Sea</w:t>
      </w:r>
    </w:p>
    <w:p w14:paraId="7C2C23C3"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tbl>
      <w:tblPr>
        <w:tblW w:w="4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4"/>
        <w:gridCol w:w="1377"/>
        <w:gridCol w:w="1602"/>
        <w:gridCol w:w="1888"/>
        <w:gridCol w:w="1744"/>
      </w:tblGrid>
      <w:tr w:rsidR="00A876F3" w:rsidRPr="0088780C" w14:paraId="418BD51D" w14:textId="77777777" w:rsidTr="006972AD">
        <w:trPr>
          <w:jc w:val="center"/>
        </w:trPr>
        <w:tc>
          <w:tcPr>
            <w:tcW w:w="704" w:type="pct"/>
          </w:tcPr>
          <w:p w14:paraId="4464D7B1" w14:textId="77777777" w:rsidR="00A876F3" w:rsidRPr="0088780C" w:rsidRDefault="00A876F3" w:rsidP="001013AF">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Years</w:t>
            </w:r>
          </w:p>
        </w:tc>
        <w:tc>
          <w:tcPr>
            <w:tcW w:w="895" w:type="pct"/>
          </w:tcPr>
          <w:p w14:paraId="6BB371D9" w14:textId="77777777" w:rsidR="00A876F3" w:rsidRPr="0088780C" w:rsidRDefault="00A876F3" w:rsidP="001013AF">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Fishers</w:t>
            </w:r>
          </w:p>
        </w:tc>
        <w:tc>
          <w:tcPr>
            <w:tcW w:w="1041" w:type="pct"/>
          </w:tcPr>
          <w:p w14:paraId="5E2375C9" w14:textId="77777777" w:rsidR="00A876F3" w:rsidRPr="0088780C" w:rsidRDefault="00A876F3" w:rsidP="001013AF">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Nets</w:t>
            </w:r>
          </w:p>
        </w:tc>
        <w:tc>
          <w:tcPr>
            <w:tcW w:w="1227" w:type="pct"/>
          </w:tcPr>
          <w:p w14:paraId="116A85DA" w14:textId="77777777" w:rsidR="00A876F3" w:rsidRPr="0088780C" w:rsidRDefault="00A876F3" w:rsidP="001013AF">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Venters</w:t>
            </w:r>
          </w:p>
        </w:tc>
        <w:tc>
          <w:tcPr>
            <w:tcW w:w="1133" w:type="pct"/>
          </w:tcPr>
          <w:p w14:paraId="3E9DA9E7" w14:textId="4C17FA75" w:rsidR="00A876F3" w:rsidRPr="0088780C" w:rsidRDefault="00EF0BA2" w:rsidP="001013AF">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Fish catch</w:t>
            </w:r>
            <w:r w:rsidR="00A876F3" w:rsidRPr="0088780C">
              <w:rPr>
                <w:i/>
                <w:iCs/>
                <w:snapToGrid w:val="0"/>
                <w:kern w:val="22"/>
                <w:szCs w:val="22"/>
              </w:rPr>
              <w:t xml:space="preserve"> </w:t>
            </w:r>
            <w:r w:rsidRPr="0088780C">
              <w:rPr>
                <w:i/>
                <w:iCs/>
                <w:snapToGrid w:val="0"/>
                <w:kern w:val="22"/>
                <w:szCs w:val="22"/>
              </w:rPr>
              <w:t>(</w:t>
            </w:r>
            <w:r w:rsidR="00A876F3" w:rsidRPr="0088780C">
              <w:rPr>
                <w:i/>
                <w:iCs/>
                <w:snapToGrid w:val="0"/>
                <w:kern w:val="22"/>
                <w:szCs w:val="22"/>
              </w:rPr>
              <w:t>tons</w:t>
            </w:r>
            <w:r w:rsidRPr="0088780C">
              <w:rPr>
                <w:i/>
                <w:iCs/>
                <w:snapToGrid w:val="0"/>
                <w:kern w:val="22"/>
                <w:szCs w:val="22"/>
              </w:rPr>
              <w:t>)</w:t>
            </w:r>
          </w:p>
        </w:tc>
      </w:tr>
      <w:tr w:rsidR="00A876F3" w:rsidRPr="0088780C" w14:paraId="745EA76F" w14:textId="77777777" w:rsidTr="006972AD">
        <w:trPr>
          <w:jc w:val="center"/>
        </w:trPr>
        <w:tc>
          <w:tcPr>
            <w:tcW w:w="704" w:type="pct"/>
          </w:tcPr>
          <w:p w14:paraId="2C7B9D57"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2007</w:t>
            </w:r>
          </w:p>
        </w:tc>
        <w:tc>
          <w:tcPr>
            <w:tcW w:w="895" w:type="pct"/>
          </w:tcPr>
          <w:p w14:paraId="1D4FEA59" w14:textId="77777777" w:rsidR="00A876F3" w:rsidRPr="0088780C" w:rsidRDefault="00A876F3" w:rsidP="001013AF">
            <w:pPr>
              <w:suppressLineNumbers/>
              <w:tabs>
                <w:tab w:val="left" w:pos="570"/>
                <w:tab w:val="center" w:pos="999"/>
              </w:tabs>
              <w:suppressAutoHyphens/>
              <w:kinsoku w:val="0"/>
              <w:overflowPunct w:val="0"/>
              <w:autoSpaceDE w:val="0"/>
              <w:autoSpaceDN w:val="0"/>
              <w:jc w:val="center"/>
              <w:rPr>
                <w:snapToGrid w:val="0"/>
                <w:kern w:val="22"/>
                <w:szCs w:val="22"/>
              </w:rPr>
            </w:pPr>
            <w:r w:rsidRPr="0088780C">
              <w:rPr>
                <w:snapToGrid w:val="0"/>
                <w:kern w:val="22"/>
                <w:szCs w:val="22"/>
              </w:rPr>
              <w:t>406</w:t>
            </w:r>
          </w:p>
        </w:tc>
        <w:tc>
          <w:tcPr>
            <w:tcW w:w="1041" w:type="pct"/>
          </w:tcPr>
          <w:p w14:paraId="1DDE26B6"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3070</w:t>
            </w:r>
          </w:p>
        </w:tc>
        <w:tc>
          <w:tcPr>
            <w:tcW w:w="1227" w:type="pct"/>
          </w:tcPr>
          <w:p w14:paraId="6E7FC771"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700</w:t>
            </w:r>
          </w:p>
        </w:tc>
        <w:tc>
          <w:tcPr>
            <w:tcW w:w="1133" w:type="pct"/>
          </w:tcPr>
          <w:p w14:paraId="37132426"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bCs/>
                <w:snapToGrid w:val="0"/>
                <w:kern w:val="22"/>
                <w:szCs w:val="22"/>
              </w:rPr>
              <w:t>2758,81</w:t>
            </w:r>
          </w:p>
        </w:tc>
      </w:tr>
      <w:tr w:rsidR="00A876F3" w:rsidRPr="0088780C" w14:paraId="687BBE5D" w14:textId="77777777" w:rsidTr="006972AD">
        <w:trPr>
          <w:jc w:val="center"/>
        </w:trPr>
        <w:tc>
          <w:tcPr>
            <w:tcW w:w="704" w:type="pct"/>
          </w:tcPr>
          <w:p w14:paraId="6E4A4129"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2008</w:t>
            </w:r>
          </w:p>
        </w:tc>
        <w:tc>
          <w:tcPr>
            <w:tcW w:w="895" w:type="pct"/>
          </w:tcPr>
          <w:p w14:paraId="31B2BB34"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304</w:t>
            </w:r>
          </w:p>
        </w:tc>
        <w:tc>
          <w:tcPr>
            <w:tcW w:w="1041" w:type="pct"/>
          </w:tcPr>
          <w:p w14:paraId="30C496BA"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2764</w:t>
            </w:r>
          </w:p>
        </w:tc>
        <w:tc>
          <w:tcPr>
            <w:tcW w:w="1227" w:type="pct"/>
          </w:tcPr>
          <w:p w14:paraId="00D73970"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1270</w:t>
            </w:r>
          </w:p>
        </w:tc>
        <w:tc>
          <w:tcPr>
            <w:tcW w:w="1133" w:type="pct"/>
          </w:tcPr>
          <w:p w14:paraId="5BC32553"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bCs/>
                <w:snapToGrid w:val="0"/>
                <w:kern w:val="22"/>
                <w:szCs w:val="22"/>
              </w:rPr>
              <w:t>4645,49</w:t>
            </w:r>
          </w:p>
        </w:tc>
      </w:tr>
      <w:tr w:rsidR="00A876F3" w:rsidRPr="0088780C" w14:paraId="60DCBEE3" w14:textId="77777777" w:rsidTr="006972AD">
        <w:trPr>
          <w:trHeight w:val="255"/>
          <w:jc w:val="center"/>
        </w:trPr>
        <w:tc>
          <w:tcPr>
            <w:tcW w:w="704" w:type="pct"/>
          </w:tcPr>
          <w:p w14:paraId="6E42D996"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2009</w:t>
            </w:r>
          </w:p>
        </w:tc>
        <w:tc>
          <w:tcPr>
            <w:tcW w:w="895" w:type="pct"/>
          </w:tcPr>
          <w:p w14:paraId="15A24D99"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298</w:t>
            </w:r>
          </w:p>
        </w:tc>
        <w:tc>
          <w:tcPr>
            <w:tcW w:w="1041" w:type="pct"/>
          </w:tcPr>
          <w:p w14:paraId="0E87B509"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2755</w:t>
            </w:r>
          </w:p>
        </w:tc>
        <w:tc>
          <w:tcPr>
            <w:tcW w:w="1227" w:type="pct"/>
          </w:tcPr>
          <w:p w14:paraId="0738D491"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1268</w:t>
            </w:r>
          </w:p>
        </w:tc>
        <w:tc>
          <w:tcPr>
            <w:tcW w:w="1133" w:type="pct"/>
          </w:tcPr>
          <w:p w14:paraId="2A3F7E4B"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bCs/>
                <w:snapToGrid w:val="0"/>
                <w:kern w:val="22"/>
                <w:szCs w:val="22"/>
              </w:rPr>
              <w:t>1265,861</w:t>
            </w:r>
          </w:p>
        </w:tc>
      </w:tr>
      <w:tr w:rsidR="00A876F3" w:rsidRPr="0088780C" w14:paraId="37CA0126" w14:textId="77777777" w:rsidTr="006972AD">
        <w:trPr>
          <w:jc w:val="center"/>
        </w:trPr>
        <w:tc>
          <w:tcPr>
            <w:tcW w:w="704" w:type="pct"/>
          </w:tcPr>
          <w:p w14:paraId="0F93FAC9"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2010</w:t>
            </w:r>
          </w:p>
        </w:tc>
        <w:tc>
          <w:tcPr>
            <w:tcW w:w="895" w:type="pct"/>
          </w:tcPr>
          <w:p w14:paraId="3B08AF36"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688</w:t>
            </w:r>
          </w:p>
        </w:tc>
        <w:tc>
          <w:tcPr>
            <w:tcW w:w="1041" w:type="pct"/>
          </w:tcPr>
          <w:p w14:paraId="57367B50"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3524</w:t>
            </w:r>
          </w:p>
        </w:tc>
        <w:tc>
          <w:tcPr>
            <w:tcW w:w="1227" w:type="pct"/>
          </w:tcPr>
          <w:p w14:paraId="60259DF4"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19874</w:t>
            </w:r>
          </w:p>
        </w:tc>
        <w:tc>
          <w:tcPr>
            <w:tcW w:w="1133" w:type="pct"/>
          </w:tcPr>
          <w:p w14:paraId="1E297714"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bCs/>
                <w:snapToGrid w:val="0"/>
                <w:kern w:val="22"/>
                <w:szCs w:val="22"/>
              </w:rPr>
              <w:t>14449,70</w:t>
            </w:r>
          </w:p>
        </w:tc>
      </w:tr>
      <w:tr w:rsidR="00A876F3" w:rsidRPr="0088780C" w14:paraId="216A07CF" w14:textId="77777777" w:rsidTr="006972AD">
        <w:trPr>
          <w:jc w:val="center"/>
        </w:trPr>
        <w:tc>
          <w:tcPr>
            <w:tcW w:w="704" w:type="pct"/>
          </w:tcPr>
          <w:p w14:paraId="5B9AE233"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2011</w:t>
            </w:r>
          </w:p>
        </w:tc>
        <w:tc>
          <w:tcPr>
            <w:tcW w:w="895" w:type="pct"/>
          </w:tcPr>
          <w:p w14:paraId="5FE49EBC"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780</w:t>
            </w:r>
          </w:p>
        </w:tc>
        <w:tc>
          <w:tcPr>
            <w:tcW w:w="1041" w:type="pct"/>
          </w:tcPr>
          <w:p w14:paraId="60AA74D3"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4016</w:t>
            </w:r>
          </w:p>
        </w:tc>
        <w:tc>
          <w:tcPr>
            <w:tcW w:w="1227" w:type="pct"/>
          </w:tcPr>
          <w:p w14:paraId="0650BD64"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2479</w:t>
            </w:r>
          </w:p>
        </w:tc>
        <w:tc>
          <w:tcPr>
            <w:tcW w:w="1133" w:type="pct"/>
          </w:tcPr>
          <w:p w14:paraId="627E46AB"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5154,179</w:t>
            </w:r>
          </w:p>
        </w:tc>
      </w:tr>
      <w:tr w:rsidR="00A876F3" w:rsidRPr="0088780C" w14:paraId="6281F10F" w14:textId="77777777" w:rsidTr="006972AD">
        <w:trPr>
          <w:jc w:val="center"/>
        </w:trPr>
        <w:tc>
          <w:tcPr>
            <w:tcW w:w="704" w:type="pct"/>
          </w:tcPr>
          <w:p w14:paraId="7BBA4312"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2012</w:t>
            </w:r>
          </w:p>
        </w:tc>
        <w:tc>
          <w:tcPr>
            <w:tcW w:w="895" w:type="pct"/>
          </w:tcPr>
          <w:p w14:paraId="33AC168E"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646</w:t>
            </w:r>
          </w:p>
        </w:tc>
        <w:tc>
          <w:tcPr>
            <w:tcW w:w="1041" w:type="pct"/>
          </w:tcPr>
          <w:p w14:paraId="6BEA19BA"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2012</w:t>
            </w:r>
          </w:p>
        </w:tc>
        <w:tc>
          <w:tcPr>
            <w:tcW w:w="1227" w:type="pct"/>
          </w:tcPr>
          <w:p w14:paraId="0EE9F41A"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6473</w:t>
            </w:r>
          </w:p>
        </w:tc>
        <w:tc>
          <w:tcPr>
            <w:tcW w:w="1133" w:type="pct"/>
          </w:tcPr>
          <w:p w14:paraId="404642EA"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5911,455</w:t>
            </w:r>
          </w:p>
        </w:tc>
      </w:tr>
      <w:tr w:rsidR="00A876F3" w:rsidRPr="0088780C" w14:paraId="03660A9E" w14:textId="77777777" w:rsidTr="006972AD">
        <w:trPr>
          <w:jc w:val="center"/>
        </w:trPr>
        <w:tc>
          <w:tcPr>
            <w:tcW w:w="704" w:type="pct"/>
          </w:tcPr>
          <w:p w14:paraId="2E09B56D"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 xml:space="preserve">2013 </w:t>
            </w:r>
          </w:p>
        </w:tc>
        <w:tc>
          <w:tcPr>
            <w:tcW w:w="895" w:type="pct"/>
          </w:tcPr>
          <w:p w14:paraId="4581DC6E"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1102</w:t>
            </w:r>
          </w:p>
        </w:tc>
        <w:tc>
          <w:tcPr>
            <w:tcW w:w="1041" w:type="pct"/>
          </w:tcPr>
          <w:p w14:paraId="21F24CE4"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27 926</w:t>
            </w:r>
          </w:p>
        </w:tc>
        <w:tc>
          <w:tcPr>
            <w:tcW w:w="1227" w:type="pct"/>
          </w:tcPr>
          <w:p w14:paraId="677C9401"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18 784</w:t>
            </w:r>
          </w:p>
        </w:tc>
        <w:tc>
          <w:tcPr>
            <w:tcW w:w="1133" w:type="pct"/>
          </w:tcPr>
          <w:p w14:paraId="3146C7A6"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6585,846</w:t>
            </w:r>
          </w:p>
        </w:tc>
      </w:tr>
      <w:tr w:rsidR="00A876F3" w:rsidRPr="0088780C" w14:paraId="2CB4048B" w14:textId="77777777" w:rsidTr="006972AD">
        <w:trPr>
          <w:jc w:val="center"/>
        </w:trPr>
        <w:tc>
          <w:tcPr>
            <w:tcW w:w="704" w:type="pct"/>
          </w:tcPr>
          <w:p w14:paraId="7CB204AB"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2014</w:t>
            </w:r>
          </w:p>
        </w:tc>
        <w:tc>
          <w:tcPr>
            <w:tcW w:w="895" w:type="pct"/>
          </w:tcPr>
          <w:p w14:paraId="546A19F1"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1996</w:t>
            </w:r>
          </w:p>
        </w:tc>
        <w:tc>
          <w:tcPr>
            <w:tcW w:w="1041" w:type="pct"/>
          </w:tcPr>
          <w:p w14:paraId="05721C47"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14 773</w:t>
            </w:r>
          </w:p>
        </w:tc>
        <w:tc>
          <w:tcPr>
            <w:tcW w:w="1227" w:type="pct"/>
          </w:tcPr>
          <w:p w14:paraId="05B38E96"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13771</w:t>
            </w:r>
          </w:p>
        </w:tc>
        <w:tc>
          <w:tcPr>
            <w:tcW w:w="1133" w:type="pct"/>
          </w:tcPr>
          <w:p w14:paraId="5471CC36"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bCs/>
                <w:snapToGrid w:val="0"/>
                <w:kern w:val="22"/>
                <w:szCs w:val="22"/>
              </w:rPr>
              <w:t>2537,095</w:t>
            </w:r>
          </w:p>
        </w:tc>
      </w:tr>
      <w:tr w:rsidR="00A876F3" w:rsidRPr="0088780C" w14:paraId="45C4600D" w14:textId="77777777" w:rsidTr="006972AD">
        <w:trPr>
          <w:jc w:val="center"/>
        </w:trPr>
        <w:tc>
          <w:tcPr>
            <w:tcW w:w="704" w:type="pct"/>
          </w:tcPr>
          <w:p w14:paraId="111F0292"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2015</w:t>
            </w:r>
          </w:p>
        </w:tc>
        <w:tc>
          <w:tcPr>
            <w:tcW w:w="895" w:type="pct"/>
          </w:tcPr>
          <w:p w14:paraId="6DB245BF"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1734</w:t>
            </w:r>
          </w:p>
        </w:tc>
        <w:tc>
          <w:tcPr>
            <w:tcW w:w="1041" w:type="pct"/>
          </w:tcPr>
          <w:p w14:paraId="6B2A9EC1"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7940</w:t>
            </w:r>
          </w:p>
        </w:tc>
        <w:tc>
          <w:tcPr>
            <w:tcW w:w="1227" w:type="pct"/>
          </w:tcPr>
          <w:p w14:paraId="5D194161"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5601</w:t>
            </w:r>
          </w:p>
        </w:tc>
        <w:tc>
          <w:tcPr>
            <w:tcW w:w="1133" w:type="pct"/>
          </w:tcPr>
          <w:p w14:paraId="2CEE1C67"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bCs/>
                <w:snapToGrid w:val="0"/>
                <w:color w:val="000000"/>
                <w:kern w:val="22"/>
                <w:szCs w:val="22"/>
              </w:rPr>
              <w:t>4067,329</w:t>
            </w:r>
          </w:p>
        </w:tc>
      </w:tr>
    </w:tbl>
    <w:p w14:paraId="19A5BB40"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60D48A4"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6A86C8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snapToGrid w:val="0"/>
          <w:kern w:val="22"/>
          <w:szCs w:val="22"/>
        </w:rPr>
        <w:br w:type="page"/>
      </w:r>
    </w:p>
    <w:p w14:paraId="46578228" w14:textId="29797A35"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19: Komsomol Bay</w:t>
      </w:r>
    </w:p>
    <w:p w14:paraId="26290496"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p>
    <w:p w14:paraId="0EA1AFFC" w14:textId="3F017266" w:rsidR="00A876F3" w:rsidRPr="0088780C" w:rsidRDefault="00EF0BA2"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Abstract</w:t>
      </w:r>
    </w:p>
    <w:p w14:paraId="6BE90094" w14:textId="3AC84775"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Caspian seal (</w:t>
      </w:r>
      <w:r w:rsidRPr="0088780C">
        <w:rPr>
          <w:i/>
          <w:snapToGrid w:val="0"/>
          <w:kern w:val="22"/>
          <w:szCs w:val="22"/>
        </w:rPr>
        <w:t>Phoca caspica</w:t>
      </w:r>
      <w:r w:rsidRPr="0088780C">
        <w:rPr>
          <w:snapToGrid w:val="0"/>
          <w:kern w:val="22"/>
          <w:szCs w:val="22"/>
        </w:rPr>
        <w:t xml:space="preserve">, Gmelin, 1788), an endemic, transboundary species, is the only mammal inhabiting the Caspian Sea. In 2008, IUCN changed the status of the Caspian seal from </w:t>
      </w:r>
      <w:r w:rsidR="00D8482D" w:rsidRPr="0088780C">
        <w:rPr>
          <w:snapToGrid w:val="0"/>
          <w:kern w:val="22"/>
          <w:szCs w:val="22"/>
        </w:rPr>
        <w:t>“</w:t>
      </w:r>
      <w:r w:rsidRPr="0088780C">
        <w:rPr>
          <w:snapToGrid w:val="0"/>
          <w:kern w:val="22"/>
          <w:szCs w:val="22"/>
        </w:rPr>
        <w:t>vulnerable</w:t>
      </w:r>
      <w:r w:rsidR="00D8482D" w:rsidRPr="0088780C">
        <w:rPr>
          <w:snapToGrid w:val="0"/>
          <w:kern w:val="22"/>
          <w:szCs w:val="22"/>
        </w:rPr>
        <w:t>”</w:t>
      </w:r>
      <w:r w:rsidRPr="0088780C">
        <w:rPr>
          <w:snapToGrid w:val="0"/>
          <w:kern w:val="22"/>
          <w:szCs w:val="22"/>
        </w:rPr>
        <w:t xml:space="preserve"> to </w:t>
      </w:r>
      <w:r w:rsidR="00D8482D" w:rsidRPr="0088780C">
        <w:rPr>
          <w:snapToGrid w:val="0"/>
          <w:kern w:val="22"/>
          <w:szCs w:val="22"/>
        </w:rPr>
        <w:t>“</w:t>
      </w:r>
      <w:r w:rsidRPr="0088780C">
        <w:rPr>
          <w:snapToGrid w:val="0"/>
          <w:kern w:val="22"/>
          <w:szCs w:val="22"/>
        </w:rPr>
        <w:t>endangered</w:t>
      </w:r>
      <w:r w:rsidR="00D8482D" w:rsidRPr="0088780C">
        <w:rPr>
          <w:snapToGrid w:val="0"/>
          <w:kern w:val="22"/>
          <w:szCs w:val="22"/>
        </w:rPr>
        <w:t>”</w:t>
      </w:r>
      <w:r w:rsidRPr="0088780C">
        <w:rPr>
          <w:snapToGrid w:val="0"/>
          <w:kern w:val="22"/>
          <w:szCs w:val="22"/>
        </w:rPr>
        <w:t>. The results of research on the distribution, abundance and structure of the population of the Caspian seal show that the rookeries on the Durnev islands are important for the conserv</w:t>
      </w:r>
      <w:r w:rsidR="00EF0BA2" w:rsidRPr="0088780C">
        <w:rPr>
          <w:snapToGrid w:val="0"/>
          <w:kern w:val="22"/>
          <w:szCs w:val="22"/>
        </w:rPr>
        <w:t>ation of the population.</w:t>
      </w:r>
    </w:p>
    <w:p w14:paraId="64C82A2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E05BB5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Location</w:t>
      </w:r>
    </w:p>
    <w:p w14:paraId="6CF1A42B" w14:textId="306A1BE3" w:rsidR="00A876F3" w:rsidRPr="0088780C" w:rsidRDefault="00A876F3" w:rsidP="001013AF">
      <w:pPr>
        <w:suppressLineNumbers/>
        <w:suppressAutoHyphens/>
        <w:kinsoku w:val="0"/>
        <w:overflowPunct w:val="0"/>
        <w:autoSpaceDE w:val="0"/>
        <w:autoSpaceDN w:val="0"/>
        <w:rPr>
          <w:bCs/>
          <w:snapToGrid w:val="0"/>
          <w:kern w:val="22"/>
          <w:szCs w:val="22"/>
          <w:lang w:eastAsia="ru-RU"/>
        </w:rPr>
      </w:pPr>
      <w:r w:rsidRPr="0088780C">
        <w:rPr>
          <w:snapToGrid w:val="0"/>
          <w:kern w:val="22"/>
          <w:szCs w:val="22"/>
        </w:rPr>
        <w:t>Komsomol Bay, including the islands of Durnev, is located to the west of the Dead Kultuk Bay in the northeastern Caspian Sea (45 degrees 38 minutes north latitude, 52 degrees 35 minutes east longitude).</w:t>
      </w:r>
    </w:p>
    <w:p w14:paraId="0D33E742" w14:textId="77777777" w:rsidR="00A876F3" w:rsidRPr="0088780C" w:rsidRDefault="00A876F3" w:rsidP="001013AF">
      <w:pPr>
        <w:suppressLineNumbers/>
        <w:suppressAutoHyphens/>
        <w:kinsoku w:val="0"/>
        <w:overflowPunct w:val="0"/>
        <w:autoSpaceDE w:val="0"/>
        <w:autoSpaceDN w:val="0"/>
        <w:rPr>
          <w:bCs/>
          <w:snapToGrid w:val="0"/>
          <w:kern w:val="22"/>
          <w:szCs w:val="22"/>
          <w:lang w:eastAsia="ru-RU"/>
        </w:rPr>
      </w:pPr>
    </w:p>
    <w:p w14:paraId="1B3B762B"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Introduction</w:t>
      </w:r>
    </w:p>
    <w:p w14:paraId="53310305"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habitat of the Caspian seal (</w:t>
      </w:r>
      <w:r w:rsidRPr="0088780C">
        <w:rPr>
          <w:i/>
          <w:snapToGrid w:val="0"/>
          <w:kern w:val="22"/>
          <w:szCs w:val="22"/>
        </w:rPr>
        <w:t>Phoca caspica</w:t>
      </w:r>
      <w:r w:rsidRPr="0088780C">
        <w:rPr>
          <w:snapToGrid w:val="0"/>
          <w:kern w:val="22"/>
          <w:szCs w:val="22"/>
        </w:rPr>
        <w:t>) is limited exclusively to the Caspian Sea. Based on its morphological structure and physico-geographical conditions, the Caspian Sea is divided into three parts: the northern, middle and southern parts. A conditional border between the northern and middle parts of the Caspian is usually taken by the line connecting Chechnya Island to Tyub-Karagan, and between the middle and southern parts of the Caspian Sea, the Zhulyaya-Kuuli line, within western and eastern areas of the northern part of the Caspian Sea,. Beyond the border of their division the line is taken from Fr. Novinsky on the conventional point with coordinates 45° 41 'N And 50° 07'E, further on to Kulaly and then from the southern extremity of.Kulaly to the peninsula of Dolgiy (1).</w:t>
      </w:r>
    </w:p>
    <w:p w14:paraId="1A4DC7E3"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4FA069D" w14:textId="3CC2191D"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Between the western and eastern regions of the northern part of the Caspian, the border is shallow, going towards Novinsky Island—the archipelago of the Seal Islands. The greatest depths within this shoal do not exceed 3.6-3.8</w:t>
      </w:r>
      <w:r w:rsidR="00EF0BA2" w:rsidRPr="0088780C">
        <w:rPr>
          <w:snapToGrid w:val="0"/>
          <w:kern w:val="22"/>
          <w:szCs w:val="22"/>
        </w:rPr>
        <w:t xml:space="preserve"> m. With a total area of </w:t>
      </w:r>
      <w:r w:rsidRPr="0088780C">
        <w:rPr>
          <w:snapToGrid w:val="0"/>
          <w:kern w:val="22"/>
          <w:szCs w:val="22"/>
        </w:rPr>
        <w:t>the northern part of the Caspian Sea, equal to 91 942 km</w:t>
      </w:r>
      <w:r w:rsidRPr="0088780C">
        <w:rPr>
          <w:snapToGrid w:val="0"/>
          <w:kern w:val="22"/>
          <w:szCs w:val="22"/>
          <w:vertAlign w:val="superscript"/>
        </w:rPr>
        <w:t>2</w:t>
      </w:r>
      <w:r w:rsidR="00EF0BA2" w:rsidRPr="0088780C">
        <w:rPr>
          <w:snapToGrid w:val="0"/>
          <w:kern w:val="22"/>
          <w:szCs w:val="22"/>
        </w:rPr>
        <w:t xml:space="preserve">, the area of </w:t>
      </w:r>
      <w:r w:rsidRPr="0088780C">
        <w:rPr>
          <w:snapToGrid w:val="0"/>
          <w:kern w:val="22"/>
          <w:szCs w:val="22"/>
        </w:rPr>
        <w:t>its water surface is 90,129 km</w:t>
      </w:r>
      <w:r w:rsidRPr="0088780C">
        <w:rPr>
          <w:snapToGrid w:val="0"/>
          <w:kern w:val="22"/>
          <w:szCs w:val="22"/>
          <w:vertAlign w:val="superscript"/>
        </w:rPr>
        <w:t>2</w:t>
      </w:r>
      <w:r w:rsidRPr="0088780C">
        <w:rPr>
          <w:snapToGrid w:val="0"/>
          <w:kern w:val="22"/>
          <w:szCs w:val="22"/>
        </w:rPr>
        <w:t>. The share of the northern part of the sea accounts for more than 24.3% of the total area of the sea.</w:t>
      </w:r>
    </w:p>
    <w:p w14:paraId="76DC82E2"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4960DBE" w14:textId="261F79DC"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Most of the area (68%) of the northern regions of the Caspian Sea has depths less than 5 m. The most significant areas are the zones with depths from 0 to 1 m (20.2%) and from 3 to 4 m (14.1%). The proportion of the zone with depths exceeding 10 m is 9.8%. In the north-western part of the  Caspian Sea, depths of up to 5 m occupy a smaller area than in the eastern part (28,471 and 32,830 km</w:t>
      </w:r>
      <w:r w:rsidRPr="0088780C">
        <w:rPr>
          <w:snapToGrid w:val="0"/>
          <w:kern w:val="22"/>
          <w:szCs w:val="22"/>
          <w:vertAlign w:val="superscript"/>
        </w:rPr>
        <w:t>2</w:t>
      </w:r>
      <w:r w:rsidRPr="0088780C">
        <w:rPr>
          <w:snapToGrid w:val="0"/>
          <w:kern w:val="22"/>
          <w:szCs w:val="22"/>
        </w:rPr>
        <w:t>). The eastern region is shallower than the western</w:t>
      </w:r>
      <w:r w:rsidR="00EF0BA2" w:rsidRPr="0088780C">
        <w:rPr>
          <w:snapToGrid w:val="0"/>
          <w:kern w:val="22"/>
          <w:szCs w:val="22"/>
        </w:rPr>
        <w:t xml:space="preserve"> </w:t>
      </w:r>
      <w:r w:rsidRPr="0088780C">
        <w:rPr>
          <w:snapToGrid w:val="0"/>
          <w:kern w:val="22"/>
          <w:szCs w:val="22"/>
        </w:rPr>
        <w:t>—</w:t>
      </w:r>
      <w:r w:rsidR="00EF0BA2" w:rsidRPr="0088780C">
        <w:rPr>
          <w:snapToGrid w:val="0"/>
          <w:kern w:val="22"/>
          <w:szCs w:val="22"/>
        </w:rPr>
        <w:t xml:space="preserve"> </w:t>
      </w:r>
      <w:r w:rsidRPr="0088780C">
        <w:rPr>
          <w:snapToGrid w:val="0"/>
          <w:kern w:val="22"/>
          <w:szCs w:val="22"/>
        </w:rPr>
        <w:t>its average depth is 3.3 m, and the maximum is 9.0 m (1).</w:t>
      </w:r>
    </w:p>
    <w:p w14:paraId="0B99EC65"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B0EA547" w14:textId="3C5E08C3"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results of satellite tagging show that the habitats of the Caspian seal include al</w:t>
      </w:r>
      <w:r w:rsidR="00EF0BA2" w:rsidRPr="0088780C">
        <w:rPr>
          <w:snapToGrid w:val="0"/>
          <w:kern w:val="22"/>
          <w:szCs w:val="22"/>
        </w:rPr>
        <w:t xml:space="preserve">most the entire water area of </w:t>
      </w:r>
      <w:r w:rsidRPr="0088780C">
        <w:rPr>
          <w:snapToGrid w:val="0"/>
          <w:kern w:val="22"/>
          <w:szCs w:val="22"/>
        </w:rPr>
        <w:t>the northern and middle Caspian, as well as the western part of the southern Caspian (Figure 7). The northern Caspian is an important area for the species and provides an ice substrate for breeding in winter, feeding grounds for migrating seals to the south in the spring and back to the north in the autumn, and for seals left in the north Caspian for the entire ice-free period. Shallow areas of the northeastern Caspian, from the Komsomol Bay to the delta of the Urals, are used by seals during migrations, foraging and recreation. The Komsomol Bay is a critical area during moulting, when tens of thousands of seals gather every spring after the ice breaks (Figure 2) (2, 3, 4).</w:t>
      </w:r>
    </w:p>
    <w:p w14:paraId="6BE74C5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36789C2" w14:textId="7FADFD7A"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Thus, the islands of Durneva are now of great importance as places for rookeries</w:t>
      </w:r>
      <w:r w:rsidR="00EF0BA2" w:rsidRPr="0088780C">
        <w:rPr>
          <w:snapToGrid w:val="0"/>
          <w:kern w:val="22"/>
          <w:szCs w:val="22"/>
        </w:rPr>
        <w:t xml:space="preserve"> of Caspian seals in the spring (March-April).</w:t>
      </w:r>
    </w:p>
    <w:p w14:paraId="561C9225" w14:textId="77777777" w:rsidR="00A876F3" w:rsidRPr="0088780C" w:rsidRDefault="00A876F3" w:rsidP="001013AF">
      <w:pPr>
        <w:suppressLineNumbers/>
        <w:suppressAutoHyphens/>
        <w:kinsoku w:val="0"/>
        <w:overflowPunct w:val="0"/>
        <w:autoSpaceDE w:val="0"/>
        <w:autoSpaceDN w:val="0"/>
        <w:rPr>
          <w:snapToGrid w:val="0"/>
          <w:kern w:val="22"/>
          <w:szCs w:val="22"/>
          <w:lang w:eastAsia="ru-RU"/>
        </w:rPr>
      </w:pPr>
    </w:p>
    <w:p w14:paraId="211F77E6"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Feature description of the area</w:t>
      </w:r>
    </w:p>
    <w:p w14:paraId="4F477FF4" w14:textId="1D779870" w:rsidR="00A876F3" w:rsidRPr="0088780C" w:rsidRDefault="00A876F3" w:rsidP="00D955B7">
      <w:pPr>
        <w:suppressLineNumbers/>
        <w:suppressAutoHyphens/>
        <w:kinsoku w:val="0"/>
        <w:overflowPunct w:val="0"/>
        <w:autoSpaceDE w:val="0"/>
        <w:autoSpaceDN w:val="0"/>
        <w:rPr>
          <w:bCs/>
          <w:snapToGrid w:val="0"/>
          <w:spacing w:val="-2"/>
          <w:kern w:val="22"/>
          <w:szCs w:val="22"/>
          <w:lang w:eastAsia="ru-RU"/>
        </w:rPr>
      </w:pPr>
      <w:r w:rsidRPr="0088780C">
        <w:rPr>
          <w:bCs/>
          <w:snapToGrid w:val="0"/>
          <w:spacing w:val="-2"/>
          <w:kern w:val="22"/>
          <w:szCs w:val="22"/>
          <w:lang w:eastAsia="ru-RU"/>
        </w:rPr>
        <w:t>Seal rookeries are located on a group of small islands scattered along the Gulf of Durnev. The creation of protected areas for Caspian seals in the Komsomolsk Gulf in the Durnev Islands area would help reduce the risk of anthropogenic mortality and anxiety of animals during moulting and rest, while during the breeding season, a seasonal ban on shipping and other activities in the areas used by ice-breeding seals (5).</w:t>
      </w:r>
    </w:p>
    <w:p w14:paraId="0504A5D6" w14:textId="77777777" w:rsidR="00A876F3" w:rsidRPr="0088780C" w:rsidRDefault="00A876F3" w:rsidP="001013AF">
      <w:pPr>
        <w:suppressLineNumbers/>
        <w:suppressAutoHyphens/>
        <w:kinsoku w:val="0"/>
        <w:overflowPunct w:val="0"/>
        <w:autoSpaceDE w:val="0"/>
        <w:autoSpaceDN w:val="0"/>
        <w:rPr>
          <w:bCs/>
          <w:snapToGrid w:val="0"/>
          <w:kern w:val="22"/>
          <w:szCs w:val="22"/>
          <w:lang w:eastAsia="ru-RU"/>
        </w:rPr>
      </w:pPr>
    </w:p>
    <w:p w14:paraId="1E5AAF54" w14:textId="77777777" w:rsidR="00A876F3" w:rsidRPr="0088780C" w:rsidRDefault="00A876F3" w:rsidP="00301D7B">
      <w:pPr>
        <w:keepNext/>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Feature condition and future outlook of the area</w:t>
      </w:r>
    </w:p>
    <w:p w14:paraId="1804DFEB"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In the spring of 2008, molting seals in high density groups were found on the islands in Komsomol Bay. Seals lie on small, reed-covered islands, located in shallow water with a depth of </w:t>
      </w:r>
      <w:r w:rsidRPr="0088780C">
        <w:rPr>
          <w:rFonts w:hint="eastAsia"/>
          <w:snapToGrid w:val="0"/>
          <w:kern w:val="22"/>
          <w:szCs w:val="22"/>
        </w:rPr>
        <w:t>≤</w:t>
      </w:r>
      <w:r w:rsidRPr="0088780C">
        <w:rPr>
          <w:snapToGrid w:val="0"/>
          <w:kern w:val="22"/>
          <w:szCs w:val="22"/>
        </w:rPr>
        <w:t>1m . The total number of seals in this area exceeded 25 000 individuals. Another such site was found in the south-eastern part of the bay, with an  estimated 3 500-4 000 individuals (2, 3, 4).</w:t>
      </w:r>
    </w:p>
    <w:p w14:paraId="0E0EE8E8"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D09B809" w14:textId="63B9D823" w:rsidR="00A876F3" w:rsidRPr="0088780C" w:rsidRDefault="00A876F3" w:rsidP="00F00C37">
      <w:pPr>
        <w:suppressLineNumbers/>
        <w:suppressAutoHyphens/>
        <w:kinsoku w:val="0"/>
        <w:overflowPunct w:val="0"/>
        <w:autoSpaceDE w:val="0"/>
        <w:autoSpaceDN w:val="0"/>
        <w:rPr>
          <w:snapToGrid w:val="0"/>
          <w:kern w:val="22"/>
          <w:szCs w:val="22"/>
        </w:rPr>
      </w:pPr>
      <w:r w:rsidRPr="0088780C">
        <w:rPr>
          <w:snapToGrid w:val="0"/>
          <w:kern w:val="22"/>
          <w:szCs w:val="22"/>
        </w:rPr>
        <w:t xml:space="preserve">From </w:t>
      </w:r>
      <w:r w:rsidR="000167BD" w:rsidRPr="0088780C">
        <w:rPr>
          <w:snapToGrid w:val="0"/>
          <w:kern w:val="22"/>
          <w:szCs w:val="22"/>
        </w:rPr>
        <w:t xml:space="preserve">28 April </w:t>
      </w:r>
      <w:r w:rsidRPr="0088780C">
        <w:rPr>
          <w:snapToGrid w:val="0"/>
          <w:kern w:val="22"/>
          <w:szCs w:val="22"/>
        </w:rPr>
        <w:t>to 7 May, 2016, the Durnev Islands were inspected from the air. Two Caspian seal rookeries of the were found on the islands in the northern part of Koms</w:t>
      </w:r>
      <w:r w:rsidR="000167BD" w:rsidRPr="0088780C">
        <w:rPr>
          <w:snapToGrid w:val="0"/>
          <w:kern w:val="22"/>
          <w:szCs w:val="22"/>
        </w:rPr>
        <w:t>omol Bay (rookery 1 and rookery </w:t>
      </w:r>
      <w:r w:rsidRPr="0088780C">
        <w:rPr>
          <w:snapToGrid w:val="0"/>
          <w:kern w:val="22"/>
          <w:szCs w:val="22"/>
        </w:rPr>
        <w:t>2). Seals were not found on the other surveyed islands, nor i</w:t>
      </w:r>
      <w:r w:rsidR="000167BD" w:rsidRPr="0088780C">
        <w:rPr>
          <w:snapToGrid w:val="0"/>
          <w:kern w:val="22"/>
          <w:szCs w:val="22"/>
        </w:rPr>
        <w:t xml:space="preserve">n the open water. </w:t>
      </w:r>
      <w:r w:rsidRPr="0088780C">
        <w:rPr>
          <w:snapToGrid w:val="0"/>
          <w:kern w:val="22"/>
          <w:szCs w:val="22"/>
        </w:rPr>
        <w:t>The rookeries were located on the coast of islands, which were overgrown with reeds, or on sand-mud shoals. At the time of the research, most of the rookeries were abandoned by the seals. On one of the islands (rookery 1), two separated groups of seals total</w:t>
      </w:r>
      <w:r w:rsidR="000167BD" w:rsidRPr="0088780C">
        <w:rPr>
          <w:snapToGrid w:val="0"/>
          <w:kern w:val="22"/>
          <w:szCs w:val="22"/>
        </w:rPr>
        <w:t>l</w:t>
      </w:r>
      <w:r w:rsidRPr="0088780C">
        <w:rPr>
          <w:snapToGrid w:val="0"/>
          <w:kern w:val="22"/>
          <w:szCs w:val="22"/>
        </w:rPr>
        <w:t>ing about 400 (Table 1) were observed in all stages of moult</w:t>
      </w:r>
      <w:r w:rsidR="00F00C37" w:rsidRPr="0088780C">
        <w:rPr>
          <w:snapToGrid w:val="0"/>
          <w:kern w:val="22"/>
          <w:szCs w:val="22"/>
        </w:rPr>
        <w:t xml:space="preserve"> </w:t>
      </w:r>
      <w:r w:rsidRPr="0088780C">
        <w:rPr>
          <w:snapToGrid w:val="0"/>
          <w:kern w:val="22"/>
          <w:szCs w:val="22"/>
        </w:rPr>
        <w:t>—</w:t>
      </w:r>
      <w:r w:rsidR="00F00C37" w:rsidRPr="0088780C">
        <w:rPr>
          <w:snapToGrid w:val="0"/>
          <w:kern w:val="22"/>
          <w:szCs w:val="22"/>
        </w:rPr>
        <w:t xml:space="preserve"> </w:t>
      </w:r>
      <w:r w:rsidRPr="0088780C">
        <w:rPr>
          <w:snapToGrid w:val="0"/>
          <w:kern w:val="22"/>
          <w:szCs w:val="22"/>
        </w:rPr>
        <w:t>though most were in mid-moult.</w:t>
      </w:r>
    </w:p>
    <w:p w14:paraId="28E63479"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277BB88" w14:textId="30A3E7CA"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Observations indicate that the number of seals at the rookery does not remain constant during the day (Table 2). It is impossible to determine the exact cause of seal movements on the basis of observations: it can be assumed that if necessary, the seals leave for food and then return again, or because the observations were made at the end of moulting, part of the casting seals completely leave the rookery, moving to the sea to feed. Maybe both. Unfortunately, it was not possible to conduct longer observations in order to determine the reasons for the described b</w:t>
      </w:r>
      <w:r w:rsidR="00F00C37" w:rsidRPr="0088780C">
        <w:rPr>
          <w:snapToGrid w:val="0"/>
          <w:kern w:val="22"/>
          <w:szCs w:val="22"/>
        </w:rPr>
        <w:t>ehaviour in the spring of 2016.</w:t>
      </w:r>
    </w:p>
    <w:p w14:paraId="6662255F"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E40ACF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presence of dead seals at the rookeries has been reported; nine were found during the spring research. Judging by their size and colour, the dead animals were adults. The cause of death of one of the individuals was, apparently, a tumor, however, the causes of death of others have not been determined (6).</w:t>
      </w:r>
    </w:p>
    <w:p w14:paraId="72385871"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p>
    <w:p w14:paraId="76A5E9A6"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Assessment of the area against CBD EBSA criteria</w:t>
      </w:r>
    </w:p>
    <w:p w14:paraId="56017638"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3471"/>
        <w:gridCol w:w="1193"/>
        <w:gridCol w:w="62"/>
        <w:gridCol w:w="59"/>
        <w:gridCol w:w="60"/>
        <w:gridCol w:w="90"/>
        <w:gridCol w:w="180"/>
        <w:gridCol w:w="51"/>
        <w:gridCol w:w="653"/>
        <w:gridCol w:w="15"/>
        <w:gridCol w:w="15"/>
        <w:gridCol w:w="44"/>
        <w:gridCol w:w="44"/>
        <w:gridCol w:w="112"/>
        <w:gridCol w:w="42"/>
        <w:gridCol w:w="924"/>
        <w:gridCol w:w="15"/>
        <w:gridCol w:w="30"/>
        <w:gridCol w:w="142"/>
        <w:gridCol w:w="13"/>
        <w:gridCol w:w="1058"/>
      </w:tblGrid>
      <w:tr w:rsidR="00A876F3" w:rsidRPr="0088780C" w14:paraId="76D9D556" w14:textId="77777777" w:rsidTr="006972AD">
        <w:trPr>
          <w:trHeight w:val="630"/>
        </w:trPr>
        <w:tc>
          <w:tcPr>
            <w:tcW w:w="1631" w:type="dxa"/>
            <w:vMerge w:val="restart"/>
          </w:tcPr>
          <w:p w14:paraId="1121385C"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snapToGrid w:val="0"/>
                <w:kern w:val="22"/>
                <w:szCs w:val="22"/>
              </w:rPr>
            </w:pPr>
            <w:r w:rsidRPr="0088780C">
              <w:rPr>
                <w:b/>
                <w:snapToGrid w:val="0"/>
                <w:kern w:val="22"/>
                <w:szCs w:val="22"/>
              </w:rPr>
              <w:t>Criteria</w:t>
            </w:r>
          </w:p>
        </w:tc>
        <w:tc>
          <w:tcPr>
            <w:tcW w:w="3702" w:type="dxa"/>
            <w:vMerge w:val="restart"/>
          </w:tcPr>
          <w:p w14:paraId="427BD81F"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snapToGrid w:val="0"/>
                <w:kern w:val="22"/>
                <w:szCs w:val="22"/>
              </w:rPr>
            </w:pPr>
            <w:r w:rsidRPr="0088780C">
              <w:rPr>
                <w:b/>
                <w:snapToGrid w:val="0"/>
                <w:kern w:val="22"/>
                <w:szCs w:val="22"/>
              </w:rPr>
              <w:t>Description</w:t>
            </w:r>
          </w:p>
          <w:p w14:paraId="241EE7AB"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Cs/>
                <w:snapToGrid w:val="0"/>
                <w:kern w:val="22"/>
                <w:szCs w:val="22"/>
              </w:rPr>
            </w:pPr>
            <w:r w:rsidRPr="0088780C">
              <w:rPr>
                <w:bCs/>
                <w:snapToGrid w:val="0"/>
                <w:kern w:val="22"/>
                <w:szCs w:val="22"/>
                <w:lang w:eastAsia="ru-RU"/>
              </w:rPr>
              <w:t>(Annex I to decision IX/20)</w:t>
            </w:r>
          </w:p>
        </w:tc>
        <w:tc>
          <w:tcPr>
            <w:tcW w:w="4556" w:type="dxa"/>
            <w:gridSpan w:val="20"/>
          </w:tcPr>
          <w:p w14:paraId="50AA4CC2" w14:textId="77777777" w:rsidR="00A876F3" w:rsidRPr="0088780C" w:rsidRDefault="00A876F3" w:rsidP="001013AF">
            <w:pPr>
              <w:suppressLineNumbers/>
              <w:suppressAutoHyphens/>
              <w:kinsoku w:val="0"/>
              <w:overflowPunct w:val="0"/>
              <w:autoSpaceDE w:val="0"/>
              <w:autoSpaceDN w:val="0"/>
              <w:adjustRightInd w:val="0"/>
              <w:jc w:val="center"/>
              <w:rPr>
                <w:b/>
                <w:bCs/>
                <w:snapToGrid w:val="0"/>
                <w:kern w:val="22"/>
                <w:szCs w:val="22"/>
                <w:lang w:eastAsia="ru-RU"/>
              </w:rPr>
            </w:pPr>
            <w:r w:rsidRPr="0088780C">
              <w:rPr>
                <w:b/>
                <w:bCs/>
                <w:snapToGrid w:val="0"/>
                <w:kern w:val="22"/>
                <w:szCs w:val="22"/>
                <w:lang w:eastAsia="ru-RU"/>
              </w:rPr>
              <w:t>Ranking of criterion relevance</w:t>
            </w:r>
          </w:p>
          <w:p w14:paraId="304F8CD0"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snapToGrid w:val="0"/>
                <w:kern w:val="22"/>
                <w:szCs w:val="22"/>
              </w:rPr>
            </w:pPr>
            <w:r w:rsidRPr="0088780C">
              <w:rPr>
                <w:snapToGrid w:val="0"/>
                <w:kern w:val="22"/>
                <w:szCs w:val="22"/>
                <w:lang w:eastAsia="ru-RU"/>
              </w:rPr>
              <w:t>(please mark one column with an X)</w:t>
            </w:r>
          </w:p>
        </w:tc>
      </w:tr>
      <w:tr w:rsidR="00A876F3" w:rsidRPr="0088780C" w14:paraId="1C68F625" w14:textId="77777777" w:rsidTr="006972AD">
        <w:trPr>
          <w:trHeight w:val="528"/>
        </w:trPr>
        <w:tc>
          <w:tcPr>
            <w:tcW w:w="1631" w:type="dxa"/>
            <w:vMerge/>
          </w:tcPr>
          <w:p w14:paraId="1DDA32EA"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snapToGrid w:val="0"/>
                <w:kern w:val="22"/>
                <w:szCs w:val="22"/>
              </w:rPr>
            </w:pPr>
          </w:p>
        </w:tc>
        <w:tc>
          <w:tcPr>
            <w:tcW w:w="3702" w:type="dxa"/>
            <w:vMerge/>
          </w:tcPr>
          <w:p w14:paraId="56DFF96C"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snapToGrid w:val="0"/>
                <w:kern w:val="22"/>
                <w:szCs w:val="22"/>
              </w:rPr>
            </w:pPr>
          </w:p>
        </w:tc>
        <w:tc>
          <w:tcPr>
            <w:tcW w:w="1341" w:type="dxa"/>
            <w:gridSpan w:val="7"/>
          </w:tcPr>
          <w:p w14:paraId="697089D6"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bCs/>
                <w:snapToGrid w:val="0"/>
                <w:kern w:val="22"/>
                <w:szCs w:val="22"/>
                <w:lang w:eastAsia="ru-RU"/>
              </w:rPr>
            </w:pPr>
            <w:r w:rsidRPr="0088780C">
              <w:rPr>
                <w:b/>
                <w:bCs/>
                <w:snapToGrid w:val="0"/>
                <w:kern w:val="22"/>
                <w:szCs w:val="22"/>
                <w:lang w:eastAsia="ru-RU"/>
              </w:rPr>
              <w:t>No information</w:t>
            </w:r>
          </w:p>
        </w:tc>
        <w:tc>
          <w:tcPr>
            <w:tcW w:w="967" w:type="dxa"/>
            <w:gridSpan w:val="7"/>
          </w:tcPr>
          <w:p w14:paraId="1D64BC46"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bCs/>
                <w:snapToGrid w:val="0"/>
                <w:kern w:val="22"/>
                <w:szCs w:val="22"/>
                <w:lang w:eastAsia="ru-RU"/>
              </w:rPr>
            </w:pPr>
            <w:r w:rsidRPr="0088780C">
              <w:rPr>
                <w:b/>
                <w:bCs/>
                <w:snapToGrid w:val="0"/>
                <w:kern w:val="22"/>
                <w:szCs w:val="22"/>
                <w:lang w:eastAsia="ru-RU"/>
              </w:rPr>
              <w:t>Low</w:t>
            </w:r>
          </w:p>
        </w:tc>
        <w:tc>
          <w:tcPr>
            <w:tcW w:w="1140" w:type="dxa"/>
            <w:gridSpan w:val="5"/>
          </w:tcPr>
          <w:p w14:paraId="3C9781A0"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bCs/>
                <w:snapToGrid w:val="0"/>
                <w:kern w:val="22"/>
                <w:szCs w:val="22"/>
                <w:lang w:eastAsia="ru-RU"/>
              </w:rPr>
            </w:pPr>
            <w:r w:rsidRPr="0088780C">
              <w:rPr>
                <w:b/>
                <w:bCs/>
                <w:snapToGrid w:val="0"/>
                <w:kern w:val="22"/>
                <w:szCs w:val="22"/>
                <w:lang w:eastAsia="ru-RU"/>
              </w:rPr>
              <w:t>Medium</w:t>
            </w:r>
          </w:p>
        </w:tc>
        <w:tc>
          <w:tcPr>
            <w:tcW w:w="1108" w:type="dxa"/>
          </w:tcPr>
          <w:p w14:paraId="1B54B9CF"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bCs/>
                <w:snapToGrid w:val="0"/>
                <w:kern w:val="22"/>
                <w:szCs w:val="22"/>
                <w:lang w:eastAsia="ru-RU"/>
              </w:rPr>
            </w:pPr>
            <w:r w:rsidRPr="0088780C">
              <w:rPr>
                <w:b/>
                <w:bCs/>
                <w:snapToGrid w:val="0"/>
                <w:kern w:val="22"/>
                <w:szCs w:val="22"/>
                <w:lang w:eastAsia="ru-RU"/>
              </w:rPr>
              <w:t>High</w:t>
            </w:r>
          </w:p>
        </w:tc>
      </w:tr>
      <w:tr w:rsidR="00A876F3" w:rsidRPr="0088780C" w14:paraId="31D39229" w14:textId="77777777" w:rsidTr="006972AD">
        <w:trPr>
          <w:trHeight w:val="2436"/>
        </w:trPr>
        <w:tc>
          <w:tcPr>
            <w:tcW w:w="1631" w:type="dxa"/>
          </w:tcPr>
          <w:p w14:paraId="01B7A8E9" w14:textId="77777777" w:rsidR="00A876F3" w:rsidRPr="0088780C" w:rsidRDefault="00A876F3" w:rsidP="001013AF">
            <w:pPr>
              <w:suppressLineNumbers/>
              <w:tabs>
                <w:tab w:val="center" w:pos="4320"/>
                <w:tab w:val="right" w:pos="8640"/>
              </w:tabs>
              <w:suppressAutoHyphens/>
              <w:kinsoku w:val="0"/>
              <w:overflowPunct w:val="0"/>
              <w:autoSpaceDE w:val="0"/>
              <w:autoSpaceDN w:val="0"/>
              <w:rPr>
                <w:b/>
                <w:snapToGrid w:val="0"/>
                <w:kern w:val="22"/>
                <w:szCs w:val="22"/>
              </w:rPr>
            </w:pPr>
            <w:r w:rsidRPr="0088780C">
              <w:rPr>
                <w:b/>
                <w:snapToGrid w:val="0"/>
                <w:kern w:val="22"/>
                <w:szCs w:val="22"/>
              </w:rPr>
              <w:t>Uniqueness or rarity</w:t>
            </w:r>
          </w:p>
        </w:tc>
        <w:tc>
          <w:tcPr>
            <w:tcW w:w="3702" w:type="dxa"/>
          </w:tcPr>
          <w:p w14:paraId="7DD7A059"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r w:rsidRPr="0088780C">
              <w:rPr>
                <w:snapToGrid w:val="0"/>
                <w:kern w:val="22"/>
                <w:szCs w:val="22"/>
              </w:rPr>
              <w:t>An area in which either i) unique (unique in its kind), rare (found in only a few places) or endemic species, populations or communities are present; and / or ii) unique, rare or special habitats or ecosystems; and / or iii) unique or unusual geomorphological or oceanographic elements.</w:t>
            </w:r>
          </w:p>
        </w:tc>
        <w:tc>
          <w:tcPr>
            <w:tcW w:w="1341" w:type="dxa"/>
            <w:gridSpan w:val="7"/>
          </w:tcPr>
          <w:p w14:paraId="542F6EE5"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967" w:type="dxa"/>
            <w:gridSpan w:val="7"/>
          </w:tcPr>
          <w:p w14:paraId="3ABE1BA3"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40" w:type="dxa"/>
            <w:gridSpan w:val="5"/>
          </w:tcPr>
          <w:p w14:paraId="2A370AE4"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08" w:type="dxa"/>
          </w:tcPr>
          <w:p w14:paraId="1CA99C08"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snapToGrid w:val="0"/>
                <w:kern w:val="22"/>
                <w:szCs w:val="22"/>
              </w:rPr>
            </w:pPr>
            <w:r w:rsidRPr="0088780C">
              <w:rPr>
                <w:snapToGrid w:val="0"/>
                <w:kern w:val="22"/>
                <w:szCs w:val="22"/>
              </w:rPr>
              <w:t>X</w:t>
            </w:r>
          </w:p>
        </w:tc>
      </w:tr>
      <w:tr w:rsidR="00A876F3" w:rsidRPr="0088780C" w14:paraId="4E8CB6E8" w14:textId="77777777" w:rsidTr="006972AD">
        <w:tc>
          <w:tcPr>
            <w:tcW w:w="9889" w:type="dxa"/>
            <w:gridSpan w:val="22"/>
          </w:tcPr>
          <w:p w14:paraId="1C9AEBAA"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7E4F9825" w14:textId="6525945B" w:rsidR="00A876F3" w:rsidRPr="0088780C" w:rsidRDefault="00A876F3" w:rsidP="001013AF">
            <w:pPr>
              <w:suppressLineNumbers/>
              <w:tabs>
                <w:tab w:val="center" w:pos="4320"/>
                <w:tab w:val="right" w:pos="8640"/>
              </w:tabs>
              <w:suppressAutoHyphens/>
              <w:kinsoku w:val="0"/>
              <w:overflowPunct w:val="0"/>
              <w:autoSpaceDE w:val="0"/>
              <w:autoSpaceDN w:val="0"/>
              <w:rPr>
                <w:snapToGrid w:val="0"/>
                <w:spacing w:val="-2"/>
                <w:kern w:val="22"/>
                <w:szCs w:val="22"/>
              </w:rPr>
            </w:pPr>
            <w:r w:rsidRPr="0088780C">
              <w:rPr>
                <w:snapToGrid w:val="0"/>
                <w:spacing w:val="-2"/>
                <w:kern w:val="22"/>
                <w:szCs w:val="22"/>
              </w:rPr>
              <w:t>The Caspian seal (</w:t>
            </w:r>
            <w:r w:rsidRPr="0088780C">
              <w:rPr>
                <w:i/>
                <w:snapToGrid w:val="0"/>
                <w:spacing w:val="-2"/>
                <w:kern w:val="22"/>
                <w:szCs w:val="22"/>
              </w:rPr>
              <w:t>Phoca caspica</w:t>
            </w:r>
            <w:r w:rsidRPr="0088780C">
              <w:rPr>
                <w:snapToGrid w:val="0"/>
                <w:spacing w:val="-2"/>
                <w:kern w:val="22"/>
                <w:szCs w:val="22"/>
              </w:rPr>
              <w:t xml:space="preserve">; Gmelin, 1788) is the only mammal inhabiting the Caspian Sea, an endemic, transboundary species. In 2008, the IUCN changed the status of the Caspian seal from </w:t>
            </w:r>
            <w:r w:rsidR="00D8482D" w:rsidRPr="0088780C">
              <w:rPr>
                <w:snapToGrid w:val="0"/>
                <w:spacing w:val="-2"/>
                <w:kern w:val="22"/>
                <w:szCs w:val="22"/>
              </w:rPr>
              <w:t>“</w:t>
            </w:r>
            <w:r w:rsidRPr="0088780C">
              <w:rPr>
                <w:snapToGrid w:val="0"/>
                <w:spacing w:val="-2"/>
                <w:kern w:val="22"/>
                <w:szCs w:val="22"/>
              </w:rPr>
              <w:t>Vulnerable</w:t>
            </w:r>
            <w:r w:rsidR="00D8482D" w:rsidRPr="0088780C">
              <w:rPr>
                <w:snapToGrid w:val="0"/>
                <w:spacing w:val="-2"/>
                <w:kern w:val="22"/>
                <w:szCs w:val="22"/>
              </w:rPr>
              <w:t>”</w:t>
            </w:r>
            <w:r w:rsidRPr="0088780C">
              <w:rPr>
                <w:snapToGrid w:val="0"/>
                <w:spacing w:val="-2"/>
                <w:kern w:val="22"/>
                <w:szCs w:val="22"/>
              </w:rPr>
              <w:t xml:space="preserve"> to </w:t>
            </w:r>
            <w:r w:rsidR="00D8482D" w:rsidRPr="0088780C">
              <w:rPr>
                <w:snapToGrid w:val="0"/>
                <w:spacing w:val="-2"/>
                <w:kern w:val="22"/>
                <w:szCs w:val="22"/>
              </w:rPr>
              <w:t>“</w:t>
            </w:r>
            <w:r w:rsidRPr="0088780C">
              <w:rPr>
                <w:snapToGrid w:val="0"/>
                <w:spacing w:val="-2"/>
                <w:kern w:val="22"/>
                <w:szCs w:val="22"/>
              </w:rPr>
              <w:t>Endangered</w:t>
            </w:r>
            <w:r w:rsidR="00D8482D" w:rsidRPr="0088780C">
              <w:rPr>
                <w:snapToGrid w:val="0"/>
                <w:spacing w:val="-2"/>
                <w:kern w:val="22"/>
                <w:szCs w:val="22"/>
              </w:rPr>
              <w:t>”</w:t>
            </w:r>
            <w:r w:rsidRPr="0088780C">
              <w:rPr>
                <w:snapToGrid w:val="0"/>
                <w:spacing w:val="-2"/>
                <w:kern w:val="22"/>
                <w:szCs w:val="22"/>
              </w:rPr>
              <w:t>.</w:t>
            </w:r>
            <w:r w:rsidRPr="0088780C">
              <w:rPr>
                <w:bCs/>
                <w:snapToGrid w:val="0"/>
                <w:spacing w:val="-2"/>
                <w:kern w:val="22"/>
                <w:szCs w:val="22"/>
                <w:lang w:eastAsia="ru-RU"/>
              </w:rPr>
              <w:t xml:space="preserve"> Seal rookeries are located on a group of small islands scattered along the Gulf of Durnev (5).</w:t>
            </w:r>
          </w:p>
        </w:tc>
      </w:tr>
      <w:tr w:rsidR="00A876F3" w:rsidRPr="0088780C" w14:paraId="1E08102C" w14:textId="77777777" w:rsidTr="006972AD">
        <w:tc>
          <w:tcPr>
            <w:tcW w:w="1631" w:type="dxa"/>
          </w:tcPr>
          <w:p w14:paraId="0751B8AD" w14:textId="77777777" w:rsidR="00A876F3" w:rsidRPr="0088780C" w:rsidRDefault="00A876F3" w:rsidP="008E37C6">
            <w:pPr>
              <w:suppressLineNumbers/>
              <w:tabs>
                <w:tab w:val="center" w:pos="4320"/>
                <w:tab w:val="right" w:pos="8640"/>
              </w:tabs>
              <w:suppressAutoHyphens/>
              <w:kinsoku w:val="0"/>
              <w:overflowPunct w:val="0"/>
              <w:autoSpaceDE w:val="0"/>
              <w:autoSpaceDN w:val="0"/>
              <w:jc w:val="left"/>
              <w:rPr>
                <w:b/>
                <w:snapToGrid w:val="0"/>
                <w:kern w:val="22"/>
                <w:szCs w:val="22"/>
              </w:rPr>
            </w:pPr>
            <w:r w:rsidRPr="0088780C">
              <w:rPr>
                <w:b/>
                <w:snapToGrid w:val="0"/>
                <w:kern w:val="22"/>
                <w:szCs w:val="22"/>
              </w:rPr>
              <w:t>Special importance for life-history stages of species</w:t>
            </w:r>
          </w:p>
        </w:tc>
        <w:tc>
          <w:tcPr>
            <w:tcW w:w="3702" w:type="dxa"/>
          </w:tcPr>
          <w:p w14:paraId="652688E1"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The area necessary for the survival and successful habitat of the population.</w:t>
            </w:r>
          </w:p>
        </w:tc>
        <w:tc>
          <w:tcPr>
            <w:tcW w:w="1290" w:type="dxa"/>
            <w:gridSpan w:val="6"/>
          </w:tcPr>
          <w:p w14:paraId="125E1D3F"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975" w:type="dxa"/>
            <w:gridSpan w:val="7"/>
          </w:tcPr>
          <w:p w14:paraId="3F94B6E1"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170" w:type="dxa"/>
            <w:gridSpan w:val="5"/>
          </w:tcPr>
          <w:p w14:paraId="4738AA08"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121" w:type="dxa"/>
            <w:gridSpan w:val="2"/>
          </w:tcPr>
          <w:p w14:paraId="63DFDC01"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jc w:val="center"/>
              <w:rPr>
                <w:snapToGrid w:val="0"/>
                <w:kern w:val="22"/>
                <w:szCs w:val="22"/>
              </w:rPr>
            </w:pPr>
            <w:r w:rsidRPr="0088780C">
              <w:rPr>
                <w:snapToGrid w:val="0"/>
                <w:kern w:val="22"/>
                <w:szCs w:val="22"/>
              </w:rPr>
              <w:t>X</w:t>
            </w:r>
          </w:p>
        </w:tc>
      </w:tr>
      <w:tr w:rsidR="00A876F3" w:rsidRPr="0088780C" w14:paraId="6ACFD9F1" w14:textId="77777777" w:rsidTr="008E37C6">
        <w:trPr>
          <w:cantSplit/>
        </w:trPr>
        <w:tc>
          <w:tcPr>
            <w:tcW w:w="9889" w:type="dxa"/>
            <w:gridSpan w:val="22"/>
          </w:tcPr>
          <w:p w14:paraId="36611A7D"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641F138"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The area is necessary for the success and survival of the population. There are islands in the depths of the bay and there are good conditions for undisturbed moulting and recreation of animals (6).</w:t>
            </w:r>
          </w:p>
        </w:tc>
      </w:tr>
      <w:tr w:rsidR="00A876F3" w:rsidRPr="0088780C" w14:paraId="5B84B850" w14:textId="77777777" w:rsidTr="006972AD">
        <w:tc>
          <w:tcPr>
            <w:tcW w:w="1631" w:type="dxa"/>
          </w:tcPr>
          <w:p w14:paraId="42E8E245"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Importance for threatened, endangered or declining species and/or habitats</w:t>
            </w:r>
          </w:p>
        </w:tc>
        <w:tc>
          <w:tcPr>
            <w:tcW w:w="3702" w:type="dxa"/>
          </w:tcPr>
          <w:p w14:paraId="7B3D444F" w14:textId="77777777" w:rsidR="00A876F3" w:rsidRPr="0088780C" w:rsidRDefault="00A876F3" w:rsidP="008E37C6">
            <w:pPr>
              <w:suppressLineNumbers/>
              <w:tabs>
                <w:tab w:val="center" w:pos="4320"/>
                <w:tab w:val="right" w:pos="8640"/>
              </w:tabs>
              <w:suppressAutoHyphens/>
              <w:kinsoku w:val="0"/>
              <w:overflowPunct w:val="0"/>
              <w:autoSpaceDE w:val="0"/>
              <w:autoSpaceDN w:val="0"/>
              <w:jc w:val="left"/>
              <w:rPr>
                <w:snapToGrid w:val="0"/>
                <w:kern w:val="22"/>
                <w:szCs w:val="22"/>
              </w:rPr>
            </w:pPr>
            <w:r w:rsidRPr="0088780C">
              <w:rPr>
                <w:snapToGrid w:val="0"/>
                <w:kern w:val="22"/>
                <w:szCs w:val="22"/>
              </w:rPr>
              <w:t>Area containing a habitat for the survival or restoration of endangered, endangered or endangered species; Or an area containing significant communities of such species.</w:t>
            </w:r>
          </w:p>
        </w:tc>
        <w:tc>
          <w:tcPr>
            <w:tcW w:w="1110" w:type="dxa"/>
            <w:gridSpan w:val="5"/>
          </w:tcPr>
          <w:p w14:paraId="78728355"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035" w:type="dxa"/>
            <w:gridSpan w:val="7"/>
          </w:tcPr>
          <w:p w14:paraId="5C253ECD"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140" w:type="dxa"/>
            <w:gridSpan w:val="5"/>
          </w:tcPr>
          <w:p w14:paraId="1BE7201B"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271" w:type="dxa"/>
            <w:gridSpan w:val="3"/>
          </w:tcPr>
          <w:p w14:paraId="0CC7794A"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jc w:val="center"/>
              <w:rPr>
                <w:snapToGrid w:val="0"/>
                <w:kern w:val="22"/>
                <w:szCs w:val="22"/>
              </w:rPr>
            </w:pPr>
            <w:r w:rsidRPr="0088780C">
              <w:rPr>
                <w:snapToGrid w:val="0"/>
                <w:kern w:val="22"/>
                <w:szCs w:val="22"/>
              </w:rPr>
              <w:t>X</w:t>
            </w:r>
          </w:p>
        </w:tc>
      </w:tr>
      <w:tr w:rsidR="00A876F3" w:rsidRPr="0088780C" w14:paraId="28136557" w14:textId="77777777" w:rsidTr="006972AD">
        <w:tc>
          <w:tcPr>
            <w:tcW w:w="9889" w:type="dxa"/>
            <w:gridSpan w:val="22"/>
          </w:tcPr>
          <w:p w14:paraId="0D9FCA41"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61ED663" w14:textId="7A01E57E"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The Caspian seal is classified as endangered on the IUCN List. The rookery of Durnev islands at Rjmsomol Bay is one of the last refuges of these seals. At the Durnev rookery, the maximum recorded number of seals in spring 2016 is 227 individuals (Table 1). Previously, there was a population of up to 25,000 individuals (2011). The population of the seal is affected by ocean warming, and the resulting decrease in the area and duration of ice cover, as well as by mortalit</w:t>
            </w:r>
            <w:r w:rsidR="008E37C6" w:rsidRPr="0088780C">
              <w:rPr>
                <w:snapToGrid w:val="0"/>
                <w:kern w:val="22"/>
                <w:szCs w:val="22"/>
              </w:rPr>
              <w:t>y caused by fishing nets (6,7).</w:t>
            </w:r>
          </w:p>
        </w:tc>
      </w:tr>
      <w:tr w:rsidR="00A876F3" w:rsidRPr="0088780C" w14:paraId="6A84F961" w14:textId="77777777" w:rsidTr="006972AD">
        <w:trPr>
          <w:trHeight w:val="1790"/>
        </w:trPr>
        <w:tc>
          <w:tcPr>
            <w:tcW w:w="1631" w:type="dxa"/>
          </w:tcPr>
          <w:p w14:paraId="0B237820"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Vulnerability, fragility, sensitivity, or slow recovery</w:t>
            </w:r>
          </w:p>
        </w:tc>
        <w:tc>
          <w:tcPr>
            <w:tcW w:w="3702" w:type="dxa"/>
          </w:tcPr>
          <w:p w14:paraId="6AC41BF8"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r w:rsidRPr="0088780C">
              <w:rPr>
                <w:snapToGrid w:val="0"/>
                <w:kern w:val="22"/>
                <w:szCs w:val="22"/>
              </w:rPr>
              <w:t>A region containing a relatively large number of sensitive habitats, biotopes or species that are functionally fragile (highly prone to degradation or depletion due to anthropogenic activities or natural events) or are characterized by slow recovery rates.</w:t>
            </w:r>
          </w:p>
        </w:tc>
        <w:tc>
          <w:tcPr>
            <w:tcW w:w="1020" w:type="dxa"/>
            <w:gridSpan w:val="4"/>
          </w:tcPr>
          <w:p w14:paraId="0071E9B7"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080" w:type="dxa"/>
            <w:gridSpan w:val="7"/>
          </w:tcPr>
          <w:p w14:paraId="2D1FC542"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55" w:type="dxa"/>
            <w:gridSpan w:val="5"/>
          </w:tcPr>
          <w:p w14:paraId="36DF3C29"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snapToGrid w:val="0"/>
                <w:kern w:val="22"/>
                <w:szCs w:val="22"/>
              </w:rPr>
            </w:pPr>
          </w:p>
        </w:tc>
        <w:tc>
          <w:tcPr>
            <w:tcW w:w="1301" w:type="dxa"/>
            <w:gridSpan w:val="4"/>
          </w:tcPr>
          <w:p w14:paraId="2D13C54E" w14:textId="24A6BA23" w:rsidR="00A876F3" w:rsidRPr="0088780C" w:rsidRDefault="00A876F3" w:rsidP="008E37C6">
            <w:pPr>
              <w:suppressLineNumbers/>
              <w:tabs>
                <w:tab w:val="center" w:pos="4320"/>
                <w:tab w:val="right" w:pos="8640"/>
              </w:tabs>
              <w:suppressAutoHyphens/>
              <w:kinsoku w:val="0"/>
              <w:overflowPunct w:val="0"/>
              <w:autoSpaceDE w:val="0"/>
              <w:autoSpaceDN w:val="0"/>
              <w:spacing w:after="120"/>
              <w:jc w:val="center"/>
              <w:rPr>
                <w:snapToGrid w:val="0"/>
                <w:kern w:val="22"/>
                <w:szCs w:val="22"/>
              </w:rPr>
            </w:pPr>
            <w:r w:rsidRPr="0088780C">
              <w:rPr>
                <w:snapToGrid w:val="0"/>
                <w:kern w:val="22"/>
                <w:szCs w:val="22"/>
              </w:rPr>
              <w:t>Х</w:t>
            </w:r>
          </w:p>
        </w:tc>
      </w:tr>
      <w:tr w:rsidR="00A876F3" w:rsidRPr="0088780C" w14:paraId="1AA7A009" w14:textId="77777777" w:rsidTr="006972AD">
        <w:tc>
          <w:tcPr>
            <w:tcW w:w="9889" w:type="dxa"/>
            <w:gridSpan w:val="22"/>
          </w:tcPr>
          <w:p w14:paraId="0A5FF959"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1EED8F85"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 xml:space="preserve">The Caspian seal population is affected by ocean warming and the resulting decrease in the area and duration of ice cover, as well as by mortality  caused by fishing nets. Features of seal breeding on ice also make it an extremely vulnerable species (6, 7, 8, 9). In the spring of 2008, moulting seals in high density groups were found on the Durnev Islands in Komsomol Bay. Seals lie on mall, reed-covered islands, located in shallow water with a depth of </w:t>
            </w:r>
            <w:r w:rsidRPr="0088780C">
              <w:rPr>
                <w:rFonts w:hint="eastAsia"/>
                <w:snapToGrid w:val="0"/>
                <w:kern w:val="22"/>
                <w:szCs w:val="22"/>
              </w:rPr>
              <w:t>≤</w:t>
            </w:r>
            <w:r w:rsidRPr="0088780C">
              <w:rPr>
                <w:snapToGrid w:val="0"/>
                <w:kern w:val="22"/>
                <w:szCs w:val="22"/>
              </w:rPr>
              <w:t>1m (Figure 5). The total number of seals in this area exceeded 25 000 individuals at this time. From 28 April 28 to 7 May, 2016, the Durnev Islands were surveyed by air, and two rookeries of the Caspian seal were found on the islands in the northern part of the Komsomol Bay. On one of the islands, two distinct groups of seals totaling about 400 individuals were observed (Table 1). During a five-year period, the number of seals in this area decreased several times (6).</w:t>
            </w:r>
          </w:p>
        </w:tc>
      </w:tr>
      <w:tr w:rsidR="00A876F3" w:rsidRPr="0088780C" w14:paraId="2CFC45C5" w14:textId="77777777" w:rsidTr="006972AD">
        <w:tc>
          <w:tcPr>
            <w:tcW w:w="1631" w:type="dxa"/>
          </w:tcPr>
          <w:p w14:paraId="2BB32E05" w14:textId="77777777" w:rsidR="00A876F3" w:rsidRPr="0088780C" w:rsidRDefault="00A876F3" w:rsidP="001013AF">
            <w:pPr>
              <w:suppressLineNumbers/>
              <w:tabs>
                <w:tab w:val="center" w:pos="4320"/>
                <w:tab w:val="right" w:pos="8640"/>
              </w:tabs>
              <w:suppressAutoHyphens/>
              <w:kinsoku w:val="0"/>
              <w:overflowPunct w:val="0"/>
              <w:autoSpaceDE w:val="0"/>
              <w:autoSpaceDN w:val="0"/>
              <w:rPr>
                <w:b/>
                <w:snapToGrid w:val="0"/>
                <w:kern w:val="22"/>
                <w:szCs w:val="22"/>
              </w:rPr>
            </w:pPr>
            <w:r w:rsidRPr="0088780C">
              <w:rPr>
                <w:b/>
                <w:snapToGrid w:val="0"/>
                <w:kern w:val="22"/>
                <w:szCs w:val="22"/>
              </w:rPr>
              <w:t>Biological productivity</w:t>
            </w:r>
          </w:p>
        </w:tc>
        <w:tc>
          <w:tcPr>
            <w:tcW w:w="3702" w:type="dxa"/>
          </w:tcPr>
          <w:p w14:paraId="5DB9B9FA" w14:textId="4013D35D" w:rsidR="00A876F3" w:rsidRPr="0088780C" w:rsidRDefault="00A876F3" w:rsidP="008E37C6">
            <w:pPr>
              <w:suppressLineNumbers/>
              <w:suppressAutoHyphens/>
              <w:kinsoku w:val="0"/>
              <w:overflowPunct w:val="0"/>
              <w:autoSpaceDE w:val="0"/>
              <w:autoSpaceDN w:val="0"/>
              <w:adjustRightInd w:val="0"/>
              <w:jc w:val="left"/>
              <w:rPr>
                <w:snapToGrid w:val="0"/>
                <w:kern w:val="22"/>
                <w:szCs w:val="22"/>
              </w:rPr>
            </w:pPr>
            <w:r w:rsidRPr="0088780C">
              <w:rPr>
                <w:snapToGrid w:val="0"/>
                <w:kern w:val="22"/>
                <w:szCs w:val="22"/>
                <w:lang w:eastAsia="ru-RU"/>
              </w:rPr>
              <w:t>Area containing species, populations orcommunities with comparatively higher natural biological productivity.</w:t>
            </w:r>
          </w:p>
        </w:tc>
        <w:tc>
          <w:tcPr>
            <w:tcW w:w="960" w:type="dxa"/>
            <w:gridSpan w:val="3"/>
          </w:tcPr>
          <w:p w14:paraId="3920A6C7" w14:textId="77777777" w:rsidR="00A876F3" w:rsidRPr="0088780C" w:rsidRDefault="00A876F3" w:rsidP="001013AF">
            <w:pPr>
              <w:pStyle w:val="ListParagraph"/>
              <w:suppressLineNumbers/>
              <w:suppressAutoHyphens/>
              <w:kinsoku w:val="0"/>
              <w:overflowPunct w:val="0"/>
              <w:autoSpaceDE w:val="0"/>
              <w:autoSpaceDN w:val="0"/>
              <w:ind w:left="880"/>
              <w:jc w:val="center"/>
              <w:rPr>
                <w:rFonts w:eastAsiaTheme="minorEastAsia"/>
                <w:snapToGrid w:val="0"/>
                <w:kern w:val="22"/>
                <w:szCs w:val="22"/>
              </w:rPr>
            </w:pPr>
            <w:r w:rsidRPr="0088780C">
              <w:rPr>
                <w:rFonts w:eastAsiaTheme="minorEastAsia"/>
                <w:snapToGrid w:val="0"/>
                <w:kern w:val="22"/>
                <w:szCs w:val="22"/>
              </w:rPr>
              <w:t>Х</w:t>
            </w:r>
          </w:p>
        </w:tc>
        <w:tc>
          <w:tcPr>
            <w:tcW w:w="1095" w:type="dxa"/>
            <w:gridSpan w:val="7"/>
          </w:tcPr>
          <w:p w14:paraId="34AAFCE8"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p>
        </w:tc>
        <w:tc>
          <w:tcPr>
            <w:tcW w:w="1185" w:type="dxa"/>
            <w:gridSpan w:val="5"/>
          </w:tcPr>
          <w:p w14:paraId="1EB5173E"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p>
        </w:tc>
        <w:tc>
          <w:tcPr>
            <w:tcW w:w="1316" w:type="dxa"/>
            <w:gridSpan w:val="5"/>
          </w:tcPr>
          <w:p w14:paraId="24495987"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p>
        </w:tc>
      </w:tr>
      <w:tr w:rsidR="00A876F3" w:rsidRPr="0088780C" w14:paraId="116ADB49" w14:textId="77777777" w:rsidTr="006972AD">
        <w:tc>
          <w:tcPr>
            <w:tcW w:w="9889" w:type="dxa"/>
            <w:gridSpan w:val="22"/>
          </w:tcPr>
          <w:p w14:paraId="650D531B"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B3A2A05"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r w:rsidRPr="0088780C">
              <w:rPr>
                <w:snapToGrid w:val="0"/>
                <w:kern w:val="22"/>
                <w:szCs w:val="22"/>
              </w:rPr>
              <w:t>The natural biological productivity of seals is very low in all habitats (8, 11). But this site is not a seal-breeding ground. The productivity of other animal species needs to be clarified.</w:t>
            </w:r>
          </w:p>
        </w:tc>
      </w:tr>
      <w:tr w:rsidR="00A876F3" w:rsidRPr="0088780C" w14:paraId="062EA994" w14:textId="77777777" w:rsidTr="006972AD">
        <w:trPr>
          <w:trHeight w:val="1079"/>
        </w:trPr>
        <w:tc>
          <w:tcPr>
            <w:tcW w:w="1631" w:type="dxa"/>
          </w:tcPr>
          <w:p w14:paraId="4B6B2E59"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Biological diversity</w:t>
            </w:r>
          </w:p>
        </w:tc>
        <w:tc>
          <w:tcPr>
            <w:tcW w:w="3702" w:type="dxa"/>
          </w:tcPr>
          <w:p w14:paraId="69DDFA53"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lang w:eastAsia="ru-RU"/>
              </w:rPr>
              <w:t>Area contains comparatively higher diversity of ecosystems, habitats, communities, or species, or has higher genetic diversity.</w:t>
            </w:r>
          </w:p>
        </w:tc>
        <w:tc>
          <w:tcPr>
            <w:tcW w:w="915" w:type="dxa"/>
            <w:gridSpan w:val="2"/>
          </w:tcPr>
          <w:p w14:paraId="03D934DF" w14:textId="77777777" w:rsidR="00A876F3" w:rsidRPr="0088780C" w:rsidRDefault="00A876F3" w:rsidP="001013AF">
            <w:pPr>
              <w:pStyle w:val="ListParagraph"/>
              <w:suppressLineNumbers/>
              <w:suppressAutoHyphens/>
              <w:kinsoku w:val="0"/>
              <w:overflowPunct w:val="0"/>
              <w:autoSpaceDE w:val="0"/>
              <w:autoSpaceDN w:val="0"/>
              <w:ind w:left="880"/>
              <w:jc w:val="center"/>
              <w:rPr>
                <w:rFonts w:eastAsiaTheme="minorEastAsia"/>
                <w:snapToGrid w:val="0"/>
                <w:kern w:val="22"/>
                <w:szCs w:val="22"/>
              </w:rPr>
            </w:pPr>
            <w:r w:rsidRPr="0088780C">
              <w:rPr>
                <w:rFonts w:eastAsiaTheme="minorEastAsia"/>
                <w:snapToGrid w:val="0"/>
                <w:kern w:val="22"/>
                <w:szCs w:val="22"/>
              </w:rPr>
              <w:t>Х</w:t>
            </w:r>
          </w:p>
        </w:tc>
        <w:tc>
          <w:tcPr>
            <w:tcW w:w="1125" w:type="dxa"/>
            <w:gridSpan w:val="7"/>
          </w:tcPr>
          <w:p w14:paraId="3ECE0602"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p>
        </w:tc>
        <w:tc>
          <w:tcPr>
            <w:tcW w:w="1245" w:type="dxa"/>
            <w:gridSpan w:val="8"/>
          </w:tcPr>
          <w:p w14:paraId="00C96102"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bCs/>
                <w:snapToGrid w:val="0"/>
                <w:kern w:val="22"/>
                <w:szCs w:val="22"/>
              </w:rPr>
            </w:pPr>
          </w:p>
        </w:tc>
        <w:tc>
          <w:tcPr>
            <w:tcW w:w="1271" w:type="dxa"/>
            <w:gridSpan w:val="3"/>
          </w:tcPr>
          <w:p w14:paraId="489B3AE1"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bCs/>
                <w:snapToGrid w:val="0"/>
                <w:kern w:val="22"/>
                <w:szCs w:val="22"/>
              </w:rPr>
            </w:pPr>
          </w:p>
        </w:tc>
      </w:tr>
      <w:tr w:rsidR="00A876F3" w:rsidRPr="0088780C" w14:paraId="17CC66FC" w14:textId="77777777" w:rsidTr="006972AD">
        <w:tc>
          <w:tcPr>
            <w:tcW w:w="9889" w:type="dxa"/>
            <w:gridSpan w:val="22"/>
          </w:tcPr>
          <w:p w14:paraId="472C378E"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65C238C" w14:textId="4D77D703"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r w:rsidRPr="0088780C">
              <w:rPr>
                <w:rFonts w:eastAsiaTheme="minorEastAsia"/>
                <w:snapToGrid w:val="0"/>
                <w:kern w:val="22"/>
                <w:szCs w:val="22"/>
              </w:rPr>
              <w:t>Due to the remoteness of the area, there is limited information on the pres</w:t>
            </w:r>
            <w:r w:rsidR="008E37C6" w:rsidRPr="0088780C">
              <w:rPr>
                <w:rFonts w:eastAsiaTheme="minorEastAsia"/>
                <w:snapToGrid w:val="0"/>
                <w:kern w:val="22"/>
                <w:szCs w:val="22"/>
              </w:rPr>
              <w:t>ence of other animals here (6).</w:t>
            </w:r>
          </w:p>
        </w:tc>
      </w:tr>
      <w:tr w:rsidR="00A876F3" w:rsidRPr="0088780C" w14:paraId="4552E3D8" w14:textId="77777777" w:rsidTr="006972AD">
        <w:tc>
          <w:tcPr>
            <w:tcW w:w="1631" w:type="dxa"/>
          </w:tcPr>
          <w:p w14:paraId="1797A312"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Naturalness</w:t>
            </w:r>
          </w:p>
        </w:tc>
        <w:tc>
          <w:tcPr>
            <w:tcW w:w="3702" w:type="dxa"/>
          </w:tcPr>
          <w:p w14:paraId="2F57B4FE"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lang w:eastAsia="ru-RU"/>
              </w:rPr>
              <w:t>Area with a comparatively higher degree of naturalness as a result of the lack of or low level of human-induced disturbance or degradation.</w:t>
            </w:r>
          </w:p>
        </w:tc>
        <w:tc>
          <w:tcPr>
            <w:tcW w:w="870" w:type="dxa"/>
          </w:tcPr>
          <w:p w14:paraId="52C74ABD"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55" w:type="dxa"/>
            <w:gridSpan w:val="7"/>
          </w:tcPr>
          <w:p w14:paraId="428B2607"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260" w:type="dxa"/>
            <w:gridSpan w:val="9"/>
          </w:tcPr>
          <w:p w14:paraId="6F3EAD90"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snapToGrid w:val="0"/>
                <w:kern w:val="22"/>
                <w:szCs w:val="22"/>
              </w:rPr>
            </w:pPr>
            <w:r w:rsidRPr="0088780C">
              <w:rPr>
                <w:snapToGrid w:val="0"/>
                <w:kern w:val="22"/>
                <w:szCs w:val="22"/>
              </w:rPr>
              <w:t>X</w:t>
            </w:r>
          </w:p>
        </w:tc>
        <w:tc>
          <w:tcPr>
            <w:tcW w:w="1271" w:type="dxa"/>
            <w:gridSpan w:val="3"/>
          </w:tcPr>
          <w:p w14:paraId="5295510B"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r>
      <w:tr w:rsidR="00A876F3" w:rsidRPr="0088780C" w14:paraId="2A6F7373" w14:textId="77777777" w:rsidTr="006972AD">
        <w:trPr>
          <w:trHeight w:val="1241"/>
        </w:trPr>
        <w:tc>
          <w:tcPr>
            <w:tcW w:w="9889" w:type="dxa"/>
            <w:gridSpan w:val="22"/>
          </w:tcPr>
          <w:p w14:paraId="17FBAEF0"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2D72DC05"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spacing w:val="-2"/>
                <w:kern w:val="22"/>
                <w:szCs w:val="22"/>
              </w:rPr>
            </w:pPr>
            <w:r w:rsidRPr="0088780C">
              <w:rPr>
                <w:snapToGrid w:val="0"/>
                <w:spacing w:val="-2"/>
                <w:kern w:val="22"/>
                <w:szCs w:val="22"/>
              </w:rPr>
              <w:t>The water quality in this area is class V - dirty, ammonium and total phosphorus - to VI class - very dirty, fluorine content - to grade III - slightly contaminated, largely due to petroleum (6). The nature of contamination with nutrients is understandable: a large accumulation of urine from seals and decomposition products of reeds. High content of oil products and fluorine can have both natural and anthropogenic origin (6).</w:t>
            </w:r>
          </w:p>
        </w:tc>
      </w:tr>
    </w:tbl>
    <w:p w14:paraId="10ACCF2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50930259" w14:textId="77777777" w:rsidR="00A876F3" w:rsidRPr="0088780C" w:rsidRDefault="00A876F3" w:rsidP="008E37C6">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32CDF69C" w14:textId="77777777" w:rsidR="00A876F3" w:rsidRPr="0088780C" w:rsidRDefault="00A876F3" w:rsidP="008E37C6">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1 Олейников Е.П. Исследование краниологических и молекулярно-генетических маркеров разнообразия популяции каспийского тюленя (Pusa caspica GMELIN, 1788 ) в Каспийском море //Диссер. на соиск. кан. биол. наук. Мурманск, 2015. – 116 с.</w:t>
      </w:r>
    </w:p>
    <w:p w14:paraId="227A9631" w14:textId="77777777" w:rsidR="00A876F3" w:rsidRPr="0088780C" w:rsidRDefault="00A876F3" w:rsidP="008E37C6">
      <w:pPr>
        <w:suppressLineNumbers/>
        <w:suppressAutoHyphens/>
        <w:kinsoku w:val="0"/>
        <w:overflowPunct w:val="0"/>
        <w:autoSpaceDE w:val="0"/>
        <w:autoSpaceDN w:val="0"/>
        <w:adjustRightInd w:val="0"/>
        <w:spacing w:after="60"/>
        <w:ind w:left="720" w:hanging="720"/>
        <w:rPr>
          <w:rFonts w:eastAsia="Times New Roman"/>
          <w:snapToGrid w:val="0"/>
          <w:kern w:val="22"/>
          <w:szCs w:val="22"/>
          <w:lang w:val="ru-RU"/>
        </w:rPr>
      </w:pPr>
      <w:r w:rsidRPr="0088780C">
        <w:rPr>
          <w:rFonts w:eastAsia="Times New Roman"/>
          <w:snapToGrid w:val="0"/>
          <w:kern w:val="22"/>
          <w:szCs w:val="22"/>
          <w:lang w:val="ru-RU"/>
        </w:rPr>
        <w:t>2 Международное исследование каспийского тюленя – отчет по вертолетным облетам в 2008-2009 годах// Отчет компании Аджип ККО, 2010. 17 с.</w:t>
      </w:r>
    </w:p>
    <w:p w14:paraId="53E08F45" w14:textId="77777777" w:rsidR="00A876F3" w:rsidRPr="0088780C" w:rsidRDefault="00A876F3" w:rsidP="008E37C6">
      <w:pPr>
        <w:suppressLineNumbers/>
        <w:suppressAutoHyphens/>
        <w:kinsoku w:val="0"/>
        <w:overflowPunct w:val="0"/>
        <w:autoSpaceDE w:val="0"/>
        <w:autoSpaceDN w:val="0"/>
        <w:adjustRightInd w:val="0"/>
        <w:spacing w:after="60"/>
        <w:ind w:left="720" w:hanging="720"/>
        <w:rPr>
          <w:rFonts w:eastAsia="Times New Roman"/>
          <w:snapToGrid w:val="0"/>
          <w:kern w:val="22"/>
          <w:szCs w:val="22"/>
          <w:lang w:val="ru-RU"/>
        </w:rPr>
      </w:pPr>
      <w:r w:rsidRPr="0088780C">
        <w:rPr>
          <w:rFonts w:eastAsia="Times New Roman"/>
          <w:snapToGrid w:val="0"/>
          <w:kern w:val="22"/>
          <w:szCs w:val="22"/>
          <w:lang w:val="ru-RU"/>
        </w:rPr>
        <w:t>3 Международное исследование каспийского тюленя – отчет по вертолетному облету и мечению каспийского тюленя с использованием спутниковой телеметрии в 2009-2010 гг.//Отчет компании Аджип ККО, 2011. 35 с.</w:t>
      </w:r>
    </w:p>
    <w:p w14:paraId="68E5301E" w14:textId="77777777" w:rsidR="00A876F3" w:rsidRPr="0088780C" w:rsidRDefault="00A876F3" w:rsidP="008E37C6">
      <w:pPr>
        <w:suppressLineNumbers/>
        <w:suppressAutoHyphens/>
        <w:kinsoku w:val="0"/>
        <w:overflowPunct w:val="0"/>
        <w:autoSpaceDE w:val="0"/>
        <w:autoSpaceDN w:val="0"/>
        <w:adjustRightInd w:val="0"/>
        <w:spacing w:after="60"/>
        <w:ind w:left="720" w:hanging="720"/>
        <w:rPr>
          <w:rFonts w:eastAsia="Times New Roman"/>
          <w:snapToGrid w:val="0"/>
          <w:kern w:val="22"/>
          <w:szCs w:val="22"/>
          <w:lang w:val="ru-RU"/>
        </w:rPr>
      </w:pPr>
      <w:r w:rsidRPr="0088780C">
        <w:rPr>
          <w:rFonts w:eastAsia="Times New Roman"/>
          <w:snapToGrid w:val="0"/>
          <w:kern w:val="22"/>
          <w:szCs w:val="22"/>
          <w:lang w:val="ru-RU"/>
        </w:rPr>
        <w:t>4 Международное исследование каспийского тюленя – отчет по вертолетному облету и мечению каспийского тюленя с использованием спутниковой телеметрии в 2011-2012 гг.//Отчет компании NCPOC, 2013. 44 с.</w:t>
      </w:r>
    </w:p>
    <w:p w14:paraId="3B73D7E0" w14:textId="77777777" w:rsidR="00A876F3" w:rsidRPr="0088780C" w:rsidRDefault="00A876F3" w:rsidP="008E37C6">
      <w:pPr>
        <w:suppressLineNumbers/>
        <w:suppressAutoHyphens/>
        <w:kinsoku w:val="0"/>
        <w:overflowPunct w:val="0"/>
        <w:autoSpaceDE w:val="0"/>
        <w:autoSpaceDN w:val="0"/>
        <w:adjustRightInd w:val="0"/>
        <w:spacing w:after="60"/>
        <w:ind w:left="720" w:hanging="720"/>
        <w:rPr>
          <w:rFonts w:eastAsia="Times New Roman"/>
          <w:snapToGrid w:val="0"/>
          <w:kern w:val="22"/>
          <w:szCs w:val="22"/>
          <w:lang w:val="ru-RU"/>
        </w:rPr>
      </w:pPr>
      <w:r w:rsidRPr="0088780C">
        <w:rPr>
          <w:rFonts w:eastAsia="Times New Roman"/>
          <w:snapToGrid w:val="0"/>
          <w:kern w:val="22"/>
          <w:szCs w:val="22"/>
          <w:lang w:val="ru-RU"/>
        </w:rPr>
        <w:t>5 Дмитриева Л.Н., Баймуканов М.Т., Касымбеков Е.Б., Вилсон С., Гудман С. Распространение каспийского тюленя//Атлас Атырауской области. Алматы, 2014. С. 94-95.</w:t>
      </w:r>
    </w:p>
    <w:p w14:paraId="662D7235" w14:textId="4B49079A" w:rsidR="00A876F3" w:rsidRPr="0088780C" w:rsidRDefault="00A876F3" w:rsidP="008E37C6">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6 Баймуканов М. Жданко Л.А. и др. Изучение динамики численности и комплексная оценка факторов угроз популяции каспийского тюленя // Отчет о научно-исследовательской работе (промеж</w:t>
      </w:r>
      <w:r w:rsidR="008E37C6" w:rsidRPr="0088780C">
        <w:rPr>
          <w:snapToGrid w:val="0"/>
          <w:kern w:val="22"/>
          <w:szCs w:val="22"/>
          <w:lang w:val="ru-RU"/>
        </w:rPr>
        <w:t>уточный). Алматы, 2016. – 66 с.</w:t>
      </w:r>
    </w:p>
    <w:p w14:paraId="7883402E" w14:textId="3B6ABD00" w:rsidR="00A876F3" w:rsidRPr="0088780C" w:rsidRDefault="00A876F3" w:rsidP="008E37C6">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7 Баймуканов М. Жданко Л.А. и др. Изучение динамики численности и комплексная оценка факторов угроз популяции каспийского тюленя // Отчет о научно-исследовательской работе (промежуточный). Алматы, 2015. – 53</w:t>
      </w:r>
      <w:r w:rsidR="008E37C6" w:rsidRPr="0088780C">
        <w:rPr>
          <w:snapToGrid w:val="0"/>
          <w:kern w:val="22"/>
          <w:szCs w:val="22"/>
          <w:lang w:val="ru-RU"/>
        </w:rPr>
        <w:t xml:space="preserve"> с.</w:t>
      </w:r>
    </w:p>
    <w:p w14:paraId="5E421840" w14:textId="77777777" w:rsidR="00A876F3" w:rsidRPr="0088780C" w:rsidRDefault="00A876F3" w:rsidP="008E37C6">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8 Tero Harkonen, Mart Ju. ssi, Mirgaly Baimukanov, Anders Bignert, Lilia Dmitrieva, Yesbol Kasimbekov, Mikhail Verevkin, Susan Wilson and Simon J. Goodman Pup Production and Breeding Distribution of the Caspian Seal (Phoca caspica) in Relation to Human Impacts//Ambio Vol. 37, No. 5, July 2008. Р.356-361.</w:t>
      </w:r>
    </w:p>
    <w:p w14:paraId="28A92CB0" w14:textId="77777777" w:rsidR="00A876F3" w:rsidRPr="0088780C" w:rsidRDefault="00A876F3" w:rsidP="008E37C6">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8 Сокольский А.Ф. и др. Современное состояние биопродуктивности Каспийского моря и причины деградации популяции тюленей за последние 300 лет. Астрахань, 2008. 178 с.</w:t>
      </w:r>
    </w:p>
    <w:p w14:paraId="7D2422D1" w14:textId="78FEE3D7" w:rsidR="00A876F3" w:rsidRPr="0088780C" w:rsidRDefault="00A876F3" w:rsidP="008E37C6">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9 Л.Дмитриева, А. Кондаков, Е. Олейников, А.Кыдырманов,К. Карамендин, М. Баймуканов, Е.Касымбеков, С. Уилсон, Саймон Дж. Гудман. Прилов каспийского тюленя в нелегальном рыболовстве: оценка методом интервью// http://www.kaspika.org/assessment-of-caspian-se</w:t>
      </w:r>
      <w:r w:rsidR="008E37C6" w:rsidRPr="0088780C">
        <w:rPr>
          <w:snapToGrid w:val="0"/>
          <w:kern w:val="22"/>
          <w:szCs w:val="22"/>
          <w:lang w:val="ru-RU"/>
        </w:rPr>
        <w:t>al-bycatch-in-illegal-fishery/.</w:t>
      </w:r>
    </w:p>
    <w:p w14:paraId="6E58A5AF" w14:textId="77777777" w:rsidR="00A876F3" w:rsidRPr="0088780C" w:rsidRDefault="00A876F3" w:rsidP="008E37C6">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10 Оценка ледовых условий в Казахстанском секторе Каспийского моря//http://gbpp.org/100-21</w:t>
      </w:r>
    </w:p>
    <w:p w14:paraId="59D90ADB" w14:textId="77777777" w:rsidR="00A876F3" w:rsidRPr="0088780C" w:rsidRDefault="00A876F3" w:rsidP="008E37C6">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11 Крылов В.И. К биологии каспийского тюленя Pusa caspica Gmelin, 1788//Бюллетень М. о-ва исп. природы, отд. биологич., Т. 81 (1), 1976. С. 15-27.</w:t>
      </w:r>
    </w:p>
    <w:p w14:paraId="76825D21" w14:textId="77777777" w:rsidR="00A876F3" w:rsidRPr="0088780C" w:rsidRDefault="00A876F3" w:rsidP="008E37C6">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12 Баймуканова А., Жданко Л., Баймуканов Т., Баймуканов М. Сохранение лежбища каспийского тюленя (Pusa caspica) в заливе Кендирли//Материалы международной конференции Голарктика 2016. Астрахань, 2016. В печати.</w:t>
      </w:r>
    </w:p>
    <w:p w14:paraId="023BB892" w14:textId="77777777" w:rsidR="00A876F3" w:rsidRPr="0088780C" w:rsidRDefault="00A876F3" w:rsidP="008E37C6">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color w:val="000000"/>
          <w:kern w:val="22"/>
          <w:szCs w:val="22"/>
        </w:rPr>
        <w:t>13 Dmitrieva, L., Härkönen, T., Baimukanov, M., Bignert, A., Jüssi, I., Jüssi, M., … Goodman, S. (2015). Inter-year variation in pup production of Caspian seals Pusa caspica 2005–2012 determined from aerial surveys. Endangered Species Research, 28(3), 209–223</w:t>
      </w:r>
      <w:r w:rsidRPr="0088780C">
        <w:rPr>
          <w:snapToGrid w:val="0"/>
          <w:kern w:val="22"/>
          <w:szCs w:val="22"/>
        </w:rPr>
        <w:t xml:space="preserve">. </w:t>
      </w:r>
      <w:hyperlink r:id="rId237" w:history="1">
        <w:r w:rsidRPr="0088780C">
          <w:rPr>
            <w:rStyle w:val="Hyperlink"/>
            <w:snapToGrid w:val="0"/>
            <w:kern w:val="22"/>
            <w:szCs w:val="22"/>
          </w:rPr>
          <w:t>https://doi.org/10.3354/esr00689</w:t>
        </w:r>
      </w:hyperlink>
    </w:p>
    <w:p w14:paraId="48247D00" w14:textId="77777777" w:rsidR="00A876F3" w:rsidRPr="0088780C" w:rsidRDefault="00A876F3" w:rsidP="001013AF">
      <w:pPr>
        <w:suppressLineNumbers/>
        <w:suppressAutoHyphens/>
        <w:kinsoku w:val="0"/>
        <w:overflowPunct w:val="0"/>
        <w:autoSpaceDE w:val="0"/>
        <w:autoSpaceDN w:val="0"/>
        <w:ind w:firstLine="720"/>
        <w:rPr>
          <w:snapToGrid w:val="0"/>
          <w:kern w:val="22"/>
          <w:szCs w:val="22"/>
        </w:rPr>
      </w:pPr>
      <w:r w:rsidRPr="0088780C">
        <w:rPr>
          <w:snapToGrid w:val="0"/>
          <w:kern w:val="22"/>
          <w:szCs w:val="22"/>
        </w:rPr>
        <w:br w:type="page"/>
      </w:r>
    </w:p>
    <w:p w14:paraId="3ADC392D"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Maps, Figures and Tables</w:t>
      </w:r>
    </w:p>
    <w:p w14:paraId="2D8A4B77"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p>
    <w:p w14:paraId="2D7DDF16"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noProof/>
          <w:snapToGrid w:val="0"/>
          <w:kern w:val="22"/>
          <w:szCs w:val="22"/>
          <w:lang w:eastAsia="zh-CN"/>
        </w:rPr>
        <w:drawing>
          <wp:inline distT="0" distB="0" distL="0" distR="0" wp14:anchorId="445C48CE" wp14:editId="2361EFE3">
            <wp:extent cx="5486400" cy="4572000"/>
            <wp:effectExtent l="0" t="0" r="0" b="0"/>
            <wp:docPr id="4125" name="Picture 4125" descr="C:\Users\grekin\AppData\Local\Microsoft\Windows\Temporary Internet Files\Content.Word\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grekin\AppData\Local\Microsoft\Windows\Temporary Internet Files\Content.Word\19.png"/>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50E41413"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Figure 1. Area meeting the EBSA criteria</w:t>
      </w:r>
    </w:p>
    <w:p w14:paraId="62A43D6F" w14:textId="4BB56EF8" w:rsidR="008E37C6" w:rsidRPr="0088780C" w:rsidRDefault="008E37C6">
      <w:pPr>
        <w:jc w:val="left"/>
        <w:rPr>
          <w:rFonts w:eastAsia="MS Mincho"/>
          <w:b/>
          <w:snapToGrid w:val="0"/>
          <w:kern w:val="22"/>
          <w:szCs w:val="22"/>
        </w:rPr>
      </w:pPr>
      <w:r w:rsidRPr="0088780C">
        <w:rPr>
          <w:rFonts w:eastAsia="MS Mincho"/>
          <w:b/>
          <w:snapToGrid w:val="0"/>
          <w:kern w:val="22"/>
          <w:szCs w:val="22"/>
        </w:rPr>
        <w:br w:type="page"/>
      </w:r>
    </w:p>
    <w:p w14:paraId="0A6EF9A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1D5B918"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lang w:eastAsia="ru-RU"/>
        </w:rPr>
      </w:pPr>
      <w:r w:rsidRPr="0088780C">
        <w:rPr>
          <w:rFonts w:eastAsia="MS Mincho"/>
          <w:b/>
          <w:noProof/>
          <w:snapToGrid w:val="0"/>
          <w:kern w:val="22"/>
          <w:szCs w:val="22"/>
          <w:lang w:eastAsia="zh-CN"/>
        </w:rPr>
        <mc:AlternateContent>
          <mc:Choice Requires="wps">
            <w:drawing>
              <wp:anchor distT="0" distB="0" distL="114300" distR="114300" simplePos="0" relativeHeight="251662336" behindDoc="0" locked="0" layoutInCell="1" allowOverlap="1" wp14:anchorId="7F3CA443" wp14:editId="5476A582">
                <wp:simplePos x="0" y="0"/>
                <wp:positionH relativeFrom="column">
                  <wp:posOffset>2814955</wp:posOffset>
                </wp:positionH>
                <wp:positionV relativeFrom="paragraph">
                  <wp:posOffset>357505</wp:posOffset>
                </wp:positionV>
                <wp:extent cx="429260" cy="196850"/>
                <wp:effectExtent l="19050" t="19050" r="46990" b="31750"/>
                <wp:wrapNone/>
                <wp:docPr id="414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260" cy="196850"/>
                        </a:xfrm>
                        <a:prstGeom prst="ellipse">
                          <a:avLst/>
                        </a:prstGeom>
                        <a:solidFill>
                          <a:srgbClr val="FFFFFF">
                            <a:alpha val="0"/>
                          </a:srgbClr>
                        </a:solidFill>
                        <a:ln w="50800">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4F7A42" id="Oval 9" o:spid="_x0000_s1026" style="position:absolute;margin-left:221.65pt;margin-top:28.15pt;width:33.8pt;height: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" strokecolor="red" strokeweight="4pt">
                <v:fill opacity="0"/>
              </v:oval>
            </w:pict>
          </mc:Fallback>
        </mc:AlternateContent>
      </w:r>
      <w:r w:rsidRPr="0088780C">
        <w:rPr>
          <w:rFonts w:eastAsia="MS Mincho"/>
          <w:b/>
          <w:noProof/>
          <w:snapToGrid w:val="0"/>
          <w:kern w:val="22"/>
          <w:szCs w:val="22"/>
          <w:lang w:eastAsia="zh-CN"/>
        </w:rPr>
        <w:drawing>
          <wp:inline distT="0" distB="0" distL="0" distR="0" wp14:anchorId="66B86023" wp14:editId="4A4D1ED8">
            <wp:extent cx="2056190" cy="2159000"/>
            <wp:effectExtent l="19050" t="0" r="1210" b="0"/>
            <wp:docPr id="4152" name="Рисунок 6" descr="KZ_Mangystau_Region_Rel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Z_Mangystau_Region_Relief.png"/>
                    <pic:cNvPicPr/>
                  </pic:nvPicPr>
                  <pic:blipFill>
                    <a:blip r:embed="rId239" cstate="print"/>
                    <a:stretch>
                      <a:fillRect/>
                    </a:stretch>
                  </pic:blipFill>
                  <pic:spPr>
                    <a:xfrm>
                      <a:off x="0" y="0"/>
                      <a:ext cx="2057580" cy="2160460"/>
                    </a:xfrm>
                    <a:prstGeom prst="rect">
                      <a:avLst/>
                    </a:prstGeom>
                  </pic:spPr>
                </pic:pic>
              </a:graphicData>
            </a:graphic>
          </wp:inline>
        </w:drawing>
      </w:r>
    </w:p>
    <w:p w14:paraId="0F2AAB88"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rPr>
      </w:pPr>
    </w:p>
    <w:p w14:paraId="730343C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Figure 2</w:t>
      </w:r>
      <w:r w:rsidRPr="0088780C">
        <w:rPr>
          <w:rFonts w:eastAsia="MS Mincho"/>
          <w:snapToGrid w:val="0"/>
          <w:kern w:val="22"/>
          <w:szCs w:val="22"/>
        </w:rPr>
        <w:t>. Location of the Durnev islands in Komsomol Bay</w:t>
      </w:r>
    </w:p>
    <w:p w14:paraId="5F4B9B5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293D449"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lang w:eastAsia="ru-RU"/>
        </w:rPr>
      </w:pPr>
      <w:r w:rsidRPr="0088780C">
        <w:rPr>
          <w:rFonts w:eastAsia="MS Mincho"/>
          <w:b/>
          <w:noProof/>
          <w:snapToGrid w:val="0"/>
          <w:kern w:val="22"/>
          <w:szCs w:val="22"/>
          <w:lang w:eastAsia="zh-CN"/>
        </w:rPr>
        <w:drawing>
          <wp:inline distT="0" distB="0" distL="0" distR="0" wp14:anchorId="0BA50F2D" wp14:editId="5643E87E">
            <wp:extent cx="3159360" cy="2101850"/>
            <wp:effectExtent l="19050" t="0" r="2940" b="0"/>
            <wp:docPr id="4153" name="Рисунок 25" descr="о-ва Дурнева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ва Дурнева фото"/>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169784" cy="2108785"/>
                    </a:xfrm>
                    <a:prstGeom prst="rect">
                      <a:avLst/>
                    </a:prstGeom>
                    <a:noFill/>
                    <a:ln>
                      <a:noFill/>
                    </a:ln>
                  </pic:spPr>
                </pic:pic>
              </a:graphicData>
            </a:graphic>
          </wp:inline>
        </w:drawing>
      </w:r>
    </w:p>
    <w:p w14:paraId="2C43F9BE"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lang w:eastAsia="ru-RU"/>
        </w:rPr>
      </w:pPr>
    </w:p>
    <w:p w14:paraId="46D0C65D"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eastAsia="ru-RU"/>
        </w:rPr>
      </w:pPr>
      <w:r w:rsidRPr="0088780C">
        <w:rPr>
          <w:rFonts w:eastAsia="MS Mincho"/>
          <w:b/>
          <w:snapToGrid w:val="0"/>
          <w:kern w:val="22"/>
          <w:szCs w:val="22"/>
          <w:lang w:eastAsia="ru-RU"/>
        </w:rPr>
        <w:t>Figure 3</w:t>
      </w:r>
      <w:r w:rsidRPr="0088780C">
        <w:rPr>
          <w:rFonts w:eastAsia="MS Mincho"/>
          <w:snapToGrid w:val="0"/>
          <w:kern w:val="22"/>
          <w:szCs w:val="22"/>
          <w:lang w:eastAsia="ru-RU"/>
        </w:rPr>
        <w:t>. Durnev Islands</w:t>
      </w:r>
    </w:p>
    <w:p w14:paraId="5256BD8B"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lang w:eastAsia="ru-RU"/>
        </w:rPr>
      </w:pPr>
    </w:p>
    <w:p w14:paraId="64B25C94"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lang w:eastAsia="ru-RU"/>
        </w:rPr>
      </w:pPr>
      <w:r w:rsidRPr="0088780C">
        <w:rPr>
          <w:rFonts w:eastAsia="MS Mincho"/>
          <w:noProof/>
          <w:snapToGrid w:val="0"/>
          <w:kern w:val="22"/>
          <w:szCs w:val="22"/>
          <w:lang w:eastAsia="zh-CN"/>
        </w:rPr>
        <mc:AlternateContent>
          <mc:Choice Requires="wps">
            <w:drawing>
              <wp:anchor distT="0" distB="0" distL="114300" distR="114300" simplePos="0" relativeHeight="251663360" behindDoc="0" locked="0" layoutInCell="1" allowOverlap="1" wp14:anchorId="063B1DFE" wp14:editId="24FA4230">
                <wp:simplePos x="0" y="0"/>
                <wp:positionH relativeFrom="column">
                  <wp:posOffset>3250565</wp:posOffset>
                </wp:positionH>
                <wp:positionV relativeFrom="paragraph">
                  <wp:posOffset>1548130</wp:posOffset>
                </wp:positionV>
                <wp:extent cx="485775" cy="976630"/>
                <wp:effectExtent l="57150" t="38100" r="66675" b="13970"/>
                <wp:wrapNone/>
                <wp:docPr id="415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upArrow">
                          <a:avLst>
                            <a:gd name="adj1" fmla="val 50000"/>
                            <a:gd name="adj2" fmla="val 50261"/>
                          </a:avLst>
                        </a:prstGeom>
                        <a:solidFill>
                          <a:srgbClr val="FFFFFF"/>
                        </a:solidFill>
                        <a:ln w="2857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59564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0" o:spid="_x0000_s1026" type="#_x0000_t68" style="position:absolute;margin-left:255.95pt;margin-top:121.9pt;width:38.25pt;height:7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" strokeweight="2.25pt">
                <v:textbox style="layout-flow:vertical-ideographic"/>
              </v:shape>
            </w:pict>
          </mc:Fallback>
        </mc:AlternateContent>
      </w:r>
      <w:r w:rsidRPr="0088780C">
        <w:rPr>
          <w:rFonts w:eastAsia="MS Mincho"/>
          <w:noProof/>
          <w:snapToGrid w:val="0"/>
          <w:kern w:val="22"/>
          <w:szCs w:val="22"/>
          <w:lang w:eastAsia="zh-CN"/>
        </w:rPr>
        <w:drawing>
          <wp:inline distT="0" distB="0" distL="0" distR="0" wp14:anchorId="2FC9E5A8" wp14:editId="6F7C3D0A">
            <wp:extent cx="4870450" cy="5140778"/>
            <wp:effectExtent l="19050" t="0" r="6350" b="0"/>
            <wp:docPr id="4154" name="Рисунок 0" descr="Каспий Залив Комсомолец.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спий Залив Комсомолец.TIF"/>
                    <pic:cNvPicPr/>
                  </pic:nvPicPr>
                  <pic:blipFill>
                    <a:blip r:embed="rId241" cstate="print"/>
                    <a:stretch>
                      <a:fillRect/>
                    </a:stretch>
                  </pic:blipFill>
                  <pic:spPr>
                    <a:xfrm>
                      <a:off x="0" y="0"/>
                      <a:ext cx="4874884" cy="5145458"/>
                    </a:xfrm>
                    <a:prstGeom prst="rect">
                      <a:avLst/>
                    </a:prstGeom>
                  </pic:spPr>
                </pic:pic>
              </a:graphicData>
            </a:graphic>
          </wp:inline>
        </w:drawing>
      </w:r>
    </w:p>
    <w:p w14:paraId="299686D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lang w:eastAsia="ru-RU"/>
        </w:rPr>
      </w:pPr>
      <w:r w:rsidRPr="0088780C">
        <w:rPr>
          <w:rFonts w:eastAsia="MS Mincho"/>
          <w:b/>
          <w:snapToGrid w:val="0"/>
          <w:kern w:val="22"/>
          <w:szCs w:val="22"/>
          <w:lang w:eastAsia="ru-RU"/>
        </w:rPr>
        <w:t>Figure 4. Location of the Durnev Islands in Komsomol Bay</w:t>
      </w:r>
    </w:p>
    <w:p w14:paraId="0EC091B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eastAsia="ru-RU"/>
        </w:rPr>
      </w:pPr>
    </w:p>
    <w:p w14:paraId="0CA40E7A" w14:textId="60B394F6" w:rsidR="00A876F3" w:rsidRPr="0088780C" w:rsidRDefault="00A876F3" w:rsidP="001013AF">
      <w:pPr>
        <w:suppressLineNumbers/>
        <w:suppressAutoHyphens/>
        <w:kinsoku w:val="0"/>
        <w:overflowPunct w:val="0"/>
        <w:autoSpaceDE w:val="0"/>
        <w:autoSpaceDN w:val="0"/>
        <w:rPr>
          <w:rFonts w:eastAsia="MS Mincho"/>
          <w:b/>
          <w:snapToGrid w:val="0"/>
          <w:kern w:val="22"/>
          <w:szCs w:val="22"/>
          <w:lang w:eastAsia="ru-RU"/>
        </w:rPr>
      </w:pPr>
      <w:r w:rsidRPr="0088780C">
        <w:rPr>
          <w:rFonts w:eastAsia="MS Mincho"/>
          <w:b/>
          <w:snapToGrid w:val="0"/>
          <w:kern w:val="22"/>
          <w:szCs w:val="22"/>
          <w:lang w:eastAsia="ru-RU"/>
        </w:rPr>
        <w:t xml:space="preserve">Table 1. </w:t>
      </w:r>
      <w:r w:rsidR="008E37C6" w:rsidRPr="0088780C">
        <w:rPr>
          <w:rFonts w:eastAsia="MS Mincho"/>
          <w:b/>
          <w:snapToGrid w:val="0"/>
          <w:kern w:val="22"/>
          <w:szCs w:val="22"/>
          <w:lang w:eastAsia="ru-RU"/>
        </w:rPr>
        <w:t xml:space="preserve">The number of Caspian seals in </w:t>
      </w:r>
      <w:r w:rsidRPr="0088780C">
        <w:rPr>
          <w:rFonts w:eastAsia="MS Mincho"/>
          <w:b/>
          <w:snapToGrid w:val="0"/>
          <w:kern w:val="22"/>
          <w:szCs w:val="22"/>
          <w:lang w:eastAsia="ru-RU"/>
        </w:rPr>
        <w:t>rookery 1 (Durnev Islands)</w:t>
      </w:r>
    </w:p>
    <w:tbl>
      <w:tblPr>
        <w:tblStyle w:val="TableGrid"/>
        <w:tblW w:w="0" w:type="auto"/>
        <w:tblLook w:val="04A0" w:firstRow="1" w:lastRow="0" w:firstColumn="1" w:lastColumn="0" w:noHBand="0" w:noVBand="1"/>
      </w:tblPr>
      <w:tblGrid>
        <w:gridCol w:w="2245"/>
        <w:gridCol w:w="4836"/>
        <w:gridCol w:w="2495"/>
      </w:tblGrid>
      <w:tr w:rsidR="00A876F3" w:rsidRPr="0088780C" w14:paraId="1CCE2A15" w14:textId="77777777" w:rsidTr="006972AD">
        <w:tc>
          <w:tcPr>
            <w:tcW w:w="2376" w:type="dxa"/>
            <w:tcBorders>
              <w:left w:val="single" w:sz="4" w:space="0" w:color="auto"/>
            </w:tcBorders>
          </w:tcPr>
          <w:p w14:paraId="0CCC19BE" w14:textId="77777777" w:rsidR="00A876F3" w:rsidRPr="0088780C" w:rsidRDefault="00A876F3" w:rsidP="008E37C6">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Date</w:t>
            </w:r>
          </w:p>
        </w:tc>
        <w:tc>
          <w:tcPr>
            <w:tcW w:w="3119" w:type="dxa"/>
          </w:tcPr>
          <w:p w14:paraId="0D044313" w14:textId="77777777" w:rsidR="00A876F3" w:rsidRPr="0088780C" w:rsidRDefault="00A876F3" w:rsidP="008E37C6">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Group</w:t>
            </w:r>
          </w:p>
        </w:tc>
        <w:tc>
          <w:tcPr>
            <w:tcW w:w="2693" w:type="dxa"/>
            <w:tcBorders>
              <w:right w:val="single" w:sz="4" w:space="0" w:color="auto"/>
            </w:tcBorders>
          </w:tcPr>
          <w:p w14:paraId="778DFA74" w14:textId="77777777" w:rsidR="00A876F3" w:rsidRPr="0088780C" w:rsidRDefault="00A876F3" w:rsidP="008E37C6">
            <w:pPr>
              <w:suppressLineNumbers/>
              <w:suppressAutoHyphens/>
              <w:kinsoku w:val="0"/>
              <w:overflowPunct w:val="0"/>
              <w:autoSpaceDE w:val="0"/>
              <w:autoSpaceDN w:val="0"/>
              <w:jc w:val="center"/>
              <w:rPr>
                <w:i/>
                <w:iCs/>
                <w:snapToGrid w:val="0"/>
                <w:kern w:val="22"/>
                <w:szCs w:val="22"/>
              </w:rPr>
            </w:pPr>
            <w:r w:rsidRPr="0088780C">
              <w:rPr>
                <w:i/>
                <w:iCs/>
                <w:snapToGrid w:val="0"/>
                <w:kern w:val="22"/>
                <w:szCs w:val="22"/>
              </w:rPr>
              <w:t>Number of seals</w:t>
            </w:r>
          </w:p>
        </w:tc>
      </w:tr>
      <w:tr w:rsidR="00A876F3" w:rsidRPr="0088780C" w14:paraId="0D41D179" w14:textId="77777777" w:rsidTr="006972AD">
        <w:tc>
          <w:tcPr>
            <w:tcW w:w="2376" w:type="dxa"/>
            <w:tcBorders>
              <w:left w:val="single" w:sz="4" w:space="0" w:color="auto"/>
            </w:tcBorders>
          </w:tcPr>
          <w:p w14:paraId="2C311782"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29.04.2016</w:t>
            </w:r>
          </w:p>
        </w:tc>
        <w:tc>
          <w:tcPr>
            <w:tcW w:w="3119" w:type="dxa"/>
          </w:tcPr>
          <w:p w14:paraId="725FB2AF"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1</w:t>
            </w:r>
          </w:p>
        </w:tc>
        <w:tc>
          <w:tcPr>
            <w:tcW w:w="2693" w:type="dxa"/>
            <w:tcBorders>
              <w:right w:val="single" w:sz="4" w:space="0" w:color="auto"/>
            </w:tcBorders>
          </w:tcPr>
          <w:p w14:paraId="5C56E952"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224</w:t>
            </w:r>
          </w:p>
        </w:tc>
      </w:tr>
      <w:tr w:rsidR="00A876F3" w:rsidRPr="0088780C" w14:paraId="758526D4" w14:textId="77777777" w:rsidTr="006972AD">
        <w:tc>
          <w:tcPr>
            <w:tcW w:w="2376" w:type="dxa"/>
            <w:tcBorders>
              <w:left w:val="single" w:sz="4" w:space="0" w:color="auto"/>
              <w:bottom w:val="single" w:sz="4" w:space="0" w:color="auto"/>
            </w:tcBorders>
          </w:tcPr>
          <w:p w14:paraId="310DCAE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29.04.2016</w:t>
            </w:r>
          </w:p>
        </w:tc>
        <w:tc>
          <w:tcPr>
            <w:tcW w:w="3119" w:type="dxa"/>
            <w:tcBorders>
              <w:bottom w:val="single" w:sz="4" w:space="0" w:color="auto"/>
            </w:tcBorders>
          </w:tcPr>
          <w:p w14:paraId="792DBF61"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2</w:t>
            </w:r>
          </w:p>
        </w:tc>
        <w:tc>
          <w:tcPr>
            <w:tcW w:w="2693" w:type="dxa"/>
            <w:tcBorders>
              <w:bottom w:val="single" w:sz="4" w:space="0" w:color="auto"/>
              <w:right w:val="single" w:sz="4" w:space="0" w:color="auto"/>
            </w:tcBorders>
          </w:tcPr>
          <w:p w14:paraId="6B13E6AB"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167</w:t>
            </w:r>
          </w:p>
        </w:tc>
      </w:tr>
      <w:tr w:rsidR="00A876F3" w:rsidRPr="0088780C" w14:paraId="3E511EA7" w14:textId="77777777" w:rsidTr="006972AD">
        <w:tc>
          <w:tcPr>
            <w:tcW w:w="2376" w:type="dxa"/>
            <w:tcBorders>
              <w:left w:val="single" w:sz="4" w:space="0" w:color="auto"/>
              <w:bottom w:val="single" w:sz="4" w:space="0" w:color="auto"/>
            </w:tcBorders>
          </w:tcPr>
          <w:p w14:paraId="102F84D6"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01.05.2016</w:t>
            </w:r>
          </w:p>
        </w:tc>
        <w:tc>
          <w:tcPr>
            <w:tcW w:w="3119" w:type="dxa"/>
            <w:tcBorders>
              <w:bottom w:val="single" w:sz="4" w:space="0" w:color="auto"/>
            </w:tcBorders>
          </w:tcPr>
          <w:p w14:paraId="0A07B5ED"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1</w:t>
            </w:r>
          </w:p>
        </w:tc>
        <w:tc>
          <w:tcPr>
            <w:tcW w:w="2693" w:type="dxa"/>
            <w:tcBorders>
              <w:bottom w:val="single" w:sz="4" w:space="0" w:color="auto"/>
              <w:right w:val="single" w:sz="4" w:space="0" w:color="auto"/>
            </w:tcBorders>
          </w:tcPr>
          <w:p w14:paraId="64DAF0B4"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227</w:t>
            </w:r>
          </w:p>
        </w:tc>
      </w:tr>
      <w:tr w:rsidR="00A876F3" w:rsidRPr="0088780C" w14:paraId="33401DDB" w14:textId="77777777" w:rsidTr="006972AD">
        <w:tc>
          <w:tcPr>
            <w:tcW w:w="2376" w:type="dxa"/>
            <w:tcBorders>
              <w:top w:val="single" w:sz="4" w:space="0" w:color="auto"/>
              <w:left w:val="nil"/>
              <w:bottom w:val="nil"/>
              <w:right w:val="nil"/>
            </w:tcBorders>
          </w:tcPr>
          <w:p w14:paraId="4B83092E" w14:textId="77777777" w:rsidR="00A876F3" w:rsidRPr="0088780C" w:rsidRDefault="00A876F3" w:rsidP="001013AF">
            <w:pPr>
              <w:suppressLineNumbers/>
              <w:suppressAutoHyphens/>
              <w:kinsoku w:val="0"/>
              <w:overflowPunct w:val="0"/>
              <w:autoSpaceDE w:val="0"/>
              <w:autoSpaceDN w:val="0"/>
              <w:rPr>
                <w:snapToGrid w:val="0"/>
                <w:kern w:val="22"/>
                <w:szCs w:val="22"/>
              </w:rPr>
            </w:pPr>
          </w:p>
        </w:tc>
        <w:tc>
          <w:tcPr>
            <w:tcW w:w="3119" w:type="dxa"/>
            <w:tcBorders>
              <w:top w:val="single" w:sz="4" w:space="0" w:color="auto"/>
              <w:left w:val="nil"/>
              <w:bottom w:val="nil"/>
              <w:right w:val="nil"/>
            </w:tcBorders>
          </w:tcPr>
          <w:p w14:paraId="7D040DF6"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noProof/>
                <w:snapToGrid w:val="0"/>
                <w:kern w:val="22"/>
                <w:szCs w:val="22"/>
                <w:lang w:eastAsia="zh-CN"/>
              </w:rPr>
              <w:drawing>
                <wp:inline distT="0" distB="0" distL="0" distR="0" wp14:anchorId="0C3E8EC3" wp14:editId="56F7987E">
                  <wp:extent cx="2906021" cy="1936750"/>
                  <wp:effectExtent l="19050" t="0" r="8629" b="0"/>
                  <wp:docPr id="4155" name="Picture 1" descr="C:\Users\bsld\AppData\Local\Microsoft\Windows\Temporary Internet Files\Content.Word\IMG_7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ld\AppData\Local\Microsoft\Windows\Temporary Internet Files\Content.Word\IMG_7963.jpg"/>
                          <pic:cNvPicPr>
                            <a:picLocks noChangeAspect="1" noChangeArrowheads="1"/>
                          </pic:cNvPicPr>
                        </pic:nvPicPr>
                        <pic:blipFill>
                          <a:blip r:embed="rId242" cstate="print"/>
                          <a:srcRect/>
                          <a:stretch>
                            <a:fillRect/>
                          </a:stretch>
                        </pic:blipFill>
                        <pic:spPr bwMode="auto">
                          <a:xfrm>
                            <a:off x="0" y="0"/>
                            <a:ext cx="2909434" cy="1939025"/>
                          </a:xfrm>
                          <a:prstGeom prst="rect">
                            <a:avLst/>
                          </a:prstGeom>
                          <a:noFill/>
                          <a:ln w="9525">
                            <a:noFill/>
                            <a:miter lim="800000"/>
                            <a:headEnd/>
                            <a:tailEnd/>
                          </a:ln>
                        </pic:spPr>
                      </pic:pic>
                    </a:graphicData>
                  </a:graphic>
                </wp:inline>
              </w:drawing>
            </w:r>
          </w:p>
        </w:tc>
        <w:tc>
          <w:tcPr>
            <w:tcW w:w="2693" w:type="dxa"/>
            <w:tcBorders>
              <w:top w:val="single" w:sz="4" w:space="0" w:color="auto"/>
              <w:left w:val="nil"/>
              <w:bottom w:val="nil"/>
              <w:right w:val="nil"/>
            </w:tcBorders>
          </w:tcPr>
          <w:p w14:paraId="16576EBE" w14:textId="77777777" w:rsidR="00A876F3" w:rsidRPr="0088780C" w:rsidRDefault="00A876F3" w:rsidP="001013AF">
            <w:pPr>
              <w:suppressLineNumbers/>
              <w:suppressAutoHyphens/>
              <w:kinsoku w:val="0"/>
              <w:overflowPunct w:val="0"/>
              <w:autoSpaceDE w:val="0"/>
              <w:autoSpaceDN w:val="0"/>
              <w:rPr>
                <w:snapToGrid w:val="0"/>
                <w:kern w:val="22"/>
                <w:szCs w:val="22"/>
              </w:rPr>
            </w:pPr>
          </w:p>
        </w:tc>
      </w:tr>
    </w:tbl>
    <w:p w14:paraId="3DC62231"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lang w:eastAsia="ru-RU"/>
        </w:rPr>
      </w:pPr>
    </w:p>
    <w:p w14:paraId="0A1564AE" w14:textId="71C40DCC" w:rsidR="006C145D" w:rsidRPr="0088780C" w:rsidRDefault="00A876F3" w:rsidP="006C145D">
      <w:pPr>
        <w:suppressLineNumbers/>
        <w:suppressAutoHyphens/>
        <w:kinsoku w:val="0"/>
        <w:overflowPunct w:val="0"/>
        <w:autoSpaceDE w:val="0"/>
        <w:autoSpaceDN w:val="0"/>
        <w:jc w:val="center"/>
        <w:rPr>
          <w:rFonts w:eastAsia="MS Mincho"/>
          <w:b/>
          <w:snapToGrid w:val="0"/>
          <w:kern w:val="22"/>
          <w:szCs w:val="22"/>
          <w:lang w:eastAsia="ru-RU"/>
        </w:rPr>
      </w:pPr>
      <w:r w:rsidRPr="0088780C">
        <w:rPr>
          <w:rFonts w:eastAsia="MS Mincho"/>
          <w:b/>
          <w:snapToGrid w:val="0"/>
          <w:kern w:val="22"/>
          <w:szCs w:val="22"/>
          <w:lang w:eastAsia="ru-RU"/>
        </w:rPr>
        <w:t>Figure 5 – Spring 2011</w:t>
      </w:r>
      <w:r w:rsidR="006C145D" w:rsidRPr="0088780C">
        <w:rPr>
          <w:rFonts w:eastAsia="MS Mincho"/>
          <w:b/>
          <w:snapToGrid w:val="0"/>
          <w:kern w:val="22"/>
          <w:szCs w:val="22"/>
          <w:lang w:eastAsia="ru-RU"/>
        </w:rPr>
        <w:br w:type="page"/>
      </w:r>
    </w:p>
    <w:p w14:paraId="6BBE7E32" w14:textId="6C9A7AD7" w:rsidR="00A876F3" w:rsidRPr="0088780C" w:rsidRDefault="00A876F3" w:rsidP="006C145D">
      <w:pPr>
        <w:keepNext/>
        <w:suppressLineNumbers/>
        <w:suppressAutoHyphens/>
        <w:kinsoku w:val="0"/>
        <w:overflowPunct w:val="0"/>
        <w:autoSpaceDE w:val="0"/>
        <w:autoSpaceDN w:val="0"/>
        <w:spacing w:after="60"/>
        <w:jc w:val="center"/>
        <w:rPr>
          <w:rFonts w:eastAsia="MS Mincho"/>
          <w:b/>
          <w:snapToGrid w:val="0"/>
          <w:kern w:val="22"/>
          <w:szCs w:val="22"/>
          <w:lang w:eastAsia="ru-RU"/>
        </w:rPr>
      </w:pPr>
      <w:r w:rsidRPr="0088780C">
        <w:rPr>
          <w:rFonts w:eastAsia="MS Mincho"/>
          <w:b/>
          <w:snapToGrid w:val="0"/>
          <w:kern w:val="22"/>
          <w:szCs w:val="22"/>
          <w:lang w:eastAsia="ru-RU"/>
        </w:rPr>
        <w:t>Table 2. Daily movement of seals at the rookery on the Durne</w:t>
      </w:r>
      <w:r w:rsidR="006C145D" w:rsidRPr="0088780C">
        <w:rPr>
          <w:rFonts w:eastAsia="MS Mincho"/>
          <w:b/>
          <w:snapToGrid w:val="0"/>
          <w:kern w:val="22"/>
          <w:szCs w:val="22"/>
          <w:lang w:eastAsia="ru-RU"/>
        </w:rPr>
        <w:t>v Islands (rookery, rookery </w:t>
      </w:r>
      <w:r w:rsidRPr="0088780C">
        <w:rPr>
          <w:rFonts w:eastAsia="MS Mincho"/>
          <w:b/>
          <w:snapToGrid w:val="0"/>
          <w:kern w:val="22"/>
          <w:szCs w:val="22"/>
          <w:lang w:eastAsia="ru-RU"/>
        </w:rPr>
        <w:t>1)</w:t>
      </w:r>
    </w:p>
    <w:tbl>
      <w:tblPr>
        <w:tblW w:w="7953" w:type="dxa"/>
        <w:jc w:val="center"/>
        <w:tblLook w:val="04A0" w:firstRow="1" w:lastRow="0" w:firstColumn="1" w:lastColumn="0" w:noHBand="0" w:noVBand="1"/>
      </w:tblPr>
      <w:tblGrid>
        <w:gridCol w:w="1269"/>
        <w:gridCol w:w="1298"/>
        <w:gridCol w:w="1417"/>
        <w:gridCol w:w="1365"/>
        <w:gridCol w:w="2604"/>
      </w:tblGrid>
      <w:tr w:rsidR="00A876F3" w:rsidRPr="0088780C" w14:paraId="0D31ABD8" w14:textId="77777777" w:rsidTr="006C145D">
        <w:trPr>
          <w:trHeight w:val="440"/>
          <w:jc w:val="center"/>
        </w:trPr>
        <w:tc>
          <w:tcPr>
            <w:tcW w:w="1269" w:type="dxa"/>
            <w:tcBorders>
              <w:top w:val="single" w:sz="4" w:space="0" w:color="auto"/>
              <w:left w:val="single" w:sz="4" w:space="0" w:color="auto"/>
              <w:bottom w:val="single" w:sz="4" w:space="0" w:color="auto"/>
              <w:right w:val="single" w:sz="4" w:space="0" w:color="auto"/>
            </w:tcBorders>
            <w:shd w:val="clear" w:color="auto" w:fill="auto"/>
            <w:noWrap/>
            <w:hideMark/>
          </w:tcPr>
          <w:p w14:paraId="05FC2D98" w14:textId="77777777" w:rsidR="00A876F3" w:rsidRPr="0088780C" w:rsidRDefault="00A876F3" w:rsidP="006C145D">
            <w:pPr>
              <w:suppressLineNumbers/>
              <w:suppressAutoHyphens/>
              <w:kinsoku w:val="0"/>
              <w:overflowPunct w:val="0"/>
              <w:autoSpaceDE w:val="0"/>
              <w:autoSpaceDN w:val="0"/>
              <w:jc w:val="center"/>
              <w:rPr>
                <w:bCs/>
                <w:i/>
                <w:iCs/>
                <w:snapToGrid w:val="0"/>
                <w:color w:val="000000"/>
                <w:kern w:val="22"/>
                <w:szCs w:val="22"/>
              </w:rPr>
            </w:pPr>
            <w:r w:rsidRPr="0088780C">
              <w:rPr>
                <w:bCs/>
                <w:i/>
                <w:iCs/>
                <w:snapToGrid w:val="0"/>
                <w:color w:val="000000"/>
                <w:kern w:val="22"/>
                <w:szCs w:val="22"/>
              </w:rPr>
              <w:t>Date</w:t>
            </w:r>
          </w:p>
        </w:tc>
        <w:tc>
          <w:tcPr>
            <w:tcW w:w="1298" w:type="dxa"/>
            <w:tcBorders>
              <w:top w:val="single" w:sz="4" w:space="0" w:color="auto"/>
              <w:left w:val="nil"/>
              <w:bottom w:val="single" w:sz="4" w:space="0" w:color="auto"/>
              <w:right w:val="single" w:sz="4" w:space="0" w:color="auto"/>
            </w:tcBorders>
            <w:shd w:val="clear" w:color="auto" w:fill="auto"/>
            <w:noWrap/>
            <w:hideMark/>
          </w:tcPr>
          <w:p w14:paraId="366DC336" w14:textId="77777777" w:rsidR="00A876F3" w:rsidRPr="0088780C" w:rsidRDefault="00A876F3" w:rsidP="006C145D">
            <w:pPr>
              <w:suppressLineNumbers/>
              <w:suppressAutoHyphens/>
              <w:kinsoku w:val="0"/>
              <w:overflowPunct w:val="0"/>
              <w:autoSpaceDE w:val="0"/>
              <w:autoSpaceDN w:val="0"/>
              <w:jc w:val="center"/>
              <w:rPr>
                <w:bCs/>
                <w:i/>
                <w:iCs/>
                <w:snapToGrid w:val="0"/>
                <w:color w:val="000000"/>
                <w:kern w:val="22"/>
                <w:szCs w:val="22"/>
              </w:rPr>
            </w:pPr>
            <w:r w:rsidRPr="0088780C">
              <w:rPr>
                <w:bCs/>
                <w:i/>
                <w:iCs/>
                <w:snapToGrid w:val="0"/>
                <w:color w:val="000000"/>
                <w:kern w:val="22"/>
                <w:szCs w:val="22"/>
              </w:rPr>
              <w:t>Time</w:t>
            </w:r>
          </w:p>
        </w:tc>
        <w:tc>
          <w:tcPr>
            <w:tcW w:w="1417" w:type="dxa"/>
            <w:tcBorders>
              <w:top w:val="single" w:sz="4" w:space="0" w:color="auto"/>
              <w:left w:val="nil"/>
              <w:bottom w:val="single" w:sz="4" w:space="0" w:color="auto"/>
              <w:right w:val="single" w:sz="4" w:space="0" w:color="auto"/>
            </w:tcBorders>
            <w:shd w:val="clear" w:color="auto" w:fill="auto"/>
            <w:hideMark/>
          </w:tcPr>
          <w:p w14:paraId="2BE6C1CA" w14:textId="77777777" w:rsidR="00A876F3" w:rsidRPr="0088780C" w:rsidRDefault="00A876F3" w:rsidP="006C145D">
            <w:pPr>
              <w:suppressLineNumbers/>
              <w:suppressAutoHyphens/>
              <w:kinsoku w:val="0"/>
              <w:overflowPunct w:val="0"/>
              <w:autoSpaceDE w:val="0"/>
              <w:autoSpaceDN w:val="0"/>
              <w:jc w:val="center"/>
              <w:rPr>
                <w:bCs/>
                <w:i/>
                <w:iCs/>
                <w:snapToGrid w:val="0"/>
                <w:color w:val="000000"/>
                <w:kern w:val="22"/>
                <w:szCs w:val="22"/>
              </w:rPr>
            </w:pPr>
            <w:r w:rsidRPr="0088780C">
              <w:rPr>
                <w:bCs/>
                <w:i/>
                <w:iCs/>
                <w:snapToGrid w:val="0"/>
                <w:color w:val="000000"/>
                <w:kern w:val="22"/>
                <w:szCs w:val="22"/>
              </w:rPr>
              <w:t>At the rookery parish, copies</w:t>
            </w:r>
          </w:p>
        </w:tc>
        <w:tc>
          <w:tcPr>
            <w:tcW w:w="1365" w:type="dxa"/>
            <w:tcBorders>
              <w:top w:val="single" w:sz="4" w:space="0" w:color="auto"/>
              <w:left w:val="nil"/>
              <w:bottom w:val="single" w:sz="4" w:space="0" w:color="auto"/>
              <w:right w:val="single" w:sz="4" w:space="0" w:color="auto"/>
            </w:tcBorders>
            <w:shd w:val="clear" w:color="auto" w:fill="auto"/>
            <w:hideMark/>
          </w:tcPr>
          <w:p w14:paraId="4EA52DAF" w14:textId="77777777" w:rsidR="00A876F3" w:rsidRPr="0088780C" w:rsidRDefault="00A876F3" w:rsidP="006C145D">
            <w:pPr>
              <w:suppressLineNumbers/>
              <w:suppressAutoHyphens/>
              <w:kinsoku w:val="0"/>
              <w:overflowPunct w:val="0"/>
              <w:autoSpaceDE w:val="0"/>
              <w:autoSpaceDN w:val="0"/>
              <w:jc w:val="center"/>
              <w:rPr>
                <w:bCs/>
                <w:i/>
                <w:iCs/>
                <w:snapToGrid w:val="0"/>
                <w:color w:val="000000"/>
                <w:kern w:val="22"/>
                <w:szCs w:val="22"/>
              </w:rPr>
            </w:pPr>
            <w:r w:rsidRPr="0088780C">
              <w:rPr>
                <w:bCs/>
                <w:i/>
                <w:iCs/>
                <w:snapToGrid w:val="0"/>
                <w:color w:val="000000"/>
                <w:kern w:val="22"/>
                <w:szCs w:val="22"/>
              </w:rPr>
              <w:t>With rookery care, copies</w:t>
            </w:r>
          </w:p>
        </w:tc>
        <w:tc>
          <w:tcPr>
            <w:tcW w:w="2604" w:type="dxa"/>
            <w:tcBorders>
              <w:top w:val="single" w:sz="4" w:space="0" w:color="auto"/>
              <w:left w:val="nil"/>
              <w:bottom w:val="single" w:sz="4" w:space="0" w:color="auto"/>
              <w:right w:val="single" w:sz="4" w:space="0" w:color="auto"/>
            </w:tcBorders>
            <w:shd w:val="clear" w:color="auto" w:fill="auto"/>
            <w:noWrap/>
          </w:tcPr>
          <w:p w14:paraId="31D68178" w14:textId="77777777" w:rsidR="00A876F3" w:rsidRPr="0088780C" w:rsidRDefault="00A876F3" w:rsidP="006C145D">
            <w:pPr>
              <w:suppressLineNumbers/>
              <w:suppressAutoHyphens/>
              <w:kinsoku w:val="0"/>
              <w:overflowPunct w:val="0"/>
              <w:autoSpaceDE w:val="0"/>
              <w:autoSpaceDN w:val="0"/>
              <w:jc w:val="center"/>
              <w:rPr>
                <w:bCs/>
                <w:i/>
                <w:iCs/>
                <w:snapToGrid w:val="0"/>
                <w:color w:val="000000"/>
                <w:kern w:val="22"/>
                <w:szCs w:val="22"/>
              </w:rPr>
            </w:pPr>
            <w:r w:rsidRPr="0088780C">
              <w:rPr>
                <w:bCs/>
                <w:i/>
                <w:iCs/>
                <w:snapToGrid w:val="0"/>
                <w:color w:val="000000"/>
                <w:kern w:val="22"/>
                <w:szCs w:val="22"/>
              </w:rPr>
              <w:t>Total care, copies</w:t>
            </w:r>
          </w:p>
        </w:tc>
      </w:tr>
      <w:tr w:rsidR="00A876F3" w:rsidRPr="0088780C" w14:paraId="2F30977F" w14:textId="77777777" w:rsidTr="006972AD">
        <w:trPr>
          <w:trHeight w:val="300"/>
          <w:jc w:val="center"/>
        </w:trPr>
        <w:tc>
          <w:tcPr>
            <w:tcW w:w="1269" w:type="dxa"/>
            <w:tcBorders>
              <w:top w:val="nil"/>
              <w:left w:val="single" w:sz="4" w:space="0" w:color="auto"/>
              <w:bottom w:val="single" w:sz="4" w:space="0" w:color="auto"/>
              <w:right w:val="single" w:sz="4" w:space="0" w:color="auto"/>
            </w:tcBorders>
            <w:shd w:val="clear" w:color="auto" w:fill="auto"/>
            <w:noWrap/>
            <w:vAlign w:val="bottom"/>
            <w:hideMark/>
          </w:tcPr>
          <w:p w14:paraId="459A2960" w14:textId="7D677FF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29.04.2016</w:t>
            </w:r>
          </w:p>
        </w:tc>
        <w:tc>
          <w:tcPr>
            <w:tcW w:w="1298" w:type="dxa"/>
            <w:tcBorders>
              <w:top w:val="nil"/>
              <w:left w:val="nil"/>
              <w:bottom w:val="single" w:sz="4" w:space="0" w:color="auto"/>
              <w:right w:val="single" w:sz="4" w:space="0" w:color="auto"/>
            </w:tcBorders>
            <w:shd w:val="clear" w:color="auto" w:fill="auto"/>
            <w:noWrap/>
            <w:vAlign w:val="bottom"/>
            <w:hideMark/>
          </w:tcPr>
          <w:p w14:paraId="463232A6"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18:55-19:40</w:t>
            </w:r>
          </w:p>
        </w:tc>
        <w:tc>
          <w:tcPr>
            <w:tcW w:w="1417" w:type="dxa"/>
            <w:tcBorders>
              <w:top w:val="nil"/>
              <w:left w:val="nil"/>
              <w:bottom w:val="single" w:sz="4" w:space="0" w:color="auto"/>
              <w:right w:val="single" w:sz="4" w:space="0" w:color="auto"/>
            </w:tcBorders>
            <w:shd w:val="clear" w:color="auto" w:fill="auto"/>
            <w:vAlign w:val="bottom"/>
            <w:hideMark/>
          </w:tcPr>
          <w:p w14:paraId="0ECDDDEE"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5</w:t>
            </w:r>
          </w:p>
        </w:tc>
        <w:tc>
          <w:tcPr>
            <w:tcW w:w="1365" w:type="dxa"/>
            <w:tcBorders>
              <w:top w:val="single" w:sz="4" w:space="0" w:color="auto"/>
              <w:left w:val="nil"/>
              <w:bottom w:val="single" w:sz="4" w:space="0" w:color="auto"/>
              <w:right w:val="single" w:sz="4" w:space="0" w:color="auto"/>
            </w:tcBorders>
            <w:shd w:val="clear" w:color="auto" w:fill="auto"/>
            <w:vAlign w:val="bottom"/>
            <w:hideMark/>
          </w:tcPr>
          <w:p w14:paraId="0AC79BDA"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26B2AA00"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1719042B" w14:textId="77777777" w:rsidTr="006C145D">
        <w:trPr>
          <w:trHeight w:val="300"/>
          <w:jc w:val="center"/>
        </w:trPr>
        <w:tc>
          <w:tcPr>
            <w:tcW w:w="1269" w:type="dxa"/>
            <w:vMerge w:val="restart"/>
            <w:tcBorders>
              <w:top w:val="nil"/>
              <w:left w:val="single" w:sz="4" w:space="0" w:color="auto"/>
              <w:right w:val="single" w:sz="4" w:space="0" w:color="auto"/>
            </w:tcBorders>
            <w:shd w:val="clear" w:color="auto" w:fill="auto"/>
            <w:noWrap/>
            <w:vAlign w:val="center"/>
            <w:hideMark/>
          </w:tcPr>
          <w:p w14:paraId="4446EA83" w14:textId="6D5A8C64" w:rsidR="00A876F3" w:rsidRPr="0088780C" w:rsidRDefault="00A876F3" w:rsidP="006C145D">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30.04.2016</w:t>
            </w:r>
          </w:p>
        </w:tc>
        <w:tc>
          <w:tcPr>
            <w:tcW w:w="1298" w:type="dxa"/>
            <w:tcBorders>
              <w:top w:val="nil"/>
              <w:left w:val="nil"/>
              <w:bottom w:val="single" w:sz="4" w:space="0" w:color="auto"/>
              <w:right w:val="single" w:sz="4" w:space="0" w:color="auto"/>
            </w:tcBorders>
            <w:shd w:val="clear" w:color="auto" w:fill="auto"/>
            <w:noWrap/>
            <w:vAlign w:val="bottom"/>
            <w:hideMark/>
          </w:tcPr>
          <w:p w14:paraId="6F9F81D9"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9:00</w:t>
            </w:r>
          </w:p>
        </w:tc>
        <w:tc>
          <w:tcPr>
            <w:tcW w:w="1417" w:type="dxa"/>
            <w:tcBorders>
              <w:top w:val="nil"/>
              <w:left w:val="nil"/>
              <w:bottom w:val="single" w:sz="4" w:space="0" w:color="auto"/>
              <w:right w:val="single" w:sz="4" w:space="0" w:color="auto"/>
            </w:tcBorders>
            <w:shd w:val="clear" w:color="auto" w:fill="auto"/>
            <w:noWrap/>
            <w:vAlign w:val="bottom"/>
            <w:hideMark/>
          </w:tcPr>
          <w:p w14:paraId="55454F00"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5EF4A5DD"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6A8BFA95"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459F901D"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35C19786"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5EDEC878"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11:15</w:t>
            </w:r>
          </w:p>
        </w:tc>
        <w:tc>
          <w:tcPr>
            <w:tcW w:w="1417" w:type="dxa"/>
            <w:tcBorders>
              <w:top w:val="nil"/>
              <w:left w:val="nil"/>
              <w:bottom w:val="single" w:sz="4" w:space="0" w:color="auto"/>
              <w:right w:val="single" w:sz="4" w:space="0" w:color="auto"/>
            </w:tcBorders>
            <w:shd w:val="clear" w:color="auto" w:fill="auto"/>
            <w:noWrap/>
            <w:vAlign w:val="bottom"/>
            <w:hideMark/>
          </w:tcPr>
          <w:p w14:paraId="23BD86CD"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2</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38E92CD5"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6469B05B"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5476534D"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15688872"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66474412"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11:20</w:t>
            </w:r>
          </w:p>
        </w:tc>
        <w:tc>
          <w:tcPr>
            <w:tcW w:w="1417" w:type="dxa"/>
            <w:tcBorders>
              <w:top w:val="nil"/>
              <w:left w:val="nil"/>
              <w:bottom w:val="single" w:sz="4" w:space="0" w:color="auto"/>
              <w:right w:val="single" w:sz="4" w:space="0" w:color="auto"/>
            </w:tcBorders>
            <w:shd w:val="clear" w:color="auto" w:fill="auto"/>
            <w:noWrap/>
            <w:vAlign w:val="bottom"/>
            <w:hideMark/>
          </w:tcPr>
          <w:p w14:paraId="570B4B64"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675827E6"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2</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3BFF83F6"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19F7C5ED"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5A669021"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2BB4360E"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11:29</w:t>
            </w:r>
          </w:p>
        </w:tc>
        <w:tc>
          <w:tcPr>
            <w:tcW w:w="1417" w:type="dxa"/>
            <w:tcBorders>
              <w:top w:val="nil"/>
              <w:left w:val="nil"/>
              <w:bottom w:val="single" w:sz="4" w:space="0" w:color="auto"/>
              <w:right w:val="single" w:sz="4" w:space="0" w:color="auto"/>
            </w:tcBorders>
            <w:shd w:val="clear" w:color="auto" w:fill="auto"/>
            <w:noWrap/>
            <w:vAlign w:val="bottom"/>
            <w:hideMark/>
          </w:tcPr>
          <w:p w14:paraId="3B8A786D"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4A3AB00F"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2</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48810DB5"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468D8BB7"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5170E186"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7288B602"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11:34</w:t>
            </w:r>
          </w:p>
        </w:tc>
        <w:tc>
          <w:tcPr>
            <w:tcW w:w="1417" w:type="dxa"/>
            <w:tcBorders>
              <w:top w:val="nil"/>
              <w:left w:val="nil"/>
              <w:bottom w:val="single" w:sz="4" w:space="0" w:color="auto"/>
              <w:right w:val="single" w:sz="4" w:space="0" w:color="auto"/>
            </w:tcBorders>
            <w:shd w:val="clear" w:color="auto" w:fill="auto"/>
            <w:noWrap/>
            <w:vAlign w:val="bottom"/>
            <w:hideMark/>
          </w:tcPr>
          <w:p w14:paraId="01BB4CE3"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09815225"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41391954"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6BA0DA39"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3F35BEBA"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0BE2B7D8"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11:45</w:t>
            </w:r>
          </w:p>
        </w:tc>
        <w:tc>
          <w:tcPr>
            <w:tcW w:w="1417" w:type="dxa"/>
            <w:tcBorders>
              <w:top w:val="nil"/>
              <w:left w:val="nil"/>
              <w:bottom w:val="single" w:sz="4" w:space="0" w:color="auto"/>
              <w:right w:val="single" w:sz="4" w:space="0" w:color="auto"/>
            </w:tcBorders>
            <w:shd w:val="clear" w:color="auto" w:fill="auto"/>
            <w:noWrap/>
            <w:vAlign w:val="bottom"/>
            <w:hideMark/>
          </w:tcPr>
          <w:p w14:paraId="13B39DE2"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6CBC945B"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19945C2D"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3EC0C92D"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14E0BF89"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0D20A3F1"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12:35</w:t>
            </w:r>
          </w:p>
        </w:tc>
        <w:tc>
          <w:tcPr>
            <w:tcW w:w="1417" w:type="dxa"/>
            <w:tcBorders>
              <w:top w:val="nil"/>
              <w:left w:val="nil"/>
              <w:bottom w:val="single" w:sz="4" w:space="0" w:color="auto"/>
              <w:right w:val="single" w:sz="4" w:space="0" w:color="auto"/>
            </w:tcBorders>
            <w:shd w:val="clear" w:color="auto" w:fill="auto"/>
            <w:noWrap/>
            <w:vAlign w:val="bottom"/>
            <w:hideMark/>
          </w:tcPr>
          <w:p w14:paraId="383E1EBB"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422DBF07"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70065A3D"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1F46AF0D"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04F2964C"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697C9801"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14:45</w:t>
            </w:r>
          </w:p>
        </w:tc>
        <w:tc>
          <w:tcPr>
            <w:tcW w:w="1417" w:type="dxa"/>
            <w:tcBorders>
              <w:top w:val="nil"/>
              <w:left w:val="nil"/>
              <w:bottom w:val="single" w:sz="4" w:space="0" w:color="auto"/>
              <w:right w:val="single" w:sz="4" w:space="0" w:color="auto"/>
            </w:tcBorders>
            <w:shd w:val="clear" w:color="auto" w:fill="auto"/>
            <w:noWrap/>
            <w:vAlign w:val="bottom"/>
            <w:hideMark/>
          </w:tcPr>
          <w:p w14:paraId="6BE0599E"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18DAFAE3"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12</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23D78CF1"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086C2BDD"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75B653B8"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6EB6BD6A"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16:20</w:t>
            </w:r>
          </w:p>
        </w:tc>
        <w:tc>
          <w:tcPr>
            <w:tcW w:w="1417" w:type="dxa"/>
            <w:tcBorders>
              <w:top w:val="nil"/>
              <w:left w:val="nil"/>
              <w:bottom w:val="single" w:sz="4" w:space="0" w:color="auto"/>
              <w:right w:val="single" w:sz="4" w:space="0" w:color="auto"/>
            </w:tcBorders>
            <w:shd w:val="clear" w:color="auto" w:fill="auto"/>
            <w:noWrap/>
            <w:vAlign w:val="bottom"/>
            <w:hideMark/>
          </w:tcPr>
          <w:p w14:paraId="738D8A35"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17FC1974"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7</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3D6936E8"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p>
        </w:tc>
      </w:tr>
      <w:tr w:rsidR="00A876F3" w:rsidRPr="0088780C" w14:paraId="579518A3"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38DB7EFF"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57A3E1F0"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16:40</w:t>
            </w:r>
          </w:p>
        </w:tc>
        <w:tc>
          <w:tcPr>
            <w:tcW w:w="1417" w:type="dxa"/>
            <w:tcBorders>
              <w:top w:val="nil"/>
              <w:left w:val="nil"/>
              <w:bottom w:val="single" w:sz="4" w:space="0" w:color="auto"/>
              <w:right w:val="single" w:sz="4" w:space="0" w:color="auto"/>
            </w:tcBorders>
            <w:shd w:val="clear" w:color="auto" w:fill="auto"/>
            <w:noWrap/>
            <w:vAlign w:val="bottom"/>
            <w:hideMark/>
          </w:tcPr>
          <w:p w14:paraId="451FA435"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1365" w:type="dxa"/>
            <w:vMerge w:val="restart"/>
            <w:tcBorders>
              <w:top w:val="single" w:sz="4" w:space="0" w:color="auto"/>
              <w:left w:val="nil"/>
              <w:right w:val="single" w:sz="4" w:space="0" w:color="auto"/>
            </w:tcBorders>
            <w:shd w:val="clear" w:color="auto" w:fill="auto"/>
            <w:noWrap/>
            <w:vAlign w:val="bottom"/>
            <w:hideMark/>
          </w:tcPr>
          <w:p w14:paraId="0319AB03" w14:textId="42FCE40A" w:rsidR="00A876F3" w:rsidRPr="0088780C" w:rsidRDefault="00A876F3" w:rsidP="006C145D">
            <w:pPr>
              <w:suppressLineNumbers/>
              <w:suppressAutoHyphens/>
              <w:kinsoku w:val="0"/>
              <w:overflowPunct w:val="0"/>
              <w:autoSpaceDE w:val="0"/>
              <w:autoSpaceDN w:val="0"/>
              <w:rPr>
                <w:snapToGrid w:val="0"/>
                <w:color w:val="000000"/>
                <w:kern w:val="22"/>
                <w:szCs w:val="22"/>
                <w:lang w:val="ru-RU"/>
              </w:rPr>
            </w:pPr>
            <w:r w:rsidRPr="0088780C">
              <w:rPr>
                <w:snapToGrid w:val="0"/>
                <w:color w:val="000000"/>
                <w:kern w:val="22"/>
                <w:szCs w:val="22"/>
                <w:lang w:val="ru-RU"/>
              </w:rPr>
              <w:t>Массовый, по 5-6</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0AC235C2"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60</w:t>
            </w:r>
          </w:p>
        </w:tc>
      </w:tr>
      <w:tr w:rsidR="00A876F3" w:rsidRPr="0088780C" w14:paraId="5A053DAD"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0DDF08CA"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4060E0EF"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18:00</w:t>
            </w:r>
          </w:p>
        </w:tc>
        <w:tc>
          <w:tcPr>
            <w:tcW w:w="1417" w:type="dxa"/>
            <w:tcBorders>
              <w:top w:val="nil"/>
              <w:left w:val="nil"/>
              <w:bottom w:val="single" w:sz="4" w:space="0" w:color="auto"/>
              <w:right w:val="single" w:sz="4" w:space="0" w:color="auto"/>
            </w:tcBorders>
            <w:shd w:val="clear" w:color="auto" w:fill="auto"/>
            <w:noWrap/>
            <w:vAlign w:val="bottom"/>
            <w:hideMark/>
          </w:tcPr>
          <w:p w14:paraId="5FA20976"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1365" w:type="dxa"/>
            <w:vMerge/>
            <w:tcBorders>
              <w:left w:val="nil"/>
              <w:bottom w:val="single" w:sz="4" w:space="0" w:color="auto"/>
              <w:right w:val="single" w:sz="4" w:space="0" w:color="auto"/>
            </w:tcBorders>
            <w:shd w:val="clear" w:color="auto" w:fill="auto"/>
            <w:noWrap/>
            <w:vAlign w:val="bottom"/>
            <w:hideMark/>
          </w:tcPr>
          <w:p w14:paraId="6651EF7F"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705DD019"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105</w:t>
            </w:r>
          </w:p>
        </w:tc>
      </w:tr>
      <w:tr w:rsidR="00A876F3" w:rsidRPr="0088780C" w14:paraId="27A3B214"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161BF396"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495C7DE2"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18:55</w:t>
            </w:r>
          </w:p>
        </w:tc>
        <w:tc>
          <w:tcPr>
            <w:tcW w:w="1417" w:type="dxa"/>
            <w:tcBorders>
              <w:top w:val="nil"/>
              <w:left w:val="nil"/>
              <w:bottom w:val="single" w:sz="4" w:space="0" w:color="auto"/>
              <w:right w:val="single" w:sz="4" w:space="0" w:color="auto"/>
            </w:tcBorders>
            <w:shd w:val="clear" w:color="auto" w:fill="auto"/>
            <w:noWrap/>
            <w:vAlign w:val="bottom"/>
            <w:hideMark/>
          </w:tcPr>
          <w:p w14:paraId="7C56305F"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5</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118AB496"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113E8C94"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2ABACC07" w14:textId="77777777" w:rsidTr="006972AD">
        <w:trPr>
          <w:trHeight w:val="300"/>
          <w:jc w:val="center"/>
        </w:trPr>
        <w:tc>
          <w:tcPr>
            <w:tcW w:w="1269" w:type="dxa"/>
            <w:vMerge/>
            <w:tcBorders>
              <w:left w:val="single" w:sz="4" w:space="0" w:color="auto"/>
              <w:right w:val="single" w:sz="4" w:space="0" w:color="auto"/>
            </w:tcBorders>
            <w:shd w:val="clear" w:color="auto" w:fill="auto"/>
            <w:noWrap/>
            <w:vAlign w:val="bottom"/>
            <w:hideMark/>
          </w:tcPr>
          <w:p w14:paraId="4DF37877"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106146D9"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19:05</w:t>
            </w:r>
          </w:p>
        </w:tc>
        <w:tc>
          <w:tcPr>
            <w:tcW w:w="1417" w:type="dxa"/>
            <w:tcBorders>
              <w:top w:val="nil"/>
              <w:left w:val="nil"/>
              <w:bottom w:val="single" w:sz="4" w:space="0" w:color="auto"/>
              <w:right w:val="single" w:sz="4" w:space="0" w:color="auto"/>
            </w:tcBorders>
            <w:shd w:val="clear" w:color="auto" w:fill="auto"/>
            <w:noWrap/>
            <w:vAlign w:val="bottom"/>
            <w:hideMark/>
          </w:tcPr>
          <w:p w14:paraId="7EE7AF98"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19486656"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098ABE7F"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1C34D620" w14:textId="77777777" w:rsidTr="006972AD">
        <w:trPr>
          <w:trHeight w:val="300"/>
          <w:jc w:val="center"/>
        </w:trPr>
        <w:tc>
          <w:tcPr>
            <w:tcW w:w="1269" w:type="dxa"/>
            <w:vMerge/>
            <w:tcBorders>
              <w:left w:val="single" w:sz="4" w:space="0" w:color="auto"/>
              <w:bottom w:val="single" w:sz="4" w:space="0" w:color="auto"/>
              <w:right w:val="single" w:sz="4" w:space="0" w:color="auto"/>
            </w:tcBorders>
            <w:shd w:val="clear" w:color="auto" w:fill="auto"/>
            <w:noWrap/>
            <w:vAlign w:val="bottom"/>
            <w:hideMark/>
          </w:tcPr>
          <w:p w14:paraId="5B3203BB"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28C5F8F3"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19:45</w:t>
            </w:r>
          </w:p>
        </w:tc>
        <w:tc>
          <w:tcPr>
            <w:tcW w:w="1417" w:type="dxa"/>
            <w:tcBorders>
              <w:top w:val="nil"/>
              <w:left w:val="nil"/>
              <w:bottom w:val="single" w:sz="4" w:space="0" w:color="auto"/>
              <w:right w:val="single" w:sz="4" w:space="0" w:color="auto"/>
            </w:tcBorders>
            <w:shd w:val="clear" w:color="auto" w:fill="auto"/>
            <w:noWrap/>
            <w:vAlign w:val="bottom"/>
            <w:hideMark/>
          </w:tcPr>
          <w:p w14:paraId="4DEC37DA"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7A277B29"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5</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57ACD359"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7FD0F317" w14:textId="77777777" w:rsidTr="006C145D">
        <w:trPr>
          <w:trHeight w:val="300"/>
          <w:jc w:val="center"/>
        </w:trPr>
        <w:tc>
          <w:tcPr>
            <w:tcW w:w="1269" w:type="dxa"/>
            <w:vMerge w:val="restart"/>
            <w:tcBorders>
              <w:top w:val="nil"/>
              <w:left w:val="single" w:sz="4" w:space="0" w:color="auto"/>
              <w:right w:val="single" w:sz="4" w:space="0" w:color="auto"/>
            </w:tcBorders>
            <w:shd w:val="clear" w:color="auto" w:fill="auto"/>
            <w:noWrap/>
            <w:vAlign w:val="center"/>
            <w:hideMark/>
          </w:tcPr>
          <w:p w14:paraId="5C272FF3" w14:textId="3C229674" w:rsidR="00A876F3" w:rsidRPr="0088780C" w:rsidRDefault="00A876F3" w:rsidP="006C145D">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01.05.2016</w:t>
            </w:r>
          </w:p>
        </w:tc>
        <w:tc>
          <w:tcPr>
            <w:tcW w:w="1298" w:type="dxa"/>
            <w:tcBorders>
              <w:top w:val="nil"/>
              <w:left w:val="nil"/>
              <w:bottom w:val="single" w:sz="4" w:space="0" w:color="auto"/>
              <w:right w:val="single" w:sz="4" w:space="0" w:color="auto"/>
            </w:tcBorders>
            <w:shd w:val="clear" w:color="auto" w:fill="auto"/>
            <w:noWrap/>
            <w:vAlign w:val="bottom"/>
            <w:hideMark/>
          </w:tcPr>
          <w:p w14:paraId="66676C9E"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18:20-19:30</w:t>
            </w:r>
          </w:p>
        </w:tc>
        <w:tc>
          <w:tcPr>
            <w:tcW w:w="1417" w:type="dxa"/>
            <w:tcBorders>
              <w:top w:val="nil"/>
              <w:left w:val="nil"/>
              <w:bottom w:val="single" w:sz="4" w:space="0" w:color="auto"/>
              <w:right w:val="single" w:sz="4" w:space="0" w:color="auto"/>
            </w:tcBorders>
            <w:shd w:val="clear" w:color="auto" w:fill="auto"/>
            <w:noWrap/>
            <w:vAlign w:val="bottom"/>
            <w:hideMark/>
          </w:tcPr>
          <w:p w14:paraId="28BEE675"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25</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3E9BD00D"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7A894960"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r w:rsidR="00A876F3" w:rsidRPr="0088780C" w14:paraId="2A85A616" w14:textId="77777777" w:rsidTr="006972AD">
        <w:trPr>
          <w:trHeight w:val="300"/>
          <w:jc w:val="center"/>
        </w:trPr>
        <w:tc>
          <w:tcPr>
            <w:tcW w:w="1269" w:type="dxa"/>
            <w:vMerge/>
            <w:tcBorders>
              <w:left w:val="single" w:sz="4" w:space="0" w:color="auto"/>
              <w:bottom w:val="single" w:sz="4" w:space="0" w:color="auto"/>
              <w:right w:val="single" w:sz="4" w:space="0" w:color="auto"/>
            </w:tcBorders>
            <w:shd w:val="clear" w:color="auto" w:fill="auto"/>
            <w:noWrap/>
            <w:vAlign w:val="bottom"/>
            <w:hideMark/>
          </w:tcPr>
          <w:p w14:paraId="0E0AA614"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c>
          <w:tcPr>
            <w:tcW w:w="1298" w:type="dxa"/>
            <w:tcBorders>
              <w:top w:val="nil"/>
              <w:left w:val="nil"/>
              <w:bottom w:val="single" w:sz="4" w:space="0" w:color="auto"/>
              <w:right w:val="single" w:sz="4" w:space="0" w:color="auto"/>
            </w:tcBorders>
            <w:shd w:val="clear" w:color="auto" w:fill="auto"/>
            <w:noWrap/>
            <w:vAlign w:val="bottom"/>
            <w:hideMark/>
          </w:tcPr>
          <w:p w14:paraId="49921652"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19:45</w:t>
            </w:r>
          </w:p>
        </w:tc>
        <w:tc>
          <w:tcPr>
            <w:tcW w:w="1417" w:type="dxa"/>
            <w:tcBorders>
              <w:top w:val="nil"/>
              <w:left w:val="nil"/>
              <w:bottom w:val="single" w:sz="4" w:space="0" w:color="auto"/>
              <w:right w:val="single" w:sz="4" w:space="0" w:color="auto"/>
            </w:tcBorders>
            <w:shd w:val="clear" w:color="auto" w:fill="auto"/>
            <w:noWrap/>
            <w:vAlign w:val="bottom"/>
            <w:hideMark/>
          </w:tcPr>
          <w:p w14:paraId="046F2574"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w:t>
            </w:r>
          </w:p>
        </w:tc>
        <w:tc>
          <w:tcPr>
            <w:tcW w:w="1365" w:type="dxa"/>
            <w:tcBorders>
              <w:top w:val="single" w:sz="4" w:space="0" w:color="auto"/>
              <w:left w:val="nil"/>
              <w:bottom w:val="single" w:sz="4" w:space="0" w:color="auto"/>
              <w:right w:val="single" w:sz="4" w:space="0" w:color="auto"/>
            </w:tcBorders>
            <w:shd w:val="clear" w:color="auto" w:fill="auto"/>
            <w:noWrap/>
            <w:vAlign w:val="bottom"/>
            <w:hideMark/>
          </w:tcPr>
          <w:p w14:paraId="36FC8891" w14:textId="77777777" w:rsidR="00A876F3" w:rsidRPr="0088780C" w:rsidRDefault="00A876F3" w:rsidP="001013AF">
            <w:pPr>
              <w:suppressLineNumbers/>
              <w:suppressAutoHyphens/>
              <w:kinsoku w:val="0"/>
              <w:overflowPunct w:val="0"/>
              <w:autoSpaceDE w:val="0"/>
              <w:autoSpaceDN w:val="0"/>
              <w:jc w:val="right"/>
              <w:rPr>
                <w:snapToGrid w:val="0"/>
                <w:color w:val="000000"/>
                <w:kern w:val="22"/>
                <w:szCs w:val="22"/>
              </w:rPr>
            </w:pPr>
            <w:r w:rsidRPr="0088780C">
              <w:rPr>
                <w:snapToGrid w:val="0"/>
                <w:color w:val="000000"/>
                <w:kern w:val="22"/>
                <w:szCs w:val="22"/>
              </w:rPr>
              <w:t>5</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110FE9B6"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p>
        </w:tc>
      </w:tr>
    </w:tbl>
    <w:p w14:paraId="644171F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eastAsia="ru-RU"/>
        </w:rPr>
      </w:pPr>
    </w:p>
    <w:p w14:paraId="3DBDA749"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snapToGrid w:val="0"/>
          <w:kern w:val="22"/>
          <w:szCs w:val="22"/>
        </w:rPr>
        <w:br w:type="page"/>
      </w:r>
    </w:p>
    <w:p w14:paraId="2FC768D9" w14:textId="6DB94491"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20: </w:t>
      </w:r>
      <w:r w:rsidRPr="0088780C">
        <w:rPr>
          <w:b/>
          <w:bCs/>
          <w:snapToGrid w:val="0"/>
          <w:kern w:val="22"/>
          <w:szCs w:val="22"/>
        </w:rPr>
        <w:t>Caspian Seal Breeding Grounds</w:t>
      </w:r>
    </w:p>
    <w:p w14:paraId="100E11B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6C98A5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Abstract</w:t>
      </w:r>
    </w:p>
    <w:p w14:paraId="7CCE1488"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color w:val="000000"/>
          <w:kern w:val="22"/>
          <w:szCs w:val="22"/>
        </w:rPr>
        <w:t>The Caspian seal (</w:t>
      </w:r>
      <w:r w:rsidRPr="0088780C">
        <w:rPr>
          <w:i/>
          <w:snapToGrid w:val="0"/>
          <w:color w:val="000000"/>
          <w:kern w:val="22"/>
          <w:szCs w:val="22"/>
        </w:rPr>
        <w:t>Pusa caspica</w:t>
      </w:r>
      <w:r w:rsidRPr="0088780C">
        <w:rPr>
          <w:snapToGrid w:val="0"/>
          <w:color w:val="000000"/>
          <w:kern w:val="22"/>
          <w:szCs w:val="22"/>
        </w:rPr>
        <w:t>) is an endemic, ice-breeding, trans-boundary species of marine mammal inhabiting the landlocked Caspian Sea. Caspian seals use this winter ice field between January and March each year for birthing and nursing pups. The area is also important for all species of Caspian sturgeons.</w:t>
      </w:r>
    </w:p>
    <w:p w14:paraId="08F6A430"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790585C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Introduction</w:t>
      </w:r>
    </w:p>
    <w:p w14:paraId="63EAE46F" w14:textId="473711E1"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The Caspian seal (</w:t>
      </w:r>
      <w:r w:rsidRPr="0088780C">
        <w:rPr>
          <w:i/>
          <w:snapToGrid w:val="0"/>
          <w:color w:val="000000"/>
          <w:kern w:val="22"/>
          <w:szCs w:val="22"/>
        </w:rPr>
        <w:t>Pusa caspica</w:t>
      </w:r>
      <w:r w:rsidRPr="0088780C">
        <w:rPr>
          <w:snapToGrid w:val="0"/>
          <w:color w:val="000000"/>
          <w:kern w:val="22"/>
          <w:szCs w:val="22"/>
        </w:rPr>
        <w:t xml:space="preserve">) is an endemic, ice-breeding, trans-boundary species of marine mammal inhabiting the Caspian Sea. Historically, Caspian seals were numerous, with the historical baseline estimated at between 1 000 000 and 1 500 000 specimens (Harkonen et al. 2012). The abundance of this species has declined to around 104 000 to 168 000 individuals, as demonstrated by recent aerial surveys (Harkonen et al. 2008; Dmitrieva et al. 2015; Goodman and Dmitrieva 2016). As of 2016, the Caspian seal remains classified as endangered in the IUCN Red List of Threatened Species (Goodman &amp; Dmitrieva 2016: </w:t>
      </w:r>
      <w:hyperlink r:id="rId243" w:history="1">
        <w:r w:rsidRPr="0088780C">
          <w:rPr>
            <w:rStyle w:val="Hyperlink"/>
            <w:snapToGrid w:val="0"/>
            <w:kern w:val="22"/>
            <w:szCs w:val="22"/>
          </w:rPr>
          <w:t>http://www.iucnredlist.org/details/41669/0)</w:t>
        </w:r>
      </w:hyperlink>
      <w:r w:rsidR="00AA74FF" w:rsidRPr="0088780C">
        <w:rPr>
          <w:snapToGrid w:val="0"/>
          <w:color w:val="000000"/>
          <w:kern w:val="22"/>
          <w:szCs w:val="22"/>
        </w:rPr>
        <w:t>.</w:t>
      </w:r>
    </w:p>
    <w:p w14:paraId="454A63F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51E90AC9"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both"/>
        <w:rPr>
          <w:snapToGrid w:val="0"/>
          <w:color w:val="000000"/>
          <w:kern w:val="22"/>
          <w:sz w:val="22"/>
          <w:szCs w:val="22"/>
          <w:lang w:val="en-GB"/>
        </w:rPr>
      </w:pPr>
      <w:r w:rsidRPr="0088780C">
        <w:rPr>
          <w:snapToGrid w:val="0"/>
          <w:color w:val="000000"/>
          <w:kern w:val="22"/>
          <w:sz w:val="22"/>
          <w:szCs w:val="22"/>
          <w:lang w:val="en-GB"/>
        </w:rPr>
        <w:t>The area focuses on the ecological and biological significance of breeding grounds in the northern sector of the Caspian Sea (Figure 3). The importance of the area for Caspian seals has previously been highlighted in the Caspian Seal Conservation Action Plan (CSCAP; Caspian Environment programme 2007) and the scoping plan for development of special protected areas for Caspian seals (CASPECO Project 2012). The area is important for feeding and migrating beluga sturgeon (</w:t>
      </w:r>
      <w:r w:rsidRPr="0088780C">
        <w:rPr>
          <w:i/>
          <w:snapToGrid w:val="0"/>
          <w:color w:val="000000"/>
          <w:kern w:val="22"/>
          <w:sz w:val="22"/>
          <w:szCs w:val="22"/>
          <w:lang w:val="en-GB"/>
        </w:rPr>
        <w:t>Huso huso</w:t>
      </w:r>
      <w:r w:rsidRPr="0088780C">
        <w:rPr>
          <w:snapToGrid w:val="0"/>
          <w:color w:val="000000"/>
          <w:kern w:val="22"/>
          <w:sz w:val="22"/>
          <w:szCs w:val="22"/>
          <w:lang w:val="en-GB"/>
        </w:rPr>
        <w:t>) and other species of Caspian sturgeon (</w:t>
      </w:r>
      <w:r w:rsidRPr="0088780C">
        <w:rPr>
          <w:i/>
          <w:snapToGrid w:val="0"/>
          <w:color w:val="000000"/>
          <w:kern w:val="22"/>
          <w:sz w:val="22"/>
          <w:szCs w:val="22"/>
          <w:lang w:val="en-GB"/>
        </w:rPr>
        <w:t>Acipenser gueldenstaedtii</w:t>
      </w:r>
      <w:r w:rsidRPr="0088780C">
        <w:rPr>
          <w:snapToGrid w:val="0"/>
          <w:color w:val="000000"/>
          <w:kern w:val="22"/>
          <w:sz w:val="22"/>
          <w:szCs w:val="22"/>
          <w:lang w:val="en-GB"/>
        </w:rPr>
        <w:t xml:space="preserve">, critically endangered according to IUCN; </w:t>
      </w:r>
      <w:r w:rsidRPr="0088780C">
        <w:rPr>
          <w:i/>
          <w:snapToGrid w:val="0"/>
          <w:color w:val="000000"/>
          <w:kern w:val="22"/>
          <w:sz w:val="22"/>
          <w:szCs w:val="22"/>
          <w:lang w:val="en-GB"/>
        </w:rPr>
        <w:t>Acipenser nudiventris</w:t>
      </w:r>
      <w:r w:rsidRPr="0088780C">
        <w:rPr>
          <w:snapToGrid w:val="0"/>
          <w:color w:val="000000"/>
          <w:kern w:val="22"/>
          <w:sz w:val="22"/>
          <w:szCs w:val="22"/>
          <w:lang w:val="en-GB"/>
        </w:rPr>
        <w:t xml:space="preserve">; critically endangered, according to IUCN; and </w:t>
      </w:r>
      <w:r w:rsidRPr="0088780C">
        <w:rPr>
          <w:i/>
          <w:snapToGrid w:val="0"/>
          <w:color w:val="000000"/>
          <w:kern w:val="22"/>
          <w:sz w:val="22"/>
          <w:szCs w:val="22"/>
          <w:lang w:val="en-GB"/>
        </w:rPr>
        <w:t>Acipenser ruthenus,</w:t>
      </w:r>
      <w:r w:rsidRPr="0088780C">
        <w:rPr>
          <w:snapToGrid w:val="0"/>
          <w:color w:val="000000"/>
          <w:kern w:val="22"/>
          <w:sz w:val="22"/>
          <w:szCs w:val="22"/>
          <w:lang w:val="en-GB"/>
        </w:rPr>
        <w:t xml:space="preserve"> vulnerable according to IUCN).</w:t>
      </w:r>
    </w:p>
    <w:p w14:paraId="744FB2FC"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309251F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Location</w:t>
      </w:r>
    </w:p>
    <w:p w14:paraId="785EC066" w14:textId="26B5D2BC" w:rsidR="00A876F3" w:rsidRPr="0088780C" w:rsidRDefault="00A876F3" w:rsidP="001013AF">
      <w:pPr>
        <w:suppressLineNumbers/>
        <w:suppressAutoHyphens/>
        <w:kinsoku w:val="0"/>
        <w:overflowPunct w:val="0"/>
        <w:autoSpaceDE w:val="0"/>
        <w:autoSpaceDN w:val="0"/>
        <w:rPr>
          <w:rFonts w:eastAsia="MS Mincho"/>
          <w:b/>
          <w:snapToGrid w:val="0"/>
          <w:kern w:val="22"/>
          <w:szCs w:val="22"/>
          <w:u w:val="single"/>
        </w:rPr>
      </w:pPr>
      <w:r w:rsidRPr="0088780C">
        <w:rPr>
          <w:snapToGrid w:val="0"/>
          <w:kern w:val="22"/>
          <w:szCs w:val="22"/>
        </w:rPr>
        <w:t>The location of the area is defined by the extent of ice coverage during winter months, as the breeding season for seals takes place from January until early March. This area takes into account the dynamic nature of ice conditions and distribution with and among years. Therefore, the shape of the area is defined by the overall observed extent of ice coverage during the few months of the winter from historical records and the observed distributions of breeding seals under different ice conditions. The evidence, however, suggests that the spread of ice is hard to predict. Although some evidence has been presented to suggest that ice cover has been declining, more data is needed to allow model predictions of the shifts (Figure 2). Figure 3 was created by merging maps for mild, normal and winters in the Northern Caspian (Figure 2; Dmitrieva et al. 2015; Dmitrieva et al. unpublished data). The timeframe for the area is from 15 December  to 15 March.</w:t>
      </w:r>
    </w:p>
    <w:p w14:paraId="66080330"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5C6F254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2EF5CA4B" w14:textId="77777777" w:rsidR="00A876F3" w:rsidRPr="0088780C" w:rsidRDefault="00A876F3" w:rsidP="001013AF">
      <w:pPr>
        <w:suppressLineNumbers/>
        <w:suppressAutoHyphens/>
        <w:kinsoku w:val="0"/>
        <w:overflowPunct w:val="0"/>
        <w:autoSpaceDE w:val="0"/>
        <w:autoSpaceDN w:val="0"/>
        <w:rPr>
          <w:bCs/>
          <w:i/>
          <w:snapToGrid w:val="0"/>
          <w:kern w:val="22"/>
          <w:szCs w:val="22"/>
        </w:rPr>
      </w:pPr>
      <w:r w:rsidRPr="0088780C">
        <w:rPr>
          <w:bCs/>
          <w:i/>
          <w:snapToGrid w:val="0"/>
          <w:kern w:val="22"/>
          <w:szCs w:val="22"/>
        </w:rPr>
        <w:t>Physical conditions</w:t>
      </w:r>
    </w:p>
    <w:p w14:paraId="265E6D40" w14:textId="77777777" w:rsidR="00A876F3" w:rsidRPr="0088780C" w:rsidRDefault="00A876F3" w:rsidP="001013AF">
      <w:pPr>
        <w:suppressLineNumbers/>
        <w:suppressAutoHyphens/>
        <w:kinsoku w:val="0"/>
        <w:overflowPunct w:val="0"/>
        <w:autoSpaceDE w:val="0"/>
        <w:autoSpaceDN w:val="0"/>
        <w:rPr>
          <w:snapToGrid w:val="0"/>
          <w:color w:val="000000"/>
          <w:kern w:val="22"/>
          <w:szCs w:val="22"/>
        </w:rPr>
      </w:pPr>
      <w:r w:rsidRPr="0088780C">
        <w:rPr>
          <w:snapToGrid w:val="0"/>
          <w:color w:val="000000"/>
          <w:kern w:val="22"/>
          <w:szCs w:val="22"/>
        </w:rPr>
        <w:t xml:space="preserve">Formation of ice fields in the Caspian begins in late November and early December, with ice coverage restricted to the shallow, brackish northern sector of the Caspian Sea (Zhindarev </w:t>
      </w:r>
      <w:r w:rsidRPr="0088780C">
        <w:rPr>
          <w:iCs/>
          <w:snapToGrid w:val="0"/>
          <w:color w:val="000000"/>
          <w:kern w:val="22"/>
          <w:szCs w:val="22"/>
        </w:rPr>
        <w:t>et al</w:t>
      </w:r>
      <w:r w:rsidRPr="0088780C">
        <w:rPr>
          <w:snapToGrid w:val="0"/>
          <w:color w:val="000000"/>
          <w:kern w:val="22"/>
          <w:szCs w:val="22"/>
        </w:rPr>
        <w:t>. 2013; Dobrovolskyi and Zalogin 1982). The duration and extent of the ice coverage in the north varies from year to year, depending on larger-scale annual climate patterns in the northern hemisphere (Harkonen et al. 2008; Dmitrieva et al. 2015). Two unusually warm winters have occurred in the past decade (winters of 2006-7 and 2015-16), with lower than average ice cover and shorter than average duration. Premature melting of the ice sheet before the completion of the lactation period during pupping could increase mortality rates of seal pups (Dmitrieva et al., 2015; Wilson et al. 2017).</w:t>
      </w:r>
    </w:p>
    <w:p w14:paraId="0F91E71A"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B5B826C" w14:textId="77777777" w:rsidR="00A876F3" w:rsidRPr="0088780C" w:rsidRDefault="00A876F3" w:rsidP="001013AF">
      <w:pPr>
        <w:suppressLineNumbers/>
        <w:suppressAutoHyphens/>
        <w:kinsoku w:val="0"/>
        <w:overflowPunct w:val="0"/>
        <w:autoSpaceDE w:val="0"/>
        <w:autoSpaceDN w:val="0"/>
        <w:rPr>
          <w:i/>
          <w:snapToGrid w:val="0"/>
          <w:color w:val="000000"/>
          <w:kern w:val="22"/>
          <w:szCs w:val="22"/>
        </w:rPr>
      </w:pPr>
      <w:r w:rsidRPr="0088780C">
        <w:rPr>
          <w:bCs/>
          <w:i/>
          <w:snapToGrid w:val="0"/>
          <w:kern w:val="22"/>
          <w:szCs w:val="22"/>
        </w:rPr>
        <w:t>Current status of breeding grounds for Caspian seals</w:t>
      </w:r>
    </w:p>
    <w:p w14:paraId="30A748FE" w14:textId="0FC9DB0A" w:rsidR="00A876F3" w:rsidRPr="0088780C" w:rsidRDefault="00A876F3" w:rsidP="001013AF">
      <w:pPr>
        <w:suppressLineNumbers/>
        <w:suppressAutoHyphens/>
        <w:kinsoku w:val="0"/>
        <w:overflowPunct w:val="0"/>
        <w:autoSpaceDE w:val="0"/>
        <w:autoSpaceDN w:val="0"/>
        <w:rPr>
          <w:b/>
          <w:bCs/>
          <w:snapToGrid w:val="0"/>
          <w:kern w:val="22"/>
          <w:szCs w:val="22"/>
          <w:u w:val="single"/>
        </w:rPr>
      </w:pPr>
      <w:r w:rsidRPr="0088780C">
        <w:rPr>
          <w:snapToGrid w:val="0"/>
          <w:color w:val="000000"/>
          <w:kern w:val="22"/>
          <w:szCs w:val="22"/>
        </w:rPr>
        <w:t xml:space="preserve">Pregnant Caspian seal females use the ice fields for birthing and nursing pups. The ice coverage in the northern sector depends on climatic conditions and severity of the winter temperatures (figures 1, 2). As of 2016, no evidence was presented to suggest that Caspian seals were using other parts of the Caspian for breeding than those that were located in the northern areas. Some sources (see P. Erokhin comment in Harkonen, et al. 2008, have previously demonstrated limited terrestrial breeding behaviour of seals on the ice-free Ogurchinsky Island, in Turkmenistan, for example, in 2005). However, since 2009 no evidence has been presented to suggest that the breeding of seals happened anywhere else than in the northern sector. This conclusion seems to represent a consensus of the national and international scientific community studying the behaviour of Caspian seals (see the conference proceeding materials from a round table discussion </w:t>
      </w:r>
      <w:r w:rsidR="00D8482D" w:rsidRPr="0088780C">
        <w:rPr>
          <w:snapToGrid w:val="0"/>
          <w:color w:val="000000"/>
          <w:kern w:val="22"/>
          <w:szCs w:val="22"/>
        </w:rPr>
        <w:t>“</w:t>
      </w:r>
      <w:r w:rsidRPr="0088780C">
        <w:rPr>
          <w:snapToGrid w:val="0"/>
          <w:color w:val="000000"/>
          <w:kern w:val="22"/>
          <w:szCs w:val="22"/>
        </w:rPr>
        <w:t>the current status of the Caspian seal</w:t>
      </w:r>
      <w:r w:rsidR="00D8482D" w:rsidRPr="0088780C">
        <w:rPr>
          <w:snapToGrid w:val="0"/>
          <w:color w:val="000000"/>
          <w:kern w:val="22"/>
          <w:szCs w:val="22"/>
        </w:rPr>
        <w:t>”</w:t>
      </w:r>
      <w:r w:rsidRPr="0088780C">
        <w:rPr>
          <w:snapToGrid w:val="0"/>
          <w:color w:val="000000"/>
          <w:kern w:val="22"/>
          <w:szCs w:val="22"/>
        </w:rPr>
        <w:t>, round table discussion proceedings,04.11.2016, at the IX International Conference on Marine Mammals of th</w:t>
      </w:r>
      <w:r w:rsidR="00AA74FF" w:rsidRPr="0088780C">
        <w:rPr>
          <w:snapToGrid w:val="0"/>
          <w:color w:val="000000"/>
          <w:kern w:val="22"/>
          <w:szCs w:val="22"/>
        </w:rPr>
        <w:t>e Holarctic. Astrakhan) (Figure </w:t>
      </w:r>
      <w:r w:rsidRPr="0088780C">
        <w:rPr>
          <w:snapToGrid w:val="0"/>
          <w:color w:val="000000"/>
          <w:kern w:val="22"/>
          <w:szCs w:val="22"/>
        </w:rPr>
        <w:t>1).</w:t>
      </w:r>
    </w:p>
    <w:p w14:paraId="1CA81783" w14:textId="77777777" w:rsidR="00A876F3" w:rsidRPr="0088780C" w:rsidRDefault="00A876F3" w:rsidP="00AA74FF">
      <w:pPr>
        <w:suppressLineNumbers/>
        <w:suppressAutoHyphens/>
        <w:kinsoku w:val="0"/>
        <w:overflowPunct w:val="0"/>
        <w:autoSpaceDE w:val="0"/>
        <w:autoSpaceDN w:val="0"/>
        <w:adjustRightInd w:val="0"/>
        <w:rPr>
          <w:snapToGrid w:val="0"/>
          <w:kern w:val="22"/>
          <w:szCs w:val="22"/>
        </w:rPr>
      </w:pPr>
    </w:p>
    <w:p w14:paraId="779AAAE4" w14:textId="77777777" w:rsidR="00A876F3" w:rsidRPr="0088780C" w:rsidRDefault="00A876F3" w:rsidP="00AA74FF">
      <w:pPr>
        <w:suppressLineNumbers/>
        <w:suppressAutoHyphens/>
        <w:kinsoku w:val="0"/>
        <w:overflowPunct w:val="0"/>
        <w:autoSpaceDE w:val="0"/>
        <w:autoSpaceDN w:val="0"/>
        <w:adjustRightInd w:val="0"/>
        <w:rPr>
          <w:bCs/>
          <w:i/>
          <w:snapToGrid w:val="0"/>
          <w:color w:val="000000"/>
          <w:kern w:val="22"/>
          <w:szCs w:val="22"/>
        </w:rPr>
      </w:pPr>
      <w:r w:rsidRPr="0088780C">
        <w:rPr>
          <w:bCs/>
          <w:i/>
          <w:snapToGrid w:val="0"/>
          <w:color w:val="000000"/>
          <w:kern w:val="22"/>
          <w:szCs w:val="22"/>
        </w:rPr>
        <w:t>Caspian seal’s breeding behaviour</w:t>
      </w:r>
    </w:p>
    <w:p w14:paraId="039AF6C6" w14:textId="77777777" w:rsidR="00A876F3" w:rsidRPr="0088780C" w:rsidRDefault="00A876F3" w:rsidP="00AA74FF">
      <w:pPr>
        <w:suppressLineNumbers/>
        <w:suppressAutoHyphens/>
        <w:kinsoku w:val="0"/>
        <w:overflowPunct w:val="0"/>
        <w:autoSpaceDE w:val="0"/>
        <w:autoSpaceDN w:val="0"/>
        <w:adjustRightInd w:val="0"/>
        <w:rPr>
          <w:snapToGrid w:val="0"/>
          <w:color w:val="000000"/>
          <w:kern w:val="22"/>
          <w:szCs w:val="22"/>
          <w:u w:color="000000"/>
        </w:rPr>
      </w:pPr>
      <w:r w:rsidRPr="0088780C">
        <w:rPr>
          <w:snapToGrid w:val="0"/>
          <w:color w:val="000000"/>
          <w:kern w:val="22"/>
          <w:szCs w:val="22"/>
        </w:rPr>
        <w:t>The Caspian seal (</w:t>
      </w:r>
      <w:r w:rsidRPr="0088780C">
        <w:rPr>
          <w:i/>
          <w:snapToGrid w:val="0"/>
          <w:color w:val="000000"/>
          <w:kern w:val="22"/>
          <w:szCs w:val="22"/>
        </w:rPr>
        <w:t>Pusa Caspica</w:t>
      </w:r>
      <w:r w:rsidRPr="0088780C">
        <w:rPr>
          <w:snapToGrid w:val="0"/>
          <w:color w:val="000000"/>
          <w:kern w:val="22"/>
          <w:szCs w:val="22"/>
        </w:rPr>
        <w:t>) is an endemic, ice-breeding pinniped and the only species of marine mammal in the Caspian Sea. The Caspian seal is well adapted to survive the diverse weather conditions of the Caspian Sea. The increasing amount of available satellite telemetry data from a Caspian seal tagging programme (Dmitrieva et al. 2016), suggests that during the spring and summer, around 60% of tagged seals migrate to the mid and southern sectors, while the remainder spend the ice-free season in the north. From March until November, seals are spread around the Caspian, however, the exact foraging pattern or process is still not completely understood. Seals might use different strategies to adapt to availability of food resources (Dmitrieva et al. 2016). The high concentration of seals for breeding purposes in the northern sector is also well documented in seal hunting records from at least the 18</w:t>
      </w:r>
      <w:r w:rsidRPr="0088780C">
        <w:rPr>
          <w:snapToGrid w:val="0"/>
          <w:color w:val="000000"/>
          <w:kern w:val="22"/>
          <w:szCs w:val="22"/>
          <w:vertAlign w:val="superscript"/>
        </w:rPr>
        <w:t>th</w:t>
      </w:r>
      <w:r w:rsidRPr="0088780C">
        <w:rPr>
          <w:snapToGrid w:val="0"/>
          <w:color w:val="000000"/>
          <w:kern w:val="22"/>
          <w:szCs w:val="22"/>
        </w:rPr>
        <w:t xml:space="preserve"> century (Harkonen et al 2012). In late summer, the breeding individuals, including pregnant females, migrate to the northern sector to give birth to pups. Breeding animals congregate along the ice sheet edge and use natural leads to gain access to the interior. Some females also follow the artificial leads created by icebreaking vessel channels (Wilson et al. 2017). The breeding habitat of Caspian seals is land-fast or drift ice, usually at least 20 cm thick, overlying water 3–5 m deep. Pregnant females often form pairs or small groups. Unlike ringed seals, Caspian seals rarely use snow lairs, but preferentially pup beside ice ridges or ice-slab piles that afford shelter to pups. Females maintain water access holes in the ice at their breeding sites throughout the season. Pups are born from late January with a peak in the first half of February, and lactation lasts for three to five weeks, by the end of which white coat pups have moulted to juvenile coats of silver grey (Wilson et al. 2017). The expert opinion and literature agree that the breeding grounds differ from year to year, depending on the extent of the coverage of the ice fields in the north, but in most years high concentrations of breeding seals are found in an area to the west of the Kulaly archipelago. approximately an area defined by the points: 45.85N 49.8E, 45.85N 51.15E, 45.22N 51.15E, 45.22N 49.8E (Harkonen et al. 2008; Dmitrieva et al. 2015; Wilson et al. 2017). After the ice melts, it is thought that pups disperse to shallow waters and reed beds around the north Caspian, but considerable gaps in knowledge on the pattern of movement of juveniles in the south still exist in the scientific literature (Wilson et. al., 2017).</w:t>
      </w:r>
    </w:p>
    <w:p w14:paraId="6AF9CCD7" w14:textId="77777777" w:rsidR="00A876F3" w:rsidRPr="0088780C" w:rsidRDefault="00A876F3" w:rsidP="00AA74FF">
      <w:pPr>
        <w:suppressLineNumbers/>
        <w:suppressAutoHyphens/>
        <w:kinsoku w:val="0"/>
        <w:overflowPunct w:val="0"/>
        <w:autoSpaceDE w:val="0"/>
        <w:autoSpaceDN w:val="0"/>
        <w:rPr>
          <w:rFonts w:eastAsia="MS Mincho"/>
          <w:snapToGrid w:val="0"/>
          <w:kern w:val="22"/>
          <w:szCs w:val="22"/>
        </w:rPr>
      </w:pPr>
    </w:p>
    <w:p w14:paraId="0C3435D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4A01410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snapToGrid w:val="0"/>
          <w:kern w:val="22"/>
          <w:szCs w:val="22"/>
        </w:rPr>
        <w:t>Long-term: Unclear due to uncertain climatic conditions.</w:t>
      </w:r>
    </w:p>
    <w:p w14:paraId="2D27B867"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snapToGrid w:val="0"/>
          <w:kern w:val="22"/>
          <w:szCs w:val="22"/>
        </w:rPr>
        <w:t>Short-term: Shrinking habitat due to a string of warm winters.</w:t>
      </w:r>
    </w:p>
    <w:p w14:paraId="67DA169D"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34A28504"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59D5A73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Assessment of the area against CBD EBSA Criteria </w:t>
      </w:r>
    </w:p>
    <w:p w14:paraId="747CF518"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6"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2"/>
        <w:gridCol w:w="4368"/>
        <w:gridCol w:w="27"/>
        <w:gridCol w:w="1020"/>
        <w:gridCol w:w="571"/>
        <w:gridCol w:w="477"/>
        <w:gridCol w:w="107"/>
        <w:gridCol w:w="681"/>
        <w:gridCol w:w="86"/>
        <w:gridCol w:w="738"/>
      </w:tblGrid>
      <w:tr w:rsidR="00A876F3" w:rsidRPr="0088780C" w14:paraId="00685050" w14:textId="77777777" w:rsidTr="006972AD">
        <w:tc>
          <w:tcPr>
            <w:tcW w:w="788" w:type="pct"/>
            <w:vMerge w:val="restart"/>
            <w:shd w:val="clear" w:color="auto" w:fill="auto"/>
          </w:tcPr>
          <w:p w14:paraId="78D38D2E" w14:textId="77777777" w:rsidR="00A876F3" w:rsidRPr="0088780C" w:rsidRDefault="00A876F3" w:rsidP="002B5AA7">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66DC1A77" w14:textId="77777777" w:rsidR="00A876F3" w:rsidRPr="0088780C" w:rsidRDefault="00A876F3" w:rsidP="002B5AA7">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78" w:type="pct"/>
            <w:vMerge w:val="restart"/>
            <w:shd w:val="clear" w:color="auto" w:fill="auto"/>
          </w:tcPr>
          <w:p w14:paraId="24F031B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2DAFA48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35" w:type="pct"/>
            <w:gridSpan w:val="8"/>
            <w:shd w:val="clear" w:color="auto" w:fill="auto"/>
          </w:tcPr>
          <w:p w14:paraId="4646A1B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1EB77DF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4022C620" w14:textId="77777777" w:rsidTr="006972AD">
        <w:tc>
          <w:tcPr>
            <w:tcW w:w="788" w:type="pct"/>
            <w:vMerge/>
            <w:shd w:val="clear" w:color="auto" w:fill="auto"/>
          </w:tcPr>
          <w:p w14:paraId="3CDDCFE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78" w:type="pct"/>
            <w:vMerge/>
            <w:shd w:val="clear" w:color="auto" w:fill="auto"/>
          </w:tcPr>
          <w:p w14:paraId="247D854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6" w:type="pct"/>
            <w:gridSpan w:val="2"/>
            <w:shd w:val="clear" w:color="auto" w:fill="auto"/>
          </w:tcPr>
          <w:p w14:paraId="7E6F753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6" w:type="pct"/>
            <w:gridSpan w:val="2"/>
            <w:shd w:val="clear" w:color="auto" w:fill="auto"/>
          </w:tcPr>
          <w:p w14:paraId="14EFEF0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53B1E71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2" w:type="pct"/>
            <w:gridSpan w:val="2"/>
            <w:shd w:val="clear" w:color="auto" w:fill="auto"/>
          </w:tcPr>
          <w:p w14:paraId="6AFB276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5182E38D" w14:textId="77777777" w:rsidTr="006972AD">
        <w:tc>
          <w:tcPr>
            <w:tcW w:w="788" w:type="pct"/>
            <w:shd w:val="clear" w:color="auto" w:fill="auto"/>
          </w:tcPr>
          <w:p w14:paraId="1117864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78" w:type="pct"/>
            <w:shd w:val="clear" w:color="auto" w:fill="auto"/>
          </w:tcPr>
          <w:p w14:paraId="4E8724AA" w14:textId="10815751"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6" w:type="pct"/>
            <w:gridSpan w:val="2"/>
            <w:shd w:val="clear" w:color="auto" w:fill="auto"/>
          </w:tcPr>
          <w:p w14:paraId="3196638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6" w:type="pct"/>
            <w:gridSpan w:val="2"/>
            <w:shd w:val="clear" w:color="auto" w:fill="auto"/>
          </w:tcPr>
          <w:p w14:paraId="7175F13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4B482E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2C0EDEB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5411417A" w14:textId="77777777" w:rsidTr="006972AD">
        <w:tc>
          <w:tcPr>
            <w:tcW w:w="5000" w:type="pct"/>
            <w:gridSpan w:val="10"/>
            <w:shd w:val="clear" w:color="auto" w:fill="auto"/>
          </w:tcPr>
          <w:p w14:paraId="25608698"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3183E0E" w14:textId="77777777" w:rsidR="00A876F3" w:rsidRPr="0088780C" w:rsidRDefault="00A876F3" w:rsidP="001013AF">
            <w:pPr>
              <w:suppressLineNumbers/>
              <w:suppressAutoHyphens/>
              <w:kinsoku w:val="0"/>
              <w:overflowPunct w:val="0"/>
              <w:autoSpaceDE w:val="0"/>
              <w:autoSpaceDN w:val="0"/>
              <w:rPr>
                <w:iCs/>
                <w:snapToGrid w:val="0"/>
                <w:kern w:val="22"/>
                <w:szCs w:val="22"/>
              </w:rPr>
            </w:pPr>
            <w:r w:rsidRPr="0088780C">
              <w:rPr>
                <w:iCs/>
                <w:snapToGrid w:val="0"/>
                <w:kern w:val="22"/>
                <w:szCs w:val="22"/>
              </w:rPr>
              <w:t xml:space="preserve">The area provides unique breeding grounds for the endangered Caspian seal (Dmitrieva </w:t>
            </w:r>
            <w:r w:rsidRPr="0088780C">
              <w:rPr>
                <w:snapToGrid w:val="0"/>
                <w:kern w:val="22"/>
                <w:szCs w:val="22"/>
              </w:rPr>
              <w:t>et al</w:t>
            </w:r>
            <w:r w:rsidRPr="0088780C">
              <w:rPr>
                <w:iCs/>
                <w:snapToGrid w:val="0"/>
                <w:kern w:val="22"/>
                <w:szCs w:val="22"/>
              </w:rPr>
              <w:t xml:space="preserve"> 2016).</w:t>
            </w:r>
          </w:p>
        </w:tc>
      </w:tr>
      <w:tr w:rsidR="00A876F3" w:rsidRPr="0088780C" w14:paraId="68829D07" w14:textId="77777777" w:rsidTr="006972AD">
        <w:tc>
          <w:tcPr>
            <w:tcW w:w="788" w:type="pct"/>
            <w:shd w:val="clear" w:color="auto" w:fill="auto"/>
          </w:tcPr>
          <w:p w14:paraId="3509CD79" w14:textId="77777777" w:rsidR="00A876F3" w:rsidRPr="0088780C" w:rsidRDefault="00A876F3" w:rsidP="002B5AA7">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78" w:type="pct"/>
            <w:shd w:val="clear" w:color="auto" w:fill="auto"/>
          </w:tcPr>
          <w:p w14:paraId="541C77D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844" w:type="pct"/>
            <w:gridSpan w:val="3"/>
            <w:shd w:val="clear" w:color="auto" w:fill="auto"/>
          </w:tcPr>
          <w:p w14:paraId="632F627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249" w:type="pct"/>
            <w:shd w:val="clear" w:color="auto" w:fill="auto"/>
          </w:tcPr>
          <w:p w14:paraId="2BE1D29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157BBE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6DD03B5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7A8F9078" w14:textId="77777777" w:rsidTr="006972AD">
        <w:tc>
          <w:tcPr>
            <w:tcW w:w="5000" w:type="pct"/>
            <w:gridSpan w:val="10"/>
            <w:shd w:val="clear" w:color="auto" w:fill="auto"/>
          </w:tcPr>
          <w:p w14:paraId="75CEF692"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1FD647DC"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snapToGrid w:val="0"/>
                <w:kern w:val="22"/>
                <w:szCs w:val="22"/>
              </w:rPr>
              <w:t xml:space="preserve">The area contains breeding grounds, nursery areas and juvenile habitat that is important for life history stages of species (Wilson </w:t>
            </w:r>
            <w:r w:rsidRPr="0088780C">
              <w:rPr>
                <w:iCs/>
                <w:snapToGrid w:val="0"/>
                <w:kern w:val="22"/>
                <w:szCs w:val="22"/>
              </w:rPr>
              <w:t>et al.</w:t>
            </w:r>
            <w:r w:rsidRPr="0088780C">
              <w:rPr>
                <w:snapToGrid w:val="0"/>
                <w:kern w:val="22"/>
                <w:szCs w:val="22"/>
              </w:rPr>
              <w:t xml:space="preserve"> 2017); but also feeding grounds for lactating females, wintering or resting areas, moulting sites for pups (Harkonen </w:t>
            </w:r>
            <w:r w:rsidRPr="0088780C">
              <w:rPr>
                <w:iCs/>
                <w:snapToGrid w:val="0"/>
                <w:kern w:val="22"/>
                <w:szCs w:val="22"/>
              </w:rPr>
              <w:t>et al</w:t>
            </w:r>
            <w:r w:rsidRPr="0088780C">
              <w:rPr>
                <w:snapToGrid w:val="0"/>
                <w:kern w:val="22"/>
                <w:szCs w:val="22"/>
              </w:rPr>
              <w:t xml:space="preserve"> 2008).</w:t>
            </w:r>
          </w:p>
        </w:tc>
      </w:tr>
      <w:tr w:rsidR="00A876F3" w:rsidRPr="0088780C" w14:paraId="56FACC32" w14:textId="77777777" w:rsidTr="006972AD">
        <w:tc>
          <w:tcPr>
            <w:tcW w:w="788" w:type="pct"/>
            <w:shd w:val="clear" w:color="auto" w:fill="auto"/>
          </w:tcPr>
          <w:p w14:paraId="70A64BB8" w14:textId="77777777" w:rsidR="00A876F3" w:rsidRPr="0088780C" w:rsidRDefault="00A876F3" w:rsidP="00150BE1">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78" w:type="pct"/>
            <w:shd w:val="clear" w:color="auto" w:fill="auto"/>
          </w:tcPr>
          <w:p w14:paraId="36B3C31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844" w:type="pct"/>
            <w:gridSpan w:val="3"/>
            <w:shd w:val="clear" w:color="auto" w:fill="auto"/>
          </w:tcPr>
          <w:p w14:paraId="294F01F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249" w:type="pct"/>
            <w:shd w:val="clear" w:color="auto" w:fill="auto"/>
          </w:tcPr>
          <w:p w14:paraId="570B7A0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E55772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5FC9ACE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74AC74EA" w14:textId="77777777" w:rsidTr="006972AD">
        <w:tc>
          <w:tcPr>
            <w:tcW w:w="5000" w:type="pct"/>
            <w:gridSpan w:val="10"/>
            <w:shd w:val="clear" w:color="auto" w:fill="auto"/>
          </w:tcPr>
          <w:p w14:paraId="6E786F6E"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1D57C3ED" w14:textId="46B32C0B" w:rsidR="00A876F3" w:rsidRPr="0088780C" w:rsidRDefault="00A876F3" w:rsidP="001013AF">
            <w:pPr>
              <w:suppressLineNumbers/>
              <w:suppressAutoHyphens/>
              <w:kinsoku w:val="0"/>
              <w:overflowPunct w:val="0"/>
              <w:autoSpaceDE w:val="0"/>
              <w:autoSpaceDN w:val="0"/>
              <w:spacing w:after="160" w:line="259" w:lineRule="auto"/>
              <w:rPr>
                <w:rFonts w:eastAsia="Calibri"/>
                <w:snapToGrid w:val="0"/>
                <w:kern w:val="22"/>
                <w:szCs w:val="22"/>
              </w:rPr>
            </w:pPr>
            <w:r w:rsidRPr="0088780C">
              <w:rPr>
                <w:rFonts w:eastAsia="Calibri"/>
                <w:snapToGrid w:val="0"/>
                <w:kern w:val="22"/>
                <w:szCs w:val="22"/>
                <w:shd w:val="clear" w:color="auto" w:fill="FFFFFF"/>
              </w:rPr>
              <w:t>Important for endangered Caspian seals since seals use the areas for breeding and nursing. Critically endangered beluga sturgeon (</w:t>
            </w:r>
            <w:r w:rsidRPr="0088780C">
              <w:rPr>
                <w:rFonts w:eastAsia="Calibri"/>
                <w:i/>
                <w:iCs/>
                <w:snapToGrid w:val="0"/>
                <w:kern w:val="22"/>
                <w:szCs w:val="22"/>
                <w:shd w:val="clear" w:color="auto" w:fill="FFFFFF"/>
              </w:rPr>
              <w:t>Huso huso</w:t>
            </w:r>
            <w:r w:rsidRPr="0088780C">
              <w:rPr>
                <w:rFonts w:eastAsia="Calibri"/>
                <w:snapToGrid w:val="0"/>
                <w:kern w:val="22"/>
                <w:szCs w:val="22"/>
                <w:shd w:val="clear" w:color="auto" w:fill="FFFFFF"/>
              </w:rPr>
              <w:t>) (</w:t>
            </w:r>
            <w:hyperlink r:id="rId244" w:history="1">
              <w:r w:rsidRPr="0088780C">
                <w:rPr>
                  <w:rFonts w:eastAsia="Calibri"/>
                  <w:snapToGrid w:val="0"/>
                  <w:color w:val="0563C1"/>
                  <w:kern w:val="22"/>
                  <w:szCs w:val="22"/>
                  <w:u w:val="single"/>
                  <w:shd w:val="clear" w:color="auto" w:fill="FFFFFF"/>
                </w:rPr>
                <w:t>http://www.iucnredlist.org/details/10269/0</w:t>
              </w:r>
            </w:hyperlink>
            <w:r w:rsidRPr="0088780C">
              <w:rPr>
                <w:rFonts w:eastAsia="Calibri"/>
                <w:snapToGrid w:val="0"/>
                <w:kern w:val="22"/>
                <w:szCs w:val="22"/>
                <w:shd w:val="clear" w:color="auto" w:fill="FFFFFF"/>
              </w:rPr>
              <w:t>) and other species of Caspian sturgeons (also cross the region when migrating to the wintering holes in the Ural river</w:t>
            </w:r>
            <w:r w:rsidR="00E76539" w:rsidRPr="0088780C">
              <w:rPr>
                <w:rFonts w:eastAsia="Calibri"/>
                <w:snapToGrid w:val="0"/>
                <w:kern w:val="22"/>
                <w:szCs w:val="22"/>
              </w:rPr>
              <w:t>:</w:t>
            </w:r>
          </w:p>
          <w:p w14:paraId="4B042367" w14:textId="20E52FD8" w:rsidR="00A876F3" w:rsidRPr="0088780C" w:rsidRDefault="00E76539" w:rsidP="001013AF">
            <w:pPr>
              <w:suppressLineNumbers/>
              <w:suppressAutoHyphens/>
              <w:kinsoku w:val="0"/>
              <w:overflowPunct w:val="0"/>
              <w:autoSpaceDE w:val="0"/>
              <w:autoSpaceDN w:val="0"/>
              <w:spacing w:after="160" w:line="259" w:lineRule="auto"/>
              <w:rPr>
                <w:rFonts w:eastAsia="Calibri"/>
                <w:snapToGrid w:val="0"/>
                <w:kern w:val="22"/>
                <w:szCs w:val="22"/>
              </w:rPr>
            </w:pPr>
            <w:r w:rsidRPr="0088780C">
              <w:rPr>
                <w:rFonts w:eastAsia="Calibri"/>
                <w:snapToGrid w:val="0"/>
                <w:kern w:val="22"/>
                <w:szCs w:val="22"/>
              </w:rPr>
              <w:t>(1) B</w:t>
            </w:r>
            <w:r w:rsidR="00A876F3" w:rsidRPr="0088780C">
              <w:rPr>
                <w:rFonts w:eastAsia="Calibri"/>
                <w:snapToGrid w:val="0"/>
                <w:kern w:val="22"/>
                <w:szCs w:val="22"/>
              </w:rPr>
              <w:t>reeding grounds, nursery areas, juvenile habitat or other areas important for life history stages of Caspian seals.</w:t>
            </w:r>
          </w:p>
          <w:p w14:paraId="78CF0B1E" w14:textId="30E1859D" w:rsidR="00A876F3" w:rsidRPr="0088780C" w:rsidRDefault="00E76539" w:rsidP="001013AF">
            <w:pPr>
              <w:suppressLineNumbers/>
              <w:suppressAutoHyphens/>
              <w:kinsoku w:val="0"/>
              <w:overflowPunct w:val="0"/>
              <w:autoSpaceDE w:val="0"/>
              <w:autoSpaceDN w:val="0"/>
              <w:spacing w:after="120" w:line="259" w:lineRule="auto"/>
              <w:rPr>
                <w:rFonts w:eastAsia="Calibri"/>
                <w:snapToGrid w:val="0"/>
                <w:kern w:val="22"/>
                <w:szCs w:val="22"/>
              </w:rPr>
            </w:pPr>
            <w:r w:rsidRPr="0088780C">
              <w:rPr>
                <w:rFonts w:eastAsia="Calibri"/>
                <w:snapToGrid w:val="0"/>
                <w:kern w:val="22"/>
                <w:szCs w:val="22"/>
              </w:rPr>
              <w:t>(2) H</w:t>
            </w:r>
            <w:r w:rsidR="00A876F3" w:rsidRPr="0088780C">
              <w:rPr>
                <w:rFonts w:eastAsia="Calibri"/>
                <w:snapToGrid w:val="0"/>
                <w:kern w:val="22"/>
                <w:szCs w:val="22"/>
              </w:rPr>
              <w:t>abitats of endangered Caspian seals (feeding, wintering or resting areas, breeding, moulting, migratory routes).</w:t>
            </w:r>
          </w:p>
          <w:p w14:paraId="39EA82E6" w14:textId="7D8FA048" w:rsidR="00A876F3" w:rsidRPr="0088780C" w:rsidRDefault="00E76539"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Calibri"/>
                <w:snapToGrid w:val="0"/>
                <w:kern w:val="22"/>
                <w:szCs w:val="22"/>
              </w:rPr>
              <w:t>(3) M</w:t>
            </w:r>
            <w:r w:rsidR="00A876F3" w:rsidRPr="0088780C">
              <w:rPr>
                <w:rFonts w:eastAsia="Calibri"/>
                <w:snapToGrid w:val="0"/>
                <w:kern w:val="22"/>
                <w:szCs w:val="22"/>
              </w:rPr>
              <w:t xml:space="preserve">igratory corridor for critically endangered </w:t>
            </w:r>
            <w:r w:rsidR="00A876F3" w:rsidRPr="0088780C">
              <w:rPr>
                <w:rFonts w:eastAsia="Calibri"/>
                <w:i/>
                <w:snapToGrid w:val="0"/>
                <w:kern w:val="22"/>
                <w:szCs w:val="22"/>
              </w:rPr>
              <w:t>Huso huso</w:t>
            </w:r>
            <w:r w:rsidR="00A876F3" w:rsidRPr="0088780C">
              <w:rPr>
                <w:rFonts w:eastAsia="Calibri"/>
                <w:snapToGrid w:val="0"/>
                <w:kern w:val="22"/>
                <w:szCs w:val="22"/>
              </w:rPr>
              <w:t xml:space="preserve"> (Lagutov and Lagutov 2007)</w:t>
            </w:r>
          </w:p>
        </w:tc>
      </w:tr>
      <w:tr w:rsidR="00A876F3" w:rsidRPr="0088780C" w14:paraId="2509A893" w14:textId="77777777" w:rsidTr="006972AD">
        <w:tc>
          <w:tcPr>
            <w:tcW w:w="788" w:type="pct"/>
            <w:shd w:val="clear" w:color="auto" w:fill="auto"/>
          </w:tcPr>
          <w:p w14:paraId="170E1A2A" w14:textId="77777777" w:rsidR="00A876F3" w:rsidRPr="0088780C" w:rsidRDefault="00A876F3" w:rsidP="00E76539">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78" w:type="pct"/>
            <w:shd w:val="clear" w:color="auto" w:fill="auto"/>
          </w:tcPr>
          <w:p w14:paraId="130E792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844" w:type="pct"/>
            <w:gridSpan w:val="3"/>
            <w:shd w:val="clear" w:color="auto" w:fill="auto"/>
          </w:tcPr>
          <w:p w14:paraId="2D499F7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249" w:type="pct"/>
            <w:shd w:val="clear" w:color="auto" w:fill="auto"/>
          </w:tcPr>
          <w:p w14:paraId="7C78303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9DF65F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7A58358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06F6D5DF" w14:textId="77777777" w:rsidTr="006972AD">
        <w:tc>
          <w:tcPr>
            <w:tcW w:w="5000" w:type="pct"/>
            <w:gridSpan w:val="10"/>
            <w:shd w:val="clear" w:color="auto" w:fill="auto"/>
          </w:tcPr>
          <w:p w14:paraId="7E94DC0D"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2FCAD7F5" w14:textId="77777777" w:rsidR="00A876F3" w:rsidRPr="0088780C" w:rsidRDefault="00A876F3" w:rsidP="001013AF">
            <w:pPr>
              <w:suppressLineNumbers/>
              <w:suppressAutoHyphens/>
              <w:kinsoku w:val="0"/>
              <w:overflowPunct w:val="0"/>
              <w:autoSpaceDE w:val="0"/>
              <w:autoSpaceDN w:val="0"/>
              <w:spacing w:after="160" w:line="259" w:lineRule="auto"/>
              <w:rPr>
                <w:rFonts w:eastAsia="Calibri"/>
                <w:snapToGrid w:val="0"/>
                <w:kern w:val="22"/>
                <w:szCs w:val="22"/>
              </w:rPr>
            </w:pPr>
            <w:r w:rsidRPr="0088780C">
              <w:rPr>
                <w:rFonts w:eastAsia="Calibri"/>
                <w:snapToGrid w:val="0"/>
                <w:kern w:val="22"/>
                <w:szCs w:val="22"/>
              </w:rPr>
              <w:t>Species of low fecundity, slow growth, long time to sexual maturity, longevity also due to unpredictable weather conditions in the northern sector (H</w:t>
            </w:r>
            <w:r w:rsidRPr="0088780C">
              <w:rPr>
                <w:rStyle w:val="st1"/>
                <w:snapToGrid w:val="0"/>
                <w:color w:val="545454"/>
                <w:kern w:val="22"/>
                <w:szCs w:val="22"/>
              </w:rPr>
              <w:t>ä</w:t>
            </w:r>
            <w:r w:rsidRPr="0088780C">
              <w:rPr>
                <w:rFonts w:eastAsia="Calibri"/>
                <w:snapToGrid w:val="0"/>
                <w:kern w:val="22"/>
                <w:szCs w:val="22"/>
              </w:rPr>
              <w:t xml:space="preserve">rkonen </w:t>
            </w:r>
            <w:r w:rsidRPr="0088780C">
              <w:rPr>
                <w:rFonts w:eastAsia="Calibri"/>
                <w:iCs/>
                <w:snapToGrid w:val="0"/>
                <w:kern w:val="22"/>
                <w:szCs w:val="22"/>
              </w:rPr>
              <w:t>et al</w:t>
            </w:r>
            <w:r w:rsidRPr="0088780C">
              <w:rPr>
                <w:rFonts w:eastAsia="Calibri"/>
                <w:snapToGrid w:val="0"/>
                <w:kern w:val="22"/>
                <w:szCs w:val="22"/>
              </w:rPr>
              <w:t xml:space="preserve"> 2008).</w:t>
            </w:r>
          </w:p>
          <w:p w14:paraId="13CBA7F3"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Calibri"/>
                <w:snapToGrid w:val="0"/>
                <w:kern w:val="22"/>
                <w:szCs w:val="22"/>
              </w:rPr>
              <w:t xml:space="preserve">The unpredictable extent of ice-covered areas, can cause high rate of juvenile mortality and can impinge upon the recovery of the Caspian seal population (Dmitrieva </w:t>
            </w:r>
            <w:r w:rsidRPr="0088780C">
              <w:rPr>
                <w:rFonts w:eastAsia="Calibri"/>
                <w:iCs/>
                <w:snapToGrid w:val="0"/>
                <w:kern w:val="22"/>
                <w:szCs w:val="22"/>
              </w:rPr>
              <w:t>et al</w:t>
            </w:r>
            <w:r w:rsidRPr="0088780C">
              <w:rPr>
                <w:rFonts w:eastAsia="Calibri"/>
                <w:snapToGrid w:val="0"/>
                <w:kern w:val="22"/>
                <w:szCs w:val="22"/>
              </w:rPr>
              <w:t xml:space="preserve"> 2015).</w:t>
            </w:r>
          </w:p>
        </w:tc>
      </w:tr>
      <w:tr w:rsidR="00A876F3" w:rsidRPr="0088780C" w14:paraId="30A5BA0F" w14:textId="77777777" w:rsidTr="006972AD">
        <w:tc>
          <w:tcPr>
            <w:tcW w:w="788" w:type="pct"/>
            <w:shd w:val="clear" w:color="auto" w:fill="auto"/>
          </w:tcPr>
          <w:p w14:paraId="46776F2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78" w:type="pct"/>
            <w:shd w:val="clear" w:color="auto" w:fill="auto"/>
          </w:tcPr>
          <w:p w14:paraId="6EF00C4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844" w:type="pct"/>
            <w:gridSpan w:val="3"/>
            <w:shd w:val="clear" w:color="auto" w:fill="auto"/>
          </w:tcPr>
          <w:p w14:paraId="0A13C2D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249" w:type="pct"/>
            <w:shd w:val="clear" w:color="auto" w:fill="auto"/>
          </w:tcPr>
          <w:p w14:paraId="332714E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D5A282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06C4380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4B12E2B2" w14:textId="77777777" w:rsidTr="006972AD">
        <w:tc>
          <w:tcPr>
            <w:tcW w:w="5000" w:type="pct"/>
            <w:gridSpan w:val="10"/>
            <w:shd w:val="clear" w:color="auto" w:fill="auto"/>
          </w:tcPr>
          <w:p w14:paraId="60DFABA9" w14:textId="77777777" w:rsidR="00A876F3" w:rsidRPr="0088780C" w:rsidRDefault="00A876F3" w:rsidP="001013AF">
            <w:pPr>
              <w:suppressLineNumbers/>
              <w:suppressAutoHyphens/>
              <w:kinsoku w:val="0"/>
              <w:overflowPunct w:val="0"/>
              <w:autoSpaceDE w:val="0"/>
              <w:autoSpaceDN w:val="0"/>
              <w:adjustRightInd w:val="0"/>
              <w:rPr>
                <w:i/>
                <w:iCs/>
                <w:snapToGrid w:val="0"/>
                <w:kern w:val="22"/>
                <w:szCs w:val="22"/>
              </w:rPr>
            </w:pPr>
            <w:r w:rsidRPr="0088780C">
              <w:rPr>
                <w:i/>
                <w:iCs/>
                <w:snapToGrid w:val="0"/>
                <w:kern w:val="22"/>
                <w:szCs w:val="22"/>
              </w:rPr>
              <w:t>Explanation for ranking</w:t>
            </w:r>
          </w:p>
          <w:p w14:paraId="7FC966E8" w14:textId="7A7A1356"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In general, experts agree that, due to chlorophyll inputs from the Volga and Ural rivers, the northern Caspian is characterized by high biological productivity (in the summer months) (Fendereski, F. </w:t>
            </w:r>
            <w:r w:rsidRPr="0088780C">
              <w:rPr>
                <w:iCs/>
                <w:snapToGrid w:val="0"/>
                <w:kern w:val="22"/>
                <w:szCs w:val="22"/>
              </w:rPr>
              <w:t>et al.</w:t>
            </w:r>
            <w:r w:rsidRPr="0088780C">
              <w:rPr>
                <w:snapToGrid w:val="0"/>
                <w:kern w:val="22"/>
                <w:szCs w:val="22"/>
              </w:rPr>
              <w:t xml:space="preserve"> 2014; Khodorevskaya </w:t>
            </w:r>
            <w:r w:rsidRPr="0088780C">
              <w:rPr>
                <w:iCs/>
                <w:snapToGrid w:val="0"/>
                <w:kern w:val="22"/>
                <w:szCs w:val="22"/>
              </w:rPr>
              <w:t>et al.</w:t>
            </w:r>
            <w:r w:rsidRPr="0088780C">
              <w:rPr>
                <w:snapToGrid w:val="0"/>
                <w:kern w:val="22"/>
                <w:szCs w:val="22"/>
              </w:rPr>
              <w:t xml:space="preserve"> 2012; Pourang </w:t>
            </w:r>
            <w:r w:rsidRPr="0088780C">
              <w:rPr>
                <w:iCs/>
                <w:snapToGrid w:val="0"/>
                <w:kern w:val="22"/>
                <w:szCs w:val="22"/>
              </w:rPr>
              <w:t>et al.</w:t>
            </w:r>
            <w:r w:rsidRPr="0088780C">
              <w:rPr>
                <w:snapToGrid w:val="0"/>
                <w:kern w:val="22"/>
                <w:szCs w:val="22"/>
              </w:rPr>
              <w:t xml:space="preserve"> 2012; Kideys </w:t>
            </w:r>
            <w:r w:rsidRPr="0088780C">
              <w:rPr>
                <w:iCs/>
                <w:snapToGrid w:val="0"/>
                <w:kern w:val="22"/>
                <w:szCs w:val="22"/>
              </w:rPr>
              <w:t>et al.</w:t>
            </w:r>
            <w:r w:rsidRPr="0088780C">
              <w:rPr>
                <w:snapToGrid w:val="0"/>
                <w:kern w:val="22"/>
                <w:szCs w:val="22"/>
              </w:rPr>
              <w:t xml:space="preserve"> 2008; Khodorevskaya </w:t>
            </w:r>
            <w:r w:rsidRPr="0088780C">
              <w:rPr>
                <w:iCs/>
                <w:snapToGrid w:val="0"/>
                <w:kern w:val="22"/>
                <w:szCs w:val="22"/>
              </w:rPr>
              <w:t>et al.</w:t>
            </w:r>
            <w:r w:rsidRPr="0088780C">
              <w:rPr>
                <w:snapToGrid w:val="0"/>
                <w:kern w:val="22"/>
                <w:szCs w:val="22"/>
              </w:rPr>
              <w:t xml:space="preserve"> 1997). However, no conclusive evidence can connect high levels of biological productivity to the increased population of the Caspian seals. The co</w:t>
            </w:r>
            <w:r w:rsidR="00E76539" w:rsidRPr="0088780C">
              <w:rPr>
                <w:snapToGrid w:val="0"/>
                <w:kern w:val="22"/>
                <w:szCs w:val="22"/>
              </w:rPr>
              <w:t>nnection suggests three things:</w:t>
            </w:r>
          </w:p>
          <w:p w14:paraId="6C7DBD6D" w14:textId="421FE8B3"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1. The impacts of high biological productivity are too general and other biological factors reduce the impacts o</w:t>
            </w:r>
            <w:r w:rsidR="00E76539" w:rsidRPr="0088780C">
              <w:rPr>
                <w:snapToGrid w:val="0"/>
                <w:kern w:val="22"/>
                <w:szCs w:val="22"/>
              </w:rPr>
              <w:t>f high biological productivity.</w:t>
            </w:r>
          </w:p>
          <w:p w14:paraId="2ED8F536" w14:textId="644E949C"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2. There is no direct causal connection between biological productivity of the Northern Caspian an</w:t>
            </w:r>
            <w:r w:rsidR="00E76539" w:rsidRPr="0088780C">
              <w:rPr>
                <w:snapToGrid w:val="0"/>
                <w:kern w:val="22"/>
                <w:szCs w:val="22"/>
              </w:rPr>
              <w:t>d the numbers of Caspian seals.</w:t>
            </w:r>
          </w:p>
          <w:p w14:paraId="5443E0C6" w14:textId="35A81FC8"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3 Biological productivity throughout winter mounts is less understood. The conclusion is that no information exist to definitely link high levels of biological productivity to the increase in biological productivity of the Caspian seal. More information on the trophic chains in the Caspian needs to be obtained.</w:t>
            </w:r>
          </w:p>
        </w:tc>
      </w:tr>
      <w:tr w:rsidR="00A876F3" w:rsidRPr="0088780C" w14:paraId="41621FB8" w14:textId="77777777" w:rsidTr="006972AD">
        <w:tc>
          <w:tcPr>
            <w:tcW w:w="788" w:type="pct"/>
            <w:shd w:val="clear" w:color="auto" w:fill="auto"/>
          </w:tcPr>
          <w:p w14:paraId="2E8FAD8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78" w:type="pct"/>
            <w:shd w:val="clear" w:color="auto" w:fill="auto"/>
          </w:tcPr>
          <w:p w14:paraId="5901700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844" w:type="pct"/>
            <w:gridSpan w:val="3"/>
            <w:shd w:val="clear" w:color="auto" w:fill="auto"/>
          </w:tcPr>
          <w:p w14:paraId="2733C82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249" w:type="pct"/>
            <w:shd w:val="clear" w:color="auto" w:fill="auto"/>
          </w:tcPr>
          <w:p w14:paraId="0891A96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71CA13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0061C22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12642DA2" w14:textId="77777777" w:rsidTr="006972AD">
        <w:tc>
          <w:tcPr>
            <w:tcW w:w="5000" w:type="pct"/>
            <w:gridSpan w:val="10"/>
            <w:shd w:val="clear" w:color="auto" w:fill="auto"/>
          </w:tcPr>
          <w:p w14:paraId="6C67AF9B"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60C8CCC3" w14:textId="0DD7FFD8"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 research experts agree that studies on biological diversity in Northern Caspian should be continued due to its high significance to the Caspian seal population and sturgeons.</w:t>
            </w:r>
          </w:p>
        </w:tc>
      </w:tr>
      <w:tr w:rsidR="00A876F3" w:rsidRPr="0088780C" w14:paraId="674CDF29" w14:textId="77777777" w:rsidTr="006972AD">
        <w:tc>
          <w:tcPr>
            <w:tcW w:w="788" w:type="pct"/>
            <w:shd w:val="clear" w:color="auto" w:fill="auto"/>
          </w:tcPr>
          <w:p w14:paraId="28375CB2"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2" w:type="pct"/>
            <w:gridSpan w:val="2"/>
            <w:shd w:val="clear" w:color="auto" w:fill="auto"/>
          </w:tcPr>
          <w:p w14:paraId="6EEBDF05"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829" w:type="pct"/>
            <w:gridSpan w:val="2"/>
            <w:shd w:val="clear" w:color="auto" w:fill="auto"/>
          </w:tcPr>
          <w:p w14:paraId="69D7B22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305" w:type="pct"/>
            <w:gridSpan w:val="2"/>
            <w:shd w:val="clear" w:color="auto" w:fill="auto"/>
          </w:tcPr>
          <w:p w14:paraId="12DAA5B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69150B2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c>
          <w:tcPr>
            <w:tcW w:w="386" w:type="pct"/>
            <w:shd w:val="clear" w:color="auto" w:fill="auto"/>
          </w:tcPr>
          <w:p w14:paraId="675948D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A876F3" w:rsidRPr="0088780C" w14:paraId="6AB43C6D" w14:textId="77777777" w:rsidTr="006972AD">
        <w:tc>
          <w:tcPr>
            <w:tcW w:w="5000" w:type="pct"/>
            <w:gridSpan w:val="10"/>
            <w:shd w:val="clear" w:color="auto" w:fill="auto"/>
          </w:tcPr>
          <w:p w14:paraId="0B1A0D6D"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181C6CC"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 xml:space="preserve">Medium level since the Caspian seal breeding polygons are shaped by ice fields as well as by other factors (Wilson et al. 2017; Dmitrieva </w:t>
            </w:r>
            <w:r w:rsidRPr="0088780C">
              <w:rPr>
                <w:iCs/>
                <w:snapToGrid w:val="0"/>
                <w:kern w:val="22"/>
                <w:szCs w:val="22"/>
              </w:rPr>
              <w:t>et al.</w:t>
            </w:r>
            <w:r w:rsidRPr="0088780C">
              <w:rPr>
                <w:snapToGrid w:val="0"/>
                <w:kern w:val="22"/>
                <w:szCs w:val="22"/>
              </w:rPr>
              <w:t xml:space="preserve"> 2015).</w:t>
            </w:r>
          </w:p>
        </w:tc>
      </w:tr>
    </w:tbl>
    <w:p w14:paraId="1F7F03E8"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rPr>
      </w:pPr>
    </w:p>
    <w:p w14:paraId="478631AB" w14:textId="77777777" w:rsidR="00A876F3" w:rsidRPr="0088780C" w:rsidRDefault="00A876F3" w:rsidP="00E76539">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022C54FA" w14:textId="77777777" w:rsidR="00A876F3" w:rsidRPr="0088780C" w:rsidRDefault="00A876F3" w:rsidP="00E76539">
      <w:pPr>
        <w:keepNext/>
        <w:suppressLineNumbers/>
        <w:suppressAutoHyphens/>
        <w:kinsoku w:val="0"/>
        <w:overflowPunct w:val="0"/>
        <w:autoSpaceDE w:val="0"/>
        <w:autoSpaceDN w:val="0"/>
        <w:spacing w:after="60"/>
        <w:rPr>
          <w:rFonts w:eastAsia="Calibri"/>
          <w:bCs/>
          <w:i/>
          <w:snapToGrid w:val="0"/>
          <w:color w:val="212121"/>
          <w:kern w:val="22"/>
          <w:szCs w:val="22"/>
          <w:shd w:val="clear" w:color="auto" w:fill="FFFFFF"/>
        </w:rPr>
      </w:pPr>
      <w:r w:rsidRPr="0088780C">
        <w:rPr>
          <w:rFonts w:eastAsia="Calibri"/>
          <w:bCs/>
          <w:i/>
          <w:snapToGrid w:val="0"/>
          <w:color w:val="212121"/>
          <w:kern w:val="22"/>
          <w:szCs w:val="22"/>
          <w:shd w:val="clear" w:color="auto" w:fill="FFFFFF"/>
        </w:rPr>
        <w:t>In English</w:t>
      </w:r>
    </w:p>
    <w:p w14:paraId="79C4A4DA"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rFonts w:eastAsia="Times New Roman"/>
          <w:snapToGrid w:val="0"/>
          <w:kern w:val="22"/>
          <w:szCs w:val="22"/>
          <w:lang w:eastAsia="en-GB"/>
        </w:rPr>
      </w:pPr>
      <w:r w:rsidRPr="0088780C">
        <w:rPr>
          <w:snapToGrid w:val="0"/>
          <w:color w:val="000000"/>
          <w:kern w:val="22"/>
          <w:szCs w:val="22"/>
        </w:rPr>
        <w:t xml:space="preserve">CaspEco Project 2012. CaspEco project Component 1, Seal Special Protected Area Scoping and Inception Plan, Final Report, May 2012. </w:t>
      </w:r>
      <w:hyperlink r:id="rId245" w:history="1">
        <w:r w:rsidRPr="0088780C">
          <w:rPr>
            <w:rStyle w:val="Hyperlink"/>
            <w:snapToGrid w:val="0"/>
            <w:kern w:val="22"/>
            <w:szCs w:val="22"/>
          </w:rPr>
          <w:t>http://www.darwininitiative.org.uk/documents/15024/22941/15-024%20SSPA%20Scoping%20and%20Inception%20Plan%20with%20annexes.pdf</w:t>
        </w:r>
      </w:hyperlink>
      <w:r w:rsidRPr="0088780C">
        <w:rPr>
          <w:rFonts w:eastAsia="Times New Roman"/>
          <w:snapToGrid w:val="0"/>
          <w:kern w:val="22"/>
          <w:szCs w:val="22"/>
          <w:lang w:eastAsia="en-GB"/>
        </w:rPr>
        <w:t xml:space="preserve"> </w:t>
      </w:r>
    </w:p>
    <w:p w14:paraId="07F53B95"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rFonts w:eastAsia="Calibri"/>
          <w:bCs/>
          <w:i/>
          <w:snapToGrid w:val="0"/>
          <w:color w:val="212121"/>
          <w:kern w:val="22"/>
          <w:szCs w:val="22"/>
          <w:shd w:val="clear" w:color="auto" w:fill="FFFFFF"/>
        </w:rPr>
      </w:pPr>
      <w:r w:rsidRPr="0088780C">
        <w:rPr>
          <w:rFonts w:eastAsia="Times New Roman"/>
          <w:snapToGrid w:val="0"/>
          <w:kern w:val="22"/>
          <w:szCs w:val="22"/>
          <w:lang w:eastAsia="en-GB"/>
        </w:rPr>
        <w:t>Dmitrieva, L., Karkonen_Baimukanov (2015) Inter-year variation in pup production of Caspian seals Pusa caspica 2005-2012 determined from aerial survey. Endangered Species Research 28: 2009-223</w:t>
      </w:r>
    </w:p>
    <w:p w14:paraId="65FB7B66"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snapToGrid w:val="0"/>
          <w:color w:val="000000"/>
          <w:kern w:val="22"/>
          <w:szCs w:val="22"/>
        </w:rPr>
      </w:pPr>
      <w:r w:rsidRPr="0088780C">
        <w:rPr>
          <w:snapToGrid w:val="0"/>
          <w:color w:val="000000"/>
          <w:kern w:val="22"/>
          <w:szCs w:val="22"/>
        </w:rPr>
        <w:t xml:space="preserve">Caspian Environment programme (2007). Caspian Seal Conservation Action Plan. </w:t>
      </w:r>
      <w:hyperlink r:id="rId246" w:history="1">
        <w:r w:rsidRPr="0088780C">
          <w:rPr>
            <w:rStyle w:val="Hyperlink"/>
            <w:snapToGrid w:val="0"/>
            <w:kern w:val="22"/>
            <w:szCs w:val="22"/>
          </w:rPr>
          <w:t>http://projects.inweh.unu.edu/inweh/display.php?ID=1057</w:t>
        </w:r>
      </w:hyperlink>
    </w:p>
    <w:p w14:paraId="7BB9E1B3" w14:textId="77777777" w:rsidR="00A876F3" w:rsidRPr="0088780C" w:rsidRDefault="00A876F3" w:rsidP="00E76539">
      <w:pPr>
        <w:pStyle w:val="NormalWeb"/>
        <w:suppressLineNumbers/>
        <w:suppressAutoHyphens/>
        <w:kinsoku w:val="0"/>
        <w:overflowPunct w:val="0"/>
        <w:autoSpaceDE w:val="0"/>
        <w:autoSpaceDN w:val="0"/>
        <w:adjustRightInd w:val="0"/>
        <w:spacing w:before="0" w:beforeAutospacing="0" w:after="60" w:afterAutospacing="0"/>
        <w:ind w:left="720" w:hanging="720"/>
        <w:jc w:val="both"/>
        <w:rPr>
          <w:snapToGrid w:val="0"/>
          <w:color w:val="000000"/>
          <w:kern w:val="22"/>
          <w:sz w:val="22"/>
          <w:szCs w:val="22"/>
          <w:lang w:val="en-GB"/>
        </w:rPr>
      </w:pPr>
      <w:r w:rsidRPr="0088780C">
        <w:rPr>
          <w:snapToGrid w:val="0"/>
          <w:color w:val="000000"/>
          <w:kern w:val="22"/>
          <w:sz w:val="22"/>
          <w:szCs w:val="22"/>
          <w:lang w:val="en-GB"/>
        </w:rPr>
        <w:t>Dmitrieva L, Kondakov AA, Oleynikov E, Kydyrmanov A, Karamendin K, Kasimbekov Y, Baimukanov M, Wilson S, Goodman JS (2013) Assessment of Caspian Seal by-catch in an illegal fishery using an interview based approach. PLoS One 8(6):e67074</w:t>
      </w:r>
    </w:p>
    <w:p w14:paraId="25149494" w14:textId="77777777" w:rsidR="00A876F3" w:rsidRPr="0088780C" w:rsidRDefault="00A876F3" w:rsidP="00E76539">
      <w:pPr>
        <w:pStyle w:val="NormalWeb"/>
        <w:suppressLineNumbers/>
        <w:suppressAutoHyphens/>
        <w:kinsoku w:val="0"/>
        <w:overflowPunct w:val="0"/>
        <w:autoSpaceDE w:val="0"/>
        <w:autoSpaceDN w:val="0"/>
        <w:adjustRightInd w:val="0"/>
        <w:spacing w:before="0" w:beforeAutospacing="0" w:after="60" w:afterAutospacing="0"/>
        <w:ind w:left="720" w:hanging="720"/>
        <w:jc w:val="both"/>
        <w:rPr>
          <w:snapToGrid w:val="0"/>
          <w:color w:val="000000"/>
          <w:kern w:val="22"/>
          <w:sz w:val="22"/>
          <w:szCs w:val="22"/>
          <w:lang w:val="en-GB"/>
        </w:rPr>
      </w:pPr>
      <w:r w:rsidRPr="0088780C">
        <w:rPr>
          <w:snapToGrid w:val="0"/>
          <w:color w:val="000000"/>
          <w:kern w:val="22"/>
          <w:sz w:val="22"/>
          <w:szCs w:val="22"/>
          <w:lang w:val="en-GB"/>
        </w:rPr>
        <w:t>Dmitrieva, L., Karkonen_Baimukanov (2015) Inter-year variation in pup production of Caspian seals Pusa caspica 2005-2012 determined from aerial survey. Endangered Species Research 28: 2009-223</w:t>
      </w:r>
    </w:p>
    <w:p w14:paraId="2194B1AF"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rFonts w:eastAsia="Calibri"/>
          <w:snapToGrid w:val="0"/>
          <w:kern w:val="22"/>
          <w:szCs w:val="22"/>
        </w:rPr>
      </w:pPr>
      <w:r w:rsidRPr="0088780C">
        <w:rPr>
          <w:rFonts w:eastAsia="Times New Roman"/>
          <w:snapToGrid w:val="0"/>
          <w:kern w:val="22"/>
          <w:szCs w:val="22"/>
          <w:lang w:eastAsia="en-GB"/>
        </w:rPr>
        <w:t xml:space="preserve">Dmitrieva, L., Jüssi, M., Jüssi, I., Kasymbekov, Y., Verevkin, M., Baimukanov, M. Goodman, S. J. (2016). Individual variation in seasonal movements and foraging strategies of a land-locked, ice-breeding pinniped. </w:t>
      </w:r>
      <w:r w:rsidRPr="0088780C">
        <w:rPr>
          <w:rFonts w:eastAsia="Times New Roman"/>
          <w:i/>
          <w:iCs/>
          <w:snapToGrid w:val="0"/>
          <w:kern w:val="22"/>
          <w:szCs w:val="22"/>
          <w:lang w:eastAsia="en-GB"/>
        </w:rPr>
        <w:t>Marine Ecology Progress Series</w:t>
      </w:r>
      <w:r w:rsidRPr="0088780C">
        <w:rPr>
          <w:rFonts w:eastAsia="Times New Roman"/>
          <w:snapToGrid w:val="0"/>
          <w:kern w:val="22"/>
          <w:szCs w:val="22"/>
          <w:lang w:eastAsia="en-GB"/>
        </w:rPr>
        <w:t xml:space="preserve">, </w:t>
      </w:r>
      <w:r w:rsidRPr="0088780C">
        <w:rPr>
          <w:rFonts w:eastAsia="Times New Roman"/>
          <w:i/>
          <w:iCs/>
          <w:snapToGrid w:val="0"/>
          <w:kern w:val="22"/>
          <w:szCs w:val="22"/>
          <w:lang w:eastAsia="en-GB"/>
        </w:rPr>
        <w:t>554</w:t>
      </w:r>
      <w:r w:rsidRPr="0088780C">
        <w:rPr>
          <w:rFonts w:eastAsia="Times New Roman"/>
          <w:snapToGrid w:val="0"/>
          <w:kern w:val="22"/>
          <w:szCs w:val="22"/>
          <w:lang w:eastAsia="en-GB"/>
        </w:rPr>
        <w:t>, 241–256. https://doi.org/10.3354/meps11804</w:t>
      </w:r>
    </w:p>
    <w:p w14:paraId="607137BA"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Fendereski, F. et al. (2014) Biogeographic classification of the Caspian Sea. Biogeosciences 11, 6451–6470.</w:t>
      </w:r>
    </w:p>
    <w:p w14:paraId="7273BA67"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rFonts w:eastAsia="Calibri"/>
          <w:snapToGrid w:val="0"/>
          <w:color w:val="212121"/>
          <w:kern w:val="22"/>
          <w:szCs w:val="22"/>
          <w:shd w:val="clear" w:color="auto" w:fill="FFFFFF"/>
        </w:rPr>
      </w:pPr>
      <w:r w:rsidRPr="0088780C">
        <w:rPr>
          <w:snapToGrid w:val="0"/>
          <w:color w:val="000000"/>
          <w:kern w:val="22"/>
          <w:szCs w:val="22"/>
        </w:rPr>
        <w:t>Goodman, S. &amp; Dmitrieva, L. 2016. Pusa caspica. The IUCN Red List of Threatened Species 2016: e.T41669A45230700. http://dx.doi.org/10.2305/IUCN.UK.2016-1.RLTS.T41669A45230700.en.</w:t>
      </w:r>
      <w:r w:rsidRPr="0088780C">
        <w:rPr>
          <w:rFonts w:eastAsia="Calibri"/>
          <w:snapToGrid w:val="0"/>
          <w:kern w:val="22"/>
          <w:szCs w:val="22"/>
        </w:rPr>
        <w:t xml:space="preserve"> </w:t>
      </w:r>
    </w:p>
    <w:p w14:paraId="5CC2E778" w14:textId="77777777" w:rsidR="00A876F3" w:rsidRPr="0088780C" w:rsidRDefault="00A876F3" w:rsidP="00E76539">
      <w:pPr>
        <w:keepLines/>
        <w:suppressLineNumbers/>
        <w:suppressAutoHyphens/>
        <w:kinsoku w:val="0"/>
        <w:overflowPunct w:val="0"/>
        <w:autoSpaceDE w:val="0"/>
        <w:autoSpaceDN w:val="0"/>
        <w:adjustRightInd w:val="0"/>
        <w:spacing w:after="60"/>
        <w:ind w:left="720" w:hanging="720"/>
        <w:rPr>
          <w:snapToGrid w:val="0"/>
          <w:color w:val="000000"/>
          <w:kern w:val="22"/>
          <w:szCs w:val="22"/>
        </w:rPr>
      </w:pPr>
      <w:r w:rsidRPr="0088780C">
        <w:rPr>
          <w:snapToGrid w:val="0"/>
          <w:color w:val="000000"/>
          <w:kern w:val="22"/>
          <w:szCs w:val="22"/>
        </w:rPr>
        <w:t>Harkonen, T., Jussi, M., Baimukanov, M., Bignert, A., Dmitrieva, L., Kasimbekvo, Y., Verevkin, M., Wilson S., Goodman, S. J. (2008). Pup Production and Breeding Distribution of the Caspian Seal (Phoca caspica) in Relation to Human Impacts. AMBIO: A Journal of the Human Environment 37, 356–361.</w:t>
      </w:r>
    </w:p>
    <w:p w14:paraId="3C36CFB8"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rFonts w:eastAsia="Calibri"/>
          <w:snapToGrid w:val="0"/>
          <w:kern w:val="22"/>
          <w:szCs w:val="22"/>
        </w:rPr>
      </w:pPr>
      <w:r w:rsidRPr="0088780C">
        <w:rPr>
          <w:rFonts w:eastAsia="Calibri"/>
          <w:snapToGrid w:val="0"/>
          <w:kern w:val="22"/>
          <w:szCs w:val="22"/>
        </w:rPr>
        <w:t>H</w:t>
      </w:r>
      <w:r w:rsidRPr="0088780C">
        <w:rPr>
          <w:rStyle w:val="st1"/>
          <w:snapToGrid w:val="0"/>
          <w:color w:val="545454"/>
          <w:kern w:val="22"/>
          <w:szCs w:val="22"/>
        </w:rPr>
        <w:t>ä</w:t>
      </w:r>
      <w:r w:rsidRPr="0088780C">
        <w:rPr>
          <w:rFonts w:eastAsia="Calibri"/>
          <w:snapToGrid w:val="0"/>
          <w:kern w:val="22"/>
          <w:szCs w:val="22"/>
        </w:rPr>
        <w:t xml:space="preserve">rkonen, T., Karin C. Harding, Susan Wilson, Mirgaliy Baimukanov, Lilia Dmitrieva, Carl Johan Svensson, Simon J. Goodman (2012) Collapse of a Marine Mammal Species Driven by Human Impacts </w:t>
      </w:r>
      <w:r w:rsidRPr="0088780C">
        <w:rPr>
          <w:snapToGrid w:val="0"/>
          <w:color w:val="000000"/>
          <w:kern w:val="22"/>
          <w:szCs w:val="22"/>
        </w:rPr>
        <w:t>PloS one 7 (9), e43130.</w:t>
      </w:r>
    </w:p>
    <w:p w14:paraId="1DCB999E"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rFonts w:eastAsia="Times New Roman"/>
          <w:snapToGrid w:val="0"/>
          <w:kern w:val="22"/>
          <w:szCs w:val="22"/>
          <w:lang w:eastAsia="en-GB"/>
        </w:rPr>
      </w:pPr>
      <w:r w:rsidRPr="0088780C">
        <w:rPr>
          <w:rFonts w:eastAsia="Times New Roman"/>
          <w:snapToGrid w:val="0"/>
          <w:kern w:val="22"/>
          <w:szCs w:val="22"/>
          <w:lang w:eastAsia="en-GB"/>
        </w:rPr>
        <w:t xml:space="preserve">Kovacs, K. M., Aguilar, A., Aurioles, D., Burkanov, V., Campagna, C., Gales, N., Trillmich, F. (2012). Global threats to pinnipeds. </w:t>
      </w:r>
      <w:r w:rsidRPr="0088780C">
        <w:rPr>
          <w:rFonts w:eastAsia="Times New Roman"/>
          <w:i/>
          <w:iCs/>
          <w:snapToGrid w:val="0"/>
          <w:kern w:val="22"/>
          <w:szCs w:val="22"/>
          <w:lang w:eastAsia="en-GB"/>
        </w:rPr>
        <w:t>Marine Mammal Science</w:t>
      </w:r>
      <w:r w:rsidRPr="0088780C">
        <w:rPr>
          <w:rFonts w:eastAsia="Times New Roman"/>
          <w:snapToGrid w:val="0"/>
          <w:kern w:val="22"/>
          <w:szCs w:val="22"/>
          <w:lang w:eastAsia="en-GB"/>
        </w:rPr>
        <w:t xml:space="preserve">, </w:t>
      </w:r>
      <w:r w:rsidRPr="0088780C">
        <w:rPr>
          <w:rFonts w:eastAsia="Times New Roman"/>
          <w:i/>
          <w:iCs/>
          <w:snapToGrid w:val="0"/>
          <w:kern w:val="22"/>
          <w:szCs w:val="22"/>
          <w:lang w:eastAsia="en-GB"/>
        </w:rPr>
        <w:t>28</w:t>
      </w:r>
      <w:r w:rsidRPr="0088780C">
        <w:rPr>
          <w:rFonts w:eastAsia="Times New Roman"/>
          <w:snapToGrid w:val="0"/>
          <w:kern w:val="22"/>
          <w:szCs w:val="22"/>
          <w:lang w:eastAsia="en-GB"/>
        </w:rPr>
        <w:t xml:space="preserve">(2), 414–436. </w:t>
      </w:r>
      <w:hyperlink r:id="rId247" w:history="1">
        <w:r w:rsidRPr="0088780C">
          <w:rPr>
            <w:rFonts w:eastAsia="Times New Roman"/>
            <w:snapToGrid w:val="0"/>
            <w:color w:val="0563C1"/>
            <w:kern w:val="22"/>
            <w:szCs w:val="22"/>
            <w:u w:val="single"/>
            <w:lang w:eastAsia="en-GB"/>
          </w:rPr>
          <w:t>https://doi.org/10.1111/j.1748-7692.2011.00479.x</w:t>
        </w:r>
      </w:hyperlink>
    </w:p>
    <w:p w14:paraId="26D0F8B9"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rFonts w:eastAsia="Calibri"/>
          <w:snapToGrid w:val="0"/>
          <w:kern w:val="22"/>
          <w:szCs w:val="22"/>
        </w:rPr>
      </w:pPr>
      <w:r w:rsidRPr="0088780C">
        <w:rPr>
          <w:rFonts w:eastAsia="Calibri"/>
          <w:snapToGrid w:val="0"/>
          <w:kern w:val="22"/>
          <w:szCs w:val="22"/>
        </w:rPr>
        <w:t>Khodorevskaya R, Dovgopol G, Zhuravleva O, Vlasenko A (1997) Present status of commercial stocks of sturgeons in the Caspian Sea basin. Environ Biol Fishes 48(1–4):209–220</w:t>
      </w:r>
    </w:p>
    <w:p w14:paraId="39E29F22"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rFonts w:eastAsia="Calibri"/>
          <w:snapToGrid w:val="0"/>
          <w:kern w:val="22"/>
          <w:szCs w:val="22"/>
        </w:rPr>
      </w:pPr>
      <w:r w:rsidRPr="0088780C">
        <w:rPr>
          <w:rFonts w:eastAsia="Calibri"/>
          <w:snapToGrid w:val="0"/>
          <w:kern w:val="22"/>
          <w:szCs w:val="22"/>
        </w:rPr>
        <w:t>Khodorevskaya R, Kalmykov V, Zhilkin A (2012) Sovremennoe sostoyanie zapasov osetrovyh Kaspiyskogo Basseina i mery po ih sohraneniyu (Present state of the Caspian Sturgeons Reserves and Measures on its Conservation). Vestnik AGTU Seriya: Rybnoe hozyaistvo 1:99–106</w:t>
      </w:r>
    </w:p>
    <w:p w14:paraId="45FFB198"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rFonts w:eastAsia="Calibri"/>
          <w:snapToGrid w:val="0"/>
          <w:kern w:val="22"/>
          <w:szCs w:val="22"/>
          <w:shd w:val="clear" w:color="auto" w:fill="FFFFFF"/>
        </w:rPr>
      </w:pPr>
      <w:r w:rsidRPr="0088780C">
        <w:rPr>
          <w:snapToGrid w:val="0"/>
          <w:kern w:val="22"/>
          <w:szCs w:val="22"/>
        </w:rPr>
        <w:t xml:space="preserve">Kideys, A. E., Roohi, A., Eker-Develi, E., Melin, F. &amp; Beare, D. Increased Chlorophyll Levels in the Southern Caspian Sea Following an Invasion of Jellyfish. (2008). Available at: </w:t>
      </w:r>
      <w:hyperlink r:id="rId248" w:tgtFrame="_blank" w:history="1">
        <w:r w:rsidRPr="0088780C">
          <w:rPr>
            <w:snapToGrid w:val="0"/>
            <w:kern w:val="22"/>
            <w:szCs w:val="22"/>
            <w:u w:val="single"/>
          </w:rPr>
          <w:t>http://eds.b.ebscohost.com/abstract?site=eds&amp;scope=site&amp;jrnl=16876768&amp;AN=39761509&amp;h=o7%2fKv9bJBeaTYTGUmlV75WidWmq%2fH17CGxAoAGgCcg6bh9iNMfF%2fam1dUuGYOEXul3LdePKx%2ba4dLXnJ9JmQ2w%3d%3d&amp;crl=f&amp;resultLocal=ErrCrlNoResults&amp;resultNs=Ehost&amp;crlhashurl=login.aspx%3fdirect%3dtrue%26profile%3dehost%26scope%3dsite%26authtype%3dcrawler%26jrnl%3d16876768%26AN%3d39761509</w:t>
        </w:r>
      </w:hyperlink>
      <w:r w:rsidRPr="0088780C">
        <w:rPr>
          <w:snapToGrid w:val="0"/>
          <w:kern w:val="22"/>
          <w:szCs w:val="22"/>
        </w:rPr>
        <w:t>. (Accessed: 6 March 2017)</w:t>
      </w:r>
    </w:p>
    <w:p w14:paraId="7D4CF0AD" w14:textId="3D26AE49" w:rsidR="00A876F3" w:rsidRPr="0088780C" w:rsidRDefault="00A876F3" w:rsidP="00E76539">
      <w:pPr>
        <w:suppressLineNumbers/>
        <w:suppressAutoHyphens/>
        <w:kinsoku w:val="0"/>
        <w:overflowPunct w:val="0"/>
        <w:autoSpaceDE w:val="0"/>
        <w:autoSpaceDN w:val="0"/>
        <w:adjustRightInd w:val="0"/>
        <w:spacing w:after="60"/>
        <w:ind w:left="720" w:hanging="720"/>
        <w:rPr>
          <w:rFonts w:eastAsia="Calibri"/>
          <w:snapToGrid w:val="0"/>
          <w:kern w:val="22"/>
          <w:szCs w:val="22"/>
        </w:rPr>
      </w:pPr>
      <w:r w:rsidRPr="0088780C">
        <w:rPr>
          <w:rFonts w:eastAsia="Calibri"/>
          <w:snapToGrid w:val="0"/>
          <w:kern w:val="22"/>
          <w:szCs w:val="22"/>
        </w:rPr>
        <w:t>Lagutov V. and Lagutov V. (2007) The Ural River Sturgeons: Population Dynamics, Catch, Reasons for Decline, and Restoration Strategies. In Rescue of Sturgeon Species in the Ural River Basi</w:t>
      </w:r>
      <w:r w:rsidR="00153C6F" w:rsidRPr="0088780C">
        <w:rPr>
          <w:rFonts w:eastAsia="Calibri"/>
          <w:snapToGrid w:val="0"/>
          <w:kern w:val="22"/>
          <w:szCs w:val="22"/>
        </w:rPr>
        <w:t>n. ed (viktor lagutov) Springer-</w:t>
      </w:r>
      <w:r w:rsidRPr="0088780C">
        <w:rPr>
          <w:rFonts w:eastAsia="Calibri"/>
          <w:snapToGrid w:val="0"/>
          <w:kern w:val="22"/>
          <w:szCs w:val="22"/>
        </w:rPr>
        <w:t>Verlag New York Inc. New York. 193-276</w:t>
      </w:r>
    </w:p>
    <w:p w14:paraId="0BBA2299" w14:textId="77777777" w:rsidR="00A876F3" w:rsidRPr="0088780C" w:rsidRDefault="00A876F3" w:rsidP="00E76539">
      <w:pPr>
        <w:suppressLineNumbers/>
        <w:suppressAutoHyphens/>
        <w:kinsoku w:val="0"/>
        <w:overflowPunct w:val="0"/>
        <w:autoSpaceDE w:val="0"/>
        <w:autoSpaceDN w:val="0"/>
        <w:adjustRightInd w:val="0"/>
        <w:spacing w:after="60"/>
        <w:ind w:left="720" w:hanging="720"/>
        <w:rPr>
          <w:rFonts w:eastAsia="Calibri"/>
          <w:snapToGrid w:val="0"/>
          <w:kern w:val="22"/>
          <w:szCs w:val="22"/>
        </w:rPr>
      </w:pPr>
      <w:r w:rsidRPr="0088780C">
        <w:rPr>
          <w:rFonts w:eastAsia="Times New Roman"/>
          <w:snapToGrid w:val="0"/>
          <w:kern w:val="22"/>
          <w:szCs w:val="22"/>
          <w:lang w:eastAsia="en-GB"/>
        </w:rPr>
        <w:t xml:space="preserve">Pourang, N., Eslami, F., Nasrollahzadeh Saravi, H., &amp; Fazli, H. (2016). Strong biopollution in the southern Caspian Sea: the comb jelly Mnemiopsis leidyi case study. </w:t>
      </w:r>
      <w:r w:rsidRPr="0088780C">
        <w:rPr>
          <w:rFonts w:eastAsia="Times New Roman"/>
          <w:i/>
          <w:iCs/>
          <w:snapToGrid w:val="0"/>
          <w:kern w:val="22"/>
          <w:szCs w:val="22"/>
          <w:lang w:eastAsia="en-GB"/>
        </w:rPr>
        <w:t>Biological Invasions</w:t>
      </w:r>
      <w:r w:rsidRPr="0088780C">
        <w:rPr>
          <w:rFonts w:eastAsia="Times New Roman"/>
          <w:snapToGrid w:val="0"/>
          <w:kern w:val="22"/>
          <w:szCs w:val="22"/>
          <w:lang w:eastAsia="en-GB"/>
        </w:rPr>
        <w:t xml:space="preserve">, </w:t>
      </w:r>
      <w:r w:rsidRPr="0088780C">
        <w:rPr>
          <w:rFonts w:eastAsia="Times New Roman"/>
          <w:i/>
          <w:iCs/>
          <w:snapToGrid w:val="0"/>
          <w:kern w:val="22"/>
          <w:szCs w:val="22"/>
          <w:lang w:eastAsia="en-GB"/>
        </w:rPr>
        <w:t>18</w:t>
      </w:r>
      <w:r w:rsidRPr="0088780C">
        <w:rPr>
          <w:rFonts w:eastAsia="Times New Roman"/>
          <w:snapToGrid w:val="0"/>
          <w:kern w:val="22"/>
          <w:szCs w:val="22"/>
          <w:lang w:eastAsia="en-GB"/>
        </w:rPr>
        <w:t xml:space="preserve">(8), 2403–2414. </w:t>
      </w:r>
      <w:hyperlink r:id="rId249" w:history="1">
        <w:r w:rsidRPr="0088780C">
          <w:rPr>
            <w:rFonts w:eastAsia="Times New Roman"/>
            <w:snapToGrid w:val="0"/>
            <w:color w:val="0563C1"/>
            <w:kern w:val="22"/>
            <w:szCs w:val="22"/>
            <w:u w:val="single"/>
            <w:lang w:eastAsia="en-GB"/>
          </w:rPr>
          <w:t>https://doi.org/10.1007/s10530-016-1171-9</w:t>
        </w:r>
      </w:hyperlink>
    </w:p>
    <w:p w14:paraId="7ECE03E5" w14:textId="1FB36FF4" w:rsidR="00A876F3" w:rsidRPr="0088780C" w:rsidRDefault="00A876F3" w:rsidP="00E76539">
      <w:pPr>
        <w:pStyle w:val="NormalWeb"/>
        <w:suppressLineNumbers/>
        <w:suppressAutoHyphens/>
        <w:kinsoku w:val="0"/>
        <w:overflowPunct w:val="0"/>
        <w:autoSpaceDE w:val="0"/>
        <w:autoSpaceDN w:val="0"/>
        <w:adjustRightInd w:val="0"/>
        <w:spacing w:before="0" w:beforeAutospacing="0" w:after="60" w:afterAutospacing="0"/>
        <w:ind w:left="720" w:hanging="720"/>
        <w:jc w:val="both"/>
        <w:rPr>
          <w:snapToGrid w:val="0"/>
          <w:kern w:val="22"/>
          <w:sz w:val="22"/>
          <w:szCs w:val="22"/>
          <w:lang w:val="en-GB"/>
        </w:rPr>
      </w:pPr>
      <w:r w:rsidRPr="0088780C">
        <w:rPr>
          <w:snapToGrid w:val="0"/>
          <w:kern w:val="22"/>
          <w:sz w:val="22"/>
          <w:szCs w:val="22"/>
          <w:lang w:val="en-GB"/>
        </w:rPr>
        <w:t>Wilson, S. C., Dolgova E., Trukhanova, I., Dmitrieva, L., Crawford, I., Baimukanov, M., Goodman, S. J. (2017). Breeding behavior and pup development of the Caspian seal, Pusa</w:t>
      </w:r>
      <w:r w:rsidR="00E76539" w:rsidRPr="0088780C">
        <w:rPr>
          <w:snapToGrid w:val="0"/>
          <w:kern w:val="22"/>
          <w:sz w:val="22"/>
          <w:szCs w:val="22"/>
          <w:lang w:val="en-GB"/>
        </w:rPr>
        <w:t xml:space="preserve"> caspica. J Mammal 98, 143–153.</w:t>
      </w:r>
    </w:p>
    <w:p w14:paraId="407870DC" w14:textId="77777777" w:rsidR="00A876F3" w:rsidRPr="0088780C" w:rsidRDefault="00A876F3" w:rsidP="00E76539">
      <w:pPr>
        <w:pStyle w:val="NormalWeb"/>
        <w:suppressLineNumbers/>
        <w:suppressAutoHyphens/>
        <w:kinsoku w:val="0"/>
        <w:overflowPunct w:val="0"/>
        <w:autoSpaceDE w:val="0"/>
        <w:autoSpaceDN w:val="0"/>
        <w:adjustRightInd w:val="0"/>
        <w:spacing w:before="0" w:beforeAutospacing="0" w:after="60" w:afterAutospacing="0"/>
        <w:ind w:left="720" w:hanging="720"/>
        <w:jc w:val="both"/>
        <w:rPr>
          <w:snapToGrid w:val="0"/>
          <w:kern w:val="22"/>
          <w:sz w:val="22"/>
          <w:szCs w:val="22"/>
          <w:lang w:val="en-GB"/>
        </w:rPr>
      </w:pPr>
      <w:r w:rsidRPr="0088780C">
        <w:rPr>
          <w:snapToGrid w:val="0"/>
          <w:kern w:val="22"/>
          <w:sz w:val="22"/>
          <w:szCs w:val="22"/>
          <w:lang w:val="en-GB"/>
        </w:rPr>
        <w:t>Zhindarev L.A., Ignatov E.I., Badyukova E.N., Lukyuanova S.A., Solovyeva G.D., Shipilova L.M. 2013. Scientific basis for balanced planning of economic activity in unique maritime coastal landscapes and perspectives of resources use exemplified by the Azov – Black Sea Coast. Vol. 6. CaspianSea. Gelendzhik: Southern Branch of the Shirshov Institute of Oceanology. P. 940–1066.</w:t>
      </w:r>
    </w:p>
    <w:p w14:paraId="678E8DBF" w14:textId="77777777" w:rsidR="00A876F3" w:rsidRPr="0088780C" w:rsidRDefault="00A876F3" w:rsidP="001013AF">
      <w:pPr>
        <w:suppressLineNumbers/>
        <w:suppressAutoHyphens/>
        <w:kinsoku w:val="0"/>
        <w:overflowPunct w:val="0"/>
        <w:autoSpaceDE w:val="0"/>
        <w:autoSpaceDN w:val="0"/>
        <w:rPr>
          <w:rFonts w:eastAsia="Calibri"/>
          <w:snapToGrid w:val="0"/>
          <w:kern w:val="22"/>
          <w:szCs w:val="22"/>
          <w:shd w:val="clear" w:color="auto" w:fill="FFFFFF"/>
        </w:rPr>
      </w:pPr>
    </w:p>
    <w:p w14:paraId="62E0D2D1" w14:textId="77777777" w:rsidR="00A876F3" w:rsidRPr="0088780C" w:rsidRDefault="00A876F3" w:rsidP="00E76539">
      <w:pPr>
        <w:keepNext/>
        <w:suppressLineNumbers/>
        <w:suppressAutoHyphens/>
        <w:kinsoku w:val="0"/>
        <w:overflowPunct w:val="0"/>
        <w:autoSpaceDE w:val="0"/>
        <w:autoSpaceDN w:val="0"/>
        <w:spacing w:after="60"/>
        <w:rPr>
          <w:rFonts w:eastAsia="Calibri"/>
          <w:bCs/>
          <w:i/>
          <w:snapToGrid w:val="0"/>
          <w:kern w:val="22"/>
          <w:szCs w:val="22"/>
          <w:shd w:val="clear" w:color="auto" w:fill="FFFFFF"/>
        </w:rPr>
      </w:pPr>
      <w:r w:rsidRPr="0088780C">
        <w:rPr>
          <w:rFonts w:eastAsia="Calibri"/>
          <w:bCs/>
          <w:i/>
          <w:snapToGrid w:val="0"/>
          <w:kern w:val="22"/>
          <w:szCs w:val="22"/>
          <w:shd w:val="clear" w:color="auto" w:fill="FFFFFF"/>
        </w:rPr>
        <w:t>In Russian</w:t>
      </w:r>
    </w:p>
    <w:p w14:paraId="6604947C" w14:textId="5D75E7C4" w:rsidR="00A876F3" w:rsidRPr="0088780C" w:rsidRDefault="00A876F3" w:rsidP="00E76539">
      <w:pPr>
        <w:suppressLineNumbers/>
        <w:suppressAutoHyphens/>
        <w:kinsoku w:val="0"/>
        <w:overflowPunct w:val="0"/>
        <w:autoSpaceDE w:val="0"/>
        <w:autoSpaceDN w:val="0"/>
        <w:adjustRightInd w:val="0"/>
        <w:spacing w:after="60"/>
        <w:ind w:left="720" w:hanging="720"/>
        <w:rPr>
          <w:rFonts w:eastAsia="Calibri"/>
          <w:snapToGrid w:val="0"/>
          <w:kern w:val="22"/>
          <w:szCs w:val="22"/>
          <w:lang w:val="en-US"/>
        </w:rPr>
      </w:pPr>
      <w:r w:rsidRPr="0088780C">
        <w:rPr>
          <w:rFonts w:eastAsia="Calibri"/>
          <w:snapToGrid w:val="0"/>
          <w:kern w:val="22"/>
          <w:szCs w:val="22"/>
          <w:lang w:val="ru-RU"/>
        </w:rPr>
        <w:t>Баймуканов М. Жданко Л.А. и др. Изучение динамики численности и комплексная оценка факторов угроз популяции каспийского тюленя // Отчет о научно-исследовательской работе (промеж</w:t>
      </w:r>
      <w:r w:rsidR="00153C6F" w:rsidRPr="0088780C">
        <w:rPr>
          <w:rFonts w:eastAsia="Calibri"/>
          <w:snapToGrid w:val="0"/>
          <w:kern w:val="22"/>
          <w:szCs w:val="22"/>
          <w:lang w:val="ru-RU"/>
        </w:rPr>
        <w:t>уточный). Алматы, 2015. – 53 с.</w:t>
      </w:r>
    </w:p>
    <w:p w14:paraId="58C13CDA" w14:textId="06EF6988" w:rsidR="00A876F3" w:rsidRPr="0088780C" w:rsidRDefault="00A876F3" w:rsidP="00E76539">
      <w:pPr>
        <w:suppressLineNumbers/>
        <w:suppressAutoHyphens/>
        <w:kinsoku w:val="0"/>
        <w:overflowPunct w:val="0"/>
        <w:autoSpaceDE w:val="0"/>
        <w:autoSpaceDN w:val="0"/>
        <w:adjustRightInd w:val="0"/>
        <w:spacing w:after="60"/>
        <w:ind w:left="720" w:hanging="720"/>
        <w:rPr>
          <w:rFonts w:eastAsia="Calibri"/>
          <w:snapToGrid w:val="0"/>
          <w:kern w:val="22"/>
          <w:szCs w:val="22"/>
          <w:lang w:val="en-US"/>
        </w:rPr>
      </w:pPr>
      <w:r w:rsidRPr="0088780C">
        <w:rPr>
          <w:rFonts w:eastAsia="Calibri"/>
          <w:snapToGrid w:val="0"/>
          <w:kern w:val="22"/>
          <w:szCs w:val="22"/>
          <w:lang w:val="ru-RU"/>
        </w:rPr>
        <w:t xml:space="preserve"> Баймуканов М. Жданко Л.А. и др. Изучение динамики численности и комплексная оценка факторов угроз популяции каспийского тюленя // Отчет о научно-исследовательской работе (промеж</w:t>
      </w:r>
      <w:r w:rsidR="00153C6F" w:rsidRPr="0088780C">
        <w:rPr>
          <w:rFonts w:eastAsia="Calibri"/>
          <w:snapToGrid w:val="0"/>
          <w:kern w:val="22"/>
          <w:szCs w:val="22"/>
          <w:lang w:val="ru-RU"/>
        </w:rPr>
        <w:t>уточный). Алматы, 2016. – 66 с.</w:t>
      </w:r>
    </w:p>
    <w:p w14:paraId="08484EF1" w14:textId="77777777" w:rsidR="00A876F3" w:rsidRPr="0088780C" w:rsidRDefault="00A876F3" w:rsidP="00E76539">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Добровольский Б.С., Залогин Б.С. 1982. Моря СССР. М.: Изд-во МГУ. 182 с.</w:t>
      </w:r>
    </w:p>
    <w:p w14:paraId="59091B90"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ind w:left="720" w:hanging="720"/>
        <w:rPr>
          <w:rFonts w:eastAsia="Calibri"/>
          <w:snapToGrid w:val="0"/>
          <w:kern w:val="22"/>
          <w:szCs w:val="22"/>
        </w:rPr>
      </w:pPr>
    </w:p>
    <w:p w14:paraId="4D733D00" w14:textId="77777777" w:rsidR="00A876F3" w:rsidRPr="0088780C" w:rsidRDefault="00A876F3" w:rsidP="00E76539">
      <w:pPr>
        <w:keepNext/>
        <w:suppressLineNumbers/>
        <w:suppressAutoHyphens/>
        <w:kinsoku w:val="0"/>
        <w:overflowPunct w:val="0"/>
        <w:autoSpaceDE w:val="0"/>
        <w:autoSpaceDN w:val="0"/>
        <w:adjustRightInd w:val="0"/>
        <w:spacing w:after="60"/>
        <w:rPr>
          <w:rFonts w:eastAsia="Calibri"/>
          <w:bCs/>
          <w:snapToGrid w:val="0"/>
          <w:kern w:val="22"/>
          <w:szCs w:val="22"/>
          <w:u w:val="single"/>
        </w:rPr>
      </w:pPr>
      <w:r w:rsidRPr="0088780C">
        <w:rPr>
          <w:rFonts w:eastAsia="Calibri"/>
          <w:bCs/>
          <w:snapToGrid w:val="0"/>
          <w:kern w:val="22"/>
          <w:szCs w:val="22"/>
          <w:u w:val="single"/>
        </w:rPr>
        <w:t>Unpublished materials in Russian and English:</w:t>
      </w:r>
    </w:p>
    <w:p w14:paraId="58F81319" w14:textId="00092DDA" w:rsidR="00A876F3" w:rsidRPr="0088780C" w:rsidRDefault="00A876F3" w:rsidP="00E76539">
      <w:pPr>
        <w:suppressLineNumbers/>
        <w:suppressAutoHyphens/>
        <w:kinsoku w:val="0"/>
        <w:overflowPunct w:val="0"/>
        <w:autoSpaceDE w:val="0"/>
        <w:autoSpaceDN w:val="0"/>
        <w:adjustRightInd w:val="0"/>
        <w:rPr>
          <w:rFonts w:eastAsia="Calibri"/>
          <w:snapToGrid w:val="0"/>
          <w:kern w:val="22"/>
          <w:szCs w:val="22"/>
        </w:rPr>
      </w:pPr>
      <w:r w:rsidRPr="0088780C">
        <w:rPr>
          <w:rFonts w:eastAsia="Calibri"/>
          <w:snapToGrid w:val="0"/>
          <w:kern w:val="22"/>
          <w:szCs w:val="22"/>
        </w:rPr>
        <w:t xml:space="preserve"> </w:t>
      </w:r>
      <w:r w:rsidR="00D8482D" w:rsidRPr="0088780C">
        <w:rPr>
          <w:rFonts w:eastAsia="Calibri"/>
          <w:snapToGrid w:val="0"/>
          <w:kern w:val="22"/>
          <w:szCs w:val="22"/>
        </w:rPr>
        <w:t>“</w:t>
      </w:r>
      <w:r w:rsidRPr="0088780C">
        <w:rPr>
          <w:rFonts w:eastAsia="Calibri"/>
          <w:snapToGrid w:val="0"/>
          <w:kern w:val="22"/>
          <w:szCs w:val="22"/>
        </w:rPr>
        <w:t>The current status of the Caspian seal</w:t>
      </w:r>
      <w:r w:rsidR="00D8482D" w:rsidRPr="0088780C">
        <w:rPr>
          <w:rFonts w:eastAsia="Calibri"/>
          <w:snapToGrid w:val="0"/>
          <w:kern w:val="22"/>
          <w:szCs w:val="22"/>
        </w:rPr>
        <w:t>”</w:t>
      </w:r>
      <w:r w:rsidRPr="0088780C">
        <w:rPr>
          <w:rFonts w:eastAsia="Calibri"/>
          <w:snapToGrid w:val="0"/>
          <w:kern w:val="22"/>
          <w:szCs w:val="22"/>
        </w:rPr>
        <w:t>. Proceedings of a round table discussion (04.11.2016) 9th International conference on Marine Mammals of the Holarctic, Astrakhan).</w:t>
      </w:r>
    </w:p>
    <w:p w14:paraId="400187B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15C044F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0C223DC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8A9B04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0DD30BF"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noProof/>
          <w:snapToGrid w:val="0"/>
          <w:kern w:val="22"/>
          <w:szCs w:val="22"/>
          <w:lang w:eastAsia="zh-CN"/>
        </w:rPr>
        <w:drawing>
          <wp:inline distT="0" distB="0" distL="0" distR="0" wp14:anchorId="73A208D0" wp14:editId="2A391B1C">
            <wp:extent cx="5486400" cy="4572000"/>
            <wp:effectExtent l="0" t="0" r="0" b="0"/>
            <wp:docPr id="4126" name="Picture 4126" descr="C:\Users\grekin\AppData\Local\Microsoft\Windows\Temporary Internet Files\Content.Word\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grekin\AppData\Local\Microsoft\Windows\Temporary Internet Files\Content.Word\20.png"/>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00A3E0C3" w14:textId="77777777"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rPr>
        <w:t>Figure 1. Area meeting the EBSA criteria</w:t>
      </w:r>
    </w:p>
    <w:p w14:paraId="29F2565C" w14:textId="29B02BA6" w:rsidR="00153C6F" w:rsidRPr="0088780C" w:rsidRDefault="00153C6F">
      <w:pPr>
        <w:jc w:val="left"/>
        <w:rPr>
          <w:rFonts w:eastAsia="MS Mincho"/>
          <w:bCs/>
          <w:snapToGrid w:val="0"/>
          <w:color w:val="000000"/>
          <w:kern w:val="22"/>
          <w:szCs w:val="22"/>
        </w:rPr>
      </w:pPr>
      <w:r w:rsidRPr="0088780C">
        <w:rPr>
          <w:rFonts w:eastAsia="MS Mincho"/>
          <w:bCs/>
          <w:snapToGrid w:val="0"/>
          <w:color w:val="000000"/>
          <w:kern w:val="22"/>
          <w:szCs w:val="22"/>
        </w:rPr>
        <w:br w:type="page"/>
      </w:r>
    </w:p>
    <w:p w14:paraId="50E7BFC5"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65B4BE52" w14:textId="77777777" w:rsidR="00A876F3" w:rsidRPr="0088780C" w:rsidRDefault="00A876F3" w:rsidP="001013AF">
      <w:pPr>
        <w:suppressLineNumbers/>
        <w:suppressAutoHyphens/>
        <w:kinsoku w:val="0"/>
        <w:overflowPunct w:val="0"/>
        <w:autoSpaceDE w:val="0"/>
        <w:autoSpaceDN w:val="0"/>
        <w:spacing w:after="160" w:line="259" w:lineRule="auto"/>
        <w:rPr>
          <w:rFonts w:eastAsia="Calibri"/>
          <w:b/>
          <w:snapToGrid w:val="0"/>
          <w:color w:val="212121"/>
          <w:kern w:val="22"/>
          <w:szCs w:val="22"/>
          <w:shd w:val="clear" w:color="auto" w:fill="FFFFFF"/>
        </w:rPr>
      </w:pPr>
      <w:r w:rsidRPr="0088780C">
        <w:rPr>
          <w:rFonts w:eastAsia="Calibri"/>
          <w:b/>
          <w:noProof/>
          <w:snapToGrid w:val="0"/>
          <w:color w:val="212121"/>
          <w:kern w:val="22"/>
          <w:szCs w:val="22"/>
          <w:shd w:val="clear" w:color="auto" w:fill="FFFFFF"/>
          <w:lang w:eastAsia="zh-CN"/>
        </w:rPr>
        <w:drawing>
          <wp:inline distT="0" distB="0" distL="0" distR="0" wp14:anchorId="6BD1CB46" wp14:editId="6A702EEB">
            <wp:extent cx="2802952" cy="3908936"/>
            <wp:effectExtent l="0" t="0" r="0" b="0"/>
            <wp:docPr id="4156" name="Рисунок 1" descr="Caspy_seals_ООПТ_проек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aspy_seals_ООПТ_проект"/>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2802181" cy="3907861"/>
                    </a:xfrm>
                    <a:prstGeom prst="rect">
                      <a:avLst/>
                    </a:prstGeom>
                    <a:noFill/>
                    <a:ln>
                      <a:noFill/>
                    </a:ln>
                  </pic:spPr>
                </pic:pic>
              </a:graphicData>
            </a:graphic>
          </wp:inline>
        </w:drawing>
      </w:r>
    </w:p>
    <w:p w14:paraId="61F63889" w14:textId="77777777" w:rsidR="00A876F3" w:rsidRPr="0088780C" w:rsidRDefault="00A876F3" w:rsidP="001013AF">
      <w:pPr>
        <w:suppressLineNumbers/>
        <w:suppressAutoHyphens/>
        <w:kinsoku w:val="0"/>
        <w:overflowPunct w:val="0"/>
        <w:autoSpaceDE w:val="0"/>
        <w:autoSpaceDN w:val="0"/>
        <w:spacing w:after="160" w:line="259" w:lineRule="auto"/>
        <w:rPr>
          <w:rFonts w:eastAsia="Calibri"/>
          <w:b/>
          <w:snapToGrid w:val="0"/>
          <w:color w:val="212121"/>
          <w:kern w:val="22"/>
          <w:szCs w:val="22"/>
          <w:shd w:val="clear" w:color="auto" w:fill="FFFFFF"/>
        </w:rPr>
      </w:pPr>
      <w:r w:rsidRPr="0088780C">
        <w:rPr>
          <w:rFonts w:eastAsia="Calibri"/>
          <w:b/>
          <w:noProof/>
          <w:snapToGrid w:val="0"/>
          <w:color w:val="212121"/>
          <w:kern w:val="22"/>
          <w:szCs w:val="22"/>
          <w:shd w:val="clear" w:color="auto" w:fill="FFFFFF"/>
          <w:lang w:eastAsia="zh-CN"/>
        </w:rPr>
        <mc:AlternateContent>
          <mc:Choice Requires="wps">
            <w:drawing>
              <wp:inline distT="0" distB="0" distL="0" distR="0" wp14:anchorId="6CC4DC30" wp14:editId="57401014">
                <wp:extent cx="864235" cy="215265"/>
                <wp:effectExtent l="19050" t="19050" r="12065" b="13335"/>
                <wp:docPr id="64523"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4235" cy="215265"/>
                        </a:xfrm>
                        <a:prstGeom prst="ellipse">
                          <a:avLst/>
                        </a:prstGeom>
                        <a:noFill/>
                        <a:ln w="28575">
                          <a:solidFill>
                            <a:srgbClr val="FF3300"/>
                          </a:solidFill>
                          <a:round/>
                          <a:headEnd/>
                          <a:tailEn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inline>
            </w:drawing>
          </mc:Choice>
          <mc:Fallback>
            <w:pict>
              <v:oval w14:anchorId="1CC6C48B" id="Oval 11" o:spid="_x0000_s1026" style="width:68.05pt;height:16.9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" filled="f" fillcolor="#4f81bd [3204]" strokecolor="#f30" strokeweight="2.25pt">
                <v:shadow color="#eeece1 [3214]"/>
                <w10:anchorlock/>
              </v:oval>
            </w:pict>
          </mc:Fallback>
        </mc:AlternateContent>
      </w:r>
      <w:r w:rsidRPr="0088780C">
        <w:rPr>
          <w:rFonts w:eastAsia="Calibri"/>
          <w:b/>
          <w:snapToGrid w:val="0"/>
          <w:color w:val="212121"/>
          <w:kern w:val="22"/>
          <w:szCs w:val="22"/>
          <w:shd w:val="clear" w:color="auto" w:fill="FFFFFF"/>
        </w:rPr>
        <w:t xml:space="preserve"> breeding areas</w:t>
      </w:r>
    </w:p>
    <w:p w14:paraId="3DE3DD6D" w14:textId="77777777" w:rsidR="00A876F3" w:rsidRPr="0088780C" w:rsidRDefault="00A876F3" w:rsidP="001013AF">
      <w:pPr>
        <w:suppressLineNumbers/>
        <w:suppressAutoHyphens/>
        <w:kinsoku w:val="0"/>
        <w:overflowPunct w:val="0"/>
        <w:autoSpaceDE w:val="0"/>
        <w:autoSpaceDN w:val="0"/>
        <w:spacing w:after="160" w:line="259" w:lineRule="auto"/>
        <w:rPr>
          <w:rFonts w:eastAsia="Calibri"/>
          <w:b/>
          <w:snapToGrid w:val="0"/>
          <w:color w:val="212121"/>
          <w:kern w:val="22"/>
          <w:szCs w:val="22"/>
          <w:shd w:val="clear" w:color="auto" w:fill="FFFFFF"/>
        </w:rPr>
      </w:pPr>
      <w:r w:rsidRPr="0088780C">
        <w:rPr>
          <w:rFonts w:eastAsia="Calibri"/>
          <w:b/>
          <w:noProof/>
          <w:snapToGrid w:val="0"/>
          <w:color w:val="212121"/>
          <w:kern w:val="22"/>
          <w:szCs w:val="22"/>
          <w:shd w:val="clear" w:color="auto" w:fill="FFFFFF"/>
          <w:lang w:eastAsia="zh-CN"/>
        </w:rPr>
        <mc:AlternateContent>
          <mc:Choice Requires="wps">
            <w:drawing>
              <wp:inline distT="0" distB="0" distL="0" distR="0" wp14:anchorId="4FB5A5CF" wp14:editId="06A6C82D">
                <wp:extent cx="865505" cy="216535"/>
                <wp:effectExtent l="19050" t="19050" r="10795" b="12065"/>
                <wp:docPr id="64525"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505" cy="216535"/>
                        </a:xfrm>
                        <a:prstGeom prst="ellipse">
                          <a:avLst/>
                        </a:prstGeom>
                        <a:solidFill>
                          <a:srgbClr val="5B9BD5"/>
                        </a:solidFill>
                        <a:ln w="28575">
                          <a:solidFill>
                            <a:srgbClr val="0000FF"/>
                          </a:solidFill>
                          <a:round/>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bodyPr wrap="none" anchor="ctr"/>
                    </wps:wsp>
                  </a:graphicData>
                </a:graphic>
              </wp:inline>
            </w:drawing>
          </mc:Choice>
          <mc:Fallback>
            <w:pict>
              <v:oval w14:anchorId="0478CCF4" id="Oval 13" o:spid="_x0000_s1026" style="width:68.15pt;height:17.0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" fillcolor="#5b9bd5" strokecolor="blue" strokeweight="2.25pt">
                <v:shadow color="#eeece1 [3214]"/>
                <w10:anchorlock/>
              </v:oval>
            </w:pict>
          </mc:Fallback>
        </mc:AlternateContent>
      </w:r>
      <w:r w:rsidRPr="0088780C">
        <w:rPr>
          <w:rFonts w:eastAsia="Calibri"/>
          <w:b/>
          <w:snapToGrid w:val="0"/>
          <w:color w:val="212121"/>
          <w:kern w:val="22"/>
          <w:szCs w:val="22"/>
          <w:shd w:val="clear" w:color="auto" w:fill="FFFFFF"/>
        </w:rPr>
        <w:t xml:space="preserve"> rookery, molting</w:t>
      </w:r>
    </w:p>
    <w:p w14:paraId="69B26986" w14:textId="77777777" w:rsidR="00A876F3" w:rsidRPr="0088780C" w:rsidRDefault="00A876F3" w:rsidP="00C0208A">
      <w:pPr>
        <w:suppressLineNumbers/>
        <w:suppressAutoHyphens/>
        <w:kinsoku w:val="0"/>
        <w:overflowPunct w:val="0"/>
        <w:autoSpaceDE w:val="0"/>
        <w:autoSpaceDN w:val="0"/>
        <w:jc w:val="left"/>
        <w:rPr>
          <w:rFonts w:eastAsia="Calibri"/>
          <w:b/>
          <w:bCs/>
          <w:snapToGrid w:val="0"/>
          <w:kern w:val="22"/>
          <w:szCs w:val="22"/>
        </w:rPr>
      </w:pPr>
    </w:p>
    <w:p w14:paraId="7C872C18" w14:textId="77777777" w:rsidR="00A876F3" w:rsidRPr="0088780C" w:rsidRDefault="00A876F3" w:rsidP="00153C6F">
      <w:pPr>
        <w:suppressLineNumbers/>
        <w:suppressAutoHyphens/>
        <w:kinsoku w:val="0"/>
        <w:overflowPunct w:val="0"/>
        <w:autoSpaceDE w:val="0"/>
        <w:autoSpaceDN w:val="0"/>
        <w:rPr>
          <w:rFonts w:eastAsia="Calibri"/>
          <w:b/>
          <w:snapToGrid w:val="0"/>
          <w:color w:val="212121"/>
          <w:kern w:val="22"/>
          <w:szCs w:val="22"/>
          <w:shd w:val="clear" w:color="auto" w:fill="FFFFFF"/>
        </w:rPr>
      </w:pPr>
      <w:r w:rsidRPr="0088780C">
        <w:rPr>
          <w:rFonts w:eastAsia="Calibri"/>
          <w:b/>
          <w:snapToGrid w:val="0"/>
          <w:color w:val="212121"/>
          <w:kern w:val="22"/>
          <w:szCs w:val="22"/>
          <w:shd w:val="clear" w:color="auto" w:fill="FFFFFF"/>
        </w:rPr>
        <w:t>Figure 2. Caspian seal breeding areas (Баймуканов и др., 2015; 2016)</w:t>
      </w:r>
    </w:p>
    <w:p w14:paraId="68B37C91" w14:textId="77777777" w:rsidR="00A876F3" w:rsidRPr="0088780C" w:rsidRDefault="00A876F3" w:rsidP="00153C6F">
      <w:pPr>
        <w:suppressLineNumbers/>
        <w:suppressAutoHyphens/>
        <w:kinsoku w:val="0"/>
        <w:overflowPunct w:val="0"/>
        <w:autoSpaceDE w:val="0"/>
        <w:autoSpaceDN w:val="0"/>
        <w:rPr>
          <w:rFonts w:eastAsia="Calibri"/>
          <w:snapToGrid w:val="0"/>
          <w:kern w:val="22"/>
          <w:szCs w:val="22"/>
        </w:rPr>
      </w:pPr>
    </w:p>
    <w:p w14:paraId="48BEBD96" w14:textId="4225931E" w:rsidR="00A876F3" w:rsidRPr="0088780C" w:rsidRDefault="00153C6F" w:rsidP="00153C6F">
      <w:pPr>
        <w:suppressLineNumbers/>
        <w:tabs>
          <w:tab w:val="left" w:pos="3780"/>
          <w:tab w:val="left" w:pos="7560"/>
        </w:tabs>
        <w:suppressAutoHyphens/>
        <w:kinsoku w:val="0"/>
        <w:overflowPunct w:val="0"/>
        <w:autoSpaceDE w:val="0"/>
        <w:autoSpaceDN w:val="0"/>
        <w:ind w:left="720"/>
        <w:contextualSpacing/>
        <w:jc w:val="left"/>
        <w:rPr>
          <w:rFonts w:eastAsia="Calibri"/>
          <w:b/>
          <w:snapToGrid w:val="0"/>
          <w:color w:val="212121"/>
          <w:kern w:val="22"/>
          <w:szCs w:val="22"/>
          <w:shd w:val="clear" w:color="auto" w:fill="FFFFFF"/>
        </w:rPr>
      </w:pPr>
      <w:r w:rsidRPr="0088780C">
        <w:rPr>
          <w:rFonts w:eastAsia="Calibri"/>
          <w:b/>
          <w:snapToGrid w:val="0"/>
          <w:color w:val="212121"/>
          <w:kern w:val="22"/>
          <w:szCs w:val="22"/>
          <w:shd w:val="clear" w:color="auto" w:fill="FFFFFF"/>
        </w:rPr>
        <w:t>Warm</w:t>
      </w:r>
      <w:r w:rsidRPr="0088780C">
        <w:rPr>
          <w:rFonts w:eastAsia="Calibri"/>
          <w:b/>
          <w:snapToGrid w:val="0"/>
          <w:color w:val="212121"/>
          <w:kern w:val="22"/>
          <w:szCs w:val="22"/>
          <w:shd w:val="clear" w:color="auto" w:fill="FFFFFF"/>
        </w:rPr>
        <w:tab/>
        <w:t>Normal</w:t>
      </w:r>
      <w:r w:rsidRPr="0088780C">
        <w:rPr>
          <w:rFonts w:eastAsia="Calibri"/>
          <w:b/>
          <w:snapToGrid w:val="0"/>
          <w:color w:val="212121"/>
          <w:kern w:val="22"/>
          <w:szCs w:val="22"/>
          <w:shd w:val="clear" w:color="auto" w:fill="FFFFFF"/>
        </w:rPr>
        <w:tab/>
        <w:t>Cold</w:t>
      </w:r>
    </w:p>
    <w:p w14:paraId="587C0772" w14:textId="77777777" w:rsidR="00A876F3" w:rsidRPr="0088780C" w:rsidRDefault="00E7219D" w:rsidP="001013AF">
      <w:pPr>
        <w:suppressLineNumbers/>
        <w:suppressAutoHyphens/>
        <w:kinsoku w:val="0"/>
        <w:overflowPunct w:val="0"/>
        <w:autoSpaceDE w:val="0"/>
        <w:autoSpaceDN w:val="0"/>
        <w:spacing w:after="160" w:line="259" w:lineRule="auto"/>
        <w:rPr>
          <w:rFonts w:eastAsia="Calibri"/>
          <w:b/>
          <w:snapToGrid w:val="0"/>
          <w:color w:val="212121"/>
          <w:kern w:val="22"/>
          <w:szCs w:val="22"/>
          <w:shd w:val="clear" w:color="auto" w:fill="FFFFFF"/>
        </w:rPr>
      </w:pPr>
      <w:r>
        <w:rPr>
          <w:rFonts w:eastAsia="Calibri"/>
          <w:snapToGrid w:val="0"/>
          <w:kern w:val="22"/>
          <w:szCs w:val="22"/>
          <w:lang w:eastAsia="ru-RU"/>
        </w:rPr>
        <w:object w:dxaOrig="1440" w:dyaOrig="1440" w14:anchorId="75B1BD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313pt;margin-top:4.35pt;width:153.5pt;height:145.85pt;z-index:251666432">
            <v:imagedata r:id="rId252" o:title=""/>
          </v:shape>
          <o:OLEObject Type="Embed" ProgID="PBrush" ShapeID="_x0000_s1028" DrawAspect="Content" ObjectID="_1590581877" r:id="rId253"/>
        </w:object>
      </w:r>
      <w:r>
        <w:rPr>
          <w:rFonts w:eastAsia="Calibri"/>
          <w:snapToGrid w:val="0"/>
          <w:kern w:val="22"/>
          <w:szCs w:val="22"/>
          <w:lang w:eastAsia="ru-RU"/>
        </w:rPr>
        <w:object w:dxaOrig="1440" w:dyaOrig="1440" w14:anchorId="3ECD25A5">
          <v:shape id="_x0000_s1027" type="#_x0000_t75" style="position:absolute;left:0;text-align:left;margin-left:144.5pt;margin-top:4.35pt;width:144.5pt;height:143.65pt;z-index:251665408">
            <v:imagedata r:id="rId254" o:title=""/>
          </v:shape>
          <o:OLEObject Type="Embed" ProgID="PBrush" ShapeID="_x0000_s1027" DrawAspect="Content" ObjectID="_1590581878" r:id="rId255"/>
        </w:object>
      </w:r>
      <w:r>
        <w:rPr>
          <w:rFonts w:eastAsia="Calibri"/>
          <w:b/>
          <w:snapToGrid w:val="0"/>
          <w:color w:val="212121"/>
          <w:kern w:val="22"/>
          <w:szCs w:val="22"/>
          <w:lang w:eastAsia="ru-RU"/>
        </w:rPr>
        <w:object w:dxaOrig="1440" w:dyaOrig="1440" w14:anchorId="5F29EF80">
          <v:shape id="_x0000_s1026" type="#_x0000_t75" style="position:absolute;left:0;text-align:left;margin-left:-16.5pt;margin-top:4.35pt;width:150.5pt;height:141.15pt;z-index:251664384">
            <v:imagedata r:id="rId256" o:title=""/>
          </v:shape>
          <o:OLEObject Type="Embed" ProgID="PBrush" ShapeID="_x0000_s1026" DrawAspect="Content" ObjectID="_1590581879" r:id="rId257"/>
        </w:object>
      </w:r>
    </w:p>
    <w:p w14:paraId="29368618" w14:textId="77777777" w:rsidR="00A876F3" w:rsidRPr="0088780C" w:rsidRDefault="00A876F3" w:rsidP="001013AF">
      <w:pPr>
        <w:suppressLineNumbers/>
        <w:suppressAutoHyphens/>
        <w:kinsoku w:val="0"/>
        <w:overflowPunct w:val="0"/>
        <w:autoSpaceDE w:val="0"/>
        <w:autoSpaceDN w:val="0"/>
        <w:spacing w:after="160" w:line="259" w:lineRule="auto"/>
        <w:rPr>
          <w:rFonts w:eastAsia="Calibri"/>
          <w:b/>
          <w:snapToGrid w:val="0"/>
          <w:color w:val="212121"/>
          <w:kern w:val="22"/>
          <w:szCs w:val="22"/>
          <w:shd w:val="clear" w:color="auto" w:fill="FFFFFF"/>
        </w:rPr>
      </w:pPr>
    </w:p>
    <w:p w14:paraId="2BC30CDA" w14:textId="77777777" w:rsidR="00A876F3" w:rsidRPr="0088780C" w:rsidRDefault="00A876F3" w:rsidP="001013AF">
      <w:pPr>
        <w:suppressLineNumbers/>
        <w:suppressAutoHyphens/>
        <w:kinsoku w:val="0"/>
        <w:overflowPunct w:val="0"/>
        <w:autoSpaceDE w:val="0"/>
        <w:autoSpaceDN w:val="0"/>
        <w:spacing w:after="160" w:line="259" w:lineRule="auto"/>
        <w:rPr>
          <w:rFonts w:eastAsia="Calibri"/>
          <w:b/>
          <w:snapToGrid w:val="0"/>
          <w:color w:val="212121"/>
          <w:kern w:val="22"/>
          <w:szCs w:val="22"/>
          <w:shd w:val="clear" w:color="auto" w:fill="FFFFFF"/>
        </w:rPr>
      </w:pPr>
    </w:p>
    <w:p w14:paraId="74D0E1A2" w14:textId="77777777" w:rsidR="00A876F3" w:rsidRPr="0088780C" w:rsidRDefault="00A876F3" w:rsidP="001013AF">
      <w:pPr>
        <w:suppressLineNumbers/>
        <w:suppressAutoHyphens/>
        <w:kinsoku w:val="0"/>
        <w:overflowPunct w:val="0"/>
        <w:autoSpaceDE w:val="0"/>
        <w:autoSpaceDN w:val="0"/>
        <w:spacing w:after="160" w:line="259" w:lineRule="auto"/>
        <w:rPr>
          <w:rFonts w:eastAsia="Calibri"/>
          <w:snapToGrid w:val="0"/>
          <w:kern w:val="22"/>
          <w:szCs w:val="22"/>
        </w:rPr>
      </w:pPr>
    </w:p>
    <w:p w14:paraId="0C6CE6E9" w14:textId="77777777" w:rsidR="00A876F3" w:rsidRPr="0088780C" w:rsidRDefault="00A876F3" w:rsidP="001013AF">
      <w:pPr>
        <w:suppressLineNumbers/>
        <w:suppressAutoHyphens/>
        <w:kinsoku w:val="0"/>
        <w:overflowPunct w:val="0"/>
        <w:autoSpaceDE w:val="0"/>
        <w:autoSpaceDN w:val="0"/>
        <w:spacing w:after="160" w:line="259" w:lineRule="auto"/>
        <w:rPr>
          <w:rFonts w:eastAsia="Calibri"/>
          <w:snapToGrid w:val="0"/>
          <w:kern w:val="22"/>
          <w:szCs w:val="22"/>
        </w:rPr>
      </w:pPr>
    </w:p>
    <w:p w14:paraId="48E33137" w14:textId="77777777" w:rsidR="00A876F3" w:rsidRPr="0088780C" w:rsidRDefault="00A876F3" w:rsidP="001013AF">
      <w:pPr>
        <w:suppressLineNumbers/>
        <w:suppressAutoHyphens/>
        <w:kinsoku w:val="0"/>
        <w:overflowPunct w:val="0"/>
        <w:autoSpaceDE w:val="0"/>
        <w:autoSpaceDN w:val="0"/>
        <w:rPr>
          <w:rFonts w:eastAsia="Calibri"/>
          <w:b/>
          <w:bCs/>
          <w:snapToGrid w:val="0"/>
          <w:kern w:val="22"/>
          <w:szCs w:val="22"/>
        </w:rPr>
      </w:pPr>
    </w:p>
    <w:p w14:paraId="4EE3EA24" w14:textId="77777777" w:rsidR="00A876F3" w:rsidRPr="0088780C" w:rsidRDefault="00A876F3" w:rsidP="001013AF">
      <w:pPr>
        <w:suppressLineNumbers/>
        <w:suppressAutoHyphens/>
        <w:kinsoku w:val="0"/>
        <w:overflowPunct w:val="0"/>
        <w:autoSpaceDE w:val="0"/>
        <w:autoSpaceDN w:val="0"/>
        <w:rPr>
          <w:rFonts w:eastAsia="Calibri"/>
          <w:b/>
          <w:bCs/>
          <w:snapToGrid w:val="0"/>
          <w:kern w:val="22"/>
          <w:szCs w:val="22"/>
        </w:rPr>
      </w:pPr>
    </w:p>
    <w:p w14:paraId="189A34C8" w14:textId="77777777" w:rsidR="00A876F3" w:rsidRPr="0088780C" w:rsidRDefault="00A876F3" w:rsidP="001013AF">
      <w:pPr>
        <w:suppressLineNumbers/>
        <w:suppressAutoHyphens/>
        <w:kinsoku w:val="0"/>
        <w:overflowPunct w:val="0"/>
        <w:autoSpaceDE w:val="0"/>
        <w:autoSpaceDN w:val="0"/>
        <w:rPr>
          <w:rFonts w:eastAsia="Calibri"/>
          <w:b/>
          <w:bCs/>
          <w:snapToGrid w:val="0"/>
          <w:kern w:val="22"/>
          <w:szCs w:val="22"/>
        </w:rPr>
      </w:pPr>
    </w:p>
    <w:p w14:paraId="6EE79DFE" w14:textId="77777777" w:rsidR="00A876F3" w:rsidRPr="0088780C" w:rsidRDefault="00A876F3" w:rsidP="001013AF">
      <w:pPr>
        <w:suppressLineNumbers/>
        <w:suppressAutoHyphens/>
        <w:kinsoku w:val="0"/>
        <w:overflowPunct w:val="0"/>
        <w:autoSpaceDE w:val="0"/>
        <w:autoSpaceDN w:val="0"/>
        <w:rPr>
          <w:rFonts w:eastAsia="Calibri"/>
          <w:b/>
          <w:bCs/>
          <w:snapToGrid w:val="0"/>
          <w:kern w:val="22"/>
          <w:szCs w:val="22"/>
        </w:rPr>
      </w:pPr>
    </w:p>
    <w:p w14:paraId="46A50219" w14:textId="77777777" w:rsidR="00A876F3" w:rsidRPr="0088780C" w:rsidRDefault="00A876F3" w:rsidP="00153C6F">
      <w:pPr>
        <w:suppressLineNumbers/>
        <w:suppressAutoHyphens/>
        <w:kinsoku w:val="0"/>
        <w:overflowPunct w:val="0"/>
        <w:autoSpaceDE w:val="0"/>
        <w:autoSpaceDN w:val="0"/>
        <w:rPr>
          <w:rFonts w:eastAsia="Calibri"/>
          <w:b/>
          <w:bCs/>
          <w:snapToGrid w:val="0"/>
          <w:color w:val="212121"/>
          <w:kern w:val="22"/>
          <w:szCs w:val="22"/>
          <w:shd w:val="clear" w:color="auto" w:fill="FFFFFF"/>
        </w:rPr>
      </w:pPr>
      <w:r w:rsidRPr="0088780C">
        <w:rPr>
          <w:rFonts w:eastAsia="Calibri"/>
          <w:b/>
          <w:bCs/>
          <w:snapToGrid w:val="0"/>
          <w:kern w:val="22"/>
          <w:szCs w:val="22"/>
        </w:rPr>
        <w:t xml:space="preserve">Figure 3. Breeding areas during warm, normal and cold winters (Harkonen </w:t>
      </w:r>
      <w:r w:rsidRPr="0088780C">
        <w:rPr>
          <w:rFonts w:eastAsia="Calibri"/>
          <w:b/>
          <w:bCs/>
          <w:iCs/>
          <w:snapToGrid w:val="0"/>
          <w:kern w:val="22"/>
          <w:szCs w:val="22"/>
        </w:rPr>
        <w:t xml:space="preserve">et al. </w:t>
      </w:r>
      <w:r w:rsidRPr="0088780C">
        <w:rPr>
          <w:rFonts w:eastAsia="Calibri"/>
          <w:b/>
          <w:bCs/>
          <w:snapToGrid w:val="0"/>
          <w:kern w:val="22"/>
          <w:szCs w:val="22"/>
        </w:rPr>
        <w:t>2008</w:t>
      </w:r>
      <w:r w:rsidRPr="0088780C">
        <w:rPr>
          <w:b/>
          <w:bCs/>
          <w:snapToGrid w:val="0"/>
          <w:color w:val="000000"/>
          <w:kern w:val="22"/>
          <w:szCs w:val="22"/>
        </w:rPr>
        <w:t xml:space="preserve">; Dmitrieva </w:t>
      </w:r>
      <w:r w:rsidRPr="0088780C">
        <w:rPr>
          <w:b/>
          <w:bCs/>
          <w:iCs/>
          <w:snapToGrid w:val="0"/>
          <w:color w:val="000000"/>
          <w:kern w:val="22"/>
          <w:szCs w:val="22"/>
        </w:rPr>
        <w:t>et al</w:t>
      </w:r>
      <w:r w:rsidRPr="0088780C">
        <w:rPr>
          <w:b/>
          <w:bCs/>
          <w:snapToGrid w:val="0"/>
          <w:color w:val="000000"/>
          <w:kern w:val="22"/>
          <w:szCs w:val="22"/>
        </w:rPr>
        <w:t xml:space="preserve">. 2015; Dmitrieva </w:t>
      </w:r>
      <w:r w:rsidRPr="0088780C">
        <w:rPr>
          <w:b/>
          <w:bCs/>
          <w:iCs/>
          <w:snapToGrid w:val="0"/>
          <w:color w:val="000000"/>
          <w:kern w:val="22"/>
          <w:szCs w:val="22"/>
        </w:rPr>
        <w:t>et al.</w:t>
      </w:r>
      <w:r w:rsidRPr="0088780C">
        <w:rPr>
          <w:b/>
          <w:bCs/>
          <w:snapToGrid w:val="0"/>
          <w:color w:val="000000"/>
          <w:kern w:val="22"/>
          <w:szCs w:val="22"/>
        </w:rPr>
        <w:t xml:space="preserve"> unpublished data</w:t>
      </w:r>
      <w:r w:rsidRPr="0088780C">
        <w:rPr>
          <w:rFonts w:eastAsia="Calibri"/>
          <w:b/>
          <w:bCs/>
          <w:snapToGrid w:val="0"/>
          <w:kern w:val="22"/>
          <w:szCs w:val="22"/>
        </w:rPr>
        <w:t>)</w:t>
      </w:r>
    </w:p>
    <w:p w14:paraId="434E576B" w14:textId="71C7689C" w:rsidR="00153C6F" w:rsidRPr="0088780C" w:rsidRDefault="00153C6F">
      <w:pPr>
        <w:jc w:val="left"/>
        <w:rPr>
          <w:rFonts w:eastAsia="Calibri"/>
          <w:b/>
          <w:bCs/>
          <w:snapToGrid w:val="0"/>
          <w:kern w:val="22"/>
          <w:szCs w:val="22"/>
        </w:rPr>
      </w:pPr>
      <w:r w:rsidRPr="0088780C">
        <w:rPr>
          <w:rFonts w:eastAsia="Calibri"/>
          <w:b/>
          <w:bCs/>
          <w:snapToGrid w:val="0"/>
          <w:kern w:val="22"/>
          <w:szCs w:val="22"/>
        </w:rPr>
        <w:br w:type="page"/>
      </w:r>
    </w:p>
    <w:p w14:paraId="17D56F83" w14:textId="1587A43B"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21: Kendirli Bay</w:t>
      </w:r>
    </w:p>
    <w:p w14:paraId="7223B7DF"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p>
    <w:p w14:paraId="5F51EA8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Abstract </w:t>
      </w:r>
    </w:p>
    <w:p w14:paraId="64A05639" w14:textId="73C856B2"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Caspian seal (</w:t>
      </w:r>
      <w:r w:rsidRPr="0088780C">
        <w:rPr>
          <w:i/>
          <w:snapToGrid w:val="0"/>
          <w:kern w:val="22"/>
          <w:szCs w:val="22"/>
        </w:rPr>
        <w:t>Phoca caspica</w:t>
      </w:r>
      <w:r w:rsidRPr="0088780C">
        <w:rPr>
          <w:snapToGrid w:val="0"/>
          <w:kern w:val="22"/>
          <w:szCs w:val="22"/>
        </w:rPr>
        <w:t>) is endemic to the Caspian S</w:t>
      </w:r>
      <w:r w:rsidR="00C0208A" w:rsidRPr="0088780C">
        <w:rPr>
          <w:snapToGrid w:val="0"/>
          <w:kern w:val="22"/>
          <w:szCs w:val="22"/>
        </w:rPr>
        <w:t>ea and is also its only mammal.</w:t>
      </w:r>
      <w:r w:rsidRPr="0088780C">
        <w:rPr>
          <w:snapToGrid w:val="0"/>
          <w:kern w:val="22"/>
          <w:szCs w:val="22"/>
        </w:rPr>
        <w:t xml:space="preserve"> In 2008, IUCN changed the status of the Caspian seal from </w:t>
      </w:r>
      <w:r w:rsidR="00D8482D" w:rsidRPr="0088780C">
        <w:rPr>
          <w:snapToGrid w:val="0"/>
          <w:kern w:val="22"/>
          <w:szCs w:val="22"/>
        </w:rPr>
        <w:t>“</w:t>
      </w:r>
      <w:r w:rsidRPr="0088780C">
        <w:rPr>
          <w:snapToGrid w:val="0"/>
          <w:kern w:val="22"/>
          <w:szCs w:val="22"/>
        </w:rPr>
        <w:t>vulnerable</w:t>
      </w:r>
      <w:r w:rsidR="00D8482D" w:rsidRPr="0088780C">
        <w:rPr>
          <w:snapToGrid w:val="0"/>
          <w:kern w:val="22"/>
          <w:szCs w:val="22"/>
        </w:rPr>
        <w:t>”</w:t>
      </w:r>
      <w:r w:rsidRPr="0088780C">
        <w:rPr>
          <w:snapToGrid w:val="0"/>
          <w:kern w:val="22"/>
          <w:szCs w:val="22"/>
        </w:rPr>
        <w:t xml:space="preserve"> to </w:t>
      </w:r>
      <w:r w:rsidR="00D8482D" w:rsidRPr="0088780C">
        <w:rPr>
          <w:snapToGrid w:val="0"/>
          <w:kern w:val="22"/>
          <w:szCs w:val="22"/>
        </w:rPr>
        <w:t>“</w:t>
      </w:r>
      <w:r w:rsidRPr="0088780C">
        <w:rPr>
          <w:snapToGrid w:val="0"/>
          <w:kern w:val="22"/>
          <w:szCs w:val="22"/>
        </w:rPr>
        <w:t>endangered</w:t>
      </w:r>
      <w:r w:rsidR="00D8482D" w:rsidRPr="0088780C">
        <w:rPr>
          <w:snapToGrid w:val="0"/>
          <w:kern w:val="22"/>
          <w:szCs w:val="22"/>
        </w:rPr>
        <w:t>”</w:t>
      </w:r>
      <w:r w:rsidRPr="0088780C">
        <w:rPr>
          <w:snapToGrid w:val="0"/>
          <w:kern w:val="22"/>
          <w:szCs w:val="22"/>
        </w:rPr>
        <w:t>. In contrast to habitats in the northern Caspian, on the islands at the tip of the Kendirli spit in the Gulf of Kazakhstan, wind-surge phenomena do not have much effect on the hauling rookery, due to the fact that the islands are located in the deep-sea zone of the middle Caspian. This creates ideal conditions for the formation of rookeries on the islands.</w:t>
      </w:r>
    </w:p>
    <w:p w14:paraId="7618C695"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2F87485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Location</w:t>
      </w:r>
    </w:p>
    <w:p w14:paraId="73EE7E47" w14:textId="15635F94"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Kendirli Bay is located in the deep water zone of the central Caspian, in the eastern part of the Kazakh Gulf, which is 23 km long, with a maximum width of 1.5 km in the middle. The spit is connected to the mainland in the </w:t>
      </w:r>
      <w:r w:rsidR="00953367" w:rsidRPr="0088780C">
        <w:rPr>
          <w:snapToGrid w:val="0"/>
          <w:kern w:val="22"/>
          <w:szCs w:val="22"/>
        </w:rPr>
        <w:t>south-east</w:t>
      </w:r>
      <w:r w:rsidRPr="0088780C">
        <w:rPr>
          <w:snapToGrid w:val="0"/>
          <w:kern w:val="22"/>
          <w:szCs w:val="22"/>
        </w:rPr>
        <w:t xml:space="preserve"> and extends in a north-westerly direction, forming Kendirli Bay. In the north-western extremity, the spit has a small cove. The north-western part of the bay</w:t>
      </w:r>
      <w:r w:rsidR="00DE0F91" w:rsidRPr="0088780C">
        <w:rPr>
          <w:snapToGrid w:val="0"/>
          <w:kern w:val="22"/>
          <w:szCs w:val="22"/>
        </w:rPr>
        <w:t xml:space="preserve"> has an island, the area of </w:t>
      </w:r>
      <w:r w:rsidRPr="0088780C">
        <w:rPr>
          <w:snapToGrid w:val="0"/>
          <w:kern w:val="22"/>
          <w:szCs w:val="22"/>
        </w:rPr>
        <w:t>which can reach 0.1 km</w:t>
      </w:r>
      <w:r w:rsidRPr="0088780C">
        <w:rPr>
          <w:snapToGrid w:val="0"/>
          <w:kern w:val="22"/>
          <w:szCs w:val="22"/>
          <w:vertAlign w:val="superscript"/>
        </w:rPr>
        <w:t>2</w:t>
      </w:r>
      <w:r w:rsidRPr="0088780C">
        <w:rPr>
          <w:snapToGrid w:val="0"/>
          <w:kern w:val="22"/>
          <w:szCs w:val="22"/>
        </w:rPr>
        <w:t>, but which can be split into several smaller islands, dependi</w:t>
      </w:r>
      <w:r w:rsidR="00DE0F91" w:rsidRPr="0088780C">
        <w:rPr>
          <w:snapToGrid w:val="0"/>
          <w:kern w:val="22"/>
          <w:szCs w:val="22"/>
        </w:rPr>
        <w:t>ng on the wind-surge phenomena.</w:t>
      </w:r>
    </w:p>
    <w:p w14:paraId="1F6F59BD" w14:textId="77777777" w:rsidR="00A876F3" w:rsidRPr="0088780C" w:rsidRDefault="00A876F3" w:rsidP="001013AF">
      <w:pPr>
        <w:suppressLineNumbers/>
        <w:suppressAutoHyphens/>
        <w:kinsoku w:val="0"/>
        <w:overflowPunct w:val="0"/>
        <w:autoSpaceDE w:val="0"/>
        <w:autoSpaceDN w:val="0"/>
        <w:rPr>
          <w:snapToGrid w:val="0"/>
          <w:kern w:val="22"/>
          <w:szCs w:val="22"/>
          <w:lang w:eastAsia="ru-RU"/>
        </w:rPr>
      </w:pPr>
    </w:p>
    <w:p w14:paraId="0DD26987"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Introduction</w:t>
      </w:r>
    </w:p>
    <w:p w14:paraId="5C27068E" w14:textId="3A85EC2F"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habitat of the Caspian seal (</w:t>
      </w:r>
      <w:r w:rsidRPr="0088780C">
        <w:rPr>
          <w:i/>
          <w:snapToGrid w:val="0"/>
          <w:kern w:val="22"/>
          <w:szCs w:val="22"/>
        </w:rPr>
        <w:t>Phoca caspica</w:t>
      </w:r>
      <w:r w:rsidRPr="0088780C">
        <w:rPr>
          <w:snapToGrid w:val="0"/>
          <w:kern w:val="22"/>
          <w:szCs w:val="22"/>
        </w:rPr>
        <w:t xml:space="preserve">) is limited exclusively to the Caspian Sea. Based on its morphological structure and physico-geographical conditions, the Caspian Sea is divided into three parts: the northern, middle and southern parts. A conditional border between the northern and middle parts of the Caspian is usually taken by the line connecting Chechnya Island to Tyub-Karagan, and between the middle and southern parts of the Caspian Sea, the Zhulyaya-Kuuli line, within the northern part of the Caspian </w:t>
      </w:r>
      <w:r w:rsidR="00DE0F91" w:rsidRPr="0088780C">
        <w:rPr>
          <w:snapToGrid w:val="0"/>
          <w:kern w:val="22"/>
          <w:szCs w:val="22"/>
        </w:rPr>
        <w:t>Sea, western and eastern areas</w:t>
      </w:r>
      <w:r w:rsidRPr="0088780C">
        <w:rPr>
          <w:snapToGrid w:val="0"/>
          <w:kern w:val="22"/>
          <w:szCs w:val="22"/>
        </w:rPr>
        <w:t xml:space="preserve"> (5, 6, 7, 8).</w:t>
      </w:r>
    </w:p>
    <w:p w14:paraId="60335D5C"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D918237" w14:textId="0F17AC25"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Between the western and eastern regions of the northern part of the Caspian, the border is shallow, going towards Novinsky Island—the archipelago of the Seal Islands. The greatest depths within this shoal do not exceed 3.6-3.8 m. With a total area of the northern part of the Caspian Sea, equal to 91, 942 km</w:t>
      </w:r>
      <w:r w:rsidRPr="0088780C">
        <w:rPr>
          <w:snapToGrid w:val="0"/>
          <w:kern w:val="22"/>
          <w:szCs w:val="22"/>
          <w:vertAlign w:val="superscript"/>
        </w:rPr>
        <w:t>2</w:t>
      </w:r>
      <w:r w:rsidR="00DE0F91" w:rsidRPr="0088780C">
        <w:rPr>
          <w:snapToGrid w:val="0"/>
          <w:kern w:val="22"/>
          <w:szCs w:val="22"/>
        </w:rPr>
        <w:t xml:space="preserve">, the area of </w:t>
      </w:r>
      <w:r w:rsidRPr="0088780C">
        <w:rPr>
          <w:snapToGrid w:val="0"/>
          <w:kern w:val="22"/>
          <w:szCs w:val="22"/>
        </w:rPr>
        <w:t>its water surface is 90,129 km</w:t>
      </w:r>
      <w:r w:rsidRPr="0088780C">
        <w:rPr>
          <w:snapToGrid w:val="0"/>
          <w:kern w:val="22"/>
          <w:szCs w:val="22"/>
          <w:vertAlign w:val="superscript"/>
        </w:rPr>
        <w:t>2</w:t>
      </w:r>
      <w:r w:rsidRPr="0088780C">
        <w:rPr>
          <w:snapToGrid w:val="0"/>
          <w:kern w:val="22"/>
          <w:szCs w:val="22"/>
        </w:rPr>
        <w:t>. The share of the northern part of the sea accounts for more th</w:t>
      </w:r>
      <w:r w:rsidR="00DE0F91" w:rsidRPr="0088780C">
        <w:rPr>
          <w:snapToGrid w:val="0"/>
          <w:kern w:val="22"/>
          <w:szCs w:val="22"/>
        </w:rPr>
        <w:t xml:space="preserve">an 24.3% of the total area of </w:t>
      </w:r>
      <w:r w:rsidRPr="0088780C">
        <w:rPr>
          <w:snapToGrid w:val="0"/>
          <w:kern w:val="22"/>
          <w:szCs w:val="22"/>
        </w:rPr>
        <w:t>the sea.</w:t>
      </w:r>
    </w:p>
    <w:p w14:paraId="423D521F"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5843672"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Most of the area (68%) of the northern regions of the Caspian Sea is less than 5 m deep. The most significant areas are the zones with depths from 0 to 1 m (20.2%) and from 3 to 4 m (14.1%) . The share of the zone with depths exceeding 10 m is 9.8%. In the north-western part of  the Caspian Sea, depths of up to 5 m occupy a smaller area than in the eastern part (28,471 and 32,830 km</w:t>
      </w:r>
      <w:r w:rsidRPr="0088780C">
        <w:rPr>
          <w:snapToGrid w:val="0"/>
          <w:kern w:val="22"/>
          <w:szCs w:val="22"/>
          <w:vertAlign w:val="superscript"/>
        </w:rPr>
        <w:t>2</w:t>
      </w:r>
      <w:r w:rsidRPr="0088780C">
        <w:rPr>
          <w:snapToGrid w:val="0"/>
          <w:kern w:val="22"/>
          <w:szCs w:val="22"/>
        </w:rPr>
        <w:t>). The eastern region is shallower than the western; its average depth is 3.3 m, and the maximum is 9.0 m (5, 6, 7, 8).</w:t>
      </w:r>
    </w:p>
    <w:p w14:paraId="7C297C51"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5E932583" w14:textId="1F7F8236"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snapToGrid w:val="0"/>
          <w:kern w:val="22"/>
          <w:szCs w:val="22"/>
        </w:rPr>
        <w:t xml:space="preserve">The results of satellite tagging show that the habitats of the Caspian seal include almost the entire water </w:t>
      </w:r>
      <w:r w:rsidR="00DE0F91" w:rsidRPr="0088780C">
        <w:rPr>
          <w:snapToGrid w:val="0"/>
          <w:kern w:val="22"/>
          <w:szCs w:val="22"/>
        </w:rPr>
        <w:t xml:space="preserve">area of </w:t>
      </w:r>
      <w:r w:rsidRPr="0088780C">
        <w:rPr>
          <w:snapToGrid w:val="0"/>
          <w:kern w:val="22"/>
          <w:szCs w:val="22"/>
        </w:rPr>
        <w:t>the northern and middle Caspian, as well as the western part of the southern Caspian(Figure 2). The northern Caspian is an important area for the species and provides an ice substrate for breeding in winter, feeding grounds for migrating seals to the south in the spring and back to the north in the autumn, and for seals left in the north Caspian f</w:t>
      </w:r>
      <w:r w:rsidR="00DE0F91" w:rsidRPr="0088780C">
        <w:rPr>
          <w:snapToGrid w:val="0"/>
          <w:kern w:val="22"/>
          <w:szCs w:val="22"/>
        </w:rPr>
        <w:t xml:space="preserve">or the entire ice-free period. </w:t>
      </w:r>
      <w:r w:rsidRPr="0088780C">
        <w:rPr>
          <w:snapToGrid w:val="0"/>
          <w:kern w:val="22"/>
          <w:szCs w:val="22"/>
        </w:rPr>
        <w:t>Shallow areas of the north-eastern Caspian, from Komsomol Bay to the delta of the Urals, are used by seals during migrations, foraging and recreation. The Kendirli Bay is a critical area during moulting, where thousands of seals gather every spring after the ice breaks (7, 8).</w:t>
      </w:r>
    </w:p>
    <w:p w14:paraId="4E12F69E" w14:textId="77777777" w:rsidR="00A876F3" w:rsidRPr="0088780C" w:rsidRDefault="00A876F3" w:rsidP="001013AF">
      <w:pPr>
        <w:suppressLineNumbers/>
        <w:suppressAutoHyphens/>
        <w:kinsoku w:val="0"/>
        <w:overflowPunct w:val="0"/>
        <w:autoSpaceDE w:val="0"/>
        <w:autoSpaceDN w:val="0"/>
        <w:rPr>
          <w:snapToGrid w:val="0"/>
          <w:kern w:val="22"/>
          <w:szCs w:val="22"/>
          <w:lang w:eastAsia="ru-RU"/>
        </w:rPr>
      </w:pPr>
    </w:p>
    <w:p w14:paraId="488BF80B"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Feature description of the area</w:t>
      </w:r>
    </w:p>
    <w:p w14:paraId="3CB7A65F"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In contrast to habitats in the northern Caspian, on the islands at the tip of the Kendirli spit in the Gulf of Kazakhstan, the overtaking phenomena do not have much effect on the hauling rookery, due to the fact that the islands are located in the deep-water zone of the middle Caspian. The bay remains calm even in a strong sea storm. This creates ideal conditions for the formation of rookeries on the islands. In view of this, the seals chose the eastern part of the island as a place for a rookery. (8).</w:t>
      </w:r>
    </w:p>
    <w:p w14:paraId="6C766553" w14:textId="77777777" w:rsidR="00A876F3" w:rsidRPr="0088780C" w:rsidRDefault="00A876F3" w:rsidP="001013AF">
      <w:pPr>
        <w:suppressLineNumbers/>
        <w:suppressAutoHyphens/>
        <w:kinsoku w:val="0"/>
        <w:overflowPunct w:val="0"/>
        <w:autoSpaceDE w:val="0"/>
        <w:autoSpaceDN w:val="0"/>
        <w:rPr>
          <w:snapToGrid w:val="0"/>
          <w:kern w:val="22"/>
          <w:szCs w:val="22"/>
          <w:lang w:eastAsia="ru-RU"/>
        </w:rPr>
      </w:pPr>
    </w:p>
    <w:p w14:paraId="151A00B0"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Feature condition and future outlook of the area</w:t>
      </w:r>
    </w:p>
    <w:p w14:paraId="21992A32" w14:textId="224D8665"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area is located in the state natural reserve of local significance </w:t>
      </w:r>
      <w:r w:rsidR="00D8482D" w:rsidRPr="0088780C">
        <w:rPr>
          <w:snapToGrid w:val="0"/>
          <w:kern w:val="22"/>
          <w:szCs w:val="22"/>
        </w:rPr>
        <w:t>“</w:t>
      </w:r>
      <w:r w:rsidRPr="0088780C">
        <w:rPr>
          <w:snapToGrid w:val="0"/>
          <w:kern w:val="22"/>
          <w:szCs w:val="22"/>
        </w:rPr>
        <w:t>Adamtas</w:t>
      </w:r>
      <w:r w:rsidR="00D8482D" w:rsidRPr="0088780C">
        <w:rPr>
          <w:snapToGrid w:val="0"/>
          <w:kern w:val="22"/>
          <w:szCs w:val="22"/>
        </w:rPr>
        <w:t>”</w:t>
      </w:r>
      <w:r w:rsidRPr="0088780C">
        <w:rPr>
          <w:snapToGrid w:val="0"/>
          <w:kern w:val="22"/>
          <w:szCs w:val="22"/>
        </w:rPr>
        <w:t>, but the seal is not included among the protected species. Economic activities are permitted on the reserve territory, including peasant farms, tourism and fishing (7, 8, 10).</w:t>
      </w:r>
    </w:p>
    <w:p w14:paraId="0BF473DE"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p>
    <w:p w14:paraId="3C0DCBDD"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Assessment of the area against CBD EBSA criteria</w:t>
      </w:r>
    </w:p>
    <w:p w14:paraId="7852AA4F"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3475"/>
        <w:gridCol w:w="1137"/>
        <w:gridCol w:w="59"/>
        <w:gridCol w:w="59"/>
        <w:gridCol w:w="60"/>
        <w:gridCol w:w="90"/>
        <w:gridCol w:w="180"/>
        <w:gridCol w:w="51"/>
        <w:gridCol w:w="654"/>
        <w:gridCol w:w="15"/>
        <w:gridCol w:w="16"/>
        <w:gridCol w:w="46"/>
        <w:gridCol w:w="46"/>
        <w:gridCol w:w="117"/>
        <w:gridCol w:w="43"/>
        <w:gridCol w:w="964"/>
        <w:gridCol w:w="16"/>
        <w:gridCol w:w="32"/>
        <w:gridCol w:w="142"/>
        <w:gridCol w:w="13"/>
        <w:gridCol w:w="1059"/>
      </w:tblGrid>
      <w:tr w:rsidR="00A876F3" w:rsidRPr="0088780C" w14:paraId="70A23B1B" w14:textId="77777777" w:rsidTr="006972AD">
        <w:trPr>
          <w:trHeight w:val="630"/>
        </w:trPr>
        <w:tc>
          <w:tcPr>
            <w:tcW w:w="1631" w:type="dxa"/>
            <w:vMerge w:val="restart"/>
          </w:tcPr>
          <w:p w14:paraId="165C8E6A"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snapToGrid w:val="0"/>
                <w:kern w:val="22"/>
                <w:szCs w:val="22"/>
              </w:rPr>
            </w:pPr>
            <w:r w:rsidRPr="0088780C">
              <w:rPr>
                <w:b/>
                <w:snapToGrid w:val="0"/>
                <w:kern w:val="22"/>
                <w:szCs w:val="22"/>
              </w:rPr>
              <w:t>Criteria</w:t>
            </w:r>
          </w:p>
        </w:tc>
        <w:tc>
          <w:tcPr>
            <w:tcW w:w="3702" w:type="dxa"/>
            <w:vMerge w:val="restart"/>
          </w:tcPr>
          <w:p w14:paraId="77D039C4"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snapToGrid w:val="0"/>
                <w:kern w:val="22"/>
                <w:szCs w:val="22"/>
              </w:rPr>
            </w:pPr>
            <w:r w:rsidRPr="0088780C">
              <w:rPr>
                <w:b/>
                <w:snapToGrid w:val="0"/>
                <w:kern w:val="22"/>
                <w:szCs w:val="22"/>
              </w:rPr>
              <w:t>Description</w:t>
            </w:r>
          </w:p>
          <w:p w14:paraId="0A451C6D"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snapToGrid w:val="0"/>
                <w:kern w:val="22"/>
                <w:szCs w:val="22"/>
              </w:rPr>
            </w:pPr>
            <w:r w:rsidRPr="0088780C">
              <w:rPr>
                <w:snapToGrid w:val="0"/>
                <w:kern w:val="22"/>
                <w:szCs w:val="22"/>
                <w:lang w:eastAsia="ru-RU"/>
              </w:rPr>
              <w:t>(Annex I to decision IX/20)</w:t>
            </w:r>
          </w:p>
        </w:tc>
        <w:tc>
          <w:tcPr>
            <w:tcW w:w="4556" w:type="dxa"/>
            <w:gridSpan w:val="20"/>
          </w:tcPr>
          <w:p w14:paraId="18603DC5" w14:textId="77777777" w:rsidR="00A876F3" w:rsidRPr="0088780C" w:rsidRDefault="00A876F3" w:rsidP="001013AF">
            <w:pPr>
              <w:suppressLineNumbers/>
              <w:suppressAutoHyphens/>
              <w:kinsoku w:val="0"/>
              <w:overflowPunct w:val="0"/>
              <w:autoSpaceDE w:val="0"/>
              <w:autoSpaceDN w:val="0"/>
              <w:adjustRightInd w:val="0"/>
              <w:jc w:val="center"/>
              <w:rPr>
                <w:b/>
                <w:bCs/>
                <w:snapToGrid w:val="0"/>
                <w:kern w:val="22"/>
                <w:szCs w:val="22"/>
                <w:lang w:eastAsia="ru-RU"/>
              </w:rPr>
            </w:pPr>
            <w:r w:rsidRPr="0088780C">
              <w:rPr>
                <w:b/>
                <w:bCs/>
                <w:snapToGrid w:val="0"/>
                <w:kern w:val="22"/>
                <w:szCs w:val="22"/>
                <w:lang w:eastAsia="ru-RU"/>
              </w:rPr>
              <w:t>Ranking of criterion relevance</w:t>
            </w:r>
          </w:p>
          <w:p w14:paraId="3F2E5C93"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snapToGrid w:val="0"/>
                <w:kern w:val="22"/>
                <w:szCs w:val="22"/>
              </w:rPr>
            </w:pPr>
            <w:r w:rsidRPr="0088780C">
              <w:rPr>
                <w:snapToGrid w:val="0"/>
                <w:kern w:val="22"/>
                <w:szCs w:val="22"/>
                <w:lang w:eastAsia="ru-RU"/>
              </w:rPr>
              <w:t>(please mark one column with an X)</w:t>
            </w:r>
          </w:p>
        </w:tc>
      </w:tr>
      <w:tr w:rsidR="00A876F3" w:rsidRPr="0088780C" w14:paraId="45452E1A" w14:textId="77777777" w:rsidTr="006972AD">
        <w:trPr>
          <w:trHeight w:val="528"/>
        </w:trPr>
        <w:tc>
          <w:tcPr>
            <w:tcW w:w="1631" w:type="dxa"/>
            <w:vMerge/>
          </w:tcPr>
          <w:p w14:paraId="1AC2747F"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snapToGrid w:val="0"/>
                <w:kern w:val="22"/>
                <w:szCs w:val="22"/>
              </w:rPr>
            </w:pPr>
          </w:p>
        </w:tc>
        <w:tc>
          <w:tcPr>
            <w:tcW w:w="3702" w:type="dxa"/>
            <w:vMerge/>
          </w:tcPr>
          <w:p w14:paraId="30FBDF04"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snapToGrid w:val="0"/>
                <w:kern w:val="22"/>
                <w:szCs w:val="22"/>
              </w:rPr>
            </w:pPr>
          </w:p>
        </w:tc>
        <w:tc>
          <w:tcPr>
            <w:tcW w:w="1341" w:type="dxa"/>
            <w:gridSpan w:val="7"/>
          </w:tcPr>
          <w:p w14:paraId="49A75CBE"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bCs/>
                <w:snapToGrid w:val="0"/>
                <w:kern w:val="22"/>
                <w:szCs w:val="22"/>
                <w:lang w:eastAsia="ru-RU"/>
              </w:rPr>
            </w:pPr>
            <w:r w:rsidRPr="0088780C">
              <w:rPr>
                <w:b/>
                <w:bCs/>
                <w:snapToGrid w:val="0"/>
                <w:kern w:val="22"/>
                <w:szCs w:val="22"/>
                <w:lang w:eastAsia="ru-RU"/>
              </w:rPr>
              <w:t>No information</w:t>
            </w:r>
          </w:p>
        </w:tc>
        <w:tc>
          <w:tcPr>
            <w:tcW w:w="967" w:type="dxa"/>
            <w:gridSpan w:val="7"/>
          </w:tcPr>
          <w:p w14:paraId="349DB905"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bCs/>
                <w:snapToGrid w:val="0"/>
                <w:kern w:val="22"/>
                <w:szCs w:val="22"/>
                <w:lang w:eastAsia="ru-RU"/>
              </w:rPr>
            </w:pPr>
            <w:r w:rsidRPr="0088780C">
              <w:rPr>
                <w:b/>
                <w:bCs/>
                <w:snapToGrid w:val="0"/>
                <w:kern w:val="22"/>
                <w:szCs w:val="22"/>
                <w:lang w:eastAsia="ru-RU"/>
              </w:rPr>
              <w:t>Low</w:t>
            </w:r>
          </w:p>
        </w:tc>
        <w:tc>
          <w:tcPr>
            <w:tcW w:w="1140" w:type="dxa"/>
            <w:gridSpan w:val="5"/>
          </w:tcPr>
          <w:p w14:paraId="21CFC00C"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bCs/>
                <w:snapToGrid w:val="0"/>
                <w:kern w:val="22"/>
                <w:szCs w:val="22"/>
                <w:lang w:eastAsia="ru-RU"/>
              </w:rPr>
            </w:pPr>
            <w:r w:rsidRPr="0088780C">
              <w:rPr>
                <w:b/>
                <w:bCs/>
                <w:snapToGrid w:val="0"/>
                <w:kern w:val="22"/>
                <w:szCs w:val="22"/>
                <w:lang w:eastAsia="ru-RU"/>
              </w:rPr>
              <w:t>Medium</w:t>
            </w:r>
          </w:p>
        </w:tc>
        <w:tc>
          <w:tcPr>
            <w:tcW w:w="1108" w:type="dxa"/>
          </w:tcPr>
          <w:p w14:paraId="3A074DEC"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bCs/>
                <w:snapToGrid w:val="0"/>
                <w:kern w:val="22"/>
                <w:szCs w:val="22"/>
                <w:lang w:eastAsia="ru-RU"/>
              </w:rPr>
            </w:pPr>
            <w:r w:rsidRPr="0088780C">
              <w:rPr>
                <w:b/>
                <w:bCs/>
                <w:snapToGrid w:val="0"/>
                <w:kern w:val="22"/>
                <w:szCs w:val="22"/>
                <w:lang w:eastAsia="ru-RU"/>
              </w:rPr>
              <w:t>High</w:t>
            </w:r>
          </w:p>
        </w:tc>
      </w:tr>
      <w:tr w:rsidR="00A876F3" w:rsidRPr="0088780C" w14:paraId="0A153C01" w14:textId="77777777" w:rsidTr="006972AD">
        <w:trPr>
          <w:trHeight w:val="2436"/>
        </w:trPr>
        <w:tc>
          <w:tcPr>
            <w:tcW w:w="1631" w:type="dxa"/>
          </w:tcPr>
          <w:p w14:paraId="0A066D58" w14:textId="77777777" w:rsidR="00A876F3" w:rsidRPr="0088780C" w:rsidRDefault="00A876F3" w:rsidP="001013AF">
            <w:pPr>
              <w:suppressLineNumbers/>
              <w:tabs>
                <w:tab w:val="center" w:pos="4320"/>
                <w:tab w:val="right" w:pos="8640"/>
              </w:tabs>
              <w:suppressAutoHyphens/>
              <w:kinsoku w:val="0"/>
              <w:overflowPunct w:val="0"/>
              <w:autoSpaceDE w:val="0"/>
              <w:autoSpaceDN w:val="0"/>
              <w:rPr>
                <w:b/>
                <w:snapToGrid w:val="0"/>
                <w:kern w:val="22"/>
                <w:szCs w:val="22"/>
              </w:rPr>
            </w:pPr>
            <w:r w:rsidRPr="0088780C">
              <w:rPr>
                <w:b/>
                <w:snapToGrid w:val="0"/>
                <w:kern w:val="22"/>
                <w:szCs w:val="22"/>
              </w:rPr>
              <w:t>Uniqueness or rarity</w:t>
            </w:r>
          </w:p>
        </w:tc>
        <w:tc>
          <w:tcPr>
            <w:tcW w:w="3702" w:type="dxa"/>
          </w:tcPr>
          <w:p w14:paraId="339D90E7"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r w:rsidRPr="0088780C">
              <w:rPr>
                <w:snapToGrid w:val="0"/>
                <w:kern w:val="22"/>
                <w:szCs w:val="22"/>
              </w:rPr>
              <w:t>An area in which either i) unique (unique in its kind), rare (found in only a few places) or endemic species, populations or communities are present; and / or ii) unique, rare or special habitats or ecosystems; and / or iii) unique or unusual geomorphological or oceanographic elements.</w:t>
            </w:r>
          </w:p>
        </w:tc>
        <w:tc>
          <w:tcPr>
            <w:tcW w:w="1341" w:type="dxa"/>
            <w:gridSpan w:val="7"/>
          </w:tcPr>
          <w:p w14:paraId="3ECCAFC8"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967" w:type="dxa"/>
            <w:gridSpan w:val="7"/>
          </w:tcPr>
          <w:p w14:paraId="4D805888"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40" w:type="dxa"/>
            <w:gridSpan w:val="5"/>
          </w:tcPr>
          <w:p w14:paraId="4FD1412E"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08" w:type="dxa"/>
          </w:tcPr>
          <w:p w14:paraId="29BE7181"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snapToGrid w:val="0"/>
                <w:kern w:val="22"/>
                <w:szCs w:val="22"/>
              </w:rPr>
            </w:pPr>
            <w:r w:rsidRPr="0088780C">
              <w:rPr>
                <w:snapToGrid w:val="0"/>
                <w:kern w:val="22"/>
                <w:szCs w:val="22"/>
              </w:rPr>
              <w:t>X</w:t>
            </w:r>
          </w:p>
        </w:tc>
      </w:tr>
      <w:tr w:rsidR="00A876F3" w:rsidRPr="0088780C" w14:paraId="2313E02A" w14:textId="77777777" w:rsidTr="006972AD">
        <w:tc>
          <w:tcPr>
            <w:tcW w:w="9889" w:type="dxa"/>
            <w:gridSpan w:val="22"/>
          </w:tcPr>
          <w:p w14:paraId="6BABB98B"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35F9F8C4" w14:textId="39F4510D"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The Caspian seal (</w:t>
            </w:r>
            <w:r w:rsidRPr="0088780C">
              <w:rPr>
                <w:i/>
                <w:snapToGrid w:val="0"/>
                <w:kern w:val="22"/>
                <w:szCs w:val="22"/>
              </w:rPr>
              <w:t>Phoca caspica</w:t>
            </w:r>
            <w:r w:rsidRPr="0088780C">
              <w:rPr>
                <w:snapToGrid w:val="0"/>
                <w:kern w:val="22"/>
                <w:szCs w:val="22"/>
              </w:rPr>
              <w:t xml:space="preserve">, Gmelin, 1788), an endemic transboundary species, is the only mammal in the Caspian Sea. In 2008, the IUCN changed the status of the Caspian seal from </w:t>
            </w:r>
            <w:r w:rsidR="00D8482D" w:rsidRPr="0088780C">
              <w:rPr>
                <w:snapToGrid w:val="0"/>
                <w:kern w:val="22"/>
                <w:szCs w:val="22"/>
              </w:rPr>
              <w:t>“</w:t>
            </w:r>
            <w:r w:rsidRPr="0088780C">
              <w:rPr>
                <w:snapToGrid w:val="0"/>
                <w:kern w:val="22"/>
                <w:szCs w:val="22"/>
              </w:rPr>
              <w:t>vulnerable</w:t>
            </w:r>
            <w:r w:rsidR="00D8482D" w:rsidRPr="0088780C">
              <w:rPr>
                <w:snapToGrid w:val="0"/>
                <w:kern w:val="22"/>
                <w:szCs w:val="22"/>
              </w:rPr>
              <w:t>”</w:t>
            </w:r>
            <w:r w:rsidRPr="0088780C">
              <w:rPr>
                <w:snapToGrid w:val="0"/>
                <w:kern w:val="22"/>
                <w:szCs w:val="22"/>
              </w:rPr>
              <w:t xml:space="preserve"> to </w:t>
            </w:r>
            <w:r w:rsidR="00D8482D" w:rsidRPr="0088780C">
              <w:rPr>
                <w:snapToGrid w:val="0"/>
                <w:kern w:val="22"/>
                <w:szCs w:val="22"/>
              </w:rPr>
              <w:t>“</w:t>
            </w:r>
            <w:r w:rsidRPr="0088780C">
              <w:rPr>
                <w:snapToGrid w:val="0"/>
                <w:kern w:val="22"/>
                <w:szCs w:val="22"/>
              </w:rPr>
              <w:t>endangered</w:t>
            </w:r>
            <w:r w:rsidR="00D8482D" w:rsidRPr="0088780C">
              <w:rPr>
                <w:snapToGrid w:val="0"/>
                <w:kern w:val="22"/>
                <w:szCs w:val="22"/>
              </w:rPr>
              <w:t>”</w:t>
            </w:r>
            <w:r w:rsidRPr="0088780C">
              <w:rPr>
                <w:snapToGrid w:val="0"/>
                <w:kern w:val="22"/>
                <w:szCs w:val="22"/>
              </w:rPr>
              <w:t>.</w:t>
            </w:r>
          </w:p>
          <w:p w14:paraId="51C9470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1B5B600"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In contrast to habitats in the northern Caspian, on the islands at the tip of the Kendirli spit in the Gulf of Kazakhstan, the overtaking phenomena do not have much effect on the hauling rookery, due to the fact that the islands are located in the deep-water zone of the central Caspian. This creates ideal conditions for the formation of rookeries on the islands, which are very important for the moulting and feeding season of seals.</w:t>
            </w:r>
          </w:p>
        </w:tc>
      </w:tr>
      <w:tr w:rsidR="00A876F3" w:rsidRPr="0088780C" w14:paraId="17356758" w14:textId="77777777" w:rsidTr="006972AD">
        <w:tc>
          <w:tcPr>
            <w:tcW w:w="1631" w:type="dxa"/>
          </w:tcPr>
          <w:p w14:paraId="4C8B6DA5" w14:textId="77777777" w:rsidR="00A876F3" w:rsidRPr="0088780C" w:rsidRDefault="00A876F3" w:rsidP="00425876">
            <w:pPr>
              <w:suppressLineNumbers/>
              <w:tabs>
                <w:tab w:val="center" w:pos="4320"/>
                <w:tab w:val="right" w:pos="8640"/>
              </w:tabs>
              <w:suppressAutoHyphens/>
              <w:kinsoku w:val="0"/>
              <w:overflowPunct w:val="0"/>
              <w:autoSpaceDE w:val="0"/>
              <w:autoSpaceDN w:val="0"/>
              <w:jc w:val="left"/>
              <w:rPr>
                <w:b/>
                <w:snapToGrid w:val="0"/>
                <w:kern w:val="22"/>
                <w:szCs w:val="22"/>
              </w:rPr>
            </w:pPr>
            <w:r w:rsidRPr="0088780C">
              <w:rPr>
                <w:b/>
                <w:snapToGrid w:val="0"/>
                <w:kern w:val="22"/>
                <w:szCs w:val="22"/>
              </w:rPr>
              <w:t>Special importance for life-history stages of species</w:t>
            </w:r>
          </w:p>
        </w:tc>
        <w:tc>
          <w:tcPr>
            <w:tcW w:w="3702" w:type="dxa"/>
          </w:tcPr>
          <w:p w14:paraId="1BFA2A3C"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The area necessary for the survival and successful habitat of the population.</w:t>
            </w:r>
          </w:p>
        </w:tc>
        <w:tc>
          <w:tcPr>
            <w:tcW w:w="1290" w:type="dxa"/>
            <w:gridSpan w:val="6"/>
          </w:tcPr>
          <w:p w14:paraId="67330AB9"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975" w:type="dxa"/>
            <w:gridSpan w:val="7"/>
          </w:tcPr>
          <w:p w14:paraId="2C2F4DA0"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170" w:type="dxa"/>
            <w:gridSpan w:val="5"/>
          </w:tcPr>
          <w:p w14:paraId="2DC1B49D"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121" w:type="dxa"/>
            <w:gridSpan w:val="2"/>
          </w:tcPr>
          <w:p w14:paraId="7B3ABB6E"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jc w:val="center"/>
              <w:rPr>
                <w:snapToGrid w:val="0"/>
                <w:kern w:val="22"/>
                <w:szCs w:val="22"/>
              </w:rPr>
            </w:pPr>
            <w:r w:rsidRPr="0088780C">
              <w:rPr>
                <w:snapToGrid w:val="0"/>
                <w:kern w:val="22"/>
                <w:szCs w:val="22"/>
              </w:rPr>
              <w:t>X</w:t>
            </w:r>
          </w:p>
        </w:tc>
      </w:tr>
      <w:tr w:rsidR="00A876F3" w:rsidRPr="0088780C" w14:paraId="295B293B" w14:textId="77777777" w:rsidTr="006972AD">
        <w:tc>
          <w:tcPr>
            <w:tcW w:w="9889" w:type="dxa"/>
            <w:gridSpan w:val="22"/>
          </w:tcPr>
          <w:p w14:paraId="76CA628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D329A6D" w14:textId="47229F26" w:rsidR="00A876F3" w:rsidRPr="0088780C" w:rsidRDefault="00A876F3" w:rsidP="001013AF">
            <w:pPr>
              <w:suppressLineNumbers/>
              <w:tabs>
                <w:tab w:val="center" w:pos="4320"/>
                <w:tab w:val="right" w:pos="8640"/>
              </w:tabs>
              <w:suppressAutoHyphens/>
              <w:kinsoku w:val="0"/>
              <w:overflowPunct w:val="0"/>
              <w:autoSpaceDE w:val="0"/>
              <w:autoSpaceDN w:val="0"/>
              <w:rPr>
                <w:snapToGrid w:val="0"/>
                <w:spacing w:val="-2"/>
                <w:kern w:val="22"/>
                <w:szCs w:val="22"/>
              </w:rPr>
            </w:pPr>
            <w:r w:rsidRPr="0088780C">
              <w:rPr>
                <w:snapToGrid w:val="0"/>
                <w:spacing w:val="-2"/>
                <w:kern w:val="22"/>
                <w:szCs w:val="22"/>
              </w:rPr>
              <w:t>In contrast to habitats in the northern Caspian, on the islands at the tip of the Kendirli spit in the Gulf of Kazakhstan, the wind-surge phenomena do not have much effect on the hauling rookery, due to the fact that the islands are located in the deep-water zone of the central Caspian. This creates ideal conditions for the formation of rookeries on the islands, which are very important for the moulting and f</w:t>
            </w:r>
            <w:r w:rsidR="00425876" w:rsidRPr="0088780C">
              <w:rPr>
                <w:snapToGrid w:val="0"/>
                <w:spacing w:val="-2"/>
                <w:kern w:val="22"/>
                <w:szCs w:val="22"/>
              </w:rPr>
              <w:t>eeding season of seals. (7, 8).</w:t>
            </w:r>
          </w:p>
        </w:tc>
      </w:tr>
      <w:tr w:rsidR="00A876F3" w:rsidRPr="0088780C" w14:paraId="7260257C" w14:textId="77777777" w:rsidTr="006972AD">
        <w:tc>
          <w:tcPr>
            <w:tcW w:w="1631" w:type="dxa"/>
          </w:tcPr>
          <w:p w14:paraId="294989E9"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Importance for threatened, endangered or declining species and/or habitats</w:t>
            </w:r>
          </w:p>
        </w:tc>
        <w:tc>
          <w:tcPr>
            <w:tcW w:w="3702" w:type="dxa"/>
          </w:tcPr>
          <w:p w14:paraId="053C8272" w14:textId="77777777" w:rsidR="00A876F3" w:rsidRPr="0088780C" w:rsidRDefault="00A876F3" w:rsidP="00425876">
            <w:pPr>
              <w:suppressLineNumbers/>
              <w:tabs>
                <w:tab w:val="center" w:pos="4320"/>
                <w:tab w:val="right" w:pos="8640"/>
              </w:tabs>
              <w:suppressAutoHyphens/>
              <w:kinsoku w:val="0"/>
              <w:overflowPunct w:val="0"/>
              <w:autoSpaceDE w:val="0"/>
              <w:autoSpaceDN w:val="0"/>
              <w:jc w:val="left"/>
              <w:rPr>
                <w:snapToGrid w:val="0"/>
                <w:kern w:val="22"/>
                <w:szCs w:val="22"/>
              </w:rPr>
            </w:pPr>
            <w:r w:rsidRPr="0088780C">
              <w:rPr>
                <w:snapToGrid w:val="0"/>
                <w:kern w:val="22"/>
                <w:szCs w:val="22"/>
              </w:rPr>
              <w:t>Area containing a habitat for the survival or restoration of endangered, endangered or endangered species; Or an area containing significant communities of such species.</w:t>
            </w:r>
          </w:p>
        </w:tc>
        <w:tc>
          <w:tcPr>
            <w:tcW w:w="1110" w:type="dxa"/>
            <w:gridSpan w:val="5"/>
          </w:tcPr>
          <w:p w14:paraId="7D64F7DF"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035" w:type="dxa"/>
            <w:gridSpan w:val="7"/>
          </w:tcPr>
          <w:p w14:paraId="25862983"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140" w:type="dxa"/>
            <w:gridSpan w:val="5"/>
          </w:tcPr>
          <w:p w14:paraId="26F3580A"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p>
        </w:tc>
        <w:tc>
          <w:tcPr>
            <w:tcW w:w="1271" w:type="dxa"/>
            <w:gridSpan w:val="3"/>
          </w:tcPr>
          <w:p w14:paraId="60853C1E"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jc w:val="center"/>
              <w:rPr>
                <w:snapToGrid w:val="0"/>
                <w:kern w:val="22"/>
                <w:szCs w:val="22"/>
              </w:rPr>
            </w:pPr>
            <w:r w:rsidRPr="0088780C">
              <w:rPr>
                <w:snapToGrid w:val="0"/>
                <w:kern w:val="22"/>
                <w:szCs w:val="22"/>
              </w:rPr>
              <w:t>X</w:t>
            </w:r>
          </w:p>
        </w:tc>
      </w:tr>
      <w:tr w:rsidR="00A876F3" w:rsidRPr="0088780C" w14:paraId="7383BD64" w14:textId="77777777" w:rsidTr="007E2F99">
        <w:trPr>
          <w:cantSplit/>
        </w:trPr>
        <w:tc>
          <w:tcPr>
            <w:tcW w:w="9889" w:type="dxa"/>
            <w:gridSpan w:val="22"/>
          </w:tcPr>
          <w:p w14:paraId="6D8AF709"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734112E" w14:textId="44745B7E" w:rsidR="00A876F3" w:rsidRPr="0088780C" w:rsidRDefault="00A876F3" w:rsidP="007E2F99">
            <w:pPr>
              <w:suppressLineNumbers/>
              <w:tabs>
                <w:tab w:val="center" w:pos="4320"/>
                <w:tab w:val="right" w:pos="8640"/>
              </w:tabs>
              <w:suppressAutoHyphens/>
              <w:kinsoku w:val="0"/>
              <w:overflowPunct w:val="0"/>
              <w:autoSpaceDE w:val="0"/>
              <w:autoSpaceDN w:val="0"/>
              <w:spacing w:after="120"/>
              <w:rPr>
                <w:snapToGrid w:val="0"/>
                <w:kern w:val="22"/>
                <w:szCs w:val="22"/>
              </w:rPr>
            </w:pPr>
            <w:r w:rsidRPr="0088780C">
              <w:rPr>
                <w:snapToGrid w:val="0"/>
                <w:kern w:val="22"/>
                <w:szCs w:val="22"/>
              </w:rPr>
              <w:t>The Caspian seal is classified as endangered on the IUCN Red List. The seal population is declining as a result of climate change and the resulting decrease in the area and duration of the ice cover, as well as deaths resulting from falling into fishing nets. But the rookery of Kendirli is one of the last seal refuges. At the Kendirli rookery, the maximum recorded number of seals in the autumn of 2016 was 479 individuals, which is more than double that of 2015 (7, 8).</w:t>
            </w:r>
          </w:p>
        </w:tc>
      </w:tr>
      <w:tr w:rsidR="00A876F3" w:rsidRPr="0088780C" w14:paraId="464DDA0B" w14:textId="77777777" w:rsidTr="006972AD">
        <w:trPr>
          <w:trHeight w:val="2195"/>
        </w:trPr>
        <w:tc>
          <w:tcPr>
            <w:tcW w:w="1631" w:type="dxa"/>
          </w:tcPr>
          <w:p w14:paraId="2005A190"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Vulnerability, fragility, sensitivity, or slow recovery</w:t>
            </w:r>
          </w:p>
        </w:tc>
        <w:tc>
          <w:tcPr>
            <w:tcW w:w="3702" w:type="dxa"/>
          </w:tcPr>
          <w:p w14:paraId="1313CB16" w14:textId="77777777" w:rsidR="00A876F3" w:rsidRPr="0088780C" w:rsidRDefault="00A876F3" w:rsidP="001013AF">
            <w:pPr>
              <w:suppressLineNumbers/>
              <w:tabs>
                <w:tab w:val="center" w:pos="4320"/>
                <w:tab w:val="right" w:pos="8640"/>
              </w:tabs>
              <w:suppressAutoHyphens/>
              <w:kinsoku w:val="0"/>
              <w:overflowPunct w:val="0"/>
              <w:autoSpaceDE w:val="0"/>
              <w:autoSpaceDN w:val="0"/>
              <w:spacing w:after="120"/>
              <w:rPr>
                <w:snapToGrid w:val="0"/>
                <w:kern w:val="22"/>
                <w:szCs w:val="22"/>
              </w:rPr>
            </w:pPr>
            <w:r w:rsidRPr="0088780C">
              <w:rPr>
                <w:snapToGrid w:val="0"/>
                <w:kern w:val="22"/>
                <w:szCs w:val="22"/>
              </w:rPr>
              <w:t>A region containing a relatively large number of sensitive habitats, biotopes or species that are functionally fragile (highly prone to degradation or depletion due to anthropogenic activities or natural events) or are characterized by slow recovery rates.</w:t>
            </w:r>
          </w:p>
        </w:tc>
        <w:tc>
          <w:tcPr>
            <w:tcW w:w="1020" w:type="dxa"/>
            <w:gridSpan w:val="4"/>
          </w:tcPr>
          <w:p w14:paraId="7962C030"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080" w:type="dxa"/>
            <w:gridSpan w:val="7"/>
          </w:tcPr>
          <w:p w14:paraId="5C73F04A"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55" w:type="dxa"/>
            <w:gridSpan w:val="5"/>
          </w:tcPr>
          <w:p w14:paraId="66D634A7"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b/>
                <w:snapToGrid w:val="0"/>
                <w:kern w:val="22"/>
                <w:szCs w:val="22"/>
              </w:rPr>
            </w:pPr>
          </w:p>
        </w:tc>
        <w:tc>
          <w:tcPr>
            <w:tcW w:w="1301" w:type="dxa"/>
            <w:gridSpan w:val="4"/>
          </w:tcPr>
          <w:p w14:paraId="42AEC87A"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 xml:space="preserve">    X</w:t>
            </w:r>
          </w:p>
        </w:tc>
      </w:tr>
      <w:tr w:rsidR="00A876F3" w:rsidRPr="0088780C" w14:paraId="429FA163" w14:textId="77777777" w:rsidTr="006972AD">
        <w:tc>
          <w:tcPr>
            <w:tcW w:w="9889" w:type="dxa"/>
            <w:gridSpan w:val="22"/>
          </w:tcPr>
          <w:p w14:paraId="33B2BD2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6B0F3CE2" w14:textId="3EE6D853" w:rsidR="00A876F3" w:rsidRPr="0088780C" w:rsidRDefault="00A876F3" w:rsidP="007E2F99">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Since seals are an extremely vulnerable species, an increase in the anthropogenic pressure on a given habitat can lead to its loss as a seal habitat (7, 8). In conditions when there are only a few rookeries left in the Caspian seal hauling grounds, this should not be allowed.</w:t>
            </w:r>
          </w:p>
        </w:tc>
      </w:tr>
      <w:tr w:rsidR="00A876F3" w:rsidRPr="0088780C" w14:paraId="563694FE" w14:textId="77777777" w:rsidTr="006972AD">
        <w:tc>
          <w:tcPr>
            <w:tcW w:w="1631" w:type="dxa"/>
          </w:tcPr>
          <w:p w14:paraId="00FF3367" w14:textId="77777777" w:rsidR="00A876F3" w:rsidRPr="0088780C" w:rsidRDefault="00A876F3" w:rsidP="001013AF">
            <w:pPr>
              <w:suppressLineNumbers/>
              <w:tabs>
                <w:tab w:val="center" w:pos="4320"/>
                <w:tab w:val="right" w:pos="8640"/>
              </w:tabs>
              <w:suppressAutoHyphens/>
              <w:kinsoku w:val="0"/>
              <w:overflowPunct w:val="0"/>
              <w:autoSpaceDE w:val="0"/>
              <w:autoSpaceDN w:val="0"/>
              <w:rPr>
                <w:b/>
                <w:snapToGrid w:val="0"/>
                <w:kern w:val="22"/>
                <w:szCs w:val="22"/>
              </w:rPr>
            </w:pPr>
            <w:r w:rsidRPr="0088780C">
              <w:rPr>
                <w:b/>
                <w:snapToGrid w:val="0"/>
                <w:kern w:val="22"/>
                <w:szCs w:val="22"/>
              </w:rPr>
              <w:t>Biological productivity</w:t>
            </w:r>
          </w:p>
        </w:tc>
        <w:tc>
          <w:tcPr>
            <w:tcW w:w="3702" w:type="dxa"/>
          </w:tcPr>
          <w:p w14:paraId="5E2936FE" w14:textId="3905C30B" w:rsidR="00A876F3" w:rsidRPr="0088780C" w:rsidRDefault="00A876F3" w:rsidP="007E2F99">
            <w:pPr>
              <w:suppressLineNumbers/>
              <w:suppressAutoHyphens/>
              <w:kinsoku w:val="0"/>
              <w:overflowPunct w:val="0"/>
              <w:autoSpaceDE w:val="0"/>
              <w:autoSpaceDN w:val="0"/>
              <w:adjustRightInd w:val="0"/>
              <w:jc w:val="left"/>
              <w:rPr>
                <w:snapToGrid w:val="0"/>
                <w:kern w:val="22"/>
                <w:szCs w:val="22"/>
              </w:rPr>
            </w:pPr>
            <w:r w:rsidRPr="0088780C">
              <w:rPr>
                <w:snapToGrid w:val="0"/>
                <w:kern w:val="22"/>
                <w:szCs w:val="22"/>
                <w:lang w:eastAsia="ru-RU"/>
              </w:rPr>
              <w:t>Area containing species, populations orcommunities with comparatively higher natural biological productivity.</w:t>
            </w:r>
          </w:p>
        </w:tc>
        <w:tc>
          <w:tcPr>
            <w:tcW w:w="960" w:type="dxa"/>
            <w:gridSpan w:val="3"/>
          </w:tcPr>
          <w:p w14:paraId="6E2FA8EE" w14:textId="77777777" w:rsidR="00A876F3" w:rsidRPr="0088780C" w:rsidRDefault="00A876F3" w:rsidP="001013AF">
            <w:pPr>
              <w:pStyle w:val="ListParagraph"/>
              <w:suppressLineNumbers/>
              <w:suppressAutoHyphens/>
              <w:kinsoku w:val="0"/>
              <w:overflowPunct w:val="0"/>
              <w:autoSpaceDE w:val="0"/>
              <w:autoSpaceDN w:val="0"/>
              <w:ind w:left="880"/>
              <w:jc w:val="center"/>
              <w:rPr>
                <w:rFonts w:eastAsiaTheme="minorEastAsia"/>
                <w:snapToGrid w:val="0"/>
                <w:kern w:val="22"/>
                <w:szCs w:val="22"/>
              </w:rPr>
            </w:pPr>
            <w:r w:rsidRPr="0088780C">
              <w:rPr>
                <w:rFonts w:eastAsiaTheme="minorEastAsia"/>
                <w:snapToGrid w:val="0"/>
                <w:kern w:val="22"/>
                <w:szCs w:val="22"/>
              </w:rPr>
              <w:t>X</w:t>
            </w:r>
          </w:p>
        </w:tc>
        <w:tc>
          <w:tcPr>
            <w:tcW w:w="1095" w:type="dxa"/>
            <w:gridSpan w:val="7"/>
          </w:tcPr>
          <w:p w14:paraId="35709990"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p>
        </w:tc>
        <w:tc>
          <w:tcPr>
            <w:tcW w:w="1185" w:type="dxa"/>
            <w:gridSpan w:val="5"/>
          </w:tcPr>
          <w:p w14:paraId="3BC000C1"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p>
        </w:tc>
        <w:tc>
          <w:tcPr>
            <w:tcW w:w="1316" w:type="dxa"/>
            <w:gridSpan w:val="5"/>
          </w:tcPr>
          <w:p w14:paraId="4FE9C4FA"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p>
        </w:tc>
      </w:tr>
      <w:tr w:rsidR="00A876F3" w:rsidRPr="0088780C" w14:paraId="2F29271B" w14:textId="77777777" w:rsidTr="006972AD">
        <w:trPr>
          <w:trHeight w:val="539"/>
        </w:trPr>
        <w:tc>
          <w:tcPr>
            <w:tcW w:w="9889" w:type="dxa"/>
            <w:gridSpan w:val="22"/>
          </w:tcPr>
          <w:p w14:paraId="06FEBCE1"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75A0A6BA" w14:textId="77777777" w:rsidR="00A876F3" w:rsidRPr="0088780C" w:rsidRDefault="00A876F3" w:rsidP="007E2F99">
            <w:pPr>
              <w:pStyle w:val="ListParagraph"/>
              <w:suppressLineNumbers/>
              <w:suppressAutoHyphens/>
              <w:kinsoku w:val="0"/>
              <w:overflowPunct w:val="0"/>
              <w:autoSpaceDE w:val="0"/>
              <w:autoSpaceDN w:val="0"/>
              <w:ind w:leftChars="0" w:left="0"/>
              <w:rPr>
                <w:rFonts w:eastAsiaTheme="minorEastAsia"/>
                <w:snapToGrid w:val="0"/>
                <w:kern w:val="22"/>
                <w:szCs w:val="22"/>
              </w:rPr>
            </w:pPr>
            <w:r w:rsidRPr="0088780C">
              <w:rPr>
                <w:snapToGrid w:val="0"/>
                <w:kern w:val="22"/>
                <w:szCs w:val="22"/>
              </w:rPr>
              <w:t>The natural biological productivity of seals is very low in all habitats (3, 6). T</w:t>
            </w:r>
            <w:r w:rsidRPr="0088780C">
              <w:rPr>
                <w:rFonts w:eastAsiaTheme="minorEastAsia"/>
                <w:snapToGrid w:val="0"/>
                <w:kern w:val="22"/>
                <w:szCs w:val="22"/>
              </w:rPr>
              <w:t>here is limited information on the presence of other animals here.</w:t>
            </w:r>
          </w:p>
        </w:tc>
      </w:tr>
      <w:tr w:rsidR="00A876F3" w:rsidRPr="0088780C" w14:paraId="6773BB00" w14:textId="77777777" w:rsidTr="006972AD">
        <w:tc>
          <w:tcPr>
            <w:tcW w:w="1631" w:type="dxa"/>
          </w:tcPr>
          <w:p w14:paraId="58CE0243"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Biological diversity</w:t>
            </w:r>
          </w:p>
        </w:tc>
        <w:tc>
          <w:tcPr>
            <w:tcW w:w="3702" w:type="dxa"/>
          </w:tcPr>
          <w:p w14:paraId="72399ACE"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lang w:eastAsia="ru-RU"/>
              </w:rPr>
              <w:t>Area contains comparatively higher diversity of ecosystems, habitats, communities, or species, or has higher genetic diversity.</w:t>
            </w:r>
          </w:p>
        </w:tc>
        <w:tc>
          <w:tcPr>
            <w:tcW w:w="915" w:type="dxa"/>
            <w:gridSpan w:val="2"/>
          </w:tcPr>
          <w:p w14:paraId="26F4C234"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p>
        </w:tc>
        <w:tc>
          <w:tcPr>
            <w:tcW w:w="1125" w:type="dxa"/>
            <w:gridSpan w:val="7"/>
          </w:tcPr>
          <w:p w14:paraId="16CB17FD"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p>
        </w:tc>
        <w:tc>
          <w:tcPr>
            <w:tcW w:w="1245" w:type="dxa"/>
            <w:gridSpan w:val="8"/>
          </w:tcPr>
          <w:p w14:paraId="08640940"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snapToGrid w:val="0"/>
                <w:kern w:val="22"/>
                <w:szCs w:val="22"/>
              </w:rPr>
            </w:pPr>
            <w:r w:rsidRPr="0088780C">
              <w:rPr>
                <w:rFonts w:eastAsiaTheme="minorEastAsia"/>
                <w:snapToGrid w:val="0"/>
                <w:kern w:val="22"/>
                <w:szCs w:val="22"/>
              </w:rPr>
              <w:t>X</w:t>
            </w:r>
          </w:p>
        </w:tc>
        <w:tc>
          <w:tcPr>
            <w:tcW w:w="1271" w:type="dxa"/>
            <w:gridSpan w:val="3"/>
          </w:tcPr>
          <w:p w14:paraId="00C3828B" w14:textId="77777777" w:rsidR="00A876F3" w:rsidRPr="0088780C" w:rsidRDefault="00A876F3" w:rsidP="001013AF">
            <w:pPr>
              <w:pStyle w:val="ListParagraph"/>
              <w:suppressLineNumbers/>
              <w:suppressAutoHyphens/>
              <w:kinsoku w:val="0"/>
              <w:overflowPunct w:val="0"/>
              <w:autoSpaceDE w:val="0"/>
              <w:autoSpaceDN w:val="0"/>
              <w:ind w:left="880"/>
              <w:rPr>
                <w:rFonts w:eastAsiaTheme="minorEastAsia"/>
                <w:b/>
                <w:snapToGrid w:val="0"/>
                <w:kern w:val="22"/>
                <w:szCs w:val="22"/>
              </w:rPr>
            </w:pPr>
          </w:p>
        </w:tc>
      </w:tr>
      <w:tr w:rsidR="00A876F3" w:rsidRPr="0088780C" w14:paraId="263436D2" w14:textId="77777777" w:rsidTr="006972AD">
        <w:tc>
          <w:tcPr>
            <w:tcW w:w="9889" w:type="dxa"/>
            <w:gridSpan w:val="22"/>
          </w:tcPr>
          <w:p w14:paraId="5DD9EB28"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C1F4203" w14:textId="77777777" w:rsidR="00A876F3" w:rsidRPr="0088780C" w:rsidRDefault="00A876F3" w:rsidP="007E2F99">
            <w:pPr>
              <w:pStyle w:val="ListParagraph"/>
              <w:suppressLineNumbers/>
              <w:suppressAutoHyphens/>
              <w:kinsoku w:val="0"/>
              <w:overflowPunct w:val="0"/>
              <w:autoSpaceDE w:val="0"/>
              <w:autoSpaceDN w:val="0"/>
              <w:ind w:leftChars="0" w:left="0"/>
              <w:rPr>
                <w:rFonts w:eastAsiaTheme="minorEastAsia"/>
                <w:snapToGrid w:val="0"/>
                <w:spacing w:val="-2"/>
                <w:kern w:val="22"/>
                <w:szCs w:val="22"/>
              </w:rPr>
            </w:pPr>
            <w:r w:rsidRPr="0088780C">
              <w:rPr>
                <w:snapToGrid w:val="0"/>
                <w:spacing w:val="-2"/>
                <w:kern w:val="22"/>
                <w:szCs w:val="22"/>
              </w:rPr>
              <w:t xml:space="preserve">In addition to the Caspian seal, marine fish species inhabit the area.  The biological diversity of marine fauna is average. The main commercial fish species here include herring, mullet and zander </w:t>
            </w:r>
            <w:r w:rsidRPr="0088780C">
              <w:rPr>
                <w:snapToGrid w:val="0"/>
                <w:color w:val="545454"/>
                <w:spacing w:val="-2"/>
                <w:kern w:val="22"/>
                <w:szCs w:val="22"/>
                <w:shd w:val="clear" w:color="auto" w:fill="FFFFFF"/>
              </w:rPr>
              <w:t>(</w:t>
            </w:r>
            <w:r w:rsidRPr="0088780C">
              <w:rPr>
                <w:i/>
                <w:snapToGrid w:val="0"/>
                <w:color w:val="545454"/>
                <w:spacing w:val="-2"/>
                <w:kern w:val="22"/>
                <w:szCs w:val="22"/>
                <w:shd w:val="clear" w:color="auto" w:fill="FFFFFF"/>
              </w:rPr>
              <w:t>Sander lucioperca)</w:t>
            </w:r>
            <w:r w:rsidRPr="0088780C">
              <w:rPr>
                <w:snapToGrid w:val="0"/>
                <w:color w:val="545454"/>
                <w:spacing w:val="-2"/>
                <w:kern w:val="22"/>
                <w:szCs w:val="22"/>
                <w:shd w:val="clear" w:color="auto" w:fill="FFFFFF"/>
              </w:rPr>
              <w:t xml:space="preserve"> </w:t>
            </w:r>
            <w:r w:rsidRPr="0088780C">
              <w:rPr>
                <w:snapToGrid w:val="0"/>
                <w:spacing w:val="-2"/>
                <w:kern w:val="22"/>
                <w:szCs w:val="22"/>
              </w:rPr>
              <w:t>(1).</w:t>
            </w:r>
          </w:p>
        </w:tc>
      </w:tr>
      <w:tr w:rsidR="00A876F3" w:rsidRPr="0088780C" w14:paraId="28F61669" w14:textId="77777777" w:rsidTr="006972AD">
        <w:tc>
          <w:tcPr>
            <w:tcW w:w="1631" w:type="dxa"/>
          </w:tcPr>
          <w:p w14:paraId="3C27E5F0" w14:textId="77777777" w:rsidR="00A876F3" w:rsidRPr="0088780C" w:rsidRDefault="00A876F3" w:rsidP="001013AF">
            <w:pPr>
              <w:suppressLineNumbers/>
              <w:tabs>
                <w:tab w:val="center" w:pos="4320"/>
                <w:tab w:val="right" w:pos="8640"/>
              </w:tabs>
              <w:suppressAutoHyphens/>
              <w:kinsoku w:val="0"/>
              <w:overflowPunct w:val="0"/>
              <w:autoSpaceDE w:val="0"/>
              <w:autoSpaceDN w:val="0"/>
              <w:rPr>
                <w:b/>
                <w:bCs/>
                <w:snapToGrid w:val="0"/>
                <w:kern w:val="22"/>
                <w:szCs w:val="22"/>
              </w:rPr>
            </w:pPr>
            <w:r w:rsidRPr="0088780C">
              <w:rPr>
                <w:b/>
                <w:bCs/>
                <w:snapToGrid w:val="0"/>
                <w:kern w:val="22"/>
                <w:szCs w:val="22"/>
              </w:rPr>
              <w:t>Naturalness</w:t>
            </w:r>
          </w:p>
        </w:tc>
        <w:tc>
          <w:tcPr>
            <w:tcW w:w="3702" w:type="dxa"/>
          </w:tcPr>
          <w:p w14:paraId="61AD053F"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lang w:eastAsia="ru-RU"/>
              </w:rPr>
              <w:t>Area with a comparatively higher degree of naturalness as a result of the lack of or low level of human-induced disturbance or degradation.</w:t>
            </w:r>
          </w:p>
        </w:tc>
        <w:tc>
          <w:tcPr>
            <w:tcW w:w="870" w:type="dxa"/>
          </w:tcPr>
          <w:p w14:paraId="45AF32A7"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155" w:type="dxa"/>
            <w:gridSpan w:val="7"/>
          </w:tcPr>
          <w:p w14:paraId="6D3718AA"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c>
          <w:tcPr>
            <w:tcW w:w="1260" w:type="dxa"/>
            <w:gridSpan w:val="9"/>
          </w:tcPr>
          <w:p w14:paraId="75BA3674" w14:textId="77777777" w:rsidR="00A876F3" w:rsidRPr="0088780C" w:rsidRDefault="00A876F3" w:rsidP="001013AF">
            <w:pPr>
              <w:suppressLineNumbers/>
              <w:tabs>
                <w:tab w:val="center" w:pos="4320"/>
                <w:tab w:val="right" w:pos="8640"/>
              </w:tabs>
              <w:suppressAutoHyphens/>
              <w:kinsoku w:val="0"/>
              <w:overflowPunct w:val="0"/>
              <w:autoSpaceDE w:val="0"/>
              <w:autoSpaceDN w:val="0"/>
              <w:jc w:val="center"/>
              <w:rPr>
                <w:snapToGrid w:val="0"/>
                <w:kern w:val="22"/>
                <w:szCs w:val="22"/>
              </w:rPr>
            </w:pPr>
            <w:r w:rsidRPr="0088780C">
              <w:rPr>
                <w:snapToGrid w:val="0"/>
                <w:kern w:val="22"/>
                <w:szCs w:val="22"/>
              </w:rPr>
              <w:t>X</w:t>
            </w:r>
          </w:p>
        </w:tc>
        <w:tc>
          <w:tcPr>
            <w:tcW w:w="1271" w:type="dxa"/>
            <w:gridSpan w:val="3"/>
          </w:tcPr>
          <w:p w14:paraId="03C7F45C" w14:textId="77777777"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p>
        </w:tc>
      </w:tr>
      <w:tr w:rsidR="00A876F3" w:rsidRPr="0088780C" w14:paraId="0485B3B5" w14:textId="77777777" w:rsidTr="006972AD">
        <w:tc>
          <w:tcPr>
            <w:tcW w:w="9889" w:type="dxa"/>
            <w:gridSpan w:val="22"/>
          </w:tcPr>
          <w:p w14:paraId="03C67B5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707646C4" w14:textId="6EA51AED" w:rsidR="00A876F3" w:rsidRPr="0088780C" w:rsidRDefault="00A876F3" w:rsidP="001013AF">
            <w:pPr>
              <w:suppressLineNumbers/>
              <w:tabs>
                <w:tab w:val="center" w:pos="4320"/>
                <w:tab w:val="right" w:pos="8640"/>
              </w:tabs>
              <w:suppressAutoHyphens/>
              <w:kinsoku w:val="0"/>
              <w:overflowPunct w:val="0"/>
              <w:autoSpaceDE w:val="0"/>
              <w:autoSpaceDN w:val="0"/>
              <w:rPr>
                <w:snapToGrid w:val="0"/>
                <w:kern w:val="22"/>
                <w:szCs w:val="22"/>
              </w:rPr>
            </w:pPr>
            <w:r w:rsidRPr="0088780C">
              <w:rPr>
                <w:snapToGrid w:val="0"/>
                <w:kern w:val="22"/>
                <w:szCs w:val="22"/>
              </w:rPr>
              <w:t xml:space="preserve">Given that the seals rookery on the island at the northern extremity of the Kenderli spit is unique in its location and, apparently, the only one in the Middle Caspian by Kazakhstan and the seals on it can represent a separate subpopulation with a kind of gene pool (7, 8). The area is located on the territory of the state zoo reserve </w:t>
            </w:r>
            <w:r w:rsidR="00D8482D" w:rsidRPr="0088780C">
              <w:rPr>
                <w:snapToGrid w:val="0"/>
                <w:kern w:val="22"/>
                <w:szCs w:val="22"/>
              </w:rPr>
              <w:t>“</w:t>
            </w:r>
            <w:r w:rsidRPr="0088780C">
              <w:rPr>
                <w:snapToGrid w:val="0"/>
                <w:kern w:val="22"/>
                <w:szCs w:val="22"/>
              </w:rPr>
              <w:t>Adamtas</w:t>
            </w:r>
            <w:r w:rsidR="00D8482D" w:rsidRPr="0088780C">
              <w:rPr>
                <w:snapToGrid w:val="0"/>
                <w:kern w:val="22"/>
                <w:szCs w:val="22"/>
              </w:rPr>
              <w:t>”</w:t>
            </w:r>
            <w:r w:rsidRPr="0088780C">
              <w:rPr>
                <w:snapToGrid w:val="0"/>
                <w:kern w:val="22"/>
                <w:szCs w:val="22"/>
              </w:rPr>
              <w:t>, but the seal is not protected. Economic activities are permitted on the reserve territory, including small-scale farming, tourism and fishing (7, 8, 10).</w:t>
            </w:r>
          </w:p>
        </w:tc>
      </w:tr>
    </w:tbl>
    <w:p w14:paraId="184BECD1"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33C8BB09" w14:textId="77777777" w:rsidR="00A876F3" w:rsidRPr="0088780C" w:rsidRDefault="00A876F3" w:rsidP="007E2F99">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36BC0915" w14:textId="77777777" w:rsidR="00A876F3" w:rsidRPr="0088780C" w:rsidRDefault="00A876F3" w:rsidP="007E2F99">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1 Захарова Н. А. Уровень накопления и влияние ряда токсикантов на состояние популяции каспийского тюленя// дис. ... канд. биол. наук. Астрахань, 2003.</w:t>
      </w:r>
    </w:p>
    <w:p w14:paraId="66B54909" w14:textId="77777777" w:rsidR="00A876F3" w:rsidRPr="0088780C" w:rsidRDefault="00A876F3" w:rsidP="007E2F99">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2 Tero Harkonen, Mart Ju. ssi, Mirgaly Baimukanov, Anders Bignert, Lilia Dmitrieva, Yesbol Kasimbekov, Mikhail Verevkin, Susan Wilson and Simon J. Goodman Pup Production and Breeding Distribution of the Caspian Seal (Phoca caspica) in Relation to Human Impacts//Ambio Vol. 37, No. 5, July 2008. Р.356-361.</w:t>
      </w:r>
    </w:p>
    <w:p w14:paraId="53BFD960" w14:textId="77777777" w:rsidR="00A876F3" w:rsidRPr="0088780C" w:rsidRDefault="00A876F3" w:rsidP="007E2F99">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3 Сокольский А.Ф. и др. Современное состояние биопродуктивности Каспийского моря и причины деградации популяции тюленей за последние 300 лет. Астрахань, 2008. 178 с.</w:t>
      </w:r>
    </w:p>
    <w:p w14:paraId="0203226D" w14:textId="5A409E23" w:rsidR="00A876F3" w:rsidRPr="0088780C" w:rsidRDefault="00A876F3" w:rsidP="007E2F99">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4 Л.Дмитриева, А. Кондаков, Е. Олейников, А.Кыдырманов,К. Карамендин, М. Баймуканов, Е.Касымбеков, С. Уилсон, Саймон Дж. Гудман. Прилов каспийского тюленя в нелегальном рыболовстве: оценка методом интервью// http://www.kaspika.org/assessment-of-caspian-se</w:t>
      </w:r>
      <w:r w:rsidR="007E2F99" w:rsidRPr="0088780C">
        <w:rPr>
          <w:snapToGrid w:val="0"/>
          <w:kern w:val="22"/>
          <w:szCs w:val="22"/>
          <w:lang w:val="ru-RU"/>
        </w:rPr>
        <w:t>al-bycatch-in-illegal-fishery/.</w:t>
      </w:r>
    </w:p>
    <w:p w14:paraId="4D4C6E50" w14:textId="77777777" w:rsidR="00A876F3" w:rsidRPr="0088780C" w:rsidRDefault="00A876F3" w:rsidP="007E2F99">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5 Оценка ледовых условий в Казахстанском секторе Каспийского моря//http://gbpp.org/100-21</w:t>
      </w:r>
    </w:p>
    <w:p w14:paraId="0830CE2E" w14:textId="77777777" w:rsidR="00A876F3" w:rsidRPr="0088780C" w:rsidRDefault="00A876F3" w:rsidP="007E2F99">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6 Крылов В.И. К биологии каспийского тюленя Pusa caspica Gmelin, 1788//Бюллетень М. о-ва исп. природы, отд. биологич., Т. 81 (1), 1976. С. 15-27.</w:t>
      </w:r>
    </w:p>
    <w:p w14:paraId="53628065" w14:textId="16478100" w:rsidR="00A876F3" w:rsidRPr="0088780C" w:rsidRDefault="00A876F3" w:rsidP="007E2F99">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7 Баймуканов М. Жданко Л.А. и др. Изучение динамики численности и комплексная оценка факторов угроз популяции каспийского тюленя // Отчет о научно-исследовательской работе (промеж</w:t>
      </w:r>
      <w:r w:rsidR="007E2F99" w:rsidRPr="0088780C">
        <w:rPr>
          <w:snapToGrid w:val="0"/>
          <w:kern w:val="22"/>
          <w:szCs w:val="22"/>
          <w:lang w:val="ru-RU"/>
        </w:rPr>
        <w:t>уточный). Алматы, 2015. – 53 с.</w:t>
      </w:r>
    </w:p>
    <w:p w14:paraId="04E479B0" w14:textId="1C11E155" w:rsidR="00A876F3" w:rsidRPr="0088780C" w:rsidRDefault="00A876F3" w:rsidP="007E2F99">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8 Баймуканов М. Жданко Л.А. и др. Изучение динамики численности и комплексная оценка факторов угроз популяции каспийского тюленя // Отчет о научно-исследовательской работе (промеж</w:t>
      </w:r>
      <w:r w:rsidR="007E2F99" w:rsidRPr="0088780C">
        <w:rPr>
          <w:snapToGrid w:val="0"/>
          <w:kern w:val="22"/>
          <w:szCs w:val="22"/>
          <w:lang w:val="ru-RU"/>
        </w:rPr>
        <w:t>уточный). Алматы, 2016. – 66 с.</w:t>
      </w:r>
    </w:p>
    <w:p w14:paraId="4C1D03FE" w14:textId="77777777" w:rsidR="00A876F3" w:rsidRPr="0088780C" w:rsidRDefault="00A876F3" w:rsidP="007E2F99">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9 Баймуканова А., Жданко Л., Баймуканов Т., Баймуканов М. Сохранение лежбища каспийского тюленя (Pusa caspica) в заливе Кендирли//Материалы международной конференции Голарктика 2016. Астрахань, 2016. В печати.</w:t>
      </w:r>
    </w:p>
    <w:p w14:paraId="102F03D0" w14:textId="77777777" w:rsidR="00A876F3" w:rsidRPr="0088780C" w:rsidRDefault="00A876F3" w:rsidP="007E2F99">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10 Паспорт Государственного природного (зоологического) заказника «Адамтас» местного значения (наименование особо охраняемой природной территории)// eco.mangystau.gov.kz/media/uploads/885-5.docx</w:t>
      </w:r>
    </w:p>
    <w:p w14:paraId="76B2028C" w14:textId="77777777" w:rsidR="00A876F3" w:rsidRPr="0088780C" w:rsidRDefault="00A876F3" w:rsidP="007E2F99">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color w:val="000000"/>
          <w:kern w:val="22"/>
          <w:szCs w:val="22"/>
          <w:lang w:val="ru-RU"/>
        </w:rPr>
        <w:t>11 Dmitrieva, L., Härkönen, T., Baimukanov, M., Bignert, A., Jüssi, I., Jüssi, M., … Goodman, S. (2015). Inter-year variation in pup production of Caspian seals Pusa caspica 2005–2012 determined from aerial surveys. Endangered Species Research, 28(3), 209–223</w:t>
      </w:r>
      <w:r w:rsidRPr="0088780C">
        <w:rPr>
          <w:snapToGrid w:val="0"/>
          <w:kern w:val="22"/>
          <w:szCs w:val="22"/>
          <w:lang w:val="ru-RU"/>
        </w:rPr>
        <w:t xml:space="preserve">. </w:t>
      </w:r>
      <w:hyperlink r:id="rId258" w:history="1">
        <w:r w:rsidRPr="0088780C">
          <w:rPr>
            <w:rStyle w:val="Hyperlink"/>
            <w:snapToGrid w:val="0"/>
            <w:kern w:val="22"/>
            <w:szCs w:val="22"/>
            <w:lang w:val="ru-RU"/>
          </w:rPr>
          <w:t>https://doi.org/10.3354/esr00689</w:t>
        </w:r>
      </w:hyperlink>
    </w:p>
    <w:p w14:paraId="2618B9B6" w14:textId="77777777" w:rsidR="00A876F3" w:rsidRPr="0088780C" w:rsidRDefault="00A876F3" w:rsidP="001013AF">
      <w:pPr>
        <w:suppressLineNumbers/>
        <w:suppressAutoHyphens/>
        <w:kinsoku w:val="0"/>
        <w:overflowPunct w:val="0"/>
        <w:autoSpaceDE w:val="0"/>
        <w:autoSpaceDN w:val="0"/>
        <w:ind w:firstLine="720"/>
        <w:rPr>
          <w:snapToGrid w:val="0"/>
          <w:kern w:val="22"/>
          <w:szCs w:val="22"/>
        </w:rPr>
      </w:pPr>
      <w:r w:rsidRPr="0088780C">
        <w:rPr>
          <w:snapToGrid w:val="0"/>
          <w:kern w:val="22"/>
          <w:szCs w:val="22"/>
        </w:rPr>
        <w:br w:type="page"/>
      </w:r>
    </w:p>
    <w:p w14:paraId="1D99308B"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Maps, Figures and Tables</w:t>
      </w:r>
    </w:p>
    <w:p w14:paraId="18E80B88"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p>
    <w:p w14:paraId="190F1B61"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p>
    <w:p w14:paraId="739A09D7"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noProof/>
          <w:snapToGrid w:val="0"/>
          <w:kern w:val="22"/>
          <w:szCs w:val="22"/>
          <w:lang w:eastAsia="zh-CN"/>
        </w:rPr>
        <w:drawing>
          <wp:inline distT="0" distB="0" distL="0" distR="0" wp14:anchorId="475A0EE2" wp14:editId="64F9D834">
            <wp:extent cx="5486400" cy="4572000"/>
            <wp:effectExtent l="0" t="0" r="0" b="0"/>
            <wp:docPr id="4104" name="Picture 4104" descr="C:\Users\grekin\AppData\Local\Microsoft\Windows\Temporary Internet Files\Content.Word\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rekin\AppData\Local\Microsoft\Windows\Temporary Internet Files\Content.Word\21.png"/>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77786062" w14:textId="77777777" w:rsidR="00A876F3" w:rsidRPr="0088780C" w:rsidRDefault="00A876F3" w:rsidP="001013AF">
      <w:pPr>
        <w:suppressLineNumbers/>
        <w:suppressAutoHyphens/>
        <w:kinsoku w:val="0"/>
        <w:overflowPunct w:val="0"/>
        <w:autoSpaceDE w:val="0"/>
        <w:autoSpaceDN w:val="0"/>
        <w:rPr>
          <w:b/>
          <w:bCs/>
          <w:snapToGrid w:val="0"/>
          <w:kern w:val="22"/>
          <w:szCs w:val="22"/>
          <w:lang w:eastAsia="ru-RU"/>
        </w:rPr>
      </w:pPr>
      <w:r w:rsidRPr="0088780C">
        <w:rPr>
          <w:b/>
          <w:bCs/>
          <w:snapToGrid w:val="0"/>
          <w:kern w:val="22"/>
          <w:szCs w:val="22"/>
          <w:lang w:eastAsia="ru-RU"/>
        </w:rPr>
        <w:t>Figure 1. Area meeting the EBSA criteria</w:t>
      </w:r>
    </w:p>
    <w:p w14:paraId="6016835D" w14:textId="72C9386B" w:rsidR="00567F46" w:rsidRPr="0088780C" w:rsidRDefault="00567F46">
      <w:pPr>
        <w:jc w:val="left"/>
        <w:rPr>
          <w:b/>
          <w:bCs/>
          <w:snapToGrid w:val="0"/>
          <w:kern w:val="22"/>
          <w:szCs w:val="22"/>
          <w:lang w:eastAsia="ru-RU"/>
        </w:rPr>
      </w:pPr>
      <w:r w:rsidRPr="0088780C">
        <w:rPr>
          <w:b/>
          <w:bCs/>
          <w:snapToGrid w:val="0"/>
          <w:kern w:val="22"/>
          <w:szCs w:val="22"/>
          <w:lang w:eastAsia="ru-RU"/>
        </w:rPr>
        <w:br w:type="page"/>
      </w:r>
    </w:p>
    <w:p w14:paraId="0E5C40D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42FD39F" w14:textId="77777777" w:rsidR="00A876F3" w:rsidRPr="0088780C" w:rsidRDefault="00A876F3" w:rsidP="001013AF">
      <w:pPr>
        <w:suppressLineNumbers/>
        <w:suppressAutoHyphens/>
        <w:kinsoku w:val="0"/>
        <w:overflowPunct w:val="0"/>
        <w:autoSpaceDE w:val="0"/>
        <w:autoSpaceDN w:val="0"/>
        <w:jc w:val="center"/>
        <w:rPr>
          <w:snapToGrid w:val="0"/>
          <w:color w:val="000000"/>
          <w:kern w:val="22"/>
          <w:szCs w:val="22"/>
        </w:rPr>
      </w:pPr>
      <w:r w:rsidRPr="0088780C">
        <w:rPr>
          <w:noProof/>
          <w:snapToGrid w:val="0"/>
          <w:color w:val="000000"/>
          <w:kern w:val="22"/>
          <w:szCs w:val="22"/>
          <w:lang w:eastAsia="zh-CN"/>
        </w:rPr>
        <mc:AlternateContent>
          <mc:Choice Requires="wps">
            <w:drawing>
              <wp:anchor distT="0" distB="0" distL="114300" distR="114300" simplePos="0" relativeHeight="251667456" behindDoc="0" locked="0" layoutInCell="1" allowOverlap="1" wp14:anchorId="5FE83681" wp14:editId="6A7FD71D">
                <wp:simplePos x="0" y="0"/>
                <wp:positionH relativeFrom="column">
                  <wp:posOffset>2287905</wp:posOffset>
                </wp:positionH>
                <wp:positionV relativeFrom="paragraph">
                  <wp:posOffset>1745615</wp:posOffset>
                </wp:positionV>
                <wp:extent cx="737235" cy="361950"/>
                <wp:effectExtent l="0" t="0" r="24765" b="19050"/>
                <wp:wrapNone/>
                <wp:docPr id="4158"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7235" cy="361950"/>
                        </a:xfrm>
                        <a:prstGeom prst="ellipse">
                          <a:avLst/>
                        </a:prstGeom>
                        <a:solidFill>
                          <a:srgbClr val="FFFFFF">
                            <a:alpha val="0"/>
                          </a:srgbClr>
                        </a:solidFill>
                        <a:ln w="952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8AA1C4" id="Oval 3" o:spid="_x0000_s1026" style="position:absolute;margin-left:180.15pt;margin-top:137.45pt;width:58.05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" strokecolor="red">
                <v:fill opacity="0"/>
              </v:oval>
            </w:pict>
          </mc:Fallback>
        </mc:AlternateContent>
      </w:r>
      <w:r w:rsidRPr="0088780C">
        <w:rPr>
          <w:noProof/>
          <w:snapToGrid w:val="0"/>
          <w:color w:val="000000"/>
          <w:kern w:val="22"/>
          <w:szCs w:val="22"/>
          <w:lang w:eastAsia="zh-CN"/>
        </w:rPr>
        <w:drawing>
          <wp:inline distT="0" distB="0" distL="0" distR="0" wp14:anchorId="456C7516" wp14:editId="6CD4A900">
            <wp:extent cx="4181475" cy="4248150"/>
            <wp:effectExtent l="0" t="0" r="9525" b="0"/>
            <wp:docPr id="645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4181475" cy="4248150"/>
                    </a:xfrm>
                    <a:prstGeom prst="rect">
                      <a:avLst/>
                    </a:prstGeom>
                    <a:noFill/>
                    <a:ln>
                      <a:noFill/>
                    </a:ln>
                  </pic:spPr>
                </pic:pic>
              </a:graphicData>
            </a:graphic>
          </wp:inline>
        </w:drawing>
      </w:r>
    </w:p>
    <w:p w14:paraId="39D61CA1" w14:textId="77777777" w:rsidR="00A876F3" w:rsidRPr="0088780C" w:rsidRDefault="00A876F3" w:rsidP="001013AF">
      <w:pPr>
        <w:pStyle w:val="Caption"/>
        <w:suppressLineNumbers/>
        <w:suppressAutoHyphens/>
        <w:kinsoku w:val="0"/>
        <w:overflowPunct w:val="0"/>
        <w:autoSpaceDE w:val="0"/>
        <w:autoSpaceDN w:val="0"/>
        <w:jc w:val="center"/>
        <w:rPr>
          <w:b/>
          <w:snapToGrid w:val="0"/>
          <w:kern w:val="22"/>
          <w:szCs w:val="22"/>
        </w:rPr>
      </w:pPr>
    </w:p>
    <w:p w14:paraId="66152A39" w14:textId="77777777" w:rsidR="00A876F3" w:rsidRPr="0088780C" w:rsidRDefault="00A876F3" w:rsidP="001013AF">
      <w:pPr>
        <w:pStyle w:val="Caption"/>
        <w:suppressLineNumbers/>
        <w:suppressAutoHyphens/>
        <w:kinsoku w:val="0"/>
        <w:overflowPunct w:val="0"/>
        <w:autoSpaceDE w:val="0"/>
        <w:autoSpaceDN w:val="0"/>
        <w:jc w:val="center"/>
        <w:rPr>
          <w:b/>
          <w:bCs/>
          <w:snapToGrid w:val="0"/>
          <w:kern w:val="22"/>
          <w:szCs w:val="22"/>
          <w:u w:val="none"/>
        </w:rPr>
      </w:pPr>
      <w:r w:rsidRPr="0088780C">
        <w:rPr>
          <w:b/>
          <w:bCs/>
          <w:snapToGrid w:val="0"/>
          <w:kern w:val="22"/>
          <w:szCs w:val="22"/>
          <w:u w:val="none"/>
        </w:rPr>
        <w:t>Figure 2. Caspian seal distribution based on satellite telemetry tagging in 2011-2012</w:t>
      </w:r>
    </w:p>
    <w:p w14:paraId="5501AF76"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CB52B24"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lang w:eastAsia="ru-RU"/>
        </w:rPr>
      </w:pPr>
      <w:r w:rsidRPr="0088780C">
        <w:rPr>
          <w:rFonts w:eastAsia="MS Mincho"/>
          <w:b/>
          <w:noProof/>
          <w:snapToGrid w:val="0"/>
          <w:kern w:val="22"/>
          <w:szCs w:val="22"/>
          <w:lang w:eastAsia="zh-CN"/>
        </w:rPr>
        <w:drawing>
          <wp:inline distT="0" distB="0" distL="0" distR="0" wp14:anchorId="3564674D" wp14:editId="67DBCA04">
            <wp:extent cx="2867025" cy="1733550"/>
            <wp:effectExtent l="0" t="0" r="9525" b="0"/>
            <wp:docPr id="6451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2867025" cy="1733550"/>
                    </a:xfrm>
                    <a:prstGeom prst="rect">
                      <a:avLst/>
                    </a:prstGeom>
                    <a:noFill/>
                    <a:ln>
                      <a:noFill/>
                    </a:ln>
                  </pic:spPr>
                </pic:pic>
              </a:graphicData>
            </a:graphic>
          </wp:inline>
        </w:drawing>
      </w:r>
      <w:r w:rsidRPr="0088780C">
        <w:rPr>
          <w:rFonts w:eastAsia="MS Mincho"/>
          <w:b/>
          <w:noProof/>
          <w:snapToGrid w:val="0"/>
          <w:kern w:val="22"/>
          <w:szCs w:val="22"/>
          <w:lang w:eastAsia="zh-CN"/>
        </w:rPr>
        <w:drawing>
          <wp:inline distT="0" distB="0" distL="0" distR="0" wp14:anchorId="75E1DB82" wp14:editId="74AF052E">
            <wp:extent cx="2628900" cy="1743075"/>
            <wp:effectExtent l="0" t="0" r="0" b="9525"/>
            <wp:docPr id="64514" name="Рисунок 5" descr="Бухта кропно отме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Бухта кропно отметка"/>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2628900" cy="1743075"/>
                    </a:xfrm>
                    <a:prstGeom prst="rect">
                      <a:avLst/>
                    </a:prstGeom>
                    <a:noFill/>
                    <a:ln>
                      <a:noFill/>
                    </a:ln>
                  </pic:spPr>
                </pic:pic>
              </a:graphicData>
            </a:graphic>
          </wp:inline>
        </w:drawing>
      </w:r>
    </w:p>
    <w:p w14:paraId="0D44E5CA" w14:textId="77777777" w:rsidR="00A876F3" w:rsidRPr="0088780C" w:rsidRDefault="00A876F3" w:rsidP="001013AF">
      <w:pPr>
        <w:suppressLineNumbers/>
        <w:suppressAutoHyphens/>
        <w:kinsoku w:val="0"/>
        <w:overflowPunct w:val="0"/>
        <w:autoSpaceDE w:val="0"/>
        <w:autoSpaceDN w:val="0"/>
        <w:jc w:val="right"/>
        <w:rPr>
          <w:rFonts w:eastAsia="MS Mincho"/>
          <w:b/>
          <w:snapToGrid w:val="0"/>
          <w:kern w:val="22"/>
          <w:szCs w:val="22"/>
          <w:lang w:eastAsia="ru-RU"/>
        </w:rPr>
      </w:pPr>
    </w:p>
    <w:p w14:paraId="27302477" w14:textId="4F06E404"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b/>
          <w:snapToGrid w:val="0"/>
          <w:kern w:val="22"/>
          <w:szCs w:val="22"/>
        </w:rPr>
        <w:t xml:space="preserve">Figure 3. Location of the bay and islands in the </w:t>
      </w:r>
      <w:r w:rsidR="00C656A2" w:rsidRPr="0088780C">
        <w:rPr>
          <w:b/>
          <w:snapToGrid w:val="0"/>
          <w:kern w:val="22"/>
          <w:szCs w:val="22"/>
        </w:rPr>
        <w:t>north-west</w:t>
      </w:r>
      <w:r w:rsidRPr="0088780C">
        <w:rPr>
          <w:b/>
          <w:snapToGrid w:val="0"/>
          <w:kern w:val="22"/>
          <w:szCs w:val="22"/>
        </w:rPr>
        <w:t>ern extremity of the Kendirli spit</w:t>
      </w:r>
    </w:p>
    <w:p w14:paraId="7CF3B7E7" w14:textId="38D13876" w:rsidR="00567F46" w:rsidRPr="0088780C" w:rsidRDefault="00567F46">
      <w:pPr>
        <w:jc w:val="left"/>
        <w:rPr>
          <w:snapToGrid w:val="0"/>
          <w:kern w:val="22"/>
          <w:szCs w:val="22"/>
        </w:rPr>
      </w:pPr>
      <w:r w:rsidRPr="0088780C">
        <w:rPr>
          <w:snapToGrid w:val="0"/>
          <w:kern w:val="22"/>
          <w:szCs w:val="22"/>
        </w:rPr>
        <w:br w:type="page"/>
      </w:r>
    </w:p>
    <w:p w14:paraId="4D6FE5E0" w14:textId="77777777" w:rsidR="00A876F3" w:rsidRPr="0088780C" w:rsidRDefault="00A876F3" w:rsidP="00567F46">
      <w:pPr>
        <w:suppressLineNumbers/>
        <w:suppressAutoHyphens/>
        <w:kinsoku w:val="0"/>
        <w:overflowPunct w:val="0"/>
        <w:autoSpaceDE w:val="0"/>
        <w:autoSpaceDN w:val="0"/>
        <w:jc w:val="left"/>
        <w:rPr>
          <w:snapToGrid w:val="0"/>
          <w:kern w:val="22"/>
          <w:szCs w:val="22"/>
        </w:rPr>
      </w:pPr>
    </w:p>
    <w:p w14:paraId="2CE30E7B"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rPr>
      </w:pPr>
      <w:r w:rsidRPr="0088780C">
        <w:rPr>
          <w:rFonts w:eastAsia="MS Mincho"/>
          <w:noProof/>
          <w:snapToGrid w:val="0"/>
          <w:kern w:val="22"/>
          <w:szCs w:val="22"/>
          <w:lang w:eastAsia="zh-CN"/>
        </w:rPr>
        <w:drawing>
          <wp:inline distT="0" distB="0" distL="0" distR="0" wp14:anchorId="7966B8C2" wp14:editId="74CADED6">
            <wp:extent cx="5086350" cy="1924050"/>
            <wp:effectExtent l="0" t="0" r="0" b="0"/>
            <wp:docPr id="64515" name="Рисунок 7" descr="IMG_6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IMG_6582"/>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5086350" cy="1924050"/>
                    </a:xfrm>
                    <a:prstGeom prst="rect">
                      <a:avLst/>
                    </a:prstGeom>
                    <a:noFill/>
                    <a:ln>
                      <a:noFill/>
                    </a:ln>
                  </pic:spPr>
                </pic:pic>
              </a:graphicData>
            </a:graphic>
          </wp:inline>
        </w:drawing>
      </w:r>
    </w:p>
    <w:p w14:paraId="1DAF5E60"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lang w:eastAsia="ru-RU"/>
        </w:rPr>
      </w:pPr>
    </w:p>
    <w:p w14:paraId="6BC44C9C" w14:textId="77777777" w:rsidR="00A876F3" w:rsidRPr="0088780C" w:rsidRDefault="00A876F3" w:rsidP="001013AF">
      <w:pPr>
        <w:suppressLineNumbers/>
        <w:suppressAutoHyphens/>
        <w:kinsoku w:val="0"/>
        <w:overflowPunct w:val="0"/>
        <w:autoSpaceDE w:val="0"/>
        <w:autoSpaceDN w:val="0"/>
        <w:jc w:val="center"/>
        <w:rPr>
          <w:rStyle w:val="shorttext"/>
          <w:b/>
          <w:snapToGrid w:val="0"/>
          <w:kern w:val="22"/>
          <w:szCs w:val="22"/>
        </w:rPr>
      </w:pPr>
      <w:r w:rsidRPr="0088780C">
        <w:rPr>
          <w:rStyle w:val="shorttext"/>
          <w:b/>
          <w:snapToGrid w:val="0"/>
          <w:kern w:val="22"/>
          <w:szCs w:val="22"/>
        </w:rPr>
        <w:t>Figure 4. Seal entangled in a fishing net</w:t>
      </w:r>
    </w:p>
    <w:p w14:paraId="64BBDE4D" w14:textId="77777777" w:rsidR="00A876F3" w:rsidRPr="0088780C" w:rsidRDefault="00A876F3" w:rsidP="001013AF">
      <w:pPr>
        <w:suppressLineNumbers/>
        <w:suppressAutoHyphens/>
        <w:kinsoku w:val="0"/>
        <w:overflowPunct w:val="0"/>
        <w:autoSpaceDE w:val="0"/>
        <w:autoSpaceDN w:val="0"/>
        <w:jc w:val="center"/>
        <w:rPr>
          <w:rStyle w:val="shorttext"/>
          <w:snapToGrid w:val="0"/>
          <w:kern w:val="22"/>
          <w:szCs w:val="22"/>
        </w:rPr>
      </w:pPr>
    </w:p>
    <w:p w14:paraId="0209953C" w14:textId="77777777" w:rsidR="00A876F3" w:rsidRPr="0088780C" w:rsidRDefault="00A876F3" w:rsidP="001013AF">
      <w:pPr>
        <w:suppressLineNumbers/>
        <w:suppressAutoHyphens/>
        <w:kinsoku w:val="0"/>
        <w:overflowPunct w:val="0"/>
        <w:autoSpaceDE w:val="0"/>
        <w:autoSpaceDN w:val="0"/>
        <w:jc w:val="center"/>
        <w:rPr>
          <w:rStyle w:val="shorttext"/>
          <w:snapToGrid w:val="0"/>
          <w:kern w:val="22"/>
          <w:szCs w:val="22"/>
        </w:rPr>
      </w:pPr>
      <w:r w:rsidRPr="0088780C">
        <w:rPr>
          <w:rFonts w:eastAsia="MS Mincho"/>
          <w:b/>
          <w:noProof/>
          <w:snapToGrid w:val="0"/>
          <w:kern w:val="22"/>
          <w:szCs w:val="22"/>
          <w:lang w:eastAsia="zh-CN"/>
        </w:rPr>
        <w:drawing>
          <wp:inline distT="0" distB="0" distL="0" distR="0" wp14:anchorId="25D3BB65" wp14:editId="46C8CAB6">
            <wp:extent cx="4019550" cy="3019425"/>
            <wp:effectExtent l="0" t="0" r="0" b="9525"/>
            <wp:docPr id="4105" name="Рисунок 1200665388" descr="DJI_0031 ном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0665388" descr="DJI_0031 номера"/>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4019550" cy="3019425"/>
                    </a:xfrm>
                    <a:prstGeom prst="rect">
                      <a:avLst/>
                    </a:prstGeom>
                    <a:noFill/>
                    <a:ln>
                      <a:noFill/>
                    </a:ln>
                  </pic:spPr>
                </pic:pic>
              </a:graphicData>
            </a:graphic>
          </wp:inline>
        </w:drawing>
      </w:r>
    </w:p>
    <w:p w14:paraId="44AEC323" w14:textId="77777777" w:rsidR="00A876F3" w:rsidRPr="0088780C" w:rsidRDefault="00A876F3" w:rsidP="001013AF">
      <w:pPr>
        <w:suppressLineNumbers/>
        <w:suppressAutoHyphens/>
        <w:kinsoku w:val="0"/>
        <w:overflowPunct w:val="0"/>
        <w:autoSpaceDE w:val="0"/>
        <w:autoSpaceDN w:val="0"/>
        <w:jc w:val="center"/>
        <w:rPr>
          <w:rStyle w:val="shorttext"/>
          <w:snapToGrid w:val="0"/>
          <w:kern w:val="22"/>
          <w:szCs w:val="22"/>
        </w:rPr>
      </w:pPr>
    </w:p>
    <w:p w14:paraId="7F80F339"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b/>
          <w:snapToGrid w:val="0"/>
          <w:kern w:val="22"/>
          <w:szCs w:val="22"/>
        </w:rPr>
        <w:t>Figure 5.</w:t>
      </w:r>
      <w:r w:rsidRPr="0088780C">
        <w:rPr>
          <w:snapToGrid w:val="0"/>
          <w:kern w:val="22"/>
          <w:szCs w:val="22"/>
        </w:rPr>
        <w:t xml:space="preserve"> Seals congregating on the islands at the tip of the Kendirli spit (04.10.16)</w:t>
      </w:r>
    </w:p>
    <w:p w14:paraId="10FFDCED" w14:textId="77777777"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lang w:eastAsia="ru-RU"/>
        </w:rPr>
      </w:pPr>
    </w:p>
    <w:p w14:paraId="42CB3675" w14:textId="77777777" w:rsidR="00A876F3" w:rsidRPr="0088780C" w:rsidRDefault="00A876F3" w:rsidP="00567F46">
      <w:pPr>
        <w:keepNext/>
        <w:suppressLineNumbers/>
        <w:suppressAutoHyphens/>
        <w:kinsoku w:val="0"/>
        <w:overflowPunct w:val="0"/>
        <w:autoSpaceDE w:val="0"/>
        <w:autoSpaceDN w:val="0"/>
        <w:spacing w:after="60"/>
        <w:rPr>
          <w:b/>
          <w:bCs/>
          <w:snapToGrid w:val="0"/>
          <w:kern w:val="22"/>
          <w:szCs w:val="22"/>
        </w:rPr>
      </w:pPr>
      <w:r w:rsidRPr="0088780C">
        <w:rPr>
          <w:b/>
          <w:bCs/>
          <w:snapToGrid w:val="0"/>
          <w:kern w:val="22"/>
          <w:szCs w:val="22"/>
        </w:rPr>
        <w:t>Table 1. Number of Caspian seals at the Kendirli rookery (spring, summer 2016)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3956"/>
        <w:gridCol w:w="4804"/>
      </w:tblGrid>
      <w:tr w:rsidR="00A876F3" w:rsidRPr="0088780C" w14:paraId="271FB485" w14:textId="77777777" w:rsidTr="00567F46">
        <w:tc>
          <w:tcPr>
            <w:tcW w:w="566" w:type="dxa"/>
          </w:tcPr>
          <w:p w14:paraId="37943EBD" w14:textId="77777777" w:rsidR="00A876F3" w:rsidRPr="0088780C" w:rsidRDefault="00A876F3" w:rsidP="001013AF">
            <w:pPr>
              <w:suppressLineNumbers/>
              <w:suppressAutoHyphens/>
              <w:kinsoku w:val="0"/>
              <w:overflowPunct w:val="0"/>
              <w:autoSpaceDE w:val="0"/>
              <w:autoSpaceDN w:val="0"/>
              <w:jc w:val="center"/>
              <w:rPr>
                <w:b/>
                <w:snapToGrid w:val="0"/>
                <w:kern w:val="22"/>
                <w:szCs w:val="22"/>
              </w:rPr>
            </w:pPr>
            <w:r w:rsidRPr="0088780C">
              <w:rPr>
                <w:b/>
                <w:snapToGrid w:val="0"/>
                <w:kern w:val="22"/>
                <w:szCs w:val="22"/>
              </w:rPr>
              <w:t>№</w:t>
            </w:r>
          </w:p>
        </w:tc>
        <w:tc>
          <w:tcPr>
            <w:tcW w:w="3956" w:type="dxa"/>
            <w:tcBorders>
              <w:left w:val="single" w:sz="4" w:space="0" w:color="auto"/>
            </w:tcBorders>
          </w:tcPr>
          <w:p w14:paraId="4D37B891" w14:textId="77777777" w:rsidR="00A876F3" w:rsidRPr="0088780C" w:rsidRDefault="00A876F3" w:rsidP="001013AF">
            <w:pPr>
              <w:suppressLineNumbers/>
              <w:suppressAutoHyphens/>
              <w:kinsoku w:val="0"/>
              <w:overflowPunct w:val="0"/>
              <w:autoSpaceDE w:val="0"/>
              <w:autoSpaceDN w:val="0"/>
              <w:jc w:val="center"/>
              <w:rPr>
                <w:b/>
                <w:snapToGrid w:val="0"/>
                <w:kern w:val="22"/>
                <w:szCs w:val="22"/>
              </w:rPr>
            </w:pPr>
            <w:r w:rsidRPr="0088780C">
              <w:rPr>
                <w:b/>
                <w:snapToGrid w:val="0"/>
                <w:kern w:val="22"/>
                <w:szCs w:val="22"/>
              </w:rPr>
              <w:t>Data</w:t>
            </w:r>
          </w:p>
        </w:tc>
        <w:tc>
          <w:tcPr>
            <w:tcW w:w="4804" w:type="dxa"/>
            <w:tcBorders>
              <w:right w:val="single" w:sz="4" w:space="0" w:color="auto"/>
            </w:tcBorders>
          </w:tcPr>
          <w:p w14:paraId="6DB07FB2" w14:textId="77777777" w:rsidR="00A876F3" w:rsidRPr="0088780C" w:rsidRDefault="00A876F3" w:rsidP="001013AF">
            <w:pPr>
              <w:suppressLineNumbers/>
              <w:suppressAutoHyphens/>
              <w:kinsoku w:val="0"/>
              <w:overflowPunct w:val="0"/>
              <w:autoSpaceDE w:val="0"/>
              <w:autoSpaceDN w:val="0"/>
              <w:jc w:val="center"/>
              <w:rPr>
                <w:b/>
                <w:snapToGrid w:val="0"/>
                <w:kern w:val="22"/>
                <w:szCs w:val="22"/>
              </w:rPr>
            </w:pPr>
            <w:r w:rsidRPr="0088780C">
              <w:rPr>
                <w:rStyle w:val="shorttext"/>
                <w:b/>
                <w:snapToGrid w:val="0"/>
                <w:kern w:val="22"/>
                <w:szCs w:val="22"/>
              </w:rPr>
              <w:t>Number of seals (specimens)</w:t>
            </w:r>
          </w:p>
        </w:tc>
      </w:tr>
      <w:tr w:rsidR="00A876F3" w:rsidRPr="0088780C" w14:paraId="2BF4E3AA" w14:textId="77777777" w:rsidTr="00567F46">
        <w:tc>
          <w:tcPr>
            <w:tcW w:w="566" w:type="dxa"/>
          </w:tcPr>
          <w:p w14:paraId="065D18AE"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w:t>
            </w:r>
          </w:p>
        </w:tc>
        <w:tc>
          <w:tcPr>
            <w:tcW w:w="3956" w:type="dxa"/>
            <w:tcBorders>
              <w:left w:val="single" w:sz="4" w:space="0" w:color="auto"/>
            </w:tcBorders>
          </w:tcPr>
          <w:p w14:paraId="3C886DD4"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11.05.2016</w:t>
            </w:r>
          </w:p>
        </w:tc>
        <w:tc>
          <w:tcPr>
            <w:tcW w:w="4804" w:type="dxa"/>
            <w:tcBorders>
              <w:right w:val="single" w:sz="4" w:space="0" w:color="auto"/>
            </w:tcBorders>
          </w:tcPr>
          <w:p w14:paraId="58EA34B5"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11</w:t>
            </w:r>
          </w:p>
        </w:tc>
      </w:tr>
      <w:tr w:rsidR="00A876F3" w:rsidRPr="0088780C" w14:paraId="604F446B" w14:textId="77777777" w:rsidTr="00567F46">
        <w:tc>
          <w:tcPr>
            <w:tcW w:w="566" w:type="dxa"/>
          </w:tcPr>
          <w:p w14:paraId="6CCEB76A"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w:t>
            </w:r>
          </w:p>
        </w:tc>
        <w:tc>
          <w:tcPr>
            <w:tcW w:w="3956" w:type="dxa"/>
            <w:tcBorders>
              <w:left w:val="single" w:sz="4" w:space="0" w:color="auto"/>
            </w:tcBorders>
          </w:tcPr>
          <w:p w14:paraId="515F425C"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13.05.2016</w:t>
            </w:r>
          </w:p>
        </w:tc>
        <w:tc>
          <w:tcPr>
            <w:tcW w:w="4804" w:type="dxa"/>
            <w:tcBorders>
              <w:right w:val="single" w:sz="4" w:space="0" w:color="auto"/>
            </w:tcBorders>
          </w:tcPr>
          <w:p w14:paraId="4E81B024"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21</w:t>
            </w:r>
          </w:p>
        </w:tc>
      </w:tr>
      <w:tr w:rsidR="00A876F3" w:rsidRPr="0088780C" w14:paraId="660B9C74" w14:textId="77777777" w:rsidTr="00567F46">
        <w:tc>
          <w:tcPr>
            <w:tcW w:w="566" w:type="dxa"/>
          </w:tcPr>
          <w:p w14:paraId="5C00B9ED"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3</w:t>
            </w:r>
          </w:p>
        </w:tc>
        <w:tc>
          <w:tcPr>
            <w:tcW w:w="3956" w:type="dxa"/>
            <w:tcBorders>
              <w:left w:val="single" w:sz="4" w:space="0" w:color="auto"/>
            </w:tcBorders>
          </w:tcPr>
          <w:p w14:paraId="22E99902"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28.08.2016</w:t>
            </w:r>
          </w:p>
        </w:tc>
        <w:tc>
          <w:tcPr>
            <w:tcW w:w="4804" w:type="dxa"/>
            <w:tcBorders>
              <w:right w:val="single" w:sz="4" w:space="0" w:color="auto"/>
            </w:tcBorders>
          </w:tcPr>
          <w:p w14:paraId="769FA862"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28</w:t>
            </w:r>
          </w:p>
        </w:tc>
      </w:tr>
      <w:tr w:rsidR="00A876F3" w:rsidRPr="0088780C" w14:paraId="6ADECE99" w14:textId="77777777" w:rsidTr="00567F46">
        <w:tc>
          <w:tcPr>
            <w:tcW w:w="566" w:type="dxa"/>
          </w:tcPr>
          <w:p w14:paraId="667DFADC"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4</w:t>
            </w:r>
          </w:p>
        </w:tc>
        <w:tc>
          <w:tcPr>
            <w:tcW w:w="3956" w:type="dxa"/>
            <w:tcBorders>
              <w:left w:val="single" w:sz="4" w:space="0" w:color="auto"/>
            </w:tcBorders>
          </w:tcPr>
          <w:p w14:paraId="0A0DB945"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30.08.2016</w:t>
            </w:r>
          </w:p>
        </w:tc>
        <w:tc>
          <w:tcPr>
            <w:tcW w:w="4804" w:type="dxa"/>
            <w:tcBorders>
              <w:right w:val="single" w:sz="4" w:space="0" w:color="auto"/>
            </w:tcBorders>
          </w:tcPr>
          <w:p w14:paraId="4B893C65"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43</w:t>
            </w:r>
          </w:p>
        </w:tc>
      </w:tr>
    </w:tbl>
    <w:p w14:paraId="00A8B09B"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28BE8DF" w14:textId="77777777" w:rsidR="00A876F3" w:rsidRPr="0088780C" w:rsidRDefault="00A876F3" w:rsidP="00567F46">
      <w:pPr>
        <w:keepNext/>
        <w:suppressLineNumbers/>
        <w:suppressAutoHyphens/>
        <w:kinsoku w:val="0"/>
        <w:overflowPunct w:val="0"/>
        <w:autoSpaceDE w:val="0"/>
        <w:autoSpaceDN w:val="0"/>
        <w:spacing w:after="60"/>
        <w:rPr>
          <w:b/>
          <w:bCs/>
          <w:snapToGrid w:val="0"/>
          <w:kern w:val="22"/>
          <w:szCs w:val="22"/>
        </w:rPr>
      </w:pPr>
      <w:r w:rsidRPr="0088780C">
        <w:rPr>
          <w:b/>
          <w:bCs/>
          <w:snapToGrid w:val="0"/>
          <w:kern w:val="22"/>
          <w:szCs w:val="22"/>
        </w:rPr>
        <w:t>Table 2. Average daily dynamics of the Caspian seal population from 03.10.2016 to 12.10.16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3579"/>
        <w:gridCol w:w="1093"/>
      </w:tblGrid>
      <w:tr w:rsidR="00A876F3" w:rsidRPr="0088780C" w14:paraId="0D720AAF" w14:textId="77777777" w:rsidTr="006972AD">
        <w:trPr>
          <w:jc w:val="center"/>
        </w:trPr>
        <w:tc>
          <w:tcPr>
            <w:tcW w:w="2336" w:type="dxa"/>
          </w:tcPr>
          <w:p w14:paraId="2C71A68E" w14:textId="77777777" w:rsidR="00A876F3" w:rsidRPr="0088780C" w:rsidRDefault="00A876F3" w:rsidP="001013AF">
            <w:pPr>
              <w:suppressLineNumbers/>
              <w:suppressAutoHyphens/>
              <w:kinsoku w:val="0"/>
              <w:overflowPunct w:val="0"/>
              <w:autoSpaceDE w:val="0"/>
              <w:autoSpaceDN w:val="0"/>
              <w:jc w:val="center"/>
              <w:rPr>
                <w:b/>
                <w:snapToGrid w:val="0"/>
                <w:kern w:val="22"/>
                <w:szCs w:val="22"/>
              </w:rPr>
            </w:pPr>
            <w:r w:rsidRPr="0088780C">
              <w:rPr>
                <w:b/>
                <w:snapToGrid w:val="0"/>
                <w:kern w:val="22"/>
                <w:szCs w:val="22"/>
              </w:rPr>
              <w:t>Period</w:t>
            </w:r>
          </w:p>
        </w:tc>
        <w:tc>
          <w:tcPr>
            <w:tcW w:w="3579" w:type="dxa"/>
          </w:tcPr>
          <w:p w14:paraId="1F0F57FA" w14:textId="77777777" w:rsidR="00A876F3" w:rsidRPr="0088780C" w:rsidRDefault="00A876F3" w:rsidP="001013AF">
            <w:pPr>
              <w:suppressLineNumbers/>
              <w:suppressAutoHyphens/>
              <w:kinsoku w:val="0"/>
              <w:overflowPunct w:val="0"/>
              <w:autoSpaceDE w:val="0"/>
              <w:autoSpaceDN w:val="0"/>
              <w:jc w:val="center"/>
              <w:rPr>
                <w:b/>
                <w:snapToGrid w:val="0"/>
                <w:kern w:val="22"/>
                <w:szCs w:val="22"/>
              </w:rPr>
            </w:pPr>
            <w:r w:rsidRPr="0088780C">
              <w:rPr>
                <w:rStyle w:val="shorttext"/>
                <w:b/>
                <w:snapToGrid w:val="0"/>
                <w:kern w:val="22"/>
                <w:szCs w:val="22"/>
              </w:rPr>
              <w:t>The average number of observed seals (specimens)</w:t>
            </w:r>
          </w:p>
        </w:tc>
        <w:tc>
          <w:tcPr>
            <w:tcW w:w="1093" w:type="dxa"/>
          </w:tcPr>
          <w:p w14:paraId="2AAEC2C0" w14:textId="77777777" w:rsidR="00A876F3" w:rsidRPr="0088780C" w:rsidRDefault="00A876F3" w:rsidP="001013AF">
            <w:pPr>
              <w:suppressLineNumbers/>
              <w:suppressAutoHyphens/>
              <w:kinsoku w:val="0"/>
              <w:overflowPunct w:val="0"/>
              <w:autoSpaceDE w:val="0"/>
              <w:autoSpaceDN w:val="0"/>
              <w:jc w:val="center"/>
              <w:rPr>
                <w:b/>
                <w:snapToGrid w:val="0"/>
                <w:kern w:val="22"/>
                <w:szCs w:val="22"/>
              </w:rPr>
            </w:pPr>
            <w:r w:rsidRPr="0088780C">
              <w:rPr>
                <w:b/>
                <w:snapToGrid w:val="0"/>
                <w:kern w:val="22"/>
                <w:szCs w:val="22"/>
              </w:rPr>
              <w:t>%</w:t>
            </w:r>
          </w:p>
        </w:tc>
      </w:tr>
      <w:tr w:rsidR="00A876F3" w:rsidRPr="0088780C" w14:paraId="0225495E" w14:textId="77777777" w:rsidTr="006972AD">
        <w:trPr>
          <w:jc w:val="center"/>
        </w:trPr>
        <w:tc>
          <w:tcPr>
            <w:tcW w:w="2336" w:type="dxa"/>
          </w:tcPr>
          <w:p w14:paraId="6B108143"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Morning</w:t>
            </w:r>
          </w:p>
        </w:tc>
        <w:tc>
          <w:tcPr>
            <w:tcW w:w="3579" w:type="dxa"/>
          </w:tcPr>
          <w:p w14:paraId="733BCF30"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339</w:t>
            </w:r>
          </w:p>
        </w:tc>
        <w:tc>
          <w:tcPr>
            <w:tcW w:w="1093" w:type="dxa"/>
          </w:tcPr>
          <w:p w14:paraId="58885B59"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52,4</w:t>
            </w:r>
          </w:p>
        </w:tc>
      </w:tr>
      <w:tr w:rsidR="00A876F3" w:rsidRPr="0088780C" w14:paraId="018C781B" w14:textId="77777777" w:rsidTr="006972AD">
        <w:trPr>
          <w:jc w:val="center"/>
        </w:trPr>
        <w:tc>
          <w:tcPr>
            <w:tcW w:w="2336" w:type="dxa"/>
          </w:tcPr>
          <w:p w14:paraId="6B7C3B11"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Noon</w:t>
            </w:r>
          </w:p>
        </w:tc>
        <w:tc>
          <w:tcPr>
            <w:tcW w:w="3579" w:type="dxa"/>
          </w:tcPr>
          <w:p w14:paraId="17F2E38E"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153</w:t>
            </w:r>
          </w:p>
        </w:tc>
        <w:tc>
          <w:tcPr>
            <w:tcW w:w="1093" w:type="dxa"/>
          </w:tcPr>
          <w:p w14:paraId="5C108A0A"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23,6</w:t>
            </w:r>
          </w:p>
        </w:tc>
      </w:tr>
      <w:tr w:rsidR="00A876F3" w:rsidRPr="0088780C" w14:paraId="44C5FE0F" w14:textId="77777777" w:rsidTr="006972AD">
        <w:trPr>
          <w:jc w:val="center"/>
        </w:trPr>
        <w:tc>
          <w:tcPr>
            <w:tcW w:w="2336" w:type="dxa"/>
          </w:tcPr>
          <w:p w14:paraId="04E84874"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Evening</w:t>
            </w:r>
          </w:p>
        </w:tc>
        <w:tc>
          <w:tcPr>
            <w:tcW w:w="3579" w:type="dxa"/>
          </w:tcPr>
          <w:p w14:paraId="5E3036CC"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155</w:t>
            </w:r>
          </w:p>
        </w:tc>
        <w:tc>
          <w:tcPr>
            <w:tcW w:w="1093" w:type="dxa"/>
          </w:tcPr>
          <w:p w14:paraId="7AB31F55" w14:textId="77777777" w:rsidR="00A876F3" w:rsidRPr="0088780C" w:rsidRDefault="00A876F3" w:rsidP="001013AF">
            <w:pPr>
              <w:suppressLineNumbers/>
              <w:suppressAutoHyphens/>
              <w:kinsoku w:val="0"/>
              <w:overflowPunct w:val="0"/>
              <w:autoSpaceDE w:val="0"/>
              <w:autoSpaceDN w:val="0"/>
              <w:jc w:val="center"/>
              <w:rPr>
                <w:snapToGrid w:val="0"/>
                <w:kern w:val="22"/>
                <w:szCs w:val="22"/>
              </w:rPr>
            </w:pPr>
            <w:r w:rsidRPr="0088780C">
              <w:rPr>
                <w:snapToGrid w:val="0"/>
                <w:kern w:val="22"/>
                <w:szCs w:val="22"/>
              </w:rPr>
              <w:t>24</w:t>
            </w:r>
          </w:p>
        </w:tc>
      </w:tr>
    </w:tbl>
    <w:p w14:paraId="4231DB9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0DC339C2" w14:textId="56665946"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22: Karabogazgol Strait</w:t>
      </w:r>
    </w:p>
    <w:p w14:paraId="158B7689" w14:textId="77777777" w:rsidR="00A876F3" w:rsidRPr="0088780C" w:rsidRDefault="00A876F3" w:rsidP="001013AF">
      <w:pPr>
        <w:suppressLineNumbers/>
        <w:shd w:val="clear" w:color="auto" w:fill="FFFFFF"/>
        <w:suppressAutoHyphens/>
        <w:kinsoku w:val="0"/>
        <w:overflowPunct w:val="0"/>
        <w:autoSpaceDE w:val="0"/>
        <w:autoSpaceDN w:val="0"/>
        <w:adjustRightInd w:val="0"/>
        <w:rPr>
          <w:rFonts w:eastAsia="MS Mincho"/>
          <w:b/>
          <w:snapToGrid w:val="0"/>
          <w:kern w:val="22"/>
          <w:szCs w:val="22"/>
        </w:rPr>
      </w:pPr>
    </w:p>
    <w:p w14:paraId="224F1BF2" w14:textId="77777777" w:rsidR="00A876F3" w:rsidRPr="0088780C" w:rsidRDefault="00A876F3" w:rsidP="001013AF">
      <w:pPr>
        <w:suppressLineNumbers/>
        <w:shd w:val="clear" w:color="auto" w:fill="FFFFFF"/>
        <w:suppressAutoHyphens/>
        <w:kinsoku w:val="0"/>
        <w:overflowPunct w:val="0"/>
        <w:autoSpaceDE w:val="0"/>
        <w:autoSpaceDN w:val="0"/>
        <w:adjustRightInd w:val="0"/>
        <w:rPr>
          <w:rFonts w:eastAsia="MS Mincho"/>
          <w:b/>
          <w:snapToGrid w:val="0"/>
          <w:kern w:val="22"/>
          <w:szCs w:val="22"/>
        </w:rPr>
      </w:pPr>
      <w:r w:rsidRPr="0088780C">
        <w:rPr>
          <w:rFonts w:eastAsia="MS Mincho"/>
          <w:b/>
          <w:snapToGrid w:val="0"/>
          <w:kern w:val="22"/>
          <w:szCs w:val="22"/>
        </w:rPr>
        <w:t>Abstract</w:t>
      </w:r>
    </w:p>
    <w:p w14:paraId="4FEFD2E7" w14:textId="77777777" w:rsidR="00A876F3" w:rsidRPr="0088780C" w:rsidRDefault="00A876F3" w:rsidP="001013AF">
      <w:pPr>
        <w:suppressLineNumbers/>
        <w:suppressAutoHyphens/>
        <w:kinsoku w:val="0"/>
        <w:overflowPunct w:val="0"/>
        <w:autoSpaceDE w:val="0"/>
        <w:autoSpaceDN w:val="0"/>
        <w:adjustRightInd w:val="0"/>
        <w:rPr>
          <w:rFonts w:eastAsia="MinionPro-Regular"/>
          <w:snapToGrid w:val="0"/>
          <w:color w:val="231F20"/>
          <w:kern w:val="22"/>
          <w:szCs w:val="22"/>
        </w:rPr>
      </w:pPr>
      <w:r w:rsidRPr="0088780C">
        <w:rPr>
          <w:rFonts w:eastAsia="MS Mincho"/>
          <w:snapToGrid w:val="0"/>
          <w:kern w:val="22"/>
          <w:szCs w:val="22"/>
        </w:rPr>
        <w:t xml:space="preserve">The Karabogazgol Strait connects the Caspian Sea with the Karabogazgol Gulf. The area forms a unique natural hydro-geological complex. There are no rivers that drain into the lagoon. This hydrological system is heavily influenced by the dynamics of the Caspian Sea. All components of the system are very dynamic, and their parameters are defined by sea-level dynamics. </w:t>
      </w:r>
      <w:r w:rsidRPr="0088780C">
        <w:rPr>
          <w:snapToGrid w:val="0"/>
          <w:kern w:val="22"/>
          <w:szCs w:val="22"/>
        </w:rPr>
        <w:t xml:space="preserve">All biodiversity in the broader area is concentrated mainly in the strait, including bacteria, lower </w:t>
      </w:r>
      <w:r w:rsidRPr="0088780C">
        <w:rPr>
          <w:rFonts w:eastAsia="MS Mincho"/>
          <w:snapToGrid w:val="0"/>
          <w:kern w:val="22"/>
          <w:szCs w:val="22"/>
        </w:rPr>
        <w:t>plants, invertebrates, birds (the majority of which are migrant species). Some species of fish and birds present in the area are included in the Red Book of Turkmenistan</w:t>
      </w:r>
      <w:r w:rsidRPr="0088780C">
        <w:rPr>
          <w:snapToGrid w:val="0"/>
          <w:color w:val="000000"/>
          <w:kern w:val="22"/>
          <w:szCs w:val="22"/>
          <w:shd w:val="clear" w:color="auto" w:fill="FFFFFF"/>
        </w:rPr>
        <w:t>.</w:t>
      </w:r>
    </w:p>
    <w:p w14:paraId="3E7AC66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71A392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Introduction</w:t>
      </w:r>
    </w:p>
    <w:p w14:paraId="140E8D6B" w14:textId="1501F2D9"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The Karabogazgol Gulf is a natural saltwater lagoon (surface area up to 18,000 km</w:t>
      </w:r>
      <w:r w:rsidRPr="0088780C">
        <w:rPr>
          <w:snapToGrid w:val="0"/>
          <w:kern w:val="22"/>
          <w:szCs w:val="22"/>
          <w:vertAlign w:val="superscript"/>
        </w:rPr>
        <w:t>2</w:t>
      </w:r>
      <w:r w:rsidRPr="0088780C">
        <w:rPr>
          <w:snapToGrid w:val="0"/>
          <w:kern w:val="22"/>
          <w:szCs w:val="22"/>
        </w:rPr>
        <w:t>, with a volume of 130 km</w:t>
      </w:r>
      <w:r w:rsidRPr="0088780C">
        <w:rPr>
          <w:snapToGrid w:val="0"/>
          <w:kern w:val="22"/>
          <w:szCs w:val="22"/>
          <w:vertAlign w:val="superscript"/>
        </w:rPr>
        <w:t>3</w:t>
      </w:r>
      <w:r w:rsidRPr="0088780C">
        <w:rPr>
          <w:snapToGrid w:val="0"/>
          <w:kern w:val="22"/>
          <w:szCs w:val="22"/>
        </w:rPr>
        <w:t xml:space="preserve"> and depth of 10 m), the size of which depends on the levels of the Caspian Sea. It is a unique geological, hydrological and ecological natural site with appropriate biodiversity and extremely high concentration of mineral salts. </w:t>
      </w:r>
      <w:r w:rsidRPr="0088780C">
        <w:rPr>
          <w:rFonts w:eastAsia="MS Mincho"/>
          <w:snapToGrid w:val="0"/>
          <w:kern w:val="22"/>
          <w:szCs w:val="22"/>
        </w:rPr>
        <w:t xml:space="preserve">The largest saltwater Gulf in the world is connected to the Caspian Sea by the </w:t>
      </w:r>
      <w:r w:rsidRPr="0088780C">
        <w:rPr>
          <w:snapToGrid w:val="0"/>
          <w:kern w:val="22"/>
          <w:szCs w:val="22"/>
        </w:rPr>
        <w:t>Karabogazgol</w:t>
      </w:r>
      <w:r w:rsidR="00510FE1" w:rsidRPr="0088780C">
        <w:rPr>
          <w:rFonts w:eastAsia="MS Mincho"/>
          <w:snapToGrid w:val="0"/>
          <w:kern w:val="22"/>
          <w:szCs w:val="22"/>
        </w:rPr>
        <w:t xml:space="preserve"> Strait, a passage </w:t>
      </w:r>
      <w:r w:rsidRPr="0088780C">
        <w:rPr>
          <w:rFonts w:eastAsia="MS Mincho"/>
          <w:snapToGrid w:val="0"/>
          <w:kern w:val="22"/>
          <w:szCs w:val="22"/>
        </w:rPr>
        <w:t>with a width of  400-800 m, length</w:t>
      </w:r>
      <w:r w:rsidRPr="0088780C">
        <w:rPr>
          <w:snapToGrid w:val="0"/>
          <w:kern w:val="22"/>
          <w:szCs w:val="22"/>
        </w:rPr>
        <w:t xml:space="preserve"> 7-9 km,</w:t>
      </w:r>
      <w:r w:rsidRPr="0088780C">
        <w:rPr>
          <w:rFonts w:eastAsia="MS Mincho"/>
          <w:snapToGrid w:val="0"/>
          <w:kern w:val="22"/>
          <w:szCs w:val="22"/>
        </w:rPr>
        <w:t xml:space="preserve"> depth 3-5 m and </w:t>
      </w:r>
      <w:r w:rsidRPr="0088780C">
        <w:rPr>
          <w:snapToGrid w:val="0"/>
          <w:kern w:val="22"/>
          <w:szCs w:val="22"/>
        </w:rPr>
        <w:t>total area of 4108 km</w:t>
      </w:r>
      <w:r w:rsidRPr="0088780C">
        <w:rPr>
          <w:snapToGrid w:val="0"/>
          <w:kern w:val="22"/>
          <w:szCs w:val="22"/>
          <w:vertAlign w:val="superscript"/>
        </w:rPr>
        <w:t>2</w:t>
      </w:r>
      <w:r w:rsidRPr="0088780C">
        <w:rPr>
          <w:snapToGrid w:val="0"/>
          <w:kern w:val="22"/>
          <w:szCs w:val="22"/>
        </w:rPr>
        <w:t>.</w:t>
      </w:r>
      <w:r w:rsidRPr="0088780C">
        <w:rPr>
          <w:rFonts w:eastAsia="MS Mincho"/>
          <w:snapToGrid w:val="0"/>
          <w:kern w:val="22"/>
          <w:szCs w:val="22"/>
        </w:rPr>
        <w:t xml:space="preserve"> A c</w:t>
      </w:r>
      <w:r w:rsidRPr="0088780C">
        <w:rPr>
          <w:snapToGrid w:val="0"/>
          <w:kern w:val="22"/>
          <w:szCs w:val="22"/>
        </w:rPr>
        <w:t>onstant current from the sea, with a speed of 0.5 to 1.0 m/sec, is observed in the strait (</w:t>
      </w:r>
      <w:r w:rsidRPr="0088780C">
        <w:rPr>
          <w:rFonts w:eastAsia="MS Mincho"/>
          <w:snapToGrid w:val="0"/>
          <w:kern w:val="22"/>
          <w:szCs w:val="22"/>
        </w:rPr>
        <w:t>Гюль, 1956; Дерягин, 19</w:t>
      </w:r>
      <w:r w:rsidR="00510FE1" w:rsidRPr="0088780C">
        <w:rPr>
          <w:rFonts w:eastAsia="MS Mincho"/>
          <w:snapToGrid w:val="0"/>
          <w:kern w:val="22"/>
          <w:szCs w:val="22"/>
        </w:rPr>
        <w:t>77; Касымов, 1987; Зонн, 2004).</w:t>
      </w:r>
    </w:p>
    <w:p w14:paraId="0D5400F7"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6AB5B4F5" w14:textId="2F5727BB" w:rsidR="00A876F3" w:rsidRPr="0088780C" w:rsidRDefault="00A876F3" w:rsidP="001013AF">
      <w:pPr>
        <w:suppressLineNumbers/>
        <w:suppressAutoHyphens/>
        <w:kinsoku w:val="0"/>
        <w:overflowPunct w:val="0"/>
        <w:autoSpaceDE w:val="0"/>
        <w:autoSpaceDN w:val="0"/>
        <w:adjustRightInd w:val="0"/>
        <w:rPr>
          <w:rFonts w:eastAsia="MinionPro-Regular"/>
          <w:snapToGrid w:val="0"/>
          <w:color w:val="231F20"/>
          <w:kern w:val="22"/>
          <w:szCs w:val="22"/>
        </w:rPr>
      </w:pPr>
      <w:r w:rsidRPr="0088780C">
        <w:rPr>
          <w:snapToGrid w:val="0"/>
          <w:kern w:val="22"/>
          <w:szCs w:val="22"/>
        </w:rPr>
        <w:t xml:space="preserve">All biodiversity in the area is mainly concentrated in the strait, including bacteria and some species of seaweed. Its biodiversity includes </w:t>
      </w:r>
      <w:r w:rsidRPr="0088780C">
        <w:rPr>
          <w:rFonts w:eastAsia="MS Mincho"/>
          <w:snapToGrid w:val="0"/>
          <w:kern w:val="22"/>
          <w:szCs w:val="22"/>
        </w:rPr>
        <w:t xml:space="preserve">plants, invertebrates and birds, the majority of which are </w:t>
      </w:r>
      <w:r w:rsidRPr="0088780C">
        <w:rPr>
          <w:snapToGrid w:val="0"/>
          <w:kern w:val="22"/>
          <w:szCs w:val="22"/>
        </w:rPr>
        <w:t>migrants (Рустамов, Щербина, 2009). Some</w:t>
      </w:r>
      <w:r w:rsidRPr="0088780C">
        <w:rPr>
          <w:rFonts w:eastAsia="MS Mincho"/>
          <w:snapToGrid w:val="0"/>
          <w:kern w:val="22"/>
          <w:szCs w:val="22"/>
        </w:rPr>
        <w:t xml:space="preserve"> species are listed in the Red Data Book of Turkmenistan </w:t>
      </w:r>
      <w:r w:rsidRPr="0088780C">
        <w:rPr>
          <w:snapToGrid w:val="0"/>
          <w:color w:val="000000"/>
          <w:kern w:val="22"/>
          <w:szCs w:val="22"/>
          <w:shd w:val="clear" w:color="auto" w:fill="FFFFFF"/>
        </w:rPr>
        <w:t xml:space="preserve">(2011): </w:t>
      </w:r>
      <w:r w:rsidRPr="0088780C">
        <w:rPr>
          <w:rFonts w:eastAsia="MinionPro-SemiboldIt"/>
          <w:i/>
          <w:iCs/>
          <w:snapToGrid w:val="0"/>
          <w:color w:val="231F20"/>
          <w:kern w:val="22"/>
          <w:szCs w:val="22"/>
        </w:rPr>
        <w:t>Caspiomyzon wagneri</w:t>
      </w:r>
      <w:r w:rsidRPr="0088780C">
        <w:rPr>
          <w:rFonts w:eastAsia="MinionPro-Regular"/>
          <w:snapToGrid w:val="0"/>
          <w:color w:val="231F20"/>
          <w:kern w:val="22"/>
          <w:szCs w:val="22"/>
        </w:rPr>
        <w:t xml:space="preserve">, </w:t>
      </w:r>
      <w:r w:rsidRPr="0088780C">
        <w:rPr>
          <w:rFonts w:eastAsia="MinionPro-SemiboldIt"/>
          <w:i/>
          <w:iCs/>
          <w:snapToGrid w:val="0"/>
          <w:color w:val="231F20"/>
          <w:kern w:val="22"/>
          <w:szCs w:val="22"/>
        </w:rPr>
        <w:t xml:space="preserve">Acipenser nudiventris, </w:t>
      </w:r>
      <w:r w:rsidRPr="0088780C">
        <w:rPr>
          <w:rFonts w:eastAsia="MinionPro-Regular"/>
          <w:snapToGrid w:val="0"/>
          <w:color w:val="231F20"/>
          <w:kern w:val="22"/>
          <w:szCs w:val="22"/>
        </w:rPr>
        <w:t xml:space="preserve">(critically endangered), </w:t>
      </w:r>
      <w:r w:rsidRPr="0088780C">
        <w:rPr>
          <w:rFonts w:eastAsia="MinionPro-SemiboldIt"/>
          <w:i/>
          <w:iCs/>
          <w:snapToGrid w:val="0"/>
          <w:color w:val="231F20"/>
          <w:kern w:val="22"/>
          <w:szCs w:val="22"/>
        </w:rPr>
        <w:t>Alosa kessleri volgensis</w:t>
      </w:r>
      <w:r w:rsidRPr="0088780C">
        <w:rPr>
          <w:rFonts w:eastAsia="MinionPro-Regular"/>
          <w:snapToGrid w:val="0"/>
          <w:color w:val="231F20"/>
          <w:kern w:val="22"/>
          <w:szCs w:val="22"/>
        </w:rPr>
        <w:t xml:space="preserve"> (endangered), </w:t>
      </w:r>
      <w:r w:rsidRPr="0088780C">
        <w:rPr>
          <w:rFonts w:eastAsia="MinionPro-SemiboldIt"/>
          <w:i/>
          <w:iCs/>
          <w:snapToGrid w:val="0"/>
          <w:color w:val="231F20"/>
          <w:kern w:val="22"/>
          <w:szCs w:val="22"/>
        </w:rPr>
        <w:t>Salmo trutta caspius</w:t>
      </w:r>
      <w:r w:rsidRPr="0088780C">
        <w:rPr>
          <w:rFonts w:eastAsia="MinionPro-Regular"/>
          <w:snapToGrid w:val="0"/>
          <w:color w:val="231F20"/>
          <w:kern w:val="22"/>
          <w:szCs w:val="22"/>
        </w:rPr>
        <w:t xml:space="preserve"> (vulnerable), </w:t>
      </w:r>
      <w:r w:rsidRPr="0088780C">
        <w:rPr>
          <w:rFonts w:eastAsia="MinionPro-SemiboldIt"/>
          <w:i/>
          <w:iCs/>
          <w:snapToGrid w:val="0"/>
          <w:color w:val="231F20"/>
          <w:kern w:val="22"/>
          <w:szCs w:val="22"/>
        </w:rPr>
        <w:t>Stenodus leucichthys leucichthys</w:t>
      </w:r>
      <w:r w:rsidR="00510FE1" w:rsidRPr="0088780C">
        <w:rPr>
          <w:rFonts w:eastAsia="MinionPro-Regular"/>
          <w:snapToGrid w:val="0"/>
          <w:color w:val="231F20"/>
          <w:kern w:val="22"/>
          <w:szCs w:val="22"/>
        </w:rPr>
        <w:t xml:space="preserve"> (vulnerable).</w:t>
      </w:r>
    </w:p>
    <w:p w14:paraId="57EC01CE" w14:textId="77777777" w:rsidR="00A876F3" w:rsidRPr="0088780C" w:rsidRDefault="00A876F3" w:rsidP="001013AF">
      <w:pPr>
        <w:suppressLineNumbers/>
        <w:suppressAutoHyphens/>
        <w:kinsoku w:val="0"/>
        <w:overflowPunct w:val="0"/>
        <w:autoSpaceDE w:val="0"/>
        <w:autoSpaceDN w:val="0"/>
        <w:adjustRightInd w:val="0"/>
        <w:rPr>
          <w:rFonts w:eastAsia="MinionPro-Regular"/>
          <w:snapToGrid w:val="0"/>
          <w:color w:val="231F20"/>
          <w:kern w:val="22"/>
          <w:szCs w:val="22"/>
        </w:rPr>
      </w:pPr>
    </w:p>
    <w:p w14:paraId="140E1DC5" w14:textId="258728EA"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In line with the declining sea level of the Caspian Sea, all systems in the area are in a transition state towards reduction in the overflow of seawater, as is the area of the gulf, and the width and depth of the strait (Крас</w:t>
      </w:r>
      <w:r w:rsidR="00510FE1" w:rsidRPr="0088780C">
        <w:rPr>
          <w:rFonts w:eastAsia="MS Mincho"/>
          <w:snapToGrid w:val="0"/>
          <w:kern w:val="22"/>
          <w:szCs w:val="22"/>
        </w:rPr>
        <w:t>ная книга Туркменистана, 2011).</w:t>
      </w:r>
    </w:p>
    <w:p w14:paraId="7C98D18D"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0DABF6E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Location</w:t>
      </w:r>
    </w:p>
    <w:p w14:paraId="192BA5F5" w14:textId="0BA78730" w:rsidR="00A876F3" w:rsidRPr="0088780C" w:rsidRDefault="00A876F3" w:rsidP="001013AF">
      <w:pPr>
        <w:pStyle w:val="p1"/>
        <w:suppressLineNumbers/>
        <w:suppressAutoHyphens/>
        <w:kinsoku w:val="0"/>
        <w:overflowPunct w:val="0"/>
        <w:autoSpaceDE w:val="0"/>
        <w:autoSpaceDN w:val="0"/>
        <w:jc w:val="both"/>
        <w:rPr>
          <w:rFonts w:ascii="Times New Roman" w:eastAsia="MS Mincho" w:hAnsi="Times New Roman"/>
          <w:snapToGrid w:val="0"/>
          <w:kern w:val="22"/>
          <w:sz w:val="22"/>
          <w:szCs w:val="22"/>
          <w:lang w:val="en-GB"/>
        </w:rPr>
      </w:pPr>
      <w:r w:rsidRPr="0088780C">
        <w:rPr>
          <w:rFonts w:ascii="Times New Roman" w:eastAsia="MS Mincho" w:hAnsi="Times New Roman"/>
          <w:snapToGrid w:val="0"/>
          <w:kern w:val="22"/>
          <w:sz w:val="22"/>
          <w:szCs w:val="22"/>
          <w:lang w:val="en-GB"/>
        </w:rPr>
        <w:t>The Kara-Bogaz-Gol Strait is located in the eastern Caspian Sea, between the Caspian Sea and the Kara-Bogas-Gol Gulf. This area measures 4,108 km</w:t>
      </w:r>
      <w:r w:rsidRPr="0088780C">
        <w:rPr>
          <w:rFonts w:ascii="Times New Roman" w:eastAsia="MS Mincho" w:hAnsi="Times New Roman"/>
          <w:snapToGrid w:val="0"/>
          <w:kern w:val="22"/>
          <w:sz w:val="22"/>
          <w:szCs w:val="22"/>
          <w:vertAlign w:val="superscript"/>
          <w:lang w:val="en-GB"/>
        </w:rPr>
        <w:t>2</w:t>
      </w:r>
      <w:r w:rsidRPr="0088780C">
        <w:rPr>
          <w:rFonts w:ascii="Times New Roman" w:eastAsia="MS Mincho" w:hAnsi="Times New Roman"/>
          <w:snapToGrid w:val="0"/>
          <w:kern w:val="22"/>
          <w:sz w:val="22"/>
          <w:szCs w:val="22"/>
          <w:lang w:val="en-GB"/>
        </w:rPr>
        <w:t>, with its ce</w:t>
      </w:r>
      <w:r w:rsidR="00510FE1" w:rsidRPr="0088780C">
        <w:rPr>
          <w:rFonts w:ascii="Times New Roman" w:eastAsia="MS Mincho" w:hAnsi="Times New Roman"/>
          <w:snapToGrid w:val="0"/>
          <w:kern w:val="22"/>
          <w:sz w:val="22"/>
          <w:szCs w:val="22"/>
          <w:lang w:val="en-GB"/>
        </w:rPr>
        <w:t>ntre at 41.093621N, 52.915339E.</w:t>
      </w:r>
    </w:p>
    <w:p w14:paraId="3A8A57A9"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6851B5F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21BE1707" w14:textId="74E5A51F" w:rsidR="00A876F3" w:rsidRPr="0088780C" w:rsidRDefault="00A876F3" w:rsidP="001013AF">
      <w:pPr>
        <w:suppressLineNumbers/>
        <w:suppressAutoHyphens/>
        <w:kinsoku w:val="0"/>
        <w:overflowPunct w:val="0"/>
        <w:autoSpaceDE w:val="0"/>
        <w:autoSpaceDN w:val="0"/>
        <w:adjustRightInd w:val="0"/>
        <w:rPr>
          <w:rFonts w:eastAsia="MS Mincho"/>
          <w:snapToGrid w:val="0"/>
          <w:spacing w:val="-2"/>
          <w:kern w:val="22"/>
          <w:szCs w:val="22"/>
        </w:rPr>
      </w:pPr>
      <w:r w:rsidRPr="0088780C">
        <w:rPr>
          <w:rFonts w:eastAsia="MS Mincho"/>
          <w:snapToGrid w:val="0"/>
          <w:spacing w:val="-2"/>
          <w:kern w:val="22"/>
          <w:szCs w:val="22"/>
        </w:rPr>
        <w:t>The area is dependent on sea-level changes and high rates of evaporation, which change considerably, both annually and seasonally. The salinity of the sea water of the gulf can reach 330-380 ‰ and causes the formation of salts (Na</w:t>
      </w:r>
      <w:r w:rsidRPr="0088780C">
        <w:rPr>
          <w:rFonts w:eastAsia="MS Mincho"/>
          <w:snapToGrid w:val="0"/>
          <w:spacing w:val="-2"/>
          <w:kern w:val="22"/>
          <w:szCs w:val="22"/>
          <w:vertAlign w:val="subscript"/>
        </w:rPr>
        <w:t>2</w:t>
      </w:r>
      <w:r w:rsidRPr="0088780C">
        <w:rPr>
          <w:rFonts w:eastAsia="MS Mincho"/>
          <w:snapToGrid w:val="0"/>
          <w:spacing w:val="-2"/>
          <w:kern w:val="22"/>
          <w:szCs w:val="22"/>
        </w:rPr>
        <w:t xml:space="preserve"> SO</w:t>
      </w:r>
      <w:r w:rsidRPr="0088780C">
        <w:rPr>
          <w:rFonts w:eastAsia="MS Mincho"/>
          <w:snapToGrid w:val="0"/>
          <w:spacing w:val="-2"/>
          <w:kern w:val="22"/>
          <w:szCs w:val="22"/>
          <w:vertAlign w:val="subscript"/>
        </w:rPr>
        <w:t>4</w:t>
      </w:r>
      <w:r w:rsidRPr="0088780C">
        <w:rPr>
          <w:rFonts w:eastAsia="MS Mincho"/>
          <w:snapToGrid w:val="0"/>
          <w:spacing w:val="-2"/>
          <w:kern w:val="22"/>
          <w:szCs w:val="22"/>
        </w:rPr>
        <w:t>). The gulf exerts a considerable impact on the water and salt balance of the Caspian Sea. Each cubic km of sea water brings to the gulf 13-15 million tonnes of various salts. When the water level is low level 5-7 km</w:t>
      </w:r>
      <w:r w:rsidRPr="0088780C">
        <w:rPr>
          <w:rFonts w:eastAsia="MS Mincho"/>
          <w:snapToGrid w:val="0"/>
          <w:spacing w:val="-2"/>
          <w:kern w:val="22"/>
          <w:szCs w:val="22"/>
          <w:vertAlign w:val="superscript"/>
        </w:rPr>
        <w:t xml:space="preserve">3 </w:t>
      </w:r>
      <w:r w:rsidRPr="0088780C">
        <w:rPr>
          <w:rFonts w:eastAsia="MS Mincho"/>
          <w:snapToGrid w:val="0"/>
          <w:spacing w:val="-2"/>
          <w:kern w:val="22"/>
          <w:szCs w:val="22"/>
        </w:rPr>
        <w:t>arrive annually, while up to 25 km</w:t>
      </w:r>
      <w:r w:rsidRPr="0088780C">
        <w:rPr>
          <w:rFonts w:eastAsia="MS Mincho"/>
          <w:snapToGrid w:val="0"/>
          <w:spacing w:val="-2"/>
          <w:kern w:val="22"/>
          <w:szCs w:val="22"/>
          <w:vertAlign w:val="superscript"/>
        </w:rPr>
        <w:t>3</w:t>
      </w:r>
      <w:r w:rsidRPr="0088780C">
        <w:rPr>
          <w:rFonts w:eastAsia="MS Mincho"/>
          <w:snapToGrid w:val="0"/>
          <w:spacing w:val="-2"/>
          <w:kern w:val="22"/>
          <w:szCs w:val="22"/>
        </w:rPr>
        <w:t xml:space="preserve"> can be transported when the water level is high. Ill-advised experiments with closing the gulf changed the salt structure and destroyed its unique natural, ecological and aesthetic value </w:t>
      </w:r>
      <w:r w:rsidRPr="0088780C">
        <w:rPr>
          <w:snapToGrid w:val="0"/>
          <w:spacing w:val="-2"/>
          <w:kern w:val="22"/>
          <w:szCs w:val="22"/>
        </w:rPr>
        <w:t>(</w:t>
      </w:r>
      <w:r w:rsidRPr="0088780C">
        <w:rPr>
          <w:rFonts w:eastAsia="MS Mincho"/>
          <w:snapToGrid w:val="0"/>
          <w:spacing w:val="-2"/>
          <w:kern w:val="22"/>
          <w:szCs w:val="22"/>
        </w:rPr>
        <w:t>Гюль, 1956; Дерягин, 19</w:t>
      </w:r>
      <w:r w:rsidR="00510FE1" w:rsidRPr="0088780C">
        <w:rPr>
          <w:rFonts w:eastAsia="MS Mincho"/>
          <w:snapToGrid w:val="0"/>
          <w:spacing w:val="-2"/>
          <w:kern w:val="22"/>
          <w:szCs w:val="22"/>
        </w:rPr>
        <w:t>77; Касымов, 1987; Зонн, 2004).</w:t>
      </w:r>
    </w:p>
    <w:p w14:paraId="148622A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p w14:paraId="78EC934B"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 xml:space="preserve">In Kara-Bogaz-Gol Strait, there are silt and silt-sandy phyto-benthos: about 30 species of seaweeds: green (Ulvophyceae or Chlorophyta), brown (Phaeophyceae or Ochrophyta), red (Rhodóphyta), which is rarer, and mainly, littoral seaweed-macrophytos. Zoobenthos is represented by hearts (Polychaeta), for example, </w:t>
      </w:r>
      <w:r w:rsidRPr="0088780C">
        <w:rPr>
          <w:rFonts w:eastAsia="MS Mincho"/>
          <w:i/>
          <w:snapToGrid w:val="0"/>
          <w:kern w:val="22"/>
          <w:szCs w:val="22"/>
        </w:rPr>
        <w:t>Nereis diversicolo</w:t>
      </w:r>
      <w:r w:rsidRPr="0088780C">
        <w:rPr>
          <w:rFonts w:eastAsia="MS Mincho"/>
          <w:snapToGrid w:val="0"/>
          <w:kern w:val="22"/>
          <w:szCs w:val="22"/>
        </w:rPr>
        <w:t xml:space="preserve">; and mollusks (Mollusca), for example, </w:t>
      </w:r>
      <w:r w:rsidRPr="0088780C">
        <w:rPr>
          <w:rFonts w:eastAsia="MS Mincho"/>
          <w:i/>
          <w:snapToGrid w:val="0"/>
          <w:kern w:val="22"/>
          <w:szCs w:val="22"/>
        </w:rPr>
        <w:t>Abra ovata</w:t>
      </w:r>
      <w:r w:rsidRPr="0088780C">
        <w:rPr>
          <w:rFonts w:eastAsia="MS Mincho"/>
          <w:snapToGrid w:val="0"/>
          <w:kern w:val="22"/>
          <w:szCs w:val="22"/>
        </w:rPr>
        <w:t>.</w:t>
      </w:r>
    </w:p>
    <w:p w14:paraId="26DBA5A6"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536E9F74" w14:textId="7E83D532" w:rsidR="00A876F3" w:rsidRPr="0088780C" w:rsidRDefault="00A876F3" w:rsidP="001013AF">
      <w:pPr>
        <w:suppressLineNumbers/>
        <w:suppressAutoHyphens/>
        <w:kinsoku w:val="0"/>
        <w:overflowPunct w:val="0"/>
        <w:autoSpaceDE w:val="0"/>
        <w:autoSpaceDN w:val="0"/>
        <w:adjustRightInd w:val="0"/>
        <w:rPr>
          <w:rFonts w:eastAsia="MS Mincho"/>
          <w:snapToGrid w:val="0"/>
          <w:spacing w:val="-4"/>
          <w:kern w:val="22"/>
          <w:szCs w:val="22"/>
        </w:rPr>
      </w:pPr>
      <w:r w:rsidRPr="0088780C">
        <w:rPr>
          <w:rFonts w:eastAsia="MS Mincho"/>
          <w:snapToGrid w:val="0"/>
          <w:spacing w:val="-4"/>
          <w:kern w:val="22"/>
          <w:szCs w:val="22"/>
        </w:rPr>
        <w:t xml:space="preserve">In some places, such as on submerged bridge piles, gas pipelines and electro pipelines, there are concentrations of shrimps, </w:t>
      </w:r>
      <w:r w:rsidRPr="0088780C">
        <w:rPr>
          <w:rFonts w:eastAsia="MS Mincho"/>
          <w:i/>
          <w:snapToGrid w:val="0"/>
          <w:spacing w:val="-4"/>
          <w:kern w:val="22"/>
          <w:szCs w:val="22"/>
        </w:rPr>
        <w:t>Palaemon elegans</w:t>
      </w:r>
      <w:r w:rsidRPr="0088780C">
        <w:rPr>
          <w:rFonts w:eastAsia="MS Mincho"/>
          <w:snapToGrid w:val="0"/>
          <w:spacing w:val="-4"/>
          <w:kern w:val="22"/>
          <w:szCs w:val="22"/>
        </w:rPr>
        <w:t xml:space="preserve"> and </w:t>
      </w:r>
      <w:r w:rsidRPr="0088780C">
        <w:rPr>
          <w:rFonts w:eastAsia="MS Mincho"/>
          <w:i/>
          <w:snapToGrid w:val="0"/>
          <w:spacing w:val="-4"/>
          <w:kern w:val="22"/>
          <w:szCs w:val="22"/>
        </w:rPr>
        <w:t>P. adspersus</w:t>
      </w:r>
      <w:r w:rsidRPr="0088780C">
        <w:rPr>
          <w:rFonts w:eastAsia="MS Mincho"/>
          <w:snapToGrid w:val="0"/>
          <w:spacing w:val="-4"/>
          <w:kern w:val="22"/>
          <w:szCs w:val="22"/>
        </w:rPr>
        <w:t xml:space="preserve">, Amphipoda, for example, Niphargoides (Pontogammarus) maeoticus and other crustacea, including </w:t>
      </w:r>
      <w:r w:rsidRPr="0088780C">
        <w:rPr>
          <w:rFonts w:eastAsia="MS Mincho"/>
          <w:i/>
          <w:snapToGrid w:val="0"/>
          <w:spacing w:val="-4"/>
          <w:kern w:val="22"/>
          <w:szCs w:val="22"/>
        </w:rPr>
        <w:t>Rhithropanopeus harrissii</w:t>
      </w:r>
      <w:r w:rsidRPr="0088780C">
        <w:rPr>
          <w:rFonts w:eastAsia="MS Mincho"/>
          <w:snapToGrid w:val="0"/>
          <w:spacing w:val="-4"/>
          <w:kern w:val="22"/>
          <w:szCs w:val="22"/>
        </w:rPr>
        <w:t xml:space="preserve"> (</w:t>
      </w:r>
      <w:r w:rsidRPr="0088780C">
        <w:rPr>
          <w:rFonts w:eastAsia="MS Mincho"/>
          <w:bCs/>
          <w:snapToGrid w:val="0"/>
          <w:color w:val="000000"/>
          <w:spacing w:val="-4"/>
          <w:kern w:val="22"/>
          <w:szCs w:val="22"/>
        </w:rPr>
        <w:t>Бирштейн и др., 1968)</w:t>
      </w:r>
      <w:r w:rsidR="00510FE1" w:rsidRPr="0088780C">
        <w:rPr>
          <w:rFonts w:eastAsia="MS Mincho"/>
          <w:snapToGrid w:val="0"/>
          <w:spacing w:val="-4"/>
          <w:kern w:val="22"/>
          <w:szCs w:val="22"/>
        </w:rPr>
        <w:t>.</w:t>
      </w:r>
    </w:p>
    <w:p w14:paraId="55E8104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42C5B6FB"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Earlier these species were found on a stony ridge of natural origin and in a pool of the former water falls which since 1980, i.e. after a platinum construction, has been submerged, and its population structure is unknown. This picture is particularly unclear because of the catastrophic invasion of comb jellyfish (</w:t>
      </w:r>
      <w:r w:rsidRPr="0088780C">
        <w:rPr>
          <w:rFonts w:eastAsia="MS Mincho"/>
          <w:i/>
          <w:snapToGrid w:val="0"/>
          <w:kern w:val="22"/>
          <w:szCs w:val="22"/>
        </w:rPr>
        <w:t>Mnemiopsis leidyi)</w:t>
      </w:r>
      <w:r w:rsidRPr="0088780C">
        <w:rPr>
          <w:rFonts w:eastAsia="MS Mincho"/>
          <w:snapToGrid w:val="0"/>
          <w:kern w:val="22"/>
          <w:szCs w:val="22"/>
        </w:rPr>
        <w:t xml:space="preserve"> across the Caspian Sea over the last 25 years.</w:t>
      </w:r>
    </w:p>
    <w:p w14:paraId="36099BB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29A6AD58" w14:textId="290C2DF2" w:rsidR="00A876F3" w:rsidRPr="0088780C" w:rsidRDefault="00A876F3" w:rsidP="00DA3423">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In the gulf and strait there are 87 specific and intraspecific seaweed taxa belonging to five phyla: Bacillariophyta (62 taxa), Cyanophyta (12 taxa), Chlorophyta (5 taxa), Dinophyta (7 taxa) and Chrysophyta (1 taxa). Benthos comprises 45,9 % of the total number of taxa, while plankton comprises 39,8 % and periphyton (overcover) comprise 14,3 %. The prevalence of nonplanktonic species in the gulf is related to depth. The phytoplancton structure of Karabogasgol Gulf is derived primarily from Caspian taxa, which comprise 83,2 % of the total number. The majority of taxa is neritic, and only an insignificant proport</w:t>
      </w:r>
      <w:r w:rsidR="00DA3423" w:rsidRPr="0088780C">
        <w:rPr>
          <w:rFonts w:eastAsia="MS Mincho"/>
          <w:snapToGrid w:val="0"/>
          <w:kern w:val="22"/>
          <w:szCs w:val="22"/>
        </w:rPr>
        <w:t>ion of the plankton is pelagic.</w:t>
      </w:r>
    </w:p>
    <w:p w14:paraId="534B7122" w14:textId="77777777" w:rsidR="00DA3423" w:rsidRPr="0088780C" w:rsidRDefault="00DA3423" w:rsidP="00DA3423">
      <w:pPr>
        <w:suppressLineNumbers/>
        <w:suppressAutoHyphens/>
        <w:kinsoku w:val="0"/>
        <w:overflowPunct w:val="0"/>
        <w:autoSpaceDE w:val="0"/>
        <w:autoSpaceDN w:val="0"/>
        <w:rPr>
          <w:rFonts w:eastAsia="MS Mincho"/>
          <w:b/>
          <w:snapToGrid w:val="0"/>
          <w:kern w:val="22"/>
          <w:szCs w:val="22"/>
        </w:rPr>
      </w:pPr>
    </w:p>
    <w:p w14:paraId="7A54CCD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2243B6C4" w14:textId="031F419D"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 xml:space="preserve">The particular hydrological, hydrochemical and ecological characteristics that characterize the gulf are reflected in the structure of its algoflora: phytoplankton and phytobentos. The efficiency of its phytoplankton has crucial importance for end production: increased efficiency results in increased biomass of </w:t>
      </w:r>
      <w:r w:rsidRPr="0088780C">
        <w:rPr>
          <w:rFonts w:eastAsia="MS Mincho"/>
          <w:i/>
          <w:snapToGrid w:val="0"/>
          <w:kern w:val="22"/>
          <w:szCs w:val="22"/>
        </w:rPr>
        <w:t>Artemia salina</w:t>
      </w:r>
      <w:r w:rsidRPr="0088780C">
        <w:rPr>
          <w:rFonts w:eastAsia="MS Mincho"/>
          <w:snapToGrid w:val="0"/>
          <w:kern w:val="22"/>
          <w:szCs w:val="22"/>
        </w:rPr>
        <w:t xml:space="preserve">. At a  minimal level of efficiency, </w:t>
      </w:r>
      <w:r w:rsidRPr="0088780C">
        <w:rPr>
          <w:rFonts w:eastAsia="MS Mincho"/>
          <w:i/>
          <w:snapToGrid w:val="0"/>
          <w:kern w:val="22"/>
          <w:szCs w:val="22"/>
        </w:rPr>
        <w:t>Artemia salina</w:t>
      </w:r>
      <w:r w:rsidRPr="0088780C">
        <w:rPr>
          <w:rFonts w:eastAsia="MS Mincho"/>
          <w:snapToGrid w:val="0"/>
          <w:kern w:val="22"/>
          <w:szCs w:val="22"/>
        </w:rPr>
        <w:t xml:space="preserve"> flow downstream with the current b</w:t>
      </w:r>
      <w:r w:rsidR="00DA3423" w:rsidRPr="0088780C">
        <w:rPr>
          <w:rFonts w:eastAsia="MS Mincho"/>
          <w:snapToGrid w:val="0"/>
          <w:kern w:val="22"/>
          <w:szCs w:val="22"/>
        </w:rPr>
        <w:t xml:space="preserve">ut do not leave the zone where </w:t>
      </w:r>
      <w:r w:rsidRPr="0088780C">
        <w:rPr>
          <w:rFonts w:eastAsia="MS Mincho"/>
          <w:snapToGrid w:val="0"/>
          <w:kern w:val="22"/>
          <w:szCs w:val="22"/>
        </w:rPr>
        <w:t>saltwater and brine mix, and have formed in the mouth of the strait a steady biocenoses , especially in a pool under fall (Булатов, 2002).</w:t>
      </w:r>
    </w:p>
    <w:p w14:paraId="1AC7428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694F761A" w14:textId="11519DCF"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In wel</w:t>
      </w:r>
      <w:r w:rsidR="00DA3423" w:rsidRPr="0088780C">
        <w:rPr>
          <w:rFonts w:eastAsia="MS Mincho"/>
          <w:snapToGrid w:val="0"/>
          <w:kern w:val="22"/>
          <w:szCs w:val="22"/>
        </w:rPr>
        <w:t xml:space="preserve">l-aerated and organically rich </w:t>
      </w:r>
      <w:r w:rsidRPr="0088780C">
        <w:rPr>
          <w:rFonts w:eastAsia="MS Mincho"/>
          <w:snapToGrid w:val="0"/>
          <w:kern w:val="22"/>
          <w:szCs w:val="22"/>
        </w:rPr>
        <w:t xml:space="preserve">water, an abundance of periphyton of green, brown and red seaweed develops on stones, attracting Crustacea (especially shrimps </w:t>
      </w:r>
      <w:r w:rsidRPr="0088780C">
        <w:rPr>
          <w:rFonts w:eastAsia="MS Mincho"/>
          <w:i/>
          <w:snapToGrid w:val="0"/>
          <w:kern w:val="22"/>
          <w:szCs w:val="22"/>
        </w:rPr>
        <w:t>Palaemon elegans</w:t>
      </w:r>
      <w:r w:rsidRPr="0088780C">
        <w:rPr>
          <w:rFonts w:eastAsia="MS Mincho"/>
          <w:snapToGrid w:val="0"/>
          <w:kern w:val="22"/>
          <w:szCs w:val="22"/>
        </w:rPr>
        <w:t xml:space="preserve"> and </w:t>
      </w:r>
      <w:r w:rsidRPr="0088780C">
        <w:rPr>
          <w:rFonts w:eastAsia="MS Mincho"/>
          <w:i/>
          <w:snapToGrid w:val="0"/>
          <w:kern w:val="22"/>
          <w:szCs w:val="22"/>
        </w:rPr>
        <w:t>P. adspersus</w:t>
      </w:r>
      <w:r w:rsidRPr="0088780C">
        <w:rPr>
          <w:rFonts w:eastAsia="MS Mincho"/>
          <w:snapToGrid w:val="0"/>
          <w:kern w:val="22"/>
          <w:szCs w:val="22"/>
        </w:rPr>
        <w:t xml:space="preserve"> and </w:t>
      </w:r>
      <w:r w:rsidRPr="0088780C">
        <w:rPr>
          <w:rFonts w:eastAsia="MS Mincho"/>
          <w:i/>
          <w:snapToGrid w:val="0"/>
          <w:kern w:val="22"/>
          <w:szCs w:val="22"/>
        </w:rPr>
        <w:t>Niphargoides (Pontogammarus) maeoticus</w:t>
      </w:r>
      <w:r w:rsidRPr="0088780C">
        <w:rPr>
          <w:rFonts w:eastAsia="MS Mincho"/>
          <w:snapToGrid w:val="0"/>
          <w:kern w:val="22"/>
          <w:szCs w:val="22"/>
        </w:rPr>
        <w:t>), the fish that eat them and masses</w:t>
      </w:r>
      <w:r w:rsidR="00DA3423" w:rsidRPr="0088780C">
        <w:rPr>
          <w:rFonts w:eastAsia="MS Mincho"/>
          <w:snapToGrid w:val="0"/>
          <w:kern w:val="22"/>
          <w:szCs w:val="22"/>
        </w:rPr>
        <w:t xml:space="preserve"> of birds, especially seagulls.</w:t>
      </w:r>
    </w:p>
    <w:p w14:paraId="2872AD7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5275AF42" w14:textId="68ADEF6F"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Fish that flow down from the waterfall can only live in the delta; they do not survive  in the brine. In the delta there are alluvial sandy islands, and to the </w:t>
      </w:r>
      <w:r w:rsidR="00C656A2" w:rsidRPr="0088780C">
        <w:rPr>
          <w:rFonts w:eastAsia="MS Mincho"/>
          <w:snapToGrid w:val="0"/>
          <w:kern w:val="22"/>
          <w:szCs w:val="22"/>
        </w:rPr>
        <w:t>north-west</w:t>
      </w:r>
      <w:r w:rsidRPr="0088780C">
        <w:rPr>
          <w:rFonts w:eastAsia="MS Mincho"/>
          <w:snapToGrid w:val="0"/>
          <w:kern w:val="22"/>
          <w:szCs w:val="22"/>
        </w:rPr>
        <w:t xml:space="preserve"> of them the water is briny, and the area is home to nesting colonies of rare black-headed Pallas’s gull (</w:t>
      </w:r>
      <w:r w:rsidRPr="0088780C">
        <w:rPr>
          <w:rFonts w:eastAsia="MS Mincho"/>
          <w:i/>
          <w:snapToGrid w:val="0"/>
          <w:kern w:val="22"/>
          <w:szCs w:val="22"/>
        </w:rPr>
        <w:t>Larus ichthyaetus</w:t>
      </w:r>
      <w:r w:rsidRPr="0088780C">
        <w:rPr>
          <w:rFonts w:eastAsia="MS Mincho"/>
          <w:snapToGrid w:val="0"/>
          <w:kern w:val="22"/>
          <w:szCs w:val="22"/>
        </w:rPr>
        <w:t>), Caspian gull (</w:t>
      </w:r>
      <w:r w:rsidRPr="0088780C">
        <w:rPr>
          <w:rFonts w:eastAsia="MS Mincho"/>
          <w:i/>
          <w:snapToGrid w:val="0"/>
          <w:kern w:val="22"/>
          <w:szCs w:val="22"/>
        </w:rPr>
        <w:t>Larus cachinnans</w:t>
      </w:r>
      <w:r w:rsidRPr="0088780C">
        <w:rPr>
          <w:rFonts w:eastAsia="MS Mincho"/>
          <w:snapToGrid w:val="0"/>
          <w:kern w:val="22"/>
          <w:szCs w:val="22"/>
        </w:rPr>
        <w:t>), Caspian tern (</w:t>
      </w:r>
      <w:r w:rsidRPr="0088780C">
        <w:rPr>
          <w:rFonts w:eastAsia="MS Mincho"/>
          <w:i/>
          <w:snapToGrid w:val="0"/>
          <w:kern w:val="22"/>
          <w:szCs w:val="22"/>
        </w:rPr>
        <w:t>Sterna caspia</w:t>
      </w:r>
      <w:r w:rsidRPr="0088780C">
        <w:rPr>
          <w:rFonts w:eastAsia="MS Mincho"/>
          <w:snapToGrid w:val="0"/>
          <w:kern w:val="22"/>
          <w:szCs w:val="22"/>
        </w:rPr>
        <w:t>), common tern (</w:t>
      </w:r>
      <w:r w:rsidRPr="0088780C">
        <w:rPr>
          <w:rFonts w:eastAsia="MS Mincho"/>
          <w:i/>
          <w:snapToGrid w:val="0"/>
          <w:kern w:val="22"/>
          <w:szCs w:val="22"/>
        </w:rPr>
        <w:t>Sterna hirundo</w:t>
      </w:r>
      <w:r w:rsidRPr="0088780C">
        <w:rPr>
          <w:rFonts w:eastAsia="MS Mincho"/>
          <w:snapToGrid w:val="0"/>
          <w:kern w:val="22"/>
          <w:szCs w:val="22"/>
        </w:rPr>
        <w:t>) and little tern (</w:t>
      </w:r>
      <w:r w:rsidRPr="0088780C">
        <w:rPr>
          <w:rFonts w:eastAsia="MS Mincho"/>
          <w:i/>
          <w:snapToGrid w:val="0"/>
          <w:kern w:val="22"/>
          <w:szCs w:val="22"/>
        </w:rPr>
        <w:t>Sterna albifrons</w:t>
      </w:r>
      <w:r w:rsidRPr="0088780C">
        <w:rPr>
          <w:rFonts w:eastAsia="MS Mincho"/>
          <w:snapToGrid w:val="0"/>
          <w:kern w:val="22"/>
          <w:szCs w:val="22"/>
        </w:rPr>
        <w:t>), little ringed plover (</w:t>
      </w:r>
      <w:r w:rsidRPr="0088780C">
        <w:rPr>
          <w:rFonts w:eastAsia="MS Mincho"/>
          <w:i/>
          <w:snapToGrid w:val="0"/>
          <w:kern w:val="22"/>
          <w:szCs w:val="22"/>
        </w:rPr>
        <w:t>Charadrius dubius</w:t>
      </w:r>
      <w:r w:rsidRPr="0088780C">
        <w:rPr>
          <w:rFonts w:eastAsia="MS Mincho"/>
          <w:snapToGrid w:val="0"/>
          <w:kern w:val="22"/>
          <w:szCs w:val="22"/>
        </w:rPr>
        <w:t>) and Kentish plover (</w:t>
      </w:r>
      <w:r w:rsidRPr="0088780C">
        <w:rPr>
          <w:rFonts w:eastAsia="MS Mincho"/>
          <w:i/>
          <w:snapToGrid w:val="0"/>
          <w:kern w:val="22"/>
          <w:szCs w:val="22"/>
        </w:rPr>
        <w:t>Charadrius alexandrinus</w:t>
      </w:r>
      <w:r w:rsidRPr="0088780C">
        <w:rPr>
          <w:rFonts w:eastAsia="MS Mincho"/>
          <w:snapToGrid w:val="0"/>
          <w:kern w:val="22"/>
          <w:szCs w:val="22"/>
        </w:rPr>
        <w:t>), Eurasian oystercatcher (</w:t>
      </w:r>
      <w:r w:rsidRPr="0088780C">
        <w:rPr>
          <w:rFonts w:eastAsia="MS Mincho"/>
          <w:i/>
          <w:snapToGrid w:val="0"/>
          <w:kern w:val="22"/>
          <w:szCs w:val="22"/>
        </w:rPr>
        <w:t>Haematopus ostralegus</w:t>
      </w:r>
      <w:r w:rsidRPr="0088780C">
        <w:rPr>
          <w:rFonts w:eastAsia="MS Mincho"/>
          <w:snapToGrid w:val="0"/>
          <w:kern w:val="22"/>
          <w:szCs w:val="22"/>
        </w:rPr>
        <w:t>) alternately with common shelduck (</w:t>
      </w:r>
      <w:r w:rsidRPr="0088780C">
        <w:rPr>
          <w:rFonts w:eastAsia="MS Mincho"/>
          <w:i/>
          <w:snapToGrid w:val="0"/>
          <w:kern w:val="22"/>
          <w:szCs w:val="22"/>
        </w:rPr>
        <w:t>Tadorna tadorna</w:t>
      </w:r>
      <w:r w:rsidRPr="0088780C">
        <w:rPr>
          <w:rFonts w:eastAsia="MS Mincho"/>
          <w:snapToGrid w:val="0"/>
          <w:kern w:val="22"/>
          <w:szCs w:val="22"/>
        </w:rPr>
        <w:t>) and ruddy shelduck (</w:t>
      </w:r>
      <w:r w:rsidRPr="0088780C">
        <w:rPr>
          <w:rFonts w:eastAsia="MS Mincho"/>
          <w:i/>
          <w:snapToGrid w:val="0"/>
          <w:kern w:val="22"/>
          <w:szCs w:val="22"/>
        </w:rPr>
        <w:t>Tadorna ferruginea</w:t>
      </w:r>
      <w:r w:rsidRPr="0088780C">
        <w:rPr>
          <w:rFonts w:eastAsia="MS Mincho"/>
          <w:snapToGrid w:val="0"/>
          <w:kern w:val="22"/>
          <w:szCs w:val="22"/>
        </w:rPr>
        <w:t>), which have scientific and practical value, as a biodiversity component (Андреев, Васильев,</w:t>
      </w:r>
      <w:r w:rsidR="00615B74" w:rsidRPr="0088780C">
        <w:rPr>
          <w:rFonts w:eastAsia="MS Mincho"/>
          <w:snapToGrid w:val="0"/>
          <w:kern w:val="22"/>
          <w:szCs w:val="22"/>
        </w:rPr>
        <w:t xml:space="preserve"> Щербина, 1973; Щербина, 1979).</w:t>
      </w:r>
    </w:p>
    <w:p w14:paraId="07D14894"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2DA01D4" w14:textId="4567B40D"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western part of the Karabogazgol Strait is known as the </w:t>
      </w:r>
      <w:r w:rsidR="00D8482D" w:rsidRPr="0088780C">
        <w:rPr>
          <w:snapToGrid w:val="0"/>
          <w:kern w:val="22"/>
          <w:szCs w:val="22"/>
        </w:rPr>
        <w:t>“</w:t>
      </w:r>
      <w:r w:rsidRPr="0088780C">
        <w:rPr>
          <w:snapToGrid w:val="0"/>
          <w:kern w:val="22"/>
          <w:szCs w:val="22"/>
        </w:rPr>
        <w:t>Garabogaz – Garshy</w:t>
      </w:r>
      <w:r w:rsidR="00D8482D" w:rsidRPr="0088780C">
        <w:rPr>
          <w:snapToGrid w:val="0"/>
          <w:kern w:val="22"/>
          <w:szCs w:val="22"/>
        </w:rPr>
        <w:t>”</w:t>
      </w:r>
      <w:r w:rsidRPr="0088780C">
        <w:rPr>
          <w:snapToGrid w:val="0"/>
          <w:kern w:val="22"/>
          <w:szCs w:val="22"/>
        </w:rPr>
        <w:t xml:space="preserve"> Important Bird and Biodiversity Area (IBA), as designated by BirdLife Internati</w:t>
      </w:r>
      <w:r w:rsidR="00615B74" w:rsidRPr="0088780C">
        <w:rPr>
          <w:snapToGrid w:val="0"/>
          <w:kern w:val="22"/>
          <w:szCs w:val="22"/>
        </w:rPr>
        <w:t>onal (Рустамов, Щербина, 2009).</w:t>
      </w:r>
    </w:p>
    <w:p w14:paraId="0084CE01"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1DFA162" w14:textId="7D90852B"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 xml:space="preserve">This complex colony existed until 1980 and will be restored in the near future, when the sea level returns to its former level. It becomes an interesting process of restoration of the top chains of </w:t>
      </w:r>
      <w:r w:rsidR="00D8482D" w:rsidRPr="0088780C">
        <w:rPr>
          <w:rFonts w:eastAsia="MS Mincho"/>
          <w:snapToGrid w:val="0"/>
          <w:kern w:val="22"/>
          <w:szCs w:val="22"/>
        </w:rPr>
        <w:t>“</w:t>
      </w:r>
      <w:r w:rsidRPr="0088780C">
        <w:rPr>
          <w:rFonts w:eastAsia="MS Mincho"/>
          <w:snapToGrid w:val="0"/>
          <w:kern w:val="22"/>
          <w:szCs w:val="22"/>
        </w:rPr>
        <w:t>an ecological pyramid</w:t>
      </w:r>
      <w:r w:rsidR="00D8482D" w:rsidRPr="0088780C">
        <w:rPr>
          <w:rFonts w:eastAsia="MS Mincho"/>
          <w:snapToGrid w:val="0"/>
          <w:kern w:val="22"/>
          <w:szCs w:val="22"/>
        </w:rPr>
        <w:t>”</w:t>
      </w:r>
      <w:r w:rsidR="00615B74" w:rsidRPr="0088780C">
        <w:rPr>
          <w:rFonts w:eastAsia="MS Mincho"/>
          <w:snapToGrid w:val="0"/>
          <w:kern w:val="22"/>
          <w:szCs w:val="22"/>
        </w:rPr>
        <w:t>.</w:t>
      </w:r>
    </w:p>
    <w:p w14:paraId="7B3EECBB"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380CC19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A special role is played by the crustacean </w:t>
      </w:r>
      <w:r w:rsidRPr="0088780C">
        <w:rPr>
          <w:rFonts w:eastAsia="MS Mincho"/>
          <w:i/>
          <w:snapToGrid w:val="0"/>
          <w:kern w:val="22"/>
          <w:szCs w:val="22"/>
        </w:rPr>
        <w:t>Artemia salina,</w:t>
      </w:r>
      <w:r w:rsidRPr="0088780C">
        <w:rPr>
          <w:rFonts w:eastAsia="MS Mincho"/>
          <w:snapToGrid w:val="0"/>
          <w:kern w:val="22"/>
          <w:szCs w:val="22"/>
        </w:rPr>
        <w:t xml:space="preserve"> which develop optimally on sites with salinity from 80 to 130 ‰. Their eggs and larva are an optimum forage for fish, including  aquarium fish. Artemia are also a favourite forage for common shelduck (</w:t>
      </w:r>
      <w:r w:rsidRPr="0088780C">
        <w:rPr>
          <w:rFonts w:eastAsia="MS Mincho"/>
          <w:i/>
          <w:snapToGrid w:val="0"/>
          <w:kern w:val="22"/>
          <w:szCs w:val="22"/>
        </w:rPr>
        <w:t>Tadorna tadorna</w:t>
      </w:r>
      <w:r w:rsidRPr="0088780C">
        <w:rPr>
          <w:rFonts w:eastAsia="MS Mincho"/>
          <w:snapToGrid w:val="0"/>
          <w:kern w:val="22"/>
          <w:szCs w:val="22"/>
        </w:rPr>
        <w:t>), and adult individuals are eaten by different snipes. Artemia have disappeared since the gulf dried out in 1980, but their eggs have remained in a salty substratum and as the gulf refills, washing out of deposits of salts and occurrence of sites with suitable salinity, they give life to new generations.</w:t>
      </w:r>
    </w:p>
    <w:p w14:paraId="5C6BCA5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E3E81EA" w14:textId="57CE68D9"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volume of water arriving from the sea along the strait reached 42-52 km</w:t>
      </w:r>
      <w:r w:rsidRPr="0088780C">
        <w:rPr>
          <w:rFonts w:eastAsia="MS Mincho"/>
          <w:snapToGrid w:val="0"/>
          <w:kern w:val="22"/>
          <w:szCs w:val="22"/>
          <w:vertAlign w:val="superscript"/>
        </w:rPr>
        <w:t>3</w:t>
      </w:r>
      <w:r w:rsidRPr="0088780C">
        <w:rPr>
          <w:rFonts w:eastAsia="MS Mincho"/>
          <w:snapToGrid w:val="0"/>
          <w:kern w:val="22"/>
          <w:szCs w:val="22"/>
        </w:rPr>
        <w:t>/year in 1992-1995, i.e. much more than before the strait was closed by the dam in 1980. Optimum salinity conditions for Artemia were set up and sharp increases in its biomass were recorded: reproduction of Artemia was so great that eggs were thrown out by waves and covered a thousand hectares in a ha</w:t>
      </w:r>
      <w:r w:rsidR="00615B74" w:rsidRPr="0088780C">
        <w:rPr>
          <w:rFonts w:eastAsia="MS Mincho"/>
          <w:snapToGrid w:val="0"/>
          <w:kern w:val="22"/>
          <w:szCs w:val="22"/>
        </w:rPr>
        <w:t>lf-metre layer along the coast.</w:t>
      </w:r>
    </w:p>
    <w:p w14:paraId="2F0AAFB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8040B26" w14:textId="1CB33935" w:rsidR="00A876F3" w:rsidRPr="0088780C" w:rsidRDefault="00A876F3" w:rsidP="00615B74">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A spike in the reproduction of Artemia has led to an increase in bird weight and to mass reproduction of common shelduck (</w:t>
      </w:r>
      <w:r w:rsidRPr="0088780C">
        <w:rPr>
          <w:rFonts w:eastAsia="MS Mincho"/>
          <w:i/>
          <w:snapToGrid w:val="0"/>
          <w:kern w:val="22"/>
          <w:szCs w:val="22"/>
        </w:rPr>
        <w:t>Tadorna tadorna</w:t>
      </w:r>
      <w:r w:rsidRPr="0088780C">
        <w:rPr>
          <w:rFonts w:eastAsia="MS Mincho"/>
          <w:snapToGrid w:val="0"/>
          <w:kern w:val="22"/>
          <w:szCs w:val="22"/>
        </w:rPr>
        <w:t>). So, for example, if toward</w:t>
      </w:r>
      <w:r w:rsidR="00615B74" w:rsidRPr="0088780C">
        <w:rPr>
          <w:rFonts w:eastAsia="MS Mincho"/>
          <w:snapToGrid w:val="0"/>
          <w:kern w:val="22"/>
          <w:szCs w:val="22"/>
        </w:rPr>
        <w:t>s</w:t>
      </w:r>
      <w:r w:rsidRPr="0088780C">
        <w:rPr>
          <w:rFonts w:eastAsia="MS Mincho"/>
          <w:snapToGrid w:val="0"/>
          <w:kern w:val="22"/>
          <w:szCs w:val="22"/>
        </w:rPr>
        <w:t xml:space="preserve"> the middle of the 1980s it was estimated that there were no more than 1000 pairs of common shelduck (</w:t>
      </w:r>
      <w:r w:rsidRPr="0088780C">
        <w:rPr>
          <w:rFonts w:eastAsia="MS Mincho"/>
          <w:i/>
          <w:snapToGrid w:val="0"/>
          <w:kern w:val="22"/>
          <w:szCs w:val="22"/>
        </w:rPr>
        <w:t>Tadorna tadorna</w:t>
      </w:r>
      <w:r w:rsidRPr="0088780C">
        <w:rPr>
          <w:rFonts w:eastAsia="MS Mincho"/>
          <w:snapToGrid w:val="0"/>
          <w:kern w:val="22"/>
          <w:szCs w:val="22"/>
        </w:rPr>
        <w:t>), in the mid-</w:t>
      </w:r>
      <w:r w:rsidR="00615B74" w:rsidRPr="0088780C">
        <w:rPr>
          <w:rFonts w:eastAsia="MS Mincho"/>
          <w:snapToGrid w:val="0"/>
          <w:kern w:val="22"/>
          <w:szCs w:val="22"/>
        </w:rPr>
        <w:t>1990s</w:t>
      </w:r>
      <w:r w:rsidRPr="0088780C">
        <w:rPr>
          <w:rFonts w:eastAsia="MS Mincho"/>
          <w:snapToGrid w:val="0"/>
          <w:kern w:val="22"/>
          <w:szCs w:val="22"/>
        </w:rPr>
        <w:t xml:space="preserve"> there were at least 5000 to 6000 pairs, which grew to 80 000 overwintering individuals (Aleksandr Sherbina, unpublished dat</w:t>
      </w:r>
      <w:r w:rsidR="00615B74" w:rsidRPr="0088780C">
        <w:rPr>
          <w:rFonts w:eastAsia="MS Mincho"/>
          <w:snapToGrid w:val="0"/>
          <w:kern w:val="22"/>
          <w:szCs w:val="22"/>
        </w:rPr>
        <w:t xml:space="preserve">a). In these years around 4500 </w:t>
      </w:r>
      <w:r w:rsidRPr="0088780C">
        <w:rPr>
          <w:rFonts w:eastAsia="MS Mincho"/>
          <w:snapToGrid w:val="0"/>
          <w:kern w:val="22"/>
          <w:szCs w:val="22"/>
        </w:rPr>
        <w:t xml:space="preserve">tonnes of Artemia eggs were prepared by commercial entities (the price in the international </w:t>
      </w:r>
      <w:r w:rsidR="00615B74" w:rsidRPr="0088780C">
        <w:rPr>
          <w:rFonts w:eastAsia="MS Mincho"/>
          <w:snapToGrid w:val="0"/>
          <w:kern w:val="22"/>
          <w:szCs w:val="22"/>
        </w:rPr>
        <w:t>market reached around $180/kg).</w:t>
      </w:r>
    </w:p>
    <w:p w14:paraId="5E2C7A7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B62C98C" w14:textId="66E0A929" w:rsidR="00A876F3" w:rsidRPr="0088780C" w:rsidRDefault="00A876F3" w:rsidP="00615B74">
      <w:pPr>
        <w:suppressLineNumbers/>
        <w:suppressAutoHyphens/>
        <w:kinsoku w:val="0"/>
        <w:overflowPunct w:val="0"/>
        <w:autoSpaceDE w:val="0"/>
        <w:autoSpaceDN w:val="0"/>
        <w:spacing w:after="120"/>
        <w:rPr>
          <w:rFonts w:eastAsia="MS Mincho"/>
          <w:b/>
          <w:snapToGrid w:val="0"/>
          <w:kern w:val="22"/>
          <w:szCs w:val="22"/>
        </w:rPr>
      </w:pPr>
      <w:r w:rsidRPr="0088780C">
        <w:rPr>
          <w:rFonts w:eastAsia="MS Mincho"/>
          <w:b/>
          <w:snapToGrid w:val="0"/>
          <w:kern w:val="22"/>
          <w:szCs w:val="22"/>
        </w:rPr>
        <w:t>Assessment of the</w:t>
      </w:r>
      <w:r w:rsidR="00615B74" w:rsidRPr="0088780C">
        <w:rPr>
          <w:rFonts w:eastAsia="MS Mincho"/>
          <w:b/>
          <w:snapToGrid w:val="0"/>
          <w:kern w:val="22"/>
          <w:szCs w:val="22"/>
        </w:rPr>
        <w:t xml:space="preserve"> area against CBD EBSA Criteria</w:t>
      </w:r>
    </w:p>
    <w:tbl>
      <w:tblPr>
        <w:tblW w:w="4999"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6"/>
        <w:gridCol w:w="29"/>
        <w:gridCol w:w="1019"/>
        <w:gridCol w:w="262"/>
        <w:gridCol w:w="29"/>
        <w:gridCol w:w="756"/>
        <w:gridCol w:w="111"/>
        <w:gridCol w:w="676"/>
        <w:gridCol w:w="90"/>
        <w:gridCol w:w="737"/>
      </w:tblGrid>
      <w:tr w:rsidR="00A876F3" w:rsidRPr="0088780C" w14:paraId="13B0F6AA" w14:textId="77777777" w:rsidTr="006972AD">
        <w:tc>
          <w:tcPr>
            <w:tcW w:w="783" w:type="pct"/>
            <w:vMerge w:val="restart"/>
            <w:shd w:val="clear" w:color="auto" w:fill="auto"/>
          </w:tcPr>
          <w:p w14:paraId="47DAE10B" w14:textId="77777777" w:rsidR="00A876F3" w:rsidRPr="0088780C" w:rsidRDefault="00A876F3" w:rsidP="00615B74">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32F82D1A" w14:textId="77777777" w:rsidR="00A876F3" w:rsidRPr="0088780C" w:rsidRDefault="00A876F3" w:rsidP="00615B74">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75E70A9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3B8D71D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37" w:type="pct"/>
            <w:gridSpan w:val="9"/>
            <w:shd w:val="clear" w:color="auto" w:fill="auto"/>
          </w:tcPr>
          <w:p w14:paraId="3C55D14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434A47C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79651C50" w14:textId="77777777" w:rsidTr="006972AD">
        <w:tc>
          <w:tcPr>
            <w:tcW w:w="783" w:type="pct"/>
            <w:vMerge/>
            <w:shd w:val="clear" w:color="auto" w:fill="auto"/>
          </w:tcPr>
          <w:p w14:paraId="06F388E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47D8327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4C15585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69EC1D7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22340A3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2" w:type="pct"/>
            <w:gridSpan w:val="2"/>
            <w:shd w:val="clear" w:color="auto" w:fill="auto"/>
          </w:tcPr>
          <w:p w14:paraId="4179D17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30E01655" w14:textId="77777777" w:rsidTr="006972AD">
        <w:trPr>
          <w:trHeight w:val="2105"/>
        </w:trPr>
        <w:tc>
          <w:tcPr>
            <w:tcW w:w="783" w:type="pct"/>
            <w:shd w:val="clear" w:color="auto" w:fill="auto"/>
          </w:tcPr>
          <w:p w14:paraId="36FC2CB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034C2181" w14:textId="0786491B"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1AAE0E1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225FFD2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77F756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4FC76E5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7928BAD2" w14:textId="77777777" w:rsidTr="006972AD">
        <w:tc>
          <w:tcPr>
            <w:tcW w:w="5000" w:type="pct"/>
            <w:gridSpan w:val="11"/>
            <w:shd w:val="clear" w:color="auto" w:fill="auto"/>
          </w:tcPr>
          <w:p w14:paraId="1FC58CDA"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78B95617" w14:textId="0A8479D2"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Karabogazgol has an unusual geomorphological structure with unique hydrology in which special ecosystems suitable for dwelling of rare species of flora and fauna are formed. </w:t>
            </w:r>
            <w:r w:rsidRPr="0088780C">
              <w:rPr>
                <w:rFonts w:eastAsia="MS Mincho"/>
                <w:snapToGrid w:val="0"/>
                <w:kern w:val="22"/>
                <w:szCs w:val="22"/>
              </w:rPr>
              <w:t>This hydrological system is heavily influenced by the dynamics of the Caspian Sea. All components of the system are very dynamic, and their parameters are defined by sea-level dynamics</w:t>
            </w:r>
            <w:r w:rsidRPr="0088780C" w:rsidDel="00806708">
              <w:rPr>
                <w:rFonts w:eastAsia="MS Mincho"/>
                <w:snapToGrid w:val="0"/>
                <w:color w:val="000000"/>
                <w:kern w:val="22"/>
                <w:szCs w:val="22"/>
              </w:rPr>
              <w:t xml:space="preserve"> </w:t>
            </w:r>
            <w:r w:rsidRPr="0088780C">
              <w:rPr>
                <w:snapToGrid w:val="0"/>
                <w:kern w:val="22"/>
                <w:szCs w:val="22"/>
              </w:rPr>
              <w:t>(</w:t>
            </w:r>
            <w:r w:rsidRPr="0088780C">
              <w:rPr>
                <w:rFonts w:eastAsia="MS Mincho"/>
                <w:snapToGrid w:val="0"/>
                <w:kern w:val="22"/>
                <w:szCs w:val="22"/>
              </w:rPr>
              <w:t>Касымов, 1987; Зонн, 2004).</w:t>
            </w:r>
          </w:p>
        </w:tc>
      </w:tr>
      <w:tr w:rsidR="00A876F3" w:rsidRPr="0088780C" w14:paraId="69530165" w14:textId="77777777" w:rsidTr="006972AD">
        <w:tc>
          <w:tcPr>
            <w:tcW w:w="783" w:type="pct"/>
            <w:shd w:val="clear" w:color="auto" w:fill="auto"/>
          </w:tcPr>
          <w:p w14:paraId="2A93FDE8" w14:textId="77777777" w:rsidR="00A876F3" w:rsidRPr="0088780C" w:rsidRDefault="00A876F3" w:rsidP="00615B74">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0A806B4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7B9F320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254FA7E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BE88BD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2" w:type="pct"/>
            <w:gridSpan w:val="2"/>
            <w:shd w:val="clear" w:color="auto" w:fill="auto"/>
          </w:tcPr>
          <w:p w14:paraId="234A029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17113D0A" w14:textId="77777777" w:rsidTr="006972AD">
        <w:trPr>
          <w:trHeight w:val="1052"/>
        </w:trPr>
        <w:tc>
          <w:tcPr>
            <w:tcW w:w="5000" w:type="pct"/>
            <w:gridSpan w:val="11"/>
            <w:shd w:val="clear" w:color="auto" w:fill="auto"/>
          </w:tcPr>
          <w:p w14:paraId="30698105"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5A8763EC"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rFonts w:eastAsia="MS Mincho"/>
                <w:snapToGrid w:val="0"/>
                <w:color w:val="000000"/>
                <w:kern w:val="22"/>
                <w:szCs w:val="22"/>
              </w:rPr>
              <w:t xml:space="preserve">There are remote islands of the delta and the southern part of the gulf that are suitable for nesting of rare species of </w:t>
            </w:r>
            <w:r w:rsidRPr="0088780C">
              <w:rPr>
                <w:rFonts w:eastAsia="Times New Roman"/>
                <w:snapToGrid w:val="0"/>
                <w:color w:val="222222"/>
                <w:kern w:val="22"/>
                <w:szCs w:val="22"/>
                <w:shd w:val="clear" w:color="auto" w:fill="FFFFFF"/>
              </w:rPr>
              <w:t>ichthyophagous</w:t>
            </w:r>
            <w:r w:rsidRPr="0088780C">
              <w:rPr>
                <w:rFonts w:eastAsia="MS Mincho"/>
                <w:snapToGrid w:val="0"/>
                <w:color w:val="000000"/>
                <w:kern w:val="22"/>
                <w:szCs w:val="22"/>
              </w:rPr>
              <w:t xml:space="preserve"> birds. The strait plays an important role and much depends on the structure and quality of the seaweed present in a particular year (Булатов, 2002).</w:t>
            </w:r>
          </w:p>
        </w:tc>
      </w:tr>
      <w:tr w:rsidR="00A876F3" w:rsidRPr="0088780C" w14:paraId="7709BA9F" w14:textId="77777777" w:rsidTr="006972AD">
        <w:tc>
          <w:tcPr>
            <w:tcW w:w="783" w:type="pct"/>
            <w:shd w:val="clear" w:color="auto" w:fill="auto"/>
          </w:tcPr>
          <w:p w14:paraId="0B5F561E" w14:textId="77777777" w:rsidR="00A876F3" w:rsidRPr="0088780C" w:rsidRDefault="00A876F3" w:rsidP="00615B74">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63777A3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7997739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23AD7E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11" w:type="pct"/>
            <w:gridSpan w:val="2"/>
            <w:shd w:val="clear" w:color="auto" w:fill="auto"/>
          </w:tcPr>
          <w:p w14:paraId="667A780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035BE26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6BE30850" w14:textId="77777777" w:rsidTr="006972AD">
        <w:tc>
          <w:tcPr>
            <w:tcW w:w="5000" w:type="pct"/>
            <w:gridSpan w:val="11"/>
            <w:shd w:val="clear" w:color="auto" w:fill="auto"/>
          </w:tcPr>
          <w:p w14:paraId="4B4955DB"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576F8235" w14:textId="573FE399" w:rsidR="00A876F3" w:rsidRPr="0088780C" w:rsidRDefault="00A876F3" w:rsidP="003E7157">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biodiversity is represented by lower plants, invertebrates, fish and waterbirds (Рустамов, Щербина, 2009). But fish do not inhabitat the strait regularly—they enter the strait from the sea and slowly die. The species that could occur are included in the Red Data Book of Turkmenistan (2011), such as </w:t>
            </w:r>
            <w:r w:rsidRPr="0088780C">
              <w:rPr>
                <w:rFonts w:eastAsia="MS Mincho"/>
                <w:i/>
                <w:snapToGrid w:val="0"/>
                <w:color w:val="000000"/>
                <w:kern w:val="22"/>
                <w:szCs w:val="22"/>
              </w:rPr>
              <w:t>Caspiomyzon wagneri</w:t>
            </w:r>
            <w:r w:rsidRPr="0088780C">
              <w:rPr>
                <w:rFonts w:eastAsia="MS Mincho"/>
                <w:snapToGrid w:val="0"/>
                <w:color w:val="000000"/>
                <w:kern w:val="22"/>
                <w:szCs w:val="22"/>
              </w:rPr>
              <w:t xml:space="preserve"> (near threatened), </w:t>
            </w:r>
            <w:r w:rsidRPr="0088780C">
              <w:rPr>
                <w:rFonts w:eastAsia="MS Mincho"/>
                <w:i/>
                <w:snapToGrid w:val="0"/>
                <w:color w:val="000000"/>
                <w:kern w:val="22"/>
                <w:szCs w:val="22"/>
              </w:rPr>
              <w:t>Acipenser nudiventris</w:t>
            </w:r>
            <w:r w:rsidRPr="0088780C">
              <w:rPr>
                <w:rFonts w:eastAsia="MS Mincho"/>
                <w:snapToGrid w:val="0"/>
                <w:color w:val="000000"/>
                <w:kern w:val="22"/>
                <w:szCs w:val="22"/>
              </w:rPr>
              <w:t xml:space="preserve"> (critically endangered), </w:t>
            </w:r>
            <w:r w:rsidRPr="0088780C">
              <w:rPr>
                <w:rFonts w:eastAsia="MS Mincho"/>
                <w:i/>
                <w:snapToGrid w:val="0"/>
                <w:color w:val="000000"/>
                <w:kern w:val="22"/>
                <w:szCs w:val="22"/>
              </w:rPr>
              <w:t>Alosa kessleri volgensis</w:t>
            </w:r>
            <w:r w:rsidRPr="0088780C">
              <w:rPr>
                <w:rFonts w:eastAsia="MS Mincho"/>
                <w:snapToGrid w:val="0"/>
                <w:color w:val="000000"/>
                <w:kern w:val="22"/>
                <w:szCs w:val="22"/>
              </w:rPr>
              <w:t xml:space="preserve"> (endangered), </w:t>
            </w:r>
            <w:r w:rsidRPr="0088780C">
              <w:rPr>
                <w:rFonts w:eastAsia="MS Mincho"/>
                <w:i/>
                <w:snapToGrid w:val="0"/>
                <w:color w:val="000000"/>
                <w:kern w:val="22"/>
                <w:szCs w:val="22"/>
              </w:rPr>
              <w:t>Salmo trutta caspius</w:t>
            </w:r>
            <w:r w:rsidRPr="0088780C">
              <w:rPr>
                <w:rFonts w:eastAsia="MS Mincho"/>
                <w:snapToGrid w:val="0"/>
                <w:color w:val="000000"/>
                <w:kern w:val="22"/>
                <w:szCs w:val="22"/>
              </w:rPr>
              <w:t xml:space="preserve"> (vulnerable), </w:t>
            </w:r>
            <w:r w:rsidRPr="0088780C">
              <w:rPr>
                <w:rFonts w:eastAsia="MS Mincho"/>
                <w:i/>
                <w:snapToGrid w:val="0"/>
                <w:color w:val="000000"/>
                <w:kern w:val="22"/>
                <w:szCs w:val="22"/>
              </w:rPr>
              <w:t>Stenodus leucichthys leucichthys</w:t>
            </w:r>
            <w:r w:rsidRPr="0088780C">
              <w:rPr>
                <w:rFonts w:eastAsia="MS Mincho"/>
                <w:snapToGrid w:val="0"/>
                <w:color w:val="000000"/>
                <w:kern w:val="22"/>
                <w:szCs w:val="22"/>
              </w:rPr>
              <w:t xml:space="preserve"> (vulnerable) (Красная книга Туркменистана, 2011).</w:t>
            </w:r>
          </w:p>
        </w:tc>
      </w:tr>
      <w:tr w:rsidR="00A876F3" w:rsidRPr="0088780C" w14:paraId="1417768D" w14:textId="77777777" w:rsidTr="006972AD">
        <w:tc>
          <w:tcPr>
            <w:tcW w:w="783" w:type="pct"/>
            <w:shd w:val="clear" w:color="auto" w:fill="auto"/>
          </w:tcPr>
          <w:p w14:paraId="7FC2D5D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70920E1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2E336DB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605960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F58232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1349DFB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3CF76FD2" w14:textId="77777777" w:rsidTr="006972AD">
        <w:tc>
          <w:tcPr>
            <w:tcW w:w="5000" w:type="pct"/>
            <w:gridSpan w:val="11"/>
            <w:shd w:val="clear" w:color="auto" w:fill="auto"/>
          </w:tcPr>
          <w:p w14:paraId="632BAC41"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1D7C19D3" w14:textId="528B62B2" w:rsidR="00A876F3" w:rsidRPr="0088780C" w:rsidRDefault="00A876F3" w:rsidP="001013AF">
            <w:pPr>
              <w:suppressLineNumbers/>
              <w:tabs>
                <w:tab w:val="left" w:pos="0"/>
              </w:tabs>
              <w:suppressAutoHyphens/>
              <w:kinsoku w:val="0"/>
              <w:overflowPunct w:val="0"/>
              <w:autoSpaceDE w:val="0"/>
              <w:autoSpaceDN w:val="0"/>
              <w:rPr>
                <w:rFonts w:eastAsia="MS Mincho"/>
                <w:snapToGrid w:val="0"/>
                <w:color w:val="000000"/>
                <w:kern w:val="22"/>
                <w:szCs w:val="22"/>
              </w:rPr>
            </w:pPr>
            <w:r w:rsidRPr="0088780C">
              <w:rPr>
                <w:rFonts w:eastAsia="MS Mincho"/>
                <w:snapToGrid w:val="0"/>
                <w:color w:val="000000"/>
                <w:kern w:val="22"/>
                <w:szCs w:val="22"/>
              </w:rPr>
              <w:t>The area is sensitive to changes in sea level, although this is a longer-term process. Changes in sea level have also different amplitudes, and the deterioration that has occurred is slowly restored (Булатов, 2002;</w:t>
            </w:r>
            <w:r w:rsidR="003E7157" w:rsidRPr="0088780C">
              <w:rPr>
                <w:rFonts w:eastAsia="MS Mincho"/>
                <w:snapToGrid w:val="0"/>
                <w:color w:val="000000"/>
                <w:kern w:val="22"/>
                <w:szCs w:val="22"/>
              </w:rPr>
              <w:t xml:space="preserve"> Касымов, 1987; Щербина, 1979).</w:t>
            </w:r>
          </w:p>
        </w:tc>
      </w:tr>
      <w:tr w:rsidR="00A876F3" w:rsidRPr="0088780C" w14:paraId="164CE46F" w14:textId="77777777" w:rsidTr="006972AD">
        <w:tc>
          <w:tcPr>
            <w:tcW w:w="783" w:type="pct"/>
            <w:shd w:val="clear" w:color="auto" w:fill="auto"/>
          </w:tcPr>
          <w:p w14:paraId="7B899FA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69BEDE1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5A5B5ED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E523E4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42D659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4C9F4CA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058D1FA2" w14:textId="77777777" w:rsidTr="006972AD">
        <w:tc>
          <w:tcPr>
            <w:tcW w:w="5000" w:type="pct"/>
            <w:gridSpan w:val="11"/>
            <w:shd w:val="clear" w:color="auto" w:fill="auto"/>
          </w:tcPr>
          <w:p w14:paraId="1EE44587"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364BFF4B" w14:textId="2AA58C7C"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At times of low water level in the Caspian Sea,  the abundance of seaweed and the Crustacea serving as food for fishes and birds can be observed. </w:t>
            </w:r>
            <w:r w:rsidRPr="0088780C">
              <w:rPr>
                <w:rFonts w:eastAsia="MS Mincho"/>
                <w:snapToGrid w:val="0"/>
                <w:kern w:val="22"/>
                <w:szCs w:val="22"/>
              </w:rPr>
              <w:t xml:space="preserve">The particular hydrological, hydrochemical and ecological characteristics that characterize the gulf are reflected in the structure of its algoflora: phytoplankton and phytobentos. In well-aerated and organically rich water, an abundance of periphyton of green, brown and red seaweed develops on stones, attracting Crustacea (especially shrimps </w:t>
            </w:r>
            <w:r w:rsidRPr="0088780C">
              <w:rPr>
                <w:rFonts w:eastAsia="MS Mincho"/>
                <w:i/>
                <w:snapToGrid w:val="0"/>
                <w:kern w:val="22"/>
                <w:szCs w:val="22"/>
              </w:rPr>
              <w:t>Palaemon elegans</w:t>
            </w:r>
            <w:r w:rsidRPr="0088780C">
              <w:rPr>
                <w:rFonts w:eastAsia="MS Mincho"/>
                <w:snapToGrid w:val="0"/>
                <w:kern w:val="22"/>
                <w:szCs w:val="22"/>
              </w:rPr>
              <w:t xml:space="preserve"> and </w:t>
            </w:r>
            <w:r w:rsidRPr="0088780C">
              <w:rPr>
                <w:rFonts w:eastAsia="MS Mincho"/>
                <w:i/>
                <w:snapToGrid w:val="0"/>
                <w:kern w:val="22"/>
                <w:szCs w:val="22"/>
              </w:rPr>
              <w:t>P. adspersus</w:t>
            </w:r>
            <w:r w:rsidRPr="0088780C">
              <w:rPr>
                <w:rFonts w:eastAsia="MS Mincho"/>
                <w:snapToGrid w:val="0"/>
                <w:kern w:val="22"/>
                <w:szCs w:val="22"/>
              </w:rPr>
              <w:t xml:space="preserve"> and </w:t>
            </w:r>
            <w:r w:rsidRPr="0088780C">
              <w:rPr>
                <w:rFonts w:eastAsia="MS Mincho"/>
                <w:i/>
                <w:snapToGrid w:val="0"/>
                <w:kern w:val="22"/>
                <w:szCs w:val="22"/>
              </w:rPr>
              <w:t>Niphargoides (Pontogammarus) maeoticus</w:t>
            </w:r>
            <w:r w:rsidRPr="0088780C">
              <w:rPr>
                <w:rFonts w:eastAsia="MS Mincho"/>
                <w:snapToGrid w:val="0"/>
                <w:kern w:val="22"/>
                <w:szCs w:val="22"/>
              </w:rPr>
              <w:t xml:space="preserve">), the fish that eat them and masses of birds, especially seagulls </w:t>
            </w:r>
            <w:r w:rsidRPr="0088780C">
              <w:rPr>
                <w:rFonts w:eastAsia="MS Mincho"/>
                <w:snapToGrid w:val="0"/>
                <w:color w:val="000000"/>
                <w:kern w:val="22"/>
                <w:szCs w:val="22"/>
              </w:rPr>
              <w:t>(Бирште</w:t>
            </w:r>
            <w:r w:rsidR="003E7157" w:rsidRPr="0088780C">
              <w:rPr>
                <w:rFonts w:eastAsia="MS Mincho"/>
                <w:snapToGrid w:val="0"/>
                <w:color w:val="000000"/>
                <w:kern w:val="22"/>
                <w:szCs w:val="22"/>
              </w:rPr>
              <w:t>йн и др., 1968; Булатов, 2002).</w:t>
            </w:r>
          </w:p>
          <w:p w14:paraId="1C8DC36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efficiency of the phytoplankton in the gulf has crucial importance for end production: biomass of </w:t>
            </w:r>
            <w:r w:rsidRPr="0088780C">
              <w:rPr>
                <w:rFonts w:eastAsia="MS Mincho"/>
                <w:i/>
                <w:snapToGrid w:val="0"/>
                <w:color w:val="000000"/>
                <w:kern w:val="22"/>
                <w:szCs w:val="22"/>
              </w:rPr>
              <w:t>Artemia salina</w:t>
            </w:r>
            <w:r w:rsidRPr="0088780C">
              <w:rPr>
                <w:rFonts w:eastAsia="MS Mincho"/>
                <w:snapToGrid w:val="0"/>
                <w:color w:val="000000"/>
                <w:kern w:val="22"/>
                <w:szCs w:val="22"/>
              </w:rPr>
              <w:t xml:space="preserve"> increases. The spike in r</w:t>
            </w:r>
            <w:r w:rsidRPr="0088780C">
              <w:rPr>
                <w:rFonts w:eastAsia="MS Mincho"/>
                <w:snapToGrid w:val="0"/>
                <w:kern w:val="22"/>
                <w:szCs w:val="22"/>
              </w:rPr>
              <w:t>eproduction of Artemia has led to an increase in bird weight and has led to mass reproduction of common shelduck (</w:t>
            </w:r>
            <w:r w:rsidRPr="0088780C">
              <w:rPr>
                <w:rFonts w:eastAsia="MS Mincho"/>
                <w:i/>
                <w:snapToGrid w:val="0"/>
                <w:kern w:val="22"/>
                <w:szCs w:val="22"/>
              </w:rPr>
              <w:t>Tadorna tadorna</w:t>
            </w:r>
            <w:r w:rsidRPr="0088780C">
              <w:rPr>
                <w:rFonts w:eastAsia="MS Mincho"/>
                <w:snapToGrid w:val="0"/>
                <w:kern w:val="22"/>
                <w:szCs w:val="22"/>
              </w:rPr>
              <w:t>). So, for example, if toward the middle of 1980s it was estimated that there were no more than 1000 pairs of common shelduck (</w:t>
            </w:r>
            <w:r w:rsidRPr="0088780C">
              <w:rPr>
                <w:rFonts w:eastAsia="MS Mincho"/>
                <w:i/>
                <w:snapToGrid w:val="0"/>
                <w:kern w:val="22"/>
                <w:szCs w:val="22"/>
              </w:rPr>
              <w:t>Tadorna tadorna</w:t>
            </w:r>
            <w:r w:rsidRPr="0088780C">
              <w:rPr>
                <w:rFonts w:eastAsia="MS Mincho"/>
                <w:snapToGrid w:val="0"/>
                <w:kern w:val="22"/>
                <w:szCs w:val="22"/>
              </w:rPr>
              <w:t xml:space="preserve">), in the mid-nineties there were at least 5000 to 6000 pairs, which grew to 80 000 overwintering individuals (Aleksandr Sherbina, unpublished data). In these years around 4 500 tonnes of Artemia eggs were prepared by commercial organisations </w:t>
            </w:r>
            <w:r w:rsidRPr="0088780C">
              <w:rPr>
                <w:rFonts w:eastAsia="MS Mincho"/>
                <w:snapToGrid w:val="0"/>
                <w:color w:val="000000"/>
                <w:kern w:val="22"/>
                <w:szCs w:val="22"/>
              </w:rPr>
              <w:t>(Андреев, Васильев, Щербина, 1973; Щербина, 1979 and unpublished).</w:t>
            </w:r>
          </w:p>
        </w:tc>
      </w:tr>
      <w:tr w:rsidR="00A876F3" w:rsidRPr="0088780C" w14:paraId="20D4AB31" w14:textId="77777777" w:rsidTr="006972AD">
        <w:tc>
          <w:tcPr>
            <w:tcW w:w="783" w:type="pct"/>
            <w:shd w:val="clear" w:color="auto" w:fill="auto"/>
          </w:tcPr>
          <w:p w14:paraId="1203309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1F6BE72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0990666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3B5CBC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057278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5A94FDA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0C33C95A" w14:textId="77777777" w:rsidTr="006972AD">
        <w:tc>
          <w:tcPr>
            <w:tcW w:w="5000" w:type="pct"/>
            <w:gridSpan w:val="11"/>
            <w:shd w:val="clear" w:color="auto" w:fill="auto"/>
          </w:tcPr>
          <w:p w14:paraId="19B84C5F"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E569C9F" w14:textId="77777777" w:rsidR="00A876F3" w:rsidRPr="0088780C" w:rsidRDefault="00A876F3" w:rsidP="001013AF">
            <w:pPr>
              <w:suppressLineNumbers/>
              <w:tabs>
                <w:tab w:val="left" w:pos="0"/>
              </w:tab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The biodiversity is concentrated mainly in the strait. There are bacteria and some species of seaweed from the organic world in the salty water of the gulf. Biodiversity is represented by lower plants, invertebrates and birds (mostly migrants).</w:t>
            </w:r>
          </w:p>
          <w:p w14:paraId="6BC35DDF" w14:textId="77777777" w:rsidR="00A876F3" w:rsidRPr="0088780C" w:rsidRDefault="00A876F3" w:rsidP="001013AF">
            <w:pPr>
              <w:suppressLineNumbers/>
              <w:tabs>
                <w:tab w:val="left" w:pos="0"/>
              </w:tabs>
              <w:suppressAutoHyphens/>
              <w:kinsoku w:val="0"/>
              <w:overflowPunct w:val="0"/>
              <w:autoSpaceDE w:val="0"/>
              <w:autoSpaceDN w:val="0"/>
              <w:adjustRightInd w:val="0"/>
              <w:rPr>
                <w:rFonts w:eastAsia="MS Mincho"/>
                <w:snapToGrid w:val="0"/>
                <w:color w:val="000000"/>
                <w:kern w:val="22"/>
                <w:szCs w:val="22"/>
              </w:rPr>
            </w:pPr>
          </w:p>
          <w:p w14:paraId="40F5133F" w14:textId="6B44C2BB" w:rsidR="00A876F3" w:rsidRPr="0088780C" w:rsidRDefault="00A876F3" w:rsidP="001013AF">
            <w:pPr>
              <w:pStyle w:val="NoSpacing"/>
              <w:suppressLineNumbers/>
              <w:tabs>
                <w:tab w:val="left" w:pos="0"/>
              </w:tabs>
              <w:suppressAutoHyphens/>
              <w:kinsoku w:val="0"/>
              <w:overflowPunct w:val="0"/>
              <w:autoSpaceDE w:val="0"/>
              <w:autoSpaceDN w:val="0"/>
              <w:jc w:val="both"/>
              <w:rPr>
                <w:rFonts w:ascii="Times New Roman" w:eastAsia="MS Mincho" w:hAnsi="Times New Roman"/>
                <w:snapToGrid w:val="0"/>
                <w:color w:val="000000"/>
                <w:kern w:val="22"/>
                <w:lang w:val="en-GB"/>
              </w:rPr>
            </w:pPr>
            <w:r w:rsidRPr="0088780C">
              <w:rPr>
                <w:rFonts w:ascii="Times New Roman" w:eastAsia="MS Mincho" w:hAnsi="Times New Roman"/>
                <w:snapToGrid w:val="0"/>
                <w:kern w:val="22"/>
                <w:lang w:val="en-GB"/>
              </w:rPr>
              <w:t xml:space="preserve">In the gulf and strait there are 87 specific and intraspecific seaweed taxa belonging to five phyla: Bacillariophyta (62 taxa), Cyanophyta (12 taxa), Chlorophyta (5 taxa), Dinophyta (7 taxa) and Chrysophyta (1 taxa). Benthos comprises 45,9% of the total number of taxa, while plankton comprises 39,8% and periphyton (overcover) comprise 14,3%. The prevalence of nonplanktonic species in the gulf is related to depth. The phytoplancton structure of Karabogasgol Gulf is derived primarily from Caspian taxa, which comprises 83,2% of the total number. The majority of taxa is neritic, and only an insignificant proportion of the plankton is pelagic </w:t>
            </w:r>
            <w:r w:rsidRPr="0088780C">
              <w:rPr>
                <w:rFonts w:ascii="Times New Roman" w:eastAsia="MS Mincho" w:hAnsi="Times New Roman"/>
                <w:snapToGrid w:val="0"/>
                <w:color w:val="000000"/>
                <w:kern w:val="22"/>
                <w:lang w:val="en-GB"/>
              </w:rPr>
              <w:t>(Бирштейн др., 1968; Булатов, 2</w:t>
            </w:r>
            <w:r w:rsidR="003E7157" w:rsidRPr="0088780C">
              <w:rPr>
                <w:rFonts w:ascii="Times New Roman" w:eastAsia="MS Mincho" w:hAnsi="Times New Roman"/>
                <w:snapToGrid w:val="0"/>
                <w:color w:val="000000"/>
                <w:kern w:val="22"/>
                <w:lang w:val="en-GB"/>
              </w:rPr>
              <w:t>002; Рустамов, Щербина, 2009).</w:t>
            </w:r>
          </w:p>
          <w:p w14:paraId="14F02CA2" w14:textId="77777777" w:rsidR="00A876F3" w:rsidRPr="0088780C" w:rsidRDefault="00A876F3" w:rsidP="001013AF">
            <w:pPr>
              <w:pStyle w:val="NoSpacing"/>
              <w:suppressLineNumbers/>
              <w:tabs>
                <w:tab w:val="left" w:pos="0"/>
              </w:tabs>
              <w:suppressAutoHyphens/>
              <w:kinsoku w:val="0"/>
              <w:overflowPunct w:val="0"/>
              <w:autoSpaceDE w:val="0"/>
              <w:autoSpaceDN w:val="0"/>
              <w:jc w:val="both"/>
              <w:rPr>
                <w:rFonts w:ascii="Times New Roman" w:eastAsia="MS Mincho" w:hAnsi="Times New Roman"/>
                <w:snapToGrid w:val="0"/>
                <w:color w:val="000000"/>
                <w:kern w:val="22"/>
                <w:lang w:val="en-GB"/>
              </w:rPr>
            </w:pPr>
          </w:p>
          <w:p w14:paraId="5CED0709" w14:textId="49B7949A" w:rsidR="00A876F3" w:rsidRPr="0088780C" w:rsidRDefault="00A876F3" w:rsidP="001013AF">
            <w:pPr>
              <w:suppressLineNumbers/>
              <w:tabs>
                <w:tab w:val="left" w:pos="0"/>
              </w:tab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Nesting colonies of rare black-headed Pallas’s gull (</w:t>
            </w:r>
            <w:r w:rsidRPr="0088780C">
              <w:rPr>
                <w:rFonts w:eastAsia="MS Mincho"/>
                <w:i/>
                <w:snapToGrid w:val="0"/>
                <w:color w:val="000000"/>
                <w:kern w:val="22"/>
                <w:szCs w:val="22"/>
              </w:rPr>
              <w:t>Larus ichthyaetus</w:t>
            </w:r>
            <w:r w:rsidRPr="0088780C">
              <w:rPr>
                <w:rFonts w:eastAsia="MS Mincho"/>
                <w:snapToGrid w:val="0"/>
                <w:color w:val="000000"/>
                <w:kern w:val="22"/>
                <w:szCs w:val="22"/>
              </w:rPr>
              <w:t>), Caspian gull (</w:t>
            </w:r>
            <w:r w:rsidRPr="0088780C">
              <w:rPr>
                <w:rFonts w:eastAsia="MS Mincho"/>
                <w:i/>
                <w:snapToGrid w:val="0"/>
                <w:color w:val="000000"/>
                <w:kern w:val="22"/>
                <w:szCs w:val="22"/>
              </w:rPr>
              <w:t>Larus cachinnans</w:t>
            </w:r>
            <w:r w:rsidRPr="0088780C">
              <w:rPr>
                <w:rFonts w:eastAsia="MS Mincho"/>
                <w:snapToGrid w:val="0"/>
                <w:color w:val="000000"/>
                <w:kern w:val="22"/>
                <w:szCs w:val="22"/>
              </w:rPr>
              <w:t>), Caspian tern (</w:t>
            </w:r>
            <w:r w:rsidRPr="0088780C">
              <w:rPr>
                <w:rFonts w:eastAsia="MS Mincho"/>
                <w:i/>
                <w:snapToGrid w:val="0"/>
                <w:color w:val="000000"/>
                <w:kern w:val="22"/>
                <w:szCs w:val="22"/>
              </w:rPr>
              <w:t>Sterna caspia</w:t>
            </w:r>
            <w:r w:rsidRPr="0088780C">
              <w:rPr>
                <w:rFonts w:eastAsia="MS Mincho"/>
                <w:snapToGrid w:val="0"/>
                <w:color w:val="000000"/>
                <w:kern w:val="22"/>
                <w:szCs w:val="22"/>
              </w:rPr>
              <w:t>), common tern (</w:t>
            </w:r>
            <w:r w:rsidRPr="0088780C">
              <w:rPr>
                <w:rFonts w:eastAsia="MS Mincho"/>
                <w:i/>
                <w:snapToGrid w:val="0"/>
                <w:color w:val="000000"/>
                <w:kern w:val="22"/>
                <w:szCs w:val="22"/>
              </w:rPr>
              <w:t>Sterna hirundo</w:t>
            </w:r>
            <w:r w:rsidRPr="0088780C">
              <w:rPr>
                <w:rFonts w:eastAsia="MS Mincho"/>
                <w:snapToGrid w:val="0"/>
                <w:color w:val="000000"/>
                <w:kern w:val="22"/>
                <w:szCs w:val="22"/>
              </w:rPr>
              <w:t>) and little tern (</w:t>
            </w:r>
            <w:r w:rsidRPr="0088780C">
              <w:rPr>
                <w:rFonts w:eastAsia="MS Mincho"/>
                <w:i/>
                <w:snapToGrid w:val="0"/>
                <w:color w:val="000000"/>
                <w:kern w:val="22"/>
                <w:szCs w:val="22"/>
              </w:rPr>
              <w:t>Sterna albifrons</w:t>
            </w:r>
            <w:r w:rsidRPr="0088780C">
              <w:rPr>
                <w:rFonts w:eastAsia="MS Mincho"/>
                <w:snapToGrid w:val="0"/>
                <w:color w:val="000000"/>
                <w:kern w:val="22"/>
                <w:szCs w:val="22"/>
              </w:rPr>
              <w:t>), little ringed plover (</w:t>
            </w:r>
            <w:r w:rsidRPr="0088780C">
              <w:rPr>
                <w:rFonts w:eastAsia="MS Mincho"/>
                <w:i/>
                <w:snapToGrid w:val="0"/>
                <w:color w:val="000000"/>
                <w:kern w:val="22"/>
                <w:szCs w:val="22"/>
              </w:rPr>
              <w:t>Charadrius dubius</w:t>
            </w:r>
            <w:r w:rsidRPr="0088780C">
              <w:rPr>
                <w:rFonts w:eastAsia="MS Mincho"/>
                <w:snapToGrid w:val="0"/>
                <w:color w:val="000000"/>
                <w:kern w:val="22"/>
                <w:szCs w:val="22"/>
              </w:rPr>
              <w:t>) and Kentish plover (</w:t>
            </w:r>
            <w:r w:rsidRPr="0088780C">
              <w:rPr>
                <w:rFonts w:eastAsia="MS Mincho"/>
                <w:i/>
                <w:snapToGrid w:val="0"/>
                <w:color w:val="000000"/>
                <w:kern w:val="22"/>
                <w:szCs w:val="22"/>
              </w:rPr>
              <w:t>Charadrius alexandrinus</w:t>
            </w:r>
            <w:r w:rsidRPr="0088780C">
              <w:rPr>
                <w:rFonts w:eastAsia="MS Mincho"/>
                <w:snapToGrid w:val="0"/>
                <w:color w:val="000000"/>
                <w:kern w:val="22"/>
                <w:szCs w:val="22"/>
              </w:rPr>
              <w:t>), Eurasian oystercatcher (</w:t>
            </w:r>
            <w:r w:rsidRPr="0088780C">
              <w:rPr>
                <w:rFonts w:eastAsia="MS Mincho"/>
                <w:i/>
                <w:snapToGrid w:val="0"/>
                <w:color w:val="000000"/>
                <w:kern w:val="22"/>
                <w:szCs w:val="22"/>
              </w:rPr>
              <w:t>Haematopus ostralegus</w:t>
            </w:r>
            <w:r w:rsidRPr="0088780C">
              <w:rPr>
                <w:rFonts w:eastAsia="MS Mincho"/>
                <w:snapToGrid w:val="0"/>
                <w:color w:val="000000"/>
                <w:kern w:val="22"/>
                <w:szCs w:val="22"/>
              </w:rPr>
              <w:t>) alternately with common shelduck (</w:t>
            </w:r>
            <w:r w:rsidRPr="0088780C">
              <w:rPr>
                <w:rFonts w:eastAsia="MS Mincho"/>
                <w:i/>
                <w:snapToGrid w:val="0"/>
                <w:color w:val="000000"/>
                <w:kern w:val="22"/>
                <w:szCs w:val="22"/>
              </w:rPr>
              <w:t>Tadorna tadorna</w:t>
            </w:r>
            <w:r w:rsidRPr="0088780C">
              <w:rPr>
                <w:rFonts w:eastAsia="MS Mincho"/>
                <w:snapToGrid w:val="0"/>
                <w:color w:val="000000"/>
                <w:kern w:val="22"/>
                <w:szCs w:val="22"/>
              </w:rPr>
              <w:t>) and ruddy shelduck (</w:t>
            </w:r>
            <w:r w:rsidRPr="0088780C">
              <w:rPr>
                <w:rFonts w:eastAsia="MS Mincho"/>
                <w:i/>
                <w:snapToGrid w:val="0"/>
                <w:color w:val="000000"/>
                <w:kern w:val="22"/>
                <w:szCs w:val="22"/>
              </w:rPr>
              <w:t>Tadorna ferruginea</w:t>
            </w:r>
            <w:r w:rsidRPr="0088780C">
              <w:rPr>
                <w:rFonts w:eastAsia="MS Mincho"/>
                <w:snapToGrid w:val="0"/>
                <w:color w:val="000000"/>
                <w:kern w:val="22"/>
                <w:szCs w:val="22"/>
              </w:rPr>
              <w:t>) have scientific and practical value, as  biodiversity components (Андреев, Васильев,</w:t>
            </w:r>
            <w:r w:rsidR="003E7157" w:rsidRPr="0088780C">
              <w:rPr>
                <w:rFonts w:eastAsia="MS Mincho"/>
                <w:snapToGrid w:val="0"/>
                <w:color w:val="000000"/>
                <w:kern w:val="22"/>
                <w:szCs w:val="22"/>
              </w:rPr>
              <w:t xml:space="preserve"> Щербина, 1973; Щербина, 1979).</w:t>
            </w:r>
          </w:p>
        </w:tc>
      </w:tr>
      <w:tr w:rsidR="00A876F3" w:rsidRPr="0088780C" w14:paraId="454F260F" w14:textId="77777777" w:rsidTr="003E7157">
        <w:trPr>
          <w:cantSplit/>
        </w:trPr>
        <w:tc>
          <w:tcPr>
            <w:tcW w:w="783" w:type="pct"/>
            <w:shd w:val="clear" w:color="auto" w:fill="auto"/>
          </w:tcPr>
          <w:p w14:paraId="39C03672"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1DF58876"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6F80D08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3BCDF8E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67D2B8F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c>
          <w:tcPr>
            <w:tcW w:w="385" w:type="pct"/>
            <w:shd w:val="clear" w:color="auto" w:fill="auto"/>
          </w:tcPr>
          <w:p w14:paraId="1A0ED00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A876F3" w:rsidRPr="0088780C" w14:paraId="206D4227" w14:textId="77777777" w:rsidTr="006972AD">
        <w:tc>
          <w:tcPr>
            <w:tcW w:w="5000" w:type="pct"/>
            <w:gridSpan w:val="11"/>
            <w:shd w:val="clear" w:color="auto" w:fill="auto"/>
          </w:tcPr>
          <w:p w14:paraId="0873E9EA"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61E16F07" w14:textId="22CCA2BA" w:rsidR="00A876F3" w:rsidRPr="0088780C" w:rsidRDefault="00A876F3" w:rsidP="001013AF">
            <w:pPr>
              <w:suppressLineNumbers/>
              <w:tabs>
                <w:tab w:val="left" w:pos="0"/>
              </w:tab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The water level of the Caspian Sea was at one time extremely low, with an overflow only 5 km</w:t>
            </w:r>
            <w:r w:rsidRPr="0088780C">
              <w:rPr>
                <w:rFonts w:eastAsia="MS Mincho"/>
                <w:snapToGrid w:val="0"/>
                <w:color w:val="000000"/>
                <w:kern w:val="22"/>
                <w:szCs w:val="22"/>
                <w:vertAlign w:val="superscript"/>
              </w:rPr>
              <w:t>3</w:t>
            </w:r>
            <w:r w:rsidRPr="0088780C">
              <w:rPr>
                <w:rFonts w:eastAsia="MS Mincho"/>
                <w:snapToGrid w:val="0"/>
                <w:color w:val="000000"/>
                <w:kern w:val="22"/>
                <w:szCs w:val="22"/>
              </w:rPr>
              <w:t>/year. The water level decreased to 32m, the area changed to 10,000km</w:t>
            </w:r>
            <w:r w:rsidRPr="0088780C">
              <w:rPr>
                <w:rFonts w:eastAsia="MS Mincho"/>
                <w:snapToGrid w:val="0"/>
                <w:color w:val="000000"/>
                <w:kern w:val="22"/>
                <w:szCs w:val="22"/>
                <w:vertAlign w:val="superscript"/>
              </w:rPr>
              <w:t>2</w:t>
            </w:r>
            <w:r w:rsidRPr="0088780C">
              <w:rPr>
                <w:rFonts w:eastAsia="MS Mincho"/>
                <w:snapToGrid w:val="0"/>
                <w:color w:val="000000"/>
                <w:kern w:val="22"/>
                <w:szCs w:val="22"/>
              </w:rPr>
              <w:t>, the volume to 20-22 km</w:t>
            </w:r>
            <w:r w:rsidRPr="0088780C">
              <w:rPr>
                <w:rFonts w:eastAsia="MS Mincho"/>
                <w:snapToGrid w:val="0"/>
                <w:color w:val="000000"/>
                <w:kern w:val="22"/>
                <w:szCs w:val="22"/>
                <w:vertAlign w:val="superscript"/>
              </w:rPr>
              <w:t>3</w:t>
            </w:r>
            <w:r w:rsidRPr="0088780C">
              <w:rPr>
                <w:rFonts w:eastAsia="MS Mincho"/>
                <w:snapToGrid w:val="0"/>
                <w:color w:val="000000"/>
                <w:kern w:val="22"/>
                <w:szCs w:val="22"/>
              </w:rPr>
              <w:t>, and the salinity increased to 270 to 380 ‰. By the middle of 1984 it practically dried up, threatening the ecological conditions of adjacent areas. In September 1984</w:t>
            </w:r>
            <w:r w:rsidR="003E7157" w:rsidRPr="0088780C">
              <w:rPr>
                <w:rFonts w:eastAsia="MS Mincho"/>
                <w:snapToGrid w:val="0"/>
                <w:color w:val="000000"/>
                <w:kern w:val="22"/>
                <w:szCs w:val="22"/>
              </w:rPr>
              <w:t>,</w:t>
            </w:r>
            <w:r w:rsidRPr="0088780C">
              <w:rPr>
                <w:rFonts w:eastAsia="MS Mincho"/>
                <w:snapToGrid w:val="0"/>
                <w:color w:val="000000"/>
                <w:kern w:val="22"/>
                <w:szCs w:val="22"/>
              </w:rPr>
              <w:t xml:space="preserve"> having renewed water delivery through pipes, the gulf began to be restored slowly. The gulf has since been restored (Дерягин, 1977; Зонн, 2004; Касымов, 1987).</w:t>
            </w:r>
          </w:p>
        </w:tc>
      </w:tr>
    </w:tbl>
    <w:p w14:paraId="1A8F8725"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F405A08" w14:textId="77777777" w:rsidR="00A876F3" w:rsidRPr="0088780C" w:rsidRDefault="00A876F3" w:rsidP="003E7157">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32CA923D" w14:textId="77777777" w:rsidR="00A876F3" w:rsidRPr="0088780C" w:rsidRDefault="00A876F3" w:rsidP="003E7157">
      <w:pPr>
        <w:suppressLineNumbers/>
        <w:suppressAutoHyphens/>
        <w:kinsoku w:val="0"/>
        <w:overflowPunct w:val="0"/>
        <w:autoSpaceDE w:val="0"/>
        <w:autoSpaceDN w:val="0"/>
        <w:adjustRightInd w:val="0"/>
        <w:spacing w:after="60"/>
        <w:ind w:left="720" w:hanging="720"/>
        <w:rPr>
          <w:rFonts w:eastAsia="MS Mincho"/>
          <w:bCs/>
          <w:snapToGrid w:val="0"/>
          <w:color w:val="000000"/>
          <w:kern w:val="22"/>
          <w:szCs w:val="22"/>
          <w:lang w:val="ru-RU"/>
        </w:rPr>
      </w:pPr>
      <w:r w:rsidRPr="0088780C">
        <w:rPr>
          <w:rFonts w:eastAsia="MS Mincho"/>
          <w:bCs/>
          <w:snapToGrid w:val="0"/>
          <w:color w:val="000000"/>
          <w:kern w:val="22"/>
          <w:szCs w:val="22"/>
          <w:lang w:val="ru-RU"/>
        </w:rPr>
        <w:t>Андреев В.П., Васильев В.И., Щербина А.А. 1973. Условия гнездования и возможное эпизоотологическое значение 4 видов чайковых птиц на некоторых островах Восточного Каспия // Экология вирусов. Вып. I, М. С.111-115.</w:t>
      </w:r>
    </w:p>
    <w:p w14:paraId="205903E1" w14:textId="77777777" w:rsidR="00A876F3" w:rsidRPr="0088780C" w:rsidRDefault="00A876F3" w:rsidP="003E7157">
      <w:pPr>
        <w:suppressLineNumbers/>
        <w:suppressAutoHyphens/>
        <w:kinsoku w:val="0"/>
        <w:overflowPunct w:val="0"/>
        <w:autoSpaceDE w:val="0"/>
        <w:autoSpaceDN w:val="0"/>
        <w:adjustRightInd w:val="0"/>
        <w:spacing w:after="60"/>
        <w:ind w:left="720" w:hanging="720"/>
        <w:jc w:val="left"/>
        <w:rPr>
          <w:rFonts w:eastAsia="MS Mincho"/>
          <w:bCs/>
          <w:snapToGrid w:val="0"/>
          <w:color w:val="000000"/>
          <w:kern w:val="22"/>
          <w:szCs w:val="22"/>
          <w:lang w:val="ru-RU"/>
        </w:rPr>
      </w:pPr>
      <w:r w:rsidRPr="0088780C">
        <w:rPr>
          <w:rFonts w:eastAsia="MS Mincho"/>
          <w:bCs/>
          <w:snapToGrid w:val="0"/>
          <w:color w:val="000000"/>
          <w:kern w:val="22"/>
          <w:szCs w:val="22"/>
          <w:lang w:val="ru-RU"/>
        </w:rPr>
        <w:t>Бирштейн Я.А., Виноградова Л.Г., Кондакова Н.Н., Кун М.С., Астахова Т.С., Романова Н.Н. 1968. Атлас беспозвоночных Каспийского моря. М.: Пищевая промышленность, М.</w:t>
      </w:r>
    </w:p>
    <w:p w14:paraId="11F6A0CA" w14:textId="77777777" w:rsidR="00A876F3" w:rsidRPr="0088780C" w:rsidRDefault="00A876F3" w:rsidP="003E7157">
      <w:pPr>
        <w:suppressLineNumbers/>
        <w:suppressAutoHyphens/>
        <w:kinsoku w:val="0"/>
        <w:overflowPunct w:val="0"/>
        <w:autoSpaceDE w:val="0"/>
        <w:autoSpaceDN w:val="0"/>
        <w:adjustRightInd w:val="0"/>
        <w:spacing w:after="60"/>
        <w:ind w:left="720" w:hanging="720"/>
        <w:jc w:val="left"/>
        <w:rPr>
          <w:rFonts w:eastAsia="MS Mincho"/>
          <w:bCs/>
          <w:snapToGrid w:val="0"/>
          <w:color w:val="000000"/>
          <w:kern w:val="22"/>
          <w:szCs w:val="22"/>
          <w:lang w:val="ru-RU"/>
        </w:rPr>
      </w:pPr>
      <w:r w:rsidRPr="0088780C">
        <w:rPr>
          <w:rFonts w:eastAsia="MS Mincho"/>
          <w:bCs/>
          <w:snapToGrid w:val="0"/>
          <w:color w:val="000000"/>
          <w:kern w:val="22"/>
          <w:szCs w:val="22"/>
          <w:lang w:val="ru-RU"/>
        </w:rPr>
        <w:t>Булатов С.А. 2002. Современное состояние водорослевых сообществ залива Кара-Богаз-Гол и их влияние на популяцию артемии // Тез. докл. Межд. научно-исслед. конф. «Биоразнообразие Артемии в странах СНГ: современное состояние ресурсов и их использование» 17-19 июля 2002 г., М. С.6-7.</w:t>
      </w:r>
    </w:p>
    <w:p w14:paraId="3D8314E3" w14:textId="6C58388B" w:rsidR="00A876F3" w:rsidRPr="0088780C" w:rsidRDefault="00A876F3" w:rsidP="003E7157">
      <w:pPr>
        <w:suppressLineNumbers/>
        <w:suppressAutoHyphens/>
        <w:kinsoku w:val="0"/>
        <w:overflowPunct w:val="0"/>
        <w:autoSpaceDE w:val="0"/>
        <w:autoSpaceDN w:val="0"/>
        <w:adjustRightInd w:val="0"/>
        <w:spacing w:after="60"/>
        <w:ind w:left="720" w:hanging="720"/>
        <w:jc w:val="left"/>
        <w:rPr>
          <w:rFonts w:eastAsia="MS Mincho"/>
          <w:bCs/>
          <w:snapToGrid w:val="0"/>
          <w:color w:val="000000"/>
          <w:kern w:val="22"/>
          <w:szCs w:val="22"/>
          <w:lang w:val="ru-RU"/>
        </w:rPr>
      </w:pPr>
      <w:r w:rsidRPr="0088780C">
        <w:rPr>
          <w:rFonts w:eastAsia="MS Mincho"/>
          <w:bCs/>
          <w:snapToGrid w:val="0"/>
          <w:color w:val="000000"/>
          <w:kern w:val="22"/>
          <w:szCs w:val="22"/>
          <w:lang w:val="ru-RU"/>
        </w:rPr>
        <w:t>Гюль К.К. 1956</w:t>
      </w:r>
      <w:r w:rsidR="003E7157" w:rsidRPr="0088780C">
        <w:rPr>
          <w:rFonts w:eastAsia="MS Mincho"/>
          <w:bCs/>
          <w:snapToGrid w:val="0"/>
          <w:color w:val="000000"/>
          <w:kern w:val="22"/>
          <w:szCs w:val="22"/>
          <w:lang w:val="ru-RU"/>
        </w:rPr>
        <w:t>. Каспийское море. Баку. 328 с.</w:t>
      </w:r>
    </w:p>
    <w:p w14:paraId="68C52872" w14:textId="1C5ACAA0" w:rsidR="00A876F3" w:rsidRPr="0088780C" w:rsidRDefault="00A876F3" w:rsidP="003E7157">
      <w:pPr>
        <w:suppressLineNumbers/>
        <w:suppressAutoHyphens/>
        <w:kinsoku w:val="0"/>
        <w:overflowPunct w:val="0"/>
        <w:autoSpaceDE w:val="0"/>
        <w:autoSpaceDN w:val="0"/>
        <w:adjustRightInd w:val="0"/>
        <w:spacing w:after="60"/>
        <w:ind w:left="720" w:hanging="720"/>
        <w:jc w:val="left"/>
        <w:rPr>
          <w:rFonts w:eastAsia="MS Mincho"/>
          <w:bCs/>
          <w:snapToGrid w:val="0"/>
          <w:color w:val="000000"/>
          <w:kern w:val="22"/>
          <w:szCs w:val="22"/>
          <w:lang w:val="ru-RU"/>
        </w:rPr>
      </w:pPr>
      <w:r w:rsidRPr="0088780C">
        <w:rPr>
          <w:rFonts w:eastAsia="MS Mincho"/>
          <w:bCs/>
          <w:snapToGrid w:val="0"/>
          <w:color w:val="000000"/>
          <w:kern w:val="22"/>
          <w:szCs w:val="22"/>
          <w:lang w:val="ru-RU"/>
        </w:rPr>
        <w:t>Дерягин В.А. 1977. Каспий, его прошлое, настоящее и будущее (краткий историко-географический оче</w:t>
      </w:r>
      <w:r w:rsidR="003E7157" w:rsidRPr="0088780C">
        <w:rPr>
          <w:rFonts w:eastAsia="MS Mincho"/>
          <w:bCs/>
          <w:snapToGrid w:val="0"/>
          <w:color w:val="000000"/>
          <w:kern w:val="22"/>
          <w:szCs w:val="22"/>
          <w:lang w:val="ru-RU"/>
        </w:rPr>
        <w:t>рк). Баку. 115 с.</w:t>
      </w:r>
    </w:p>
    <w:p w14:paraId="6EAD9167" w14:textId="77777777" w:rsidR="00A876F3" w:rsidRPr="0088780C" w:rsidRDefault="00A876F3" w:rsidP="003E7157">
      <w:pPr>
        <w:suppressLineNumbers/>
        <w:suppressAutoHyphens/>
        <w:kinsoku w:val="0"/>
        <w:overflowPunct w:val="0"/>
        <w:autoSpaceDE w:val="0"/>
        <w:autoSpaceDN w:val="0"/>
        <w:adjustRightInd w:val="0"/>
        <w:spacing w:after="60"/>
        <w:ind w:left="720" w:hanging="720"/>
        <w:jc w:val="left"/>
        <w:rPr>
          <w:rFonts w:eastAsia="MS Mincho"/>
          <w:bCs/>
          <w:snapToGrid w:val="0"/>
          <w:color w:val="000000"/>
          <w:kern w:val="22"/>
          <w:szCs w:val="22"/>
          <w:lang w:val="ru-RU"/>
        </w:rPr>
      </w:pPr>
      <w:r w:rsidRPr="0088780C">
        <w:rPr>
          <w:rFonts w:eastAsia="MS Mincho"/>
          <w:bCs/>
          <w:snapToGrid w:val="0"/>
          <w:color w:val="000000"/>
          <w:kern w:val="22"/>
          <w:szCs w:val="22"/>
          <w:lang w:val="ru-RU"/>
        </w:rPr>
        <w:t>Зонн И.С. 2004. Каспийская энциклопедия. М.: Международные отношения. 461 с.</w:t>
      </w:r>
    </w:p>
    <w:p w14:paraId="13AFFD27" w14:textId="77777777" w:rsidR="00A876F3" w:rsidRPr="0088780C" w:rsidRDefault="00A876F3" w:rsidP="003E7157">
      <w:pPr>
        <w:suppressLineNumbers/>
        <w:suppressAutoHyphens/>
        <w:kinsoku w:val="0"/>
        <w:overflowPunct w:val="0"/>
        <w:autoSpaceDE w:val="0"/>
        <w:autoSpaceDN w:val="0"/>
        <w:adjustRightInd w:val="0"/>
        <w:spacing w:after="60"/>
        <w:ind w:left="720" w:hanging="720"/>
        <w:jc w:val="left"/>
        <w:rPr>
          <w:rFonts w:eastAsia="MS Mincho"/>
          <w:bCs/>
          <w:snapToGrid w:val="0"/>
          <w:color w:val="000000"/>
          <w:kern w:val="22"/>
          <w:szCs w:val="22"/>
          <w:lang w:val="ru-RU"/>
        </w:rPr>
      </w:pPr>
      <w:r w:rsidRPr="0088780C">
        <w:rPr>
          <w:rFonts w:eastAsia="MS Mincho"/>
          <w:bCs/>
          <w:snapToGrid w:val="0"/>
          <w:color w:val="000000"/>
          <w:kern w:val="22"/>
          <w:szCs w:val="22"/>
          <w:lang w:val="ru-RU"/>
        </w:rPr>
        <w:t>Касымов А.Г. 1987. Каспийское море. Л.: Гидрометиоиздат. 157 с.</w:t>
      </w:r>
    </w:p>
    <w:p w14:paraId="618F87D3" w14:textId="77777777" w:rsidR="00A876F3" w:rsidRPr="0088780C" w:rsidRDefault="00A876F3" w:rsidP="003E7157">
      <w:pPr>
        <w:suppressLineNumbers/>
        <w:suppressAutoHyphens/>
        <w:kinsoku w:val="0"/>
        <w:overflowPunct w:val="0"/>
        <w:autoSpaceDE w:val="0"/>
        <w:autoSpaceDN w:val="0"/>
        <w:adjustRightInd w:val="0"/>
        <w:spacing w:after="60"/>
        <w:ind w:left="720" w:hanging="720"/>
        <w:jc w:val="left"/>
        <w:rPr>
          <w:rFonts w:eastAsia="MS Mincho"/>
          <w:bCs/>
          <w:snapToGrid w:val="0"/>
          <w:color w:val="000000"/>
          <w:kern w:val="22"/>
          <w:szCs w:val="22"/>
          <w:lang w:val="ru-RU"/>
        </w:rPr>
      </w:pPr>
      <w:r w:rsidRPr="0088780C">
        <w:rPr>
          <w:rFonts w:eastAsia="MS Mincho"/>
          <w:bCs/>
          <w:snapToGrid w:val="0"/>
          <w:color w:val="000000"/>
          <w:kern w:val="22"/>
          <w:szCs w:val="22"/>
          <w:lang w:val="ru-RU"/>
        </w:rPr>
        <w:t xml:space="preserve">Красная книга Туркменистана. 2011. </w:t>
      </w:r>
      <w:r w:rsidRPr="0088780C">
        <w:rPr>
          <w:rFonts w:eastAsia="Times New Roman"/>
          <w:snapToGrid w:val="0"/>
          <w:color w:val="000000"/>
          <w:kern w:val="22"/>
          <w:szCs w:val="22"/>
          <w:lang w:val="ru-RU" w:eastAsia="ru-RU"/>
        </w:rPr>
        <w:t>Т.2. Беспозвоночные и позвоночные животные. Изд.3-е, перераб. и доп. Ашхабад: Ылым. 384 с.</w:t>
      </w:r>
    </w:p>
    <w:p w14:paraId="5A5A8E81" w14:textId="397CF468" w:rsidR="00A876F3" w:rsidRPr="0088780C" w:rsidRDefault="00A876F3" w:rsidP="003E7157">
      <w:pPr>
        <w:suppressLineNumbers/>
        <w:suppressAutoHyphens/>
        <w:kinsoku w:val="0"/>
        <w:overflowPunct w:val="0"/>
        <w:autoSpaceDE w:val="0"/>
        <w:autoSpaceDN w:val="0"/>
        <w:adjustRightInd w:val="0"/>
        <w:spacing w:after="60"/>
        <w:ind w:left="720" w:hanging="720"/>
        <w:jc w:val="left"/>
        <w:rPr>
          <w:rFonts w:eastAsia="MS Mincho"/>
          <w:bCs/>
          <w:snapToGrid w:val="0"/>
          <w:color w:val="000000"/>
          <w:kern w:val="22"/>
          <w:szCs w:val="22"/>
          <w:lang w:val="ru-RU"/>
        </w:rPr>
      </w:pPr>
      <w:r w:rsidRPr="0088780C">
        <w:rPr>
          <w:rFonts w:eastAsia="MS Mincho"/>
          <w:bCs/>
          <w:snapToGrid w:val="0"/>
          <w:color w:val="000000"/>
          <w:kern w:val="22"/>
          <w:szCs w:val="22"/>
          <w:lang w:val="ru-RU"/>
        </w:rPr>
        <w:t>Рустамов Э.А., Щербина А.А. 2009. Гарабогаз // Ключевые орнитологические территории Туркмен</w:t>
      </w:r>
      <w:r w:rsidR="003E7157" w:rsidRPr="0088780C">
        <w:rPr>
          <w:rFonts w:eastAsia="MS Mincho"/>
          <w:bCs/>
          <w:snapToGrid w:val="0"/>
          <w:color w:val="000000"/>
          <w:kern w:val="22"/>
          <w:szCs w:val="22"/>
          <w:lang w:val="ru-RU"/>
        </w:rPr>
        <w:t>истана. Ашхабад: МОП. С.74-76.</w:t>
      </w:r>
    </w:p>
    <w:p w14:paraId="5F19D76F" w14:textId="2B39C6B4" w:rsidR="00A876F3" w:rsidRPr="0088780C" w:rsidRDefault="00A876F3" w:rsidP="003E7157">
      <w:pPr>
        <w:suppressLineNumbers/>
        <w:suppressAutoHyphens/>
        <w:kinsoku w:val="0"/>
        <w:overflowPunct w:val="0"/>
        <w:autoSpaceDE w:val="0"/>
        <w:autoSpaceDN w:val="0"/>
        <w:adjustRightInd w:val="0"/>
        <w:spacing w:after="60"/>
        <w:ind w:left="720" w:hanging="720"/>
        <w:jc w:val="left"/>
        <w:rPr>
          <w:rFonts w:eastAsia="MS Mincho"/>
          <w:bCs/>
          <w:snapToGrid w:val="0"/>
          <w:color w:val="000000"/>
          <w:kern w:val="22"/>
          <w:szCs w:val="22"/>
          <w:lang w:val="ru-RU"/>
        </w:rPr>
      </w:pPr>
      <w:r w:rsidRPr="0088780C">
        <w:rPr>
          <w:rFonts w:eastAsia="MS Mincho"/>
          <w:bCs/>
          <w:snapToGrid w:val="0"/>
          <w:color w:val="000000"/>
          <w:kern w:val="22"/>
          <w:szCs w:val="22"/>
          <w:lang w:val="ru-RU"/>
        </w:rPr>
        <w:t>Щербина А.А. 1979. Новые данные по гнездовой фауне колониальных и околоводных птиц островов Кара-Богаз-Гола // Природная среда и птицы побережий Каспийского моря и прилежащих низменностей / Труды Кызыл-Агачского гос. зап. Вы</w:t>
      </w:r>
      <w:r w:rsidR="003E7157" w:rsidRPr="0088780C">
        <w:rPr>
          <w:rFonts w:eastAsia="MS Mincho"/>
          <w:bCs/>
          <w:snapToGrid w:val="0"/>
          <w:color w:val="000000"/>
          <w:kern w:val="22"/>
          <w:szCs w:val="22"/>
          <w:lang w:val="ru-RU"/>
        </w:rPr>
        <w:t>п. I. Баку: Азернешр. С.89-100.</w:t>
      </w:r>
    </w:p>
    <w:p w14:paraId="7D6A9EBA"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rFonts w:eastAsia="MS Mincho"/>
          <w:b/>
          <w:snapToGrid w:val="0"/>
          <w:color w:val="000000" w:themeColor="text1"/>
          <w:kern w:val="22"/>
          <w:szCs w:val="22"/>
        </w:rPr>
        <w:br w:type="page"/>
      </w:r>
    </w:p>
    <w:p w14:paraId="7E584ADD"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rFonts w:eastAsia="MS Mincho"/>
          <w:b/>
          <w:snapToGrid w:val="0"/>
          <w:color w:val="000000" w:themeColor="text1"/>
          <w:kern w:val="22"/>
          <w:szCs w:val="22"/>
        </w:rPr>
        <w:t>Maps and Figures</w:t>
      </w:r>
    </w:p>
    <w:p w14:paraId="1C3D05E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C1783D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D29E00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20158ABA" wp14:editId="7577B68B">
            <wp:extent cx="5486400" cy="4572000"/>
            <wp:effectExtent l="0" t="0" r="0" b="0"/>
            <wp:docPr id="4127" name="Picture 4127" descr="C:\Users\grekin\AppData\Local\Microsoft\Windows\Temporary Internet Files\Content.Word\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rekin\AppData\Local\Microsoft\Windows\Temporary Internet Files\Content.Word\22.png"/>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2A83DEA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 1. Area meeting the EBSA criteria</w:t>
      </w:r>
    </w:p>
    <w:p w14:paraId="2002A243" w14:textId="43C9650B" w:rsidR="00A543DD" w:rsidRPr="0088780C" w:rsidRDefault="00A543DD">
      <w:pPr>
        <w:jc w:val="left"/>
        <w:rPr>
          <w:rFonts w:eastAsia="MS Mincho"/>
          <w:b/>
          <w:snapToGrid w:val="0"/>
          <w:kern w:val="22"/>
          <w:szCs w:val="22"/>
        </w:rPr>
      </w:pPr>
      <w:r w:rsidRPr="0088780C">
        <w:rPr>
          <w:rFonts w:eastAsia="MS Mincho"/>
          <w:b/>
          <w:snapToGrid w:val="0"/>
          <w:kern w:val="22"/>
          <w:szCs w:val="22"/>
        </w:rPr>
        <w:br w:type="page"/>
      </w:r>
    </w:p>
    <w:p w14:paraId="79F735AD" w14:textId="77777777" w:rsidR="00A543DD" w:rsidRPr="0088780C" w:rsidRDefault="00A543DD">
      <w:pPr>
        <w:jc w:val="left"/>
        <w:rPr>
          <w:rFonts w:eastAsia="MS Mincho"/>
          <w:b/>
          <w:snapToGrid w:val="0"/>
          <w:kern w:val="22"/>
          <w:szCs w:val="22"/>
        </w:rPr>
      </w:pPr>
    </w:p>
    <w:p w14:paraId="1BD32343" w14:textId="77777777" w:rsidR="00A543DD" w:rsidRPr="0088780C" w:rsidRDefault="00A543DD">
      <w:pPr>
        <w:jc w:val="left"/>
        <w:rPr>
          <w:rFonts w:eastAsia="MS Mincho"/>
          <w:b/>
          <w:snapToGrid w:val="0"/>
          <w:kern w:val="22"/>
          <w:szCs w:val="22"/>
        </w:rPr>
      </w:pPr>
    </w:p>
    <w:p w14:paraId="2017B12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0CA2DC73" wp14:editId="5EEFD542">
            <wp:extent cx="6002448" cy="4001632"/>
            <wp:effectExtent l="0" t="0" r="0" b="0"/>
            <wp:docPr id="64516" name="Рисунок 1" descr="C:\Users\user7\Desktop\EBSA WS_BAKU_2017\updated files\Для презентации\Карабогазгол\IMG 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7\Desktop\EBSA WS_BAKU_2017\updated files\Для презентации\Карабогазгол\IMG 120.jpg"/>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6048558" cy="4032372"/>
                    </a:xfrm>
                    <a:prstGeom prst="rect">
                      <a:avLst/>
                    </a:prstGeom>
                    <a:noFill/>
                    <a:ln>
                      <a:noFill/>
                    </a:ln>
                  </pic:spPr>
                </pic:pic>
              </a:graphicData>
            </a:graphic>
          </wp:inline>
        </w:drawing>
      </w:r>
    </w:p>
    <w:p w14:paraId="0DFC8D19" w14:textId="77777777" w:rsidR="00A543DD" w:rsidRPr="0088780C" w:rsidRDefault="00A543DD" w:rsidP="001013AF">
      <w:pPr>
        <w:suppressLineNumbers/>
        <w:suppressAutoHyphens/>
        <w:kinsoku w:val="0"/>
        <w:overflowPunct w:val="0"/>
        <w:autoSpaceDE w:val="0"/>
        <w:autoSpaceDN w:val="0"/>
        <w:rPr>
          <w:rFonts w:eastAsia="MS Mincho"/>
          <w:b/>
          <w:snapToGrid w:val="0"/>
          <w:kern w:val="22"/>
          <w:szCs w:val="22"/>
        </w:rPr>
      </w:pPr>
    </w:p>
    <w:p w14:paraId="47F392E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 2. Bridge across the Karabogazgol Strait (Photo: Eldar Rustamov)</w:t>
      </w:r>
    </w:p>
    <w:p w14:paraId="6656DC03" w14:textId="5B32C572" w:rsidR="00A543DD" w:rsidRPr="0088780C" w:rsidRDefault="00A543DD">
      <w:pPr>
        <w:jc w:val="left"/>
        <w:rPr>
          <w:rFonts w:eastAsia="MS Mincho"/>
          <w:b/>
          <w:snapToGrid w:val="0"/>
          <w:kern w:val="22"/>
          <w:szCs w:val="22"/>
        </w:rPr>
      </w:pPr>
      <w:r w:rsidRPr="0088780C">
        <w:rPr>
          <w:rFonts w:eastAsia="MS Mincho"/>
          <w:b/>
          <w:snapToGrid w:val="0"/>
          <w:kern w:val="22"/>
          <w:szCs w:val="22"/>
        </w:rPr>
        <w:br w:type="page"/>
      </w:r>
    </w:p>
    <w:p w14:paraId="45CD8F1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D435F3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31D528A2" wp14:editId="598498A8">
            <wp:extent cx="6152515" cy="4101677"/>
            <wp:effectExtent l="0" t="0" r="635" b="0"/>
            <wp:docPr id="64517" name="Рисунок 2" descr="C:\Users\user7\Desktop\EBSA WS_BAKU_2017\updated files\Для презентации\Карабогазгол\IMG 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7\Desktop\EBSA WS_BAKU_2017\updated files\Для презентации\Карабогазгол\IMG 123.jpg"/>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6152515" cy="4101677"/>
                    </a:xfrm>
                    <a:prstGeom prst="rect">
                      <a:avLst/>
                    </a:prstGeom>
                    <a:noFill/>
                    <a:ln>
                      <a:noFill/>
                    </a:ln>
                  </pic:spPr>
                </pic:pic>
              </a:graphicData>
            </a:graphic>
          </wp:inline>
        </w:drawing>
      </w:r>
    </w:p>
    <w:p w14:paraId="0CA8B20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3EC353D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 3. Power lines across the Karabogazgol Strait (Photo: Eldar Rustamov)</w:t>
      </w:r>
    </w:p>
    <w:p w14:paraId="66755FD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3FEB708F" w14:textId="0157968D" w:rsidR="00A876F3" w:rsidRPr="0088780C" w:rsidRDefault="00A543DD" w:rsidP="001013AF">
      <w:pPr>
        <w:suppressLineNumbers/>
        <w:suppressAutoHyphens/>
        <w:kinsoku w:val="0"/>
        <w:overflowPunct w:val="0"/>
        <w:autoSpaceDE w:val="0"/>
        <w:autoSpaceDN w:val="0"/>
        <w:rPr>
          <w:rFonts w:eastAsia="MS Mincho"/>
          <w:bCs/>
          <w:i/>
          <w:iCs/>
          <w:snapToGrid w:val="0"/>
          <w:kern w:val="22"/>
          <w:szCs w:val="22"/>
        </w:rPr>
      </w:pPr>
      <w:r w:rsidRPr="0088780C">
        <w:rPr>
          <w:rFonts w:eastAsia="MS Mincho"/>
          <w:bCs/>
          <w:i/>
          <w:iCs/>
          <w:snapToGrid w:val="0"/>
          <w:kern w:val="22"/>
          <w:szCs w:val="22"/>
        </w:rPr>
        <w:t>Rights and permissions</w:t>
      </w:r>
    </w:p>
    <w:p w14:paraId="4649FE88" w14:textId="1CA057E3"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Among references, pr</w:t>
      </w:r>
      <w:r w:rsidR="00A543DD" w:rsidRPr="0088780C">
        <w:rPr>
          <w:rFonts w:eastAsia="MS Mincho"/>
          <w:snapToGrid w:val="0"/>
          <w:kern w:val="22"/>
          <w:szCs w:val="22"/>
        </w:rPr>
        <w:t>ivate data of authors are used.</w:t>
      </w:r>
    </w:p>
    <w:p w14:paraId="4E584FAE" w14:textId="2CF5AEDA" w:rsidR="00A543DD" w:rsidRPr="0088780C" w:rsidRDefault="00A543DD">
      <w:pPr>
        <w:jc w:val="left"/>
        <w:rPr>
          <w:rFonts w:eastAsia="MS Mincho"/>
          <w:snapToGrid w:val="0"/>
          <w:kern w:val="22"/>
          <w:szCs w:val="22"/>
        </w:rPr>
      </w:pPr>
      <w:r w:rsidRPr="0088780C">
        <w:rPr>
          <w:rFonts w:eastAsia="MS Mincho"/>
          <w:snapToGrid w:val="0"/>
          <w:kern w:val="22"/>
          <w:szCs w:val="22"/>
        </w:rPr>
        <w:br w:type="page"/>
      </w:r>
    </w:p>
    <w:p w14:paraId="1FB6866B" w14:textId="45AF5212"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23: Turkmenbashi Gulf</w:t>
      </w:r>
    </w:p>
    <w:p w14:paraId="384F76A3" w14:textId="77777777" w:rsidR="00A876F3" w:rsidRPr="0088780C" w:rsidRDefault="00A876F3" w:rsidP="001013AF">
      <w:pPr>
        <w:suppressLineNumbers/>
        <w:shd w:val="clear" w:color="auto" w:fill="FFFFFF"/>
        <w:suppressAutoHyphens/>
        <w:kinsoku w:val="0"/>
        <w:overflowPunct w:val="0"/>
        <w:autoSpaceDE w:val="0"/>
        <w:autoSpaceDN w:val="0"/>
        <w:adjustRightInd w:val="0"/>
        <w:rPr>
          <w:rFonts w:eastAsia="MS Mincho"/>
          <w:b/>
          <w:snapToGrid w:val="0"/>
          <w:kern w:val="22"/>
          <w:szCs w:val="22"/>
        </w:rPr>
      </w:pPr>
    </w:p>
    <w:p w14:paraId="5B8714CB" w14:textId="77777777" w:rsidR="00A876F3" w:rsidRPr="0088780C" w:rsidRDefault="00A876F3" w:rsidP="001013AF">
      <w:pPr>
        <w:suppressLineNumbers/>
        <w:shd w:val="clear" w:color="auto" w:fill="FFFFFF"/>
        <w:suppressAutoHyphens/>
        <w:kinsoku w:val="0"/>
        <w:overflowPunct w:val="0"/>
        <w:autoSpaceDE w:val="0"/>
        <w:autoSpaceDN w:val="0"/>
        <w:adjustRightInd w:val="0"/>
        <w:rPr>
          <w:rFonts w:eastAsia="MS Mincho"/>
          <w:b/>
          <w:snapToGrid w:val="0"/>
          <w:kern w:val="22"/>
          <w:szCs w:val="22"/>
        </w:rPr>
      </w:pPr>
      <w:r w:rsidRPr="0088780C">
        <w:rPr>
          <w:rFonts w:eastAsia="MS Mincho"/>
          <w:b/>
          <w:snapToGrid w:val="0"/>
          <w:kern w:val="22"/>
          <w:szCs w:val="22"/>
        </w:rPr>
        <w:t>Abstract</w:t>
      </w:r>
    </w:p>
    <w:p w14:paraId="683597D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snapToGrid w:val="0"/>
          <w:kern w:val="22"/>
          <w:szCs w:val="22"/>
        </w:rPr>
        <w:t>As of 1968, Turkmenbashi Gulf, including Balhan, Northern-Cheleken, Mihajlovsky and other small bays, which is the site of mass winterings and migrations of waterbirds, has been part of Krasnovodsk (now known as Hazar) State Nature Reserve. Hazar State Nature Reserve is the main part of Turkmenbashi Gulf. It is a Ramsar Site and an Important Bird and Biodiversity Area (IBA, BirdLife International). Its biodiversity includes invertebrates and vertebrates (fishes, birds, mammals), including species listed in the Red Data Book of Turkmenistan</w:t>
      </w:r>
      <w:r w:rsidRPr="0088780C">
        <w:rPr>
          <w:rFonts w:eastAsia="MS Mincho"/>
          <w:bCs/>
          <w:snapToGrid w:val="0"/>
          <w:color w:val="000000"/>
          <w:kern w:val="22"/>
          <w:szCs w:val="22"/>
        </w:rPr>
        <w:t>.</w:t>
      </w:r>
    </w:p>
    <w:p w14:paraId="6B0E3897"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1B9DE8E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Introduction</w:t>
      </w:r>
    </w:p>
    <w:p w14:paraId="13FBA222" w14:textId="5921718B"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both"/>
        <w:rPr>
          <w:rFonts w:eastAsiaTheme="minorHAnsi"/>
          <w:snapToGrid w:val="0"/>
          <w:kern w:val="22"/>
          <w:sz w:val="22"/>
          <w:szCs w:val="22"/>
          <w:lang w:val="en-GB"/>
        </w:rPr>
      </w:pPr>
      <w:r w:rsidRPr="0088780C">
        <w:rPr>
          <w:rFonts w:eastAsiaTheme="minorHAnsi"/>
          <w:snapToGrid w:val="0"/>
          <w:kern w:val="22"/>
          <w:sz w:val="22"/>
          <w:szCs w:val="22"/>
          <w:lang w:val="en-GB"/>
        </w:rPr>
        <w:t xml:space="preserve">The Gulf encompasses several bays on the Caspian Sea: Turkmenbashi, Balkan, North-Cheleken, Mihailovsky and Soymonov bays, which are separated from the open sea by Krasnovodskiy and North-Cheleken spits. The north of the territory is limited by ledges of the Krasnovodskiy plateau, in the south by the Cheleken peninsula, and in the northeast by the Dardzha peninsula. The relief of the Gulf can be divided into three basic components: </w:t>
      </w:r>
      <w:r w:rsidR="0050581B" w:rsidRPr="0088780C">
        <w:rPr>
          <w:rFonts w:eastAsiaTheme="minorHAnsi"/>
          <w:snapToGrid w:val="0"/>
          <w:kern w:val="22"/>
          <w:sz w:val="22"/>
          <w:szCs w:val="22"/>
          <w:lang w:val="en-GB"/>
        </w:rPr>
        <w:t>(</w:t>
      </w:r>
      <w:r w:rsidRPr="0088780C">
        <w:rPr>
          <w:rFonts w:eastAsiaTheme="minorHAnsi"/>
          <w:snapToGrid w:val="0"/>
          <w:kern w:val="22"/>
          <w:sz w:val="22"/>
          <w:szCs w:val="22"/>
          <w:lang w:val="en-GB"/>
        </w:rPr>
        <w:t xml:space="preserve">a) shallow brackish bays having open access to each other and separated from the sea by sandy spits; </w:t>
      </w:r>
      <w:r w:rsidR="0050581B" w:rsidRPr="0088780C">
        <w:rPr>
          <w:rFonts w:eastAsiaTheme="minorHAnsi"/>
          <w:snapToGrid w:val="0"/>
          <w:kern w:val="22"/>
          <w:sz w:val="22"/>
          <w:szCs w:val="22"/>
          <w:lang w:val="en-GB"/>
        </w:rPr>
        <w:t>(</w:t>
      </w:r>
      <w:r w:rsidRPr="0088780C">
        <w:rPr>
          <w:rFonts w:eastAsiaTheme="minorHAnsi"/>
          <w:snapToGrid w:val="0"/>
          <w:kern w:val="22"/>
          <w:sz w:val="22"/>
          <w:szCs w:val="22"/>
          <w:lang w:val="en-GB"/>
        </w:rPr>
        <w:t xml:space="preserve">b) sandy-shelly spits, islands and dunes, overgrown with halophytes; </w:t>
      </w:r>
      <w:r w:rsidR="0050581B" w:rsidRPr="0088780C">
        <w:rPr>
          <w:rFonts w:eastAsiaTheme="minorHAnsi"/>
          <w:snapToGrid w:val="0"/>
          <w:kern w:val="22"/>
          <w:sz w:val="22"/>
          <w:szCs w:val="22"/>
          <w:lang w:val="en-GB"/>
        </w:rPr>
        <w:t>(</w:t>
      </w:r>
      <w:r w:rsidRPr="0088780C">
        <w:rPr>
          <w:rFonts w:eastAsiaTheme="minorHAnsi"/>
          <w:snapToGrid w:val="0"/>
          <w:kern w:val="22"/>
          <w:sz w:val="22"/>
          <w:szCs w:val="22"/>
          <w:lang w:val="en-GB"/>
        </w:rPr>
        <w:t>c) stony islands in Balkan Bay, including the largest, Dagada. Alongside favourable natural processes that have increased the area of wetlands over the last 10 years, anthropogenic factors have also strongly increased: pollution due to oil extraction and disturbance (Гюль, 1956; Дерягин, 1977; Зонн, 2004; Зонн, Жильцов, 2004; Касымов, 1987). Illegal hunting of a significant proportion of the wintering and migrating waterfowl and</w:t>
      </w:r>
      <w:r w:rsidR="0050581B" w:rsidRPr="0088780C">
        <w:rPr>
          <w:rFonts w:eastAsiaTheme="minorHAnsi"/>
          <w:snapToGrid w:val="0"/>
          <w:kern w:val="22"/>
          <w:sz w:val="22"/>
          <w:szCs w:val="22"/>
          <w:lang w:val="en-GB"/>
        </w:rPr>
        <w:t xml:space="preserve"> waterbirds has also increased.</w:t>
      </w:r>
    </w:p>
    <w:p w14:paraId="3787B424"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6C168EF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Location</w:t>
      </w:r>
    </w:p>
    <w:p w14:paraId="38784572" w14:textId="71EC5E65"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Turkmenbashi Gulf is on the east coast of the Caspian Sea. It is connected on the </w:t>
      </w:r>
      <w:r w:rsidR="00C656A2" w:rsidRPr="0088780C">
        <w:rPr>
          <w:snapToGrid w:val="0"/>
          <w:kern w:val="22"/>
          <w:szCs w:val="22"/>
        </w:rPr>
        <w:t>north-west</w:t>
      </w:r>
      <w:r w:rsidRPr="0088780C">
        <w:rPr>
          <w:snapToGrid w:val="0"/>
          <w:kern w:val="22"/>
          <w:szCs w:val="22"/>
        </w:rPr>
        <w:t xml:space="preserve"> to Sojmonova Bay. Geographical coordinates: centroid </w:t>
      </w:r>
      <w:r w:rsidRPr="0088780C">
        <w:rPr>
          <w:rStyle w:val="s1"/>
          <w:snapToGrid w:val="0"/>
          <w:kern w:val="22"/>
          <w:szCs w:val="22"/>
        </w:rPr>
        <w:t>39.792556N, 53.310004E.</w:t>
      </w:r>
      <w:r w:rsidRPr="0088780C">
        <w:rPr>
          <w:snapToGrid w:val="0"/>
          <w:kern w:val="22"/>
          <w:szCs w:val="22"/>
        </w:rPr>
        <w:t xml:space="preserve"> Total area of this site is 2203 km</w:t>
      </w:r>
      <w:r w:rsidRPr="0088780C">
        <w:rPr>
          <w:snapToGrid w:val="0"/>
          <w:kern w:val="22"/>
          <w:szCs w:val="22"/>
          <w:vertAlign w:val="superscript"/>
        </w:rPr>
        <w:t>2</w:t>
      </w:r>
      <w:r w:rsidRPr="0088780C">
        <w:rPr>
          <w:snapToGrid w:val="0"/>
          <w:kern w:val="22"/>
          <w:szCs w:val="22"/>
        </w:rPr>
        <w:t>.</w:t>
      </w:r>
    </w:p>
    <w:p w14:paraId="790CEF77"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04BAC4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721C158C" w14:textId="01284944"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Hazar State Nature Reserve has covered most of Turkmenbashi Gulf since 1968. In 2009 all this territory (Turkmenbashi Gulf) became a Ramsar Site, </w:t>
      </w:r>
      <w:r w:rsidR="00D8482D" w:rsidRPr="0088780C">
        <w:rPr>
          <w:snapToGrid w:val="0"/>
          <w:kern w:val="22"/>
          <w:szCs w:val="22"/>
        </w:rPr>
        <w:t>“</w:t>
      </w:r>
      <w:r w:rsidRPr="0088780C">
        <w:rPr>
          <w:snapToGrid w:val="0"/>
          <w:kern w:val="22"/>
          <w:szCs w:val="22"/>
        </w:rPr>
        <w:t>Turkmenbashy Bay</w:t>
      </w:r>
      <w:r w:rsidR="00D8482D" w:rsidRPr="0088780C">
        <w:rPr>
          <w:snapToGrid w:val="0"/>
          <w:kern w:val="22"/>
          <w:szCs w:val="22"/>
        </w:rPr>
        <w:t>”</w:t>
      </w:r>
      <w:r w:rsidRPr="0088780C">
        <w:rPr>
          <w:snapToGrid w:val="0"/>
          <w:kern w:val="22"/>
          <w:szCs w:val="22"/>
        </w:rPr>
        <w:t xml:space="preserve">, with total area of 267124 hectares. Turkmenbashi Gulf is identified by BirdLife International as </w:t>
      </w:r>
      <w:r w:rsidR="00D8482D" w:rsidRPr="0088780C">
        <w:rPr>
          <w:snapToGrid w:val="0"/>
          <w:kern w:val="22"/>
          <w:szCs w:val="22"/>
        </w:rPr>
        <w:t>“</w:t>
      </w:r>
      <w:r w:rsidRPr="0088780C">
        <w:rPr>
          <w:snapToGrid w:val="0"/>
          <w:kern w:val="22"/>
          <w:szCs w:val="22"/>
        </w:rPr>
        <w:t>Turkmen Bay</w:t>
      </w:r>
      <w:r w:rsidR="00D8482D" w:rsidRPr="0088780C">
        <w:rPr>
          <w:snapToGrid w:val="0"/>
          <w:kern w:val="22"/>
          <w:szCs w:val="22"/>
        </w:rPr>
        <w:t>”</w:t>
      </w:r>
      <w:r w:rsidRPr="0088780C">
        <w:rPr>
          <w:snapToGrid w:val="0"/>
          <w:kern w:val="22"/>
          <w:szCs w:val="22"/>
        </w:rPr>
        <w:t xml:space="preserve"> Important Bird and Biodiversity Area (IBA) (Рустамов, Гаузер, 2009).</w:t>
      </w:r>
    </w:p>
    <w:p w14:paraId="3A739732"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7F7C1A46" w14:textId="262289AD" w:rsidR="00A876F3" w:rsidRPr="0088780C" w:rsidRDefault="00A876F3" w:rsidP="00795D71">
      <w:pPr>
        <w:suppressLineNumbers/>
        <w:tabs>
          <w:tab w:val="left" w:pos="4367"/>
        </w:tabs>
        <w:suppressAutoHyphens/>
        <w:kinsoku w:val="0"/>
        <w:overflowPunct w:val="0"/>
        <w:autoSpaceDE w:val="0"/>
        <w:autoSpaceDN w:val="0"/>
        <w:adjustRightInd w:val="0"/>
        <w:rPr>
          <w:snapToGrid w:val="0"/>
          <w:kern w:val="22"/>
          <w:szCs w:val="22"/>
        </w:rPr>
      </w:pPr>
      <w:r w:rsidRPr="0088780C">
        <w:rPr>
          <w:snapToGrid w:val="0"/>
          <w:kern w:val="22"/>
          <w:szCs w:val="22"/>
        </w:rPr>
        <w:t>The site’s biodiversity consists almost entirely of seaweeds. It comprisesshallow water areas with maximum depths of 8-10,4 m.The seaweed is present in unicellular, colonial and multicellular forms (more than 200 species). Their biomass ranges from 100 to 1500 mg/m</w:t>
      </w:r>
      <w:r w:rsidRPr="0088780C">
        <w:rPr>
          <w:snapToGrid w:val="0"/>
          <w:kern w:val="22"/>
          <w:szCs w:val="22"/>
          <w:vertAlign w:val="superscript"/>
        </w:rPr>
        <w:t>3</w:t>
      </w:r>
      <w:r w:rsidRPr="0088780C">
        <w:rPr>
          <w:snapToGrid w:val="0"/>
          <w:kern w:val="22"/>
          <w:szCs w:val="22"/>
        </w:rPr>
        <w:t>, and sometimes more, a mid-annual biomass of plankton seaweed 1g/m</w:t>
      </w:r>
      <w:r w:rsidRPr="0088780C">
        <w:rPr>
          <w:snapToGrid w:val="0"/>
          <w:kern w:val="22"/>
          <w:szCs w:val="22"/>
          <w:vertAlign w:val="superscript"/>
        </w:rPr>
        <w:t>3</w:t>
      </w:r>
      <w:r w:rsidRPr="0088780C">
        <w:rPr>
          <w:snapToGrid w:val="0"/>
          <w:kern w:val="22"/>
          <w:szCs w:val="22"/>
        </w:rPr>
        <w:t>. In benthos and periphiton (70 species) seaweed macrophitos (57 species) prevail, extending at depths to 40 m and show strong development to 20 m depth. The general efficiency of biomass microphitos, having development seasonal cycles, is estimated at approximately 750 000 tonnes/year. The higher plants</w:t>
      </w:r>
      <w:r w:rsidR="00795D71" w:rsidRPr="0088780C">
        <w:rPr>
          <w:snapToGrid w:val="0"/>
          <w:kern w:val="22"/>
          <w:szCs w:val="22"/>
        </w:rPr>
        <w:t xml:space="preserve"> </w:t>
      </w:r>
      <w:r w:rsidRPr="0088780C">
        <w:rPr>
          <w:snapToGrid w:val="0"/>
          <w:kern w:val="22"/>
          <w:szCs w:val="22"/>
        </w:rPr>
        <w:t xml:space="preserve">(five species) grow on sandy soils of the coastal zone on depths to 6,0 m. The general biomass of the higher plants is at least 600 000tonnes/year. The list of marine invertebrates totals more than 1200 species belonging to 30 taxa </w:t>
      </w:r>
      <w:r w:rsidRPr="0088780C">
        <w:rPr>
          <w:rFonts w:eastAsia="MS Mincho"/>
          <w:bCs/>
          <w:snapToGrid w:val="0"/>
          <w:color w:val="000000"/>
          <w:kern w:val="22"/>
          <w:szCs w:val="22"/>
        </w:rPr>
        <w:t>(</w:t>
      </w:r>
      <w:r w:rsidRPr="0088780C">
        <w:rPr>
          <w:rFonts w:eastAsia="MS Mincho"/>
          <w:bCs/>
          <w:snapToGrid w:val="0"/>
          <w:color w:val="000000"/>
          <w:kern w:val="22"/>
          <w:szCs w:val="22"/>
          <w:lang w:val="ru-RU"/>
        </w:rPr>
        <w:t>Прошкина-Лавренко, Макарова, 1968; Киреева, Щапова, 1957; Бобров, 1959; Забержинская, 1974; Блинова, Филлипов, 1975</w:t>
      </w:r>
      <w:r w:rsidRPr="0088780C">
        <w:rPr>
          <w:rFonts w:eastAsia="MS Mincho"/>
          <w:bCs/>
          <w:snapToGrid w:val="0"/>
          <w:color w:val="000000"/>
          <w:kern w:val="22"/>
          <w:szCs w:val="22"/>
        </w:rPr>
        <w:t>). In recent</w:t>
      </w:r>
      <w:r w:rsidRPr="0088780C">
        <w:rPr>
          <w:snapToGrid w:val="0"/>
          <w:kern w:val="22"/>
          <w:szCs w:val="22"/>
        </w:rPr>
        <w:t xml:space="preserve"> years, the invasive species </w:t>
      </w:r>
      <w:r w:rsidRPr="0088780C">
        <w:rPr>
          <w:i/>
          <w:snapToGrid w:val="0"/>
          <w:kern w:val="22"/>
          <w:szCs w:val="22"/>
        </w:rPr>
        <w:t>Mnemiopsis leidyi</w:t>
      </w:r>
      <w:r w:rsidR="00795D71" w:rsidRPr="0088780C">
        <w:rPr>
          <w:snapToGrid w:val="0"/>
          <w:kern w:val="22"/>
          <w:szCs w:val="22"/>
        </w:rPr>
        <w:t xml:space="preserve"> has become common.</w:t>
      </w:r>
    </w:p>
    <w:p w14:paraId="5708E9B6" w14:textId="77777777" w:rsidR="00A876F3" w:rsidRPr="0088780C" w:rsidRDefault="00A876F3" w:rsidP="001013AF">
      <w:pPr>
        <w:suppressLineNumbers/>
        <w:tabs>
          <w:tab w:val="left" w:pos="0"/>
        </w:tabs>
        <w:suppressAutoHyphens/>
        <w:kinsoku w:val="0"/>
        <w:overflowPunct w:val="0"/>
        <w:autoSpaceDE w:val="0"/>
        <w:autoSpaceDN w:val="0"/>
        <w:adjustRightInd w:val="0"/>
        <w:rPr>
          <w:snapToGrid w:val="0"/>
          <w:kern w:val="22"/>
          <w:szCs w:val="22"/>
          <w:u w:val="single"/>
        </w:rPr>
      </w:pPr>
    </w:p>
    <w:p w14:paraId="0BFAD5BE" w14:textId="22C42413" w:rsidR="00A876F3" w:rsidRPr="0088780C" w:rsidRDefault="00A876F3" w:rsidP="001013AF">
      <w:pPr>
        <w:suppressLineNumbers/>
        <w:tabs>
          <w:tab w:val="left" w:pos="0"/>
        </w:tabs>
        <w:suppressAutoHyphens/>
        <w:kinsoku w:val="0"/>
        <w:overflowPunct w:val="0"/>
        <w:autoSpaceDE w:val="0"/>
        <w:autoSpaceDN w:val="0"/>
        <w:adjustRightInd w:val="0"/>
        <w:rPr>
          <w:rFonts w:eastAsia="MS Mincho"/>
          <w:bCs/>
          <w:snapToGrid w:val="0"/>
          <w:color w:val="000000"/>
          <w:kern w:val="22"/>
          <w:szCs w:val="22"/>
        </w:rPr>
      </w:pPr>
      <w:r w:rsidRPr="0088780C">
        <w:rPr>
          <w:snapToGrid w:val="0"/>
          <w:kern w:val="22"/>
          <w:szCs w:val="22"/>
        </w:rPr>
        <w:t>Vertebrates are represented by fishes, birds and mammals, including species listed in the Red Data Book of Turkmenistan (2011)</w:t>
      </w:r>
      <w:r w:rsidRPr="0088780C">
        <w:rPr>
          <w:rFonts w:eastAsia="MS Mincho"/>
          <w:bCs/>
          <w:snapToGrid w:val="0"/>
          <w:color w:val="000000"/>
          <w:kern w:val="22"/>
          <w:szCs w:val="22"/>
        </w:rPr>
        <w:t xml:space="preserve">. </w:t>
      </w:r>
      <w:r w:rsidRPr="0088780C">
        <w:rPr>
          <w:snapToGrid w:val="0"/>
          <w:kern w:val="22"/>
          <w:szCs w:val="22"/>
        </w:rPr>
        <w:t>Among the fish (49 species and subspecies), they include the following species</w:t>
      </w:r>
      <w:r w:rsidRPr="0088780C">
        <w:rPr>
          <w:rFonts w:eastAsia="MS Mincho"/>
          <w:bCs/>
          <w:snapToGrid w:val="0"/>
          <w:color w:val="000000"/>
          <w:kern w:val="22"/>
          <w:szCs w:val="22"/>
        </w:rPr>
        <w:t xml:space="preserve">: </w:t>
      </w:r>
      <w:r w:rsidRPr="0088780C">
        <w:rPr>
          <w:rFonts w:eastAsia="MinionPro-SemiboldIt"/>
          <w:i/>
          <w:iCs/>
          <w:snapToGrid w:val="0"/>
          <w:color w:val="231F20"/>
          <w:kern w:val="22"/>
          <w:szCs w:val="22"/>
        </w:rPr>
        <w:t xml:space="preserve">Acipenser nudiventris, </w:t>
      </w:r>
      <w:r w:rsidRPr="0088780C">
        <w:rPr>
          <w:rFonts w:eastAsia="MinionPro-Regular"/>
          <w:snapToGrid w:val="0"/>
          <w:color w:val="231F20"/>
          <w:kern w:val="22"/>
          <w:szCs w:val="22"/>
        </w:rPr>
        <w:t xml:space="preserve">I (critically endangered), </w:t>
      </w:r>
      <w:r w:rsidRPr="0088780C">
        <w:rPr>
          <w:rFonts w:eastAsia="MinionPro-SemiboldIt"/>
          <w:i/>
          <w:iCs/>
          <w:snapToGrid w:val="0"/>
          <w:color w:val="231F20"/>
          <w:kern w:val="22"/>
          <w:szCs w:val="22"/>
        </w:rPr>
        <w:t xml:space="preserve">Alosa kessleri volgensis, </w:t>
      </w:r>
      <w:r w:rsidRPr="0088780C">
        <w:rPr>
          <w:rFonts w:eastAsia="MinionPro-Regular"/>
          <w:snapToGrid w:val="0"/>
          <w:color w:val="231F20"/>
          <w:kern w:val="22"/>
          <w:szCs w:val="22"/>
        </w:rPr>
        <w:t xml:space="preserve">II (endangered), </w:t>
      </w:r>
      <w:r w:rsidRPr="0088780C">
        <w:rPr>
          <w:rFonts w:eastAsia="MinionPro-SemiboldIt"/>
          <w:i/>
          <w:iCs/>
          <w:snapToGrid w:val="0"/>
          <w:color w:val="231F20"/>
          <w:kern w:val="22"/>
          <w:szCs w:val="22"/>
        </w:rPr>
        <w:t xml:space="preserve">Salmo trutta caspius, </w:t>
      </w:r>
      <w:r w:rsidRPr="0088780C">
        <w:rPr>
          <w:rFonts w:eastAsia="MinionPro-Regular"/>
          <w:snapToGrid w:val="0"/>
          <w:color w:val="231F20"/>
          <w:kern w:val="22"/>
          <w:szCs w:val="22"/>
        </w:rPr>
        <w:t xml:space="preserve">III (vulnerable), </w:t>
      </w:r>
      <w:r w:rsidRPr="0088780C">
        <w:rPr>
          <w:rFonts w:eastAsia="MinionPro-SemiboldIt"/>
          <w:i/>
          <w:iCs/>
          <w:snapToGrid w:val="0"/>
          <w:color w:val="231F20"/>
          <w:kern w:val="22"/>
          <w:szCs w:val="22"/>
        </w:rPr>
        <w:t xml:space="preserve">Stenodus leucichthys leucichthys, </w:t>
      </w:r>
      <w:r w:rsidRPr="0088780C">
        <w:rPr>
          <w:rFonts w:eastAsia="MinionPro-Regular"/>
          <w:snapToGrid w:val="0"/>
          <w:color w:val="231F20"/>
          <w:kern w:val="22"/>
          <w:szCs w:val="22"/>
        </w:rPr>
        <w:t>III (vulnerable).</w:t>
      </w:r>
      <w:r w:rsidRPr="0088780C">
        <w:rPr>
          <w:rFonts w:eastAsia="MS Mincho"/>
          <w:bCs/>
          <w:snapToGrid w:val="0"/>
          <w:color w:val="000000"/>
          <w:kern w:val="22"/>
          <w:szCs w:val="22"/>
        </w:rPr>
        <w:t xml:space="preserve"> Fish are represented by 10 valuable species: herring </w:t>
      </w:r>
      <w:r w:rsidRPr="0088780C">
        <w:rPr>
          <w:rFonts w:eastAsia="MS Mincho"/>
          <w:bCs/>
          <w:i/>
          <w:iCs/>
          <w:snapToGrid w:val="0"/>
          <w:color w:val="000000"/>
          <w:kern w:val="22"/>
          <w:szCs w:val="22"/>
        </w:rPr>
        <w:t xml:space="preserve">(Caspialosa sp.), </w:t>
      </w:r>
      <w:r w:rsidRPr="0088780C">
        <w:rPr>
          <w:rFonts w:eastAsia="MS Mincho"/>
          <w:bCs/>
          <w:snapToGrid w:val="0"/>
          <w:color w:val="000000"/>
          <w:kern w:val="22"/>
          <w:szCs w:val="22"/>
        </w:rPr>
        <w:t xml:space="preserve">mullet </w:t>
      </w:r>
      <w:r w:rsidRPr="0088780C">
        <w:rPr>
          <w:rFonts w:eastAsia="MS Mincho"/>
          <w:bCs/>
          <w:i/>
          <w:iCs/>
          <w:snapToGrid w:val="0"/>
          <w:color w:val="000000"/>
          <w:kern w:val="22"/>
          <w:szCs w:val="22"/>
        </w:rPr>
        <w:t xml:space="preserve">(Mugil sp.), Rutilus sp., Cyprinus sp., Artediellus sp., Atherina sp., Clupeonella sp., Aspius sp., Salma sp. </w:t>
      </w:r>
      <w:r w:rsidRPr="0088780C">
        <w:rPr>
          <w:rFonts w:eastAsia="MS Mincho"/>
          <w:bCs/>
          <w:snapToGrid w:val="0"/>
          <w:color w:val="000000"/>
          <w:kern w:val="22"/>
          <w:szCs w:val="22"/>
        </w:rPr>
        <w:t>Bays provide spawning grounds for commercial fish (</w:t>
      </w:r>
      <w:r w:rsidRPr="0088780C">
        <w:rPr>
          <w:rFonts w:eastAsia="MS Mincho"/>
          <w:bCs/>
          <w:snapToGrid w:val="0"/>
          <w:color w:val="000000"/>
          <w:kern w:val="22"/>
          <w:szCs w:val="22"/>
          <w:lang w:val="ru-RU"/>
        </w:rPr>
        <w:t>Рустамов, Васильев, 1976; Васильев, Гаузер, Тишков, 1990</w:t>
      </w:r>
      <w:r w:rsidRPr="0088780C">
        <w:rPr>
          <w:rFonts w:eastAsia="MS Mincho"/>
          <w:bCs/>
          <w:snapToGrid w:val="0"/>
          <w:color w:val="000000"/>
          <w:kern w:val="22"/>
          <w:szCs w:val="22"/>
        </w:rPr>
        <w:t>).</w:t>
      </w:r>
    </w:p>
    <w:p w14:paraId="30E69FB5" w14:textId="77777777" w:rsidR="00A876F3" w:rsidRPr="0088780C" w:rsidRDefault="00A876F3" w:rsidP="001013AF">
      <w:pPr>
        <w:suppressLineNumbers/>
        <w:tabs>
          <w:tab w:val="left" w:pos="0"/>
        </w:tabs>
        <w:suppressAutoHyphens/>
        <w:kinsoku w:val="0"/>
        <w:overflowPunct w:val="0"/>
        <w:autoSpaceDE w:val="0"/>
        <w:autoSpaceDN w:val="0"/>
        <w:adjustRightInd w:val="0"/>
        <w:rPr>
          <w:snapToGrid w:val="0"/>
          <w:kern w:val="22"/>
          <w:szCs w:val="22"/>
          <w:u w:val="single"/>
        </w:rPr>
      </w:pPr>
    </w:p>
    <w:p w14:paraId="1A89B9C0" w14:textId="46F0A9A4" w:rsidR="00A876F3" w:rsidRPr="0088780C" w:rsidRDefault="00A876F3" w:rsidP="001013AF">
      <w:pPr>
        <w:suppressLineNumbers/>
        <w:suppressAutoHyphens/>
        <w:kinsoku w:val="0"/>
        <w:overflowPunct w:val="0"/>
        <w:autoSpaceDE w:val="0"/>
        <w:autoSpaceDN w:val="0"/>
        <w:adjustRightInd w:val="0"/>
        <w:rPr>
          <w:rFonts w:eastAsia="Times New Roman"/>
          <w:snapToGrid w:val="0"/>
          <w:kern w:val="22"/>
          <w:szCs w:val="22"/>
        </w:rPr>
      </w:pPr>
      <w:r w:rsidRPr="0088780C">
        <w:rPr>
          <w:snapToGrid w:val="0"/>
          <w:kern w:val="22"/>
          <w:szCs w:val="22"/>
        </w:rPr>
        <w:t>Taking into account the value of species in ecosystem services, the most valuable are avifauna, which includes almost 300 species, of which 130 are waterbirds (Щербина, 2013). The majority occur during spring-autumn migration and in winter in som</w:t>
      </w:r>
      <w:r w:rsidR="00732516" w:rsidRPr="0088780C">
        <w:rPr>
          <w:snapToGrid w:val="0"/>
          <w:kern w:val="22"/>
          <w:szCs w:val="22"/>
        </w:rPr>
        <w:t xml:space="preserve">e years up to 100 000, with an </w:t>
      </w:r>
      <w:r w:rsidRPr="0088780C">
        <w:rPr>
          <w:snapToGrid w:val="0"/>
          <w:kern w:val="22"/>
          <w:szCs w:val="22"/>
        </w:rPr>
        <w:t>average of at least 20 000 (Рустамов, Щербина, 2007</w:t>
      </w:r>
      <w:r w:rsidR="00732516" w:rsidRPr="0088780C">
        <w:rPr>
          <w:snapToGrid w:val="0"/>
          <w:kern w:val="22"/>
          <w:szCs w:val="22"/>
        </w:rPr>
        <w:t xml:space="preserve">). These include the following </w:t>
      </w:r>
      <w:r w:rsidRPr="0088780C">
        <w:rPr>
          <w:snapToGrid w:val="0"/>
          <w:kern w:val="22"/>
          <w:szCs w:val="22"/>
        </w:rPr>
        <w:t xml:space="preserve">threatened migratory and wintering birds, which are included in the Red Data Book of Turkmenistan (2011): </w:t>
      </w:r>
      <w:r w:rsidRPr="0088780C">
        <w:rPr>
          <w:rFonts w:eastAsia="Times New Roman"/>
          <w:i/>
          <w:snapToGrid w:val="0"/>
          <w:kern w:val="22"/>
          <w:szCs w:val="22"/>
        </w:rPr>
        <w:t>Pelecanus onocrotalus</w:t>
      </w:r>
      <w:r w:rsidRPr="0088780C">
        <w:rPr>
          <w:rFonts w:eastAsia="Times New Roman"/>
          <w:snapToGrid w:val="0"/>
          <w:kern w:val="22"/>
          <w:szCs w:val="22"/>
        </w:rPr>
        <w:t xml:space="preserve">, III (vulnerable); </w:t>
      </w:r>
      <w:r w:rsidRPr="0088780C">
        <w:rPr>
          <w:rFonts w:eastAsia="Times New Roman"/>
          <w:i/>
          <w:snapToGrid w:val="0"/>
          <w:kern w:val="22"/>
          <w:szCs w:val="22"/>
        </w:rPr>
        <w:t>Pelecanus crispus</w:t>
      </w:r>
      <w:r w:rsidRPr="0088780C">
        <w:rPr>
          <w:rFonts w:eastAsia="Times New Roman"/>
          <w:snapToGrid w:val="0"/>
          <w:kern w:val="22"/>
          <w:szCs w:val="22"/>
        </w:rPr>
        <w:t xml:space="preserve">, II (endangered); </w:t>
      </w:r>
      <w:r w:rsidRPr="0088780C">
        <w:rPr>
          <w:rFonts w:eastAsia="Times New Roman"/>
          <w:i/>
          <w:snapToGrid w:val="0"/>
          <w:kern w:val="22"/>
          <w:szCs w:val="22"/>
        </w:rPr>
        <w:t>Platalea leucorodia</w:t>
      </w:r>
      <w:r w:rsidRPr="0088780C">
        <w:rPr>
          <w:rFonts w:eastAsia="Times New Roman"/>
          <w:snapToGrid w:val="0"/>
          <w:kern w:val="22"/>
          <w:szCs w:val="22"/>
        </w:rPr>
        <w:t xml:space="preserve">, IV; </w:t>
      </w:r>
      <w:r w:rsidRPr="0088780C">
        <w:rPr>
          <w:rFonts w:eastAsia="Times New Roman"/>
          <w:i/>
          <w:snapToGrid w:val="0"/>
          <w:kern w:val="22"/>
          <w:szCs w:val="22"/>
        </w:rPr>
        <w:t>Phoenicopterus roseus</w:t>
      </w:r>
      <w:r w:rsidRPr="0088780C">
        <w:rPr>
          <w:rFonts w:eastAsia="Times New Roman"/>
          <w:snapToGrid w:val="0"/>
          <w:kern w:val="22"/>
          <w:szCs w:val="22"/>
        </w:rPr>
        <w:t xml:space="preserve">, IV; </w:t>
      </w:r>
      <w:r w:rsidRPr="0088780C">
        <w:rPr>
          <w:rFonts w:eastAsia="Times New Roman"/>
          <w:i/>
          <w:snapToGrid w:val="0"/>
          <w:kern w:val="22"/>
          <w:szCs w:val="22"/>
        </w:rPr>
        <w:t>Branta ruficollis</w:t>
      </w:r>
      <w:r w:rsidRPr="0088780C">
        <w:rPr>
          <w:rFonts w:eastAsia="Times New Roman"/>
          <w:snapToGrid w:val="0"/>
          <w:kern w:val="22"/>
          <w:szCs w:val="22"/>
        </w:rPr>
        <w:t xml:space="preserve">, II (endangered); </w:t>
      </w:r>
      <w:r w:rsidRPr="0088780C">
        <w:rPr>
          <w:rFonts w:eastAsia="Times New Roman"/>
          <w:i/>
          <w:snapToGrid w:val="0"/>
          <w:kern w:val="22"/>
          <w:szCs w:val="22"/>
        </w:rPr>
        <w:t>Anser erythropus</w:t>
      </w:r>
      <w:r w:rsidRPr="0088780C">
        <w:rPr>
          <w:rFonts w:eastAsia="Times New Roman"/>
          <w:snapToGrid w:val="0"/>
          <w:kern w:val="22"/>
          <w:szCs w:val="22"/>
        </w:rPr>
        <w:t xml:space="preserve">, III (vulnerable); </w:t>
      </w:r>
      <w:r w:rsidRPr="0088780C">
        <w:rPr>
          <w:rFonts w:eastAsia="Times New Roman"/>
          <w:i/>
          <w:snapToGrid w:val="0"/>
          <w:kern w:val="22"/>
          <w:szCs w:val="22"/>
        </w:rPr>
        <w:t>Aythya (Nyroca) nyroca</w:t>
      </w:r>
      <w:r w:rsidRPr="0088780C">
        <w:rPr>
          <w:rFonts w:eastAsia="Times New Roman"/>
          <w:snapToGrid w:val="0"/>
          <w:kern w:val="22"/>
          <w:szCs w:val="22"/>
        </w:rPr>
        <w:t xml:space="preserve">, III (vulnerable); </w:t>
      </w:r>
      <w:r w:rsidRPr="0088780C">
        <w:rPr>
          <w:rFonts w:eastAsia="Times New Roman"/>
          <w:i/>
          <w:snapToGrid w:val="0"/>
          <w:kern w:val="22"/>
          <w:szCs w:val="22"/>
        </w:rPr>
        <w:t xml:space="preserve">Oxyura leucocephala, </w:t>
      </w:r>
      <w:r w:rsidRPr="0088780C">
        <w:rPr>
          <w:rFonts w:eastAsia="Times New Roman"/>
          <w:snapToGrid w:val="0"/>
          <w:kern w:val="22"/>
          <w:szCs w:val="22"/>
        </w:rPr>
        <w:t xml:space="preserve">III (vulnerable); </w:t>
      </w:r>
      <w:r w:rsidRPr="0088780C">
        <w:rPr>
          <w:rFonts w:eastAsia="Times New Roman"/>
          <w:i/>
          <w:snapToGrid w:val="0"/>
          <w:kern w:val="22"/>
          <w:szCs w:val="22"/>
        </w:rPr>
        <w:t>Haliaeetus leucoryphus</w:t>
      </w:r>
      <w:r w:rsidR="00732516" w:rsidRPr="0088780C">
        <w:rPr>
          <w:rFonts w:eastAsia="Times New Roman"/>
          <w:snapToGrid w:val="0"/>
          <w:kern w:val="22"/>
          <w:szCs w:val="22"/>
        </w:rPr>
        <w:t>, III (vulnerable).</w:t>
      </w:r>
    </w:p>
    <w:p w14:paraId="30A7A9C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p w14:paraId="2B2A206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 xml:space="preserve">The most interesting species ofmammals is the Caspian seal </w:t>
      </w:r>
      <w:r w:rsidRPr="0088780C">
        <w:rPr>
          <w:rFonts w:eastAsia="MS Mincho"/>
          <w:bCs/>
          <w:i/>
          <w:iCs/>
          <w:snapToGrid w:val="0"/>
          <w:color w:val="000000"/>
          <w:kern w:val="22"/>
          <w:szCs w:val="22"/>
        </w:rPr>
        <w:t xml:space="preserve">(Pusa (Phoca) caspica), </w:t>
      </w:r>
      <w:r w:rsidRPr="0088780C">
        <w:rPr>
          <w:rFonts w:eastAsia="MS Mincho"/>
          <w:bCs/>
          <w:iCs/>
          <w:snapToGrid w:val="0"/>
          <w:color w:val="000000"/>
          <w:kern w:val="22"/>
          <w:szCs w:val="22"/>
        </w:rPr>
        <w:t>I (critically endangered), which is listed in the</w:t>
      </w:r>
      <w:r w:rsidRPr="0088780C">
        <w:rPr>
          <w:rFonts w:eastAsia="MS Mincho"/>
          <w:bCs/>
          <w:i/>
          <w:iCs/>
          <w:snapToGrid w:val="0"/>
          <w:color w:val="000000"/>
          <w:kern w:val="22"/>
          <w:szCs w:val="22"/>
        </w:rPr>
        <w:t xml:space="preserve"> </w:t>
      </w:r>
      <w:r w:rsidRPr="0088780C">
        <w:rPr>
          <w:rFonts w:eastAsia="MS Mincho"/>
          <w:bCs/>
          <w:snapToGrid w:val="0"/>
          <w:color w:val="000000"/>
          <w:kern w:val="22"/>
          <w:szCs w:val="22"/>
        </w:rPr>
        <w:t>Red Data Book</w:t>
      </w:r>
      <w:r w:rsidRPr="0088780C">
        <w:rPr>
          <w:snapToGrid w:val="0"/>
          <w:kern w:val="22"/>
          <w:szCs w:val="22"/>
        </w:rPr>
        <w:t xml:space="preserve"> of Turkmenistan (2011)</w:t>
      </w:r>
      <w:r w:rsidRPr="0088780C">
        <w:rPr>
          <w:rFonts w:eastAsia="MS Mincho"/>
          <w:bCs/>
          <w:snapToGrid w:val="0"/>
          <w:color w:val="000000"/>
          <w:kern w:val="22"/>
          <w:szCs w:val="22"/>
        </w:rPr>
        <w:t xml:space="preserve"> and is endemic to the Caspian (Рустамов, Васильев, 1976).</w:t>
      </w:r>
    </w:p>
    <w:p w14:paraId="0A28C2DE" w14:textId="77777777" w:rsidR="00A876F3" w:rsidRPr="0088780C" w:rsidRDefault="00A876F3" w:rsidP="001013AF">
      <w:pPr>
        <w:suppressLineNumbers/>
        <w:tabs>
          <w:tab w:val="left" w:pos="0"/>
        </w:tabs>
        <w:suppressAutoHyphens/>
        <w:kinsoku w:val="0"/>
        <w:overflowPunct w:val="0"/>
        <w:autoSpaceDE w:val="0"/>
        <w:autoSpaceDN w:val="0"/>
        <w:adjustRightInd w:val="0"/>
        <w:rPr>
          <w:rFonts w:eastAsia="MS Mincho"/>
          <w:bCs/>
          <w:snapToGrid w:val="0"/>
          <w:color w:val="000000"/>
          <w:kern w:val="22"/>
          <w:szCs w:val="22"/>
        </w:rPr>
      </w:pPr>
    </w:p>
    <w:p w14:paraId="58C876C5" w14:textId="19A8C5AF" w:rsidR="00A876F3" w:rsidRPr="0088780C" w:rsidRDefault="00A876F3" w:rsidP="001013AF">
      <w:pPr>
        <w:suppressLineNumbers/>
        <w:tabs>
          <w:tab w:val="left" w:pos="0"/>
        </w:tabs>
        <w:suppressAutoHyphens/>
        <w:kinsoku w:val="0"/>
        <w:overflowPunct w:val="0"/>
        <w:autoSpaceDE w:val="0"/>
        <w:autoSpaceDN w:val="0"/>
        <w:adjustRightInd w:val="0"/>
        <w:rPr>
          <w:snapToGrid w:val="0"/>
          <w:kern w:val="22"/>
          <w:szCs w:val="22"/>
        </w:rPr>
      </w:pPr>
      <w:r w:rsidRPr="0088780C">
        <w:rPr>
          <w:rFonts w:eastAsia="MS Mincho"/>
          <w:b/>
          <w:snapToGrid w:val="0"/>
          <w:kern w:val="22"/>
          <w:szCs w:val="22"/>
        </w:rPr>
        <w:t>Feature condition and future outlook of the area</w:t>
      </w:r>
    </w:p>
    <w:p w14:paraId="1D813F48" w14:textId="23E50046"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The area is now protected by a reserve. </w:t>
      </w:r>
      <w:r w:rsidR="00732516" w:rsidRPr="0088780C">
        <w:rPr>
          <w:snapToGrid w:val="0"/>
          <w:kern w:val="22"/>
          <w:szCs w:val="22"/>
        </w:rPr>
        <w:t xml:space="preserve">However, over the past decade, </w:t>
      </w:r>
      <w:r w:rsidRPr="0088780C">
        <w:rPr>
          <w:snapToGrid w:val="0"/>
          <w:kern w:val="22"/>
          <w:szCs w:val="22"/>
        </w:rPr>
        <w:t>Turkmenbashi City has grown rapidly and continues to develop. If it were to be preserved, it would present opportunities to show its unique, globally signif</w:t>
      </w:r>
      <w:r w:rsidR="00732516" w:rsidRPr="0088780C">
        <w:rPr>
          <w:snapToGrid w:val="0"/>
          <w:kern w:val="22"/>
          <w:szCs w:val="22"/>
        </w:rPr>
        <w:t xml:space="preserve">icant biological diversity and </w:t>
      </w:r>
      <w:r w:rsidRPr="0088780C">
        <w:rPr>
          <w:snapToGrid w:val="0"/>
          <w:kern w:val="22"/>
          <w:szCs w:val="22"/>
        </w:rPr>
        <w:t>would provide steady income due to its role in providing ecological services.</w:t>
      </w:r>
    </w:p>
    <w:p w14:paraId="02656D39"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30D883B4" w14:textId="23AB846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w:t>
      </w:r>
      <w:r w:rsidR="00732516" w:rsidRPr="0088780C">
        <w:rPr>
          <w:rFonts w:eastAsia="MS Mincho"/>
          <w:b/>
          <w:snapToGrid w:val="0"/>
          <w:kern w:val="22"/>
          <w:szCs w:val="22"/>
        </w:rPr>
        <w:t xml:space="preserve"> area against CBD EBSA Criteria</w:t>
      </w:r>
    </w:p>
    <w:p w14:paraId="7D4167D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413A828C" w14:textId="77777777" w:rsidTr="006972AD">
        <w:tc>
          <w:tcPr>
            <w:tcW w:w="783" w:type="pct"/>
            <w:vMerge w:val="restart"/>
            <w:shd w:val="clear" w:color="auto" w:fill="auto"/>
          </w:tcPr>
          <w:p w14:paraId="5138D345" w14:textId="77777777" w:rsidR="00A876F3" w:rsidRPr="0088780C" w:rsidRDefault="00A876F3" w:rsidP="00732516">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0C0DD68F" w14:textId="77777777" w:rsidR="00A876F3" w:rsidRPr="0088780C" w:rsidRDefault="00A876F3" w:rsidP="00732516">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09ECF34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623DE7F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37" w:type="pct"/>
            <w:gridSpan w:val="9"/>
            <w:shd w:val="clear" w:color="auto" w:fill="auto"/>
          </w:tcPr>
          <w:p w14:paraId="7BFA0F7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4330C67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702B5678" w14:textId="77777777" w:rsidTr="006972AD">
        <w:tc>
          <w:tcPr>
            <w:tcW w:w="783" w:type="pct"/>
            <w:vMerge/>
            <w:shd w:val="clear" w:color="auto" w:fill="auto"/>
          </w:tcPr>
          <w:p w14:paraId="7CAEFAF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5FDFBCB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2557754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2739D7A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71127BA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2" w:type="pct"/>
            <w:gridSpan w:val="2"/>
            <w:shd w:val="clear" w:color="auto" w:fill="auto"/>
          </w:tcPr>
          <w:p w14:paraId="6D1F988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5888B329" w14:textId="77777777" w:rsidTr="006972AD">
        <w:tc>
          <w:tcPr>
            <w:tcW w:w="783" w:type="pct"/>
            <w:shd w:val="clear" w:color="auto" w:fill="auto"/>
          </w:tcPr>
          <w:p w14:paraId="49A13B4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496C9645" w14:textId="76C86F9D"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65CDAFB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1EDB6A8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292B5D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2" w:type="pct"/>
            <w:gridSpan w:val="2"/>
            <w:shd w:val="clear" w:color="auto" w:fill="auto"/>
          </w:tcPr>
          <w:p w14:paraId="3156585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02758C98" w14:textId="77777777" w:rsidTr="006972AD">
        <w:tc>
          <w:tcPr>
            <w:tcW w:w="5000" w:type="pct"/>
            <w:gridSpan w:val="11"/>
            <w:shd w:val="clear" w:color="auto" w:fill="auto"/>
          </w:tcPr>
          <w:p w14:paraId="0F4E21C3"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371DE9A" w14:textId="77777777" w:rsidR="00A876F3" w:rsidRPr="0088780C" w:rsidRDefault="00A876F3" w:rsidP="001013AF">
            <w:pPr>
              <w:suppressLineNumbers/>
              <w:tabs>
                <w:tab w:val="left" w:pos="0"/>
                <w:tab w:val="left" w:pos="896"/>
              </w:tab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Turkmenbashi Gulf  has a unique combination of various hydrobiological and ecological factors with presence of conditions that supports the survival of populations for rare components of biodiversity. It supports migration and wintering for a considerable number of water birds</w:t>
            </w:r>
            <w:r w:rsidRPr="0088780C">
              <w:rPr>
                <w:snapToGrid w:val="0"/>
                <w:kern w:val="22"/>
                <w:szCs w:val="22"/>
              </w:rPr>
              <w:t xml:space="preserve"> (Касымов, 1987; Зонн, 2004; </w:t>
            </w:r>
            <w:r w:rsidRPr="0088780C">
              <w:rPr>
                <w:rFonts w:eastAsia="MS Mincho"/>
                <w:snapToGrid w:val="0"/>
                <w:kern w:val="22"/>
                <w:szCs w:val="22"/>
              </w:rPr>
              <w:t>Рустамов, Гаузер, 2009).</w:t>
            </w:r>
          </w:p>
        </w:tc>
      </w:tr>
      <w:tr w:rsidR="00A876F3" w:rsidRPr="0088780C" w14:paraId="38B1C18F" w14:textId="77777777" w:rsidTr="006972AD">
        <w:tc>
          <w:tcPr>
            <w:tcW w:w="783" w:type="pct"/>
            <w:shd w:val="clear" w:color="auto" w:fill="auto"/>
          </w:tcPr>
          <w:p w14:paraId="729F641B" w14:textId="77777777" w:rsidR="00A876F3" w:rsidRPr="0088780C" w:rsidRDefault="00A876F3" w:rsidP="00732516">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67D0453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3BFB2A1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2D8989A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073478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318AE64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3907B215" w14:textId="77777777" w:rsidTr="006972AD">
        <w:tc>
          <w:tcPr>
            <w:tcW w:w="5000" w:type="pct"/>
            <w:gridSpan w:val="11"/>
            <w:shd w:val="clear" w:color="auto" w:fill="auto"/>
          </w:tcPr>
          <w:p w14:paraId="165B5D8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A1F9799"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The area is necessary for the survival of population of fishes and birds. Restoration of biocenoses suitable for feeding and spawning of commercially  valuable fish species, resting and wintering of rare, threatened and endangered species of birds. The waters of the gulf are important foraging areas for migratory species (</w:t>
            </w:r>
            <w:r w:rsidRPr="0088780C">
              <w:rPr>
                <w:rFonts w:eastAsia="MS Mincho"/>
                <w:snapToGrid w:val="0"/>
                <w:kern w:val="22"/>
                <w:szCs w:val="22"/>
              </w:rPr>
              <w:t>Рустамов, Гаузер, 2009).</w:t>
            </w:r>
          </w:p>
        </w:tc>
      </w:tr>
      <w:tr w:rsidR="00A876F3" w:rsidRPr="0088780C" w14:paraId="39BDAFEF" w14:textId="77777777" w:rsidTr="00732516">
        <w:trPr>
          <w:cantSplit/>
        </w:trPr>
        <w:tc>
          <w:tcPr>
            <w:tcW w:w="783" w:type="pct"/>
            <w:shd w:val="clear" w:color="auto" w:fill="auto"/>
          </w:tcPr>
          <w:p w14:paraId="77479FE0" w14:textId="77777777" w:rsidR="00A876F3" w:rsidRPr="0088780C" w:rsidRDefault="00A876F3" w:rsidP="00732516">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11CD42D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0A89423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EBEF0B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E26163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662F257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3B1C7144" w14:textId="77777777" w:rsidTr="006972AD">
        <w:tc>
          <w:tcPr>
            <w:tcW w:w="5000" w:type="pct"/>
            <w:gridSpan w:val="11"/>
            <w:shd w:val="clear" w:color="auto" w:fill="auto"/>
          </w:tcPr>
          <w:p w14:paraId="3D132BE8"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23883315" w14:textId="77777777" w:rsidR="00A876F3" w:rsidRPr="0088780C" w:rsidRDefault="00A876F3" w:rsidP="001013AF">
            <w:pPr>
              <w:suppressLineNumbers/>
              <w:tabs>
                <w:tab w:val="left" w:pos="0"/>
              </w:tab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 xml:space="preserve">Regarding birds, there are almost 300 species, of which 130 are waterfowl and waterbirds. The majority occur during spring-autumn migration and in winter in some years up to 100 000, with an average of at least 30 000. They include the following threatened migratory and wintering birds, which are included in the Red Data Book of Turkmenistan: </w:t>
            </w:r>
            <w:r w:rsidRPr="0088780C">
              <w:rPr>
                <w:rFonts w:eastAsia="Times New Roman"/>
                <w:i/>
                <w:snapToGrid w:val="0"/>
                <w:kern w:val="22"/>
                <w:szCs w:val="22"/>
              </w:rPr>
              <w:t>Pelecanus onocrotalus</w:t>
            </w:r>
            <w:r w:rsidRPr="0088780C">
              <w:rPr>
                <w:rFonts w:eastAsia="Times New Roman"/>
                <w:snapToGrid w:val="0"/>
                <w:kern w:val="22"/>
                <w:szCs w:val="22"/>
              </w:rPr>
              <w:t xml:space="preserve">, III (vulnerable); </w:t>
            </w:r>
            <w:r w:rsidRPr="0088780C">
              <w:rPr>
                <w:rFonts w:eastAsia="Times New Roman"/>
                <w:i/>
                <w:snapToGrid w:val="0"/>
                <w:kern w:val="22"/>
                <w:szCs w:val="22"/>
              </w:rPr>
              <w:t>Pelecanus crispus</w:t>
            </w:r>
            <w:r w:rsidRPr="0088780C">
              <w:rPr>
                <w:rFonts w:eastAsia="Times New Roman"/>
                <w:snapToGrid w:val="0"/>
                <w:kern w:val="22"/>
                <w:szCs w:val="22"/>
              </w:rPr>
              <w:t xml:space="preserve">, II; </w:t>
            </w:r>
            <w:r w:rsidRPr="0088780C">
              <w:rPr>
                <w:rFonts w:eastAsia="Times New Roman"/>
                <w:i/>
                <w:snapToGrid w:val="0"/>
                <w:kern w:val="22"/>
                <w:szCs w:val="22"/>
              </w:rPr>
              <w:t>Platalea leucorodia</w:t>
            </w:r>
            <w:r w:rsidRPr="0088780C">
              <w:rPr>
                <w:rFonts w:eastAsia="Times New Roman"/>
                <w:snapToGrid w:val="0"/>
                <w:kern w:val="22"/>
                <w:szCs w:val="22"/>
              </w:rPr>
              <w:t xml:space="preserve">, IV; </w:t>
            </w:r>
            <w:r w:rsidRPr="0088780C">
              <w:rPr>
                <w:rFonts w:eastAsia="Times New Roman"/>
                <w:i/>
                <w:snapToGrid w:val="0"/>
                <w:kern w:val="22"/>
                <w:szCs w:val="22"/>
              </w:rPr>
              <w:t>Phoenicopterus roseus</w:t>
            </w:r>
            <w:r w:rsidRPr="0088780C">
              <w:rPr>
                <w:rFonts w:eastAsia="Times New Roman"/>
                <w:snapToGrid w:val="0"/>
                <w:kern w:val="22"/>
                <w:szCs w:val="22"/>
              </w:rPr>
              <w:t xml:space="preserve">, IV; </w:t>
            </w:r>
            <w:r w:rsidRPr="0088780C">
              <w:rPr>
                <w:rFonts w:eastAsia="Times New Roman"/>
                <w:i/>
                <w:snapToGrid w:val="0"/>
                <w:kern w:val="22"/>
                <w:szCs w:val="22"/>
              </w:rPr>
              <w:t>Branta ruficollis</w:t>
            </w:r>
            <w:r w:rsidRPr="0088780C">
              <w:rPr>
                <w:rFonts w:eastAsia="Times New Roman"/>
                <w:snapToGrid w:val="0"/>
                <w:kern w:val="22"/>
                <w:szCs w:val="22"/>
              </w:rPr>
              <w:t xml:space="preserve">, II (endangered); </w:t>
            </w:r>
            <w:r w:rsidRPr="0088780C">
              <w:rPr>
                <w:rFonts w:eastAsia="Times New Roman"/>
                <w:i/>
                <w:snapToGrid w:val="0"/>
                <w:kern w:val="22"/>
                <w:szCs w:val="22"/>
              </w:rPr>
              <w:t>Anser erythropus</w:t>
            </w:r>
            <w:r w:rsidRPr="0088780C">
              <w:rPr>
                <w:rFonts w:eastAsia="Times New Roman"/>
                <w:snapToGrid w:val="0"/>
                <w:kern w:val="22"/>
                <w:szCs w:val="22"/>
              </w:rPr>
              <w:t xml:space="preserve">, III ; </w:t>
            </w:r>
            <w:r w:rsidRPr="0088780C">
              <w:rPr>
                <w:rFonts w:eastAsia="Times New Roman"/>
                <w:i/>
                <w:snapToGrid w:val="0"/>
                <w:kern w:val="22"/>
                <w:szCs w:val="22"/>
              </w:rPr>
              <w:t>Aythya (Nyroca) nyroca</w:t>
            </w:r>
            <w:r w:rsidRPr="0088780C">
              <w:rPr>
                <w:rFonts w:eastAsia="Times New Roman"/>
                <w:snapToGrid w:val="0"/>
                <w:kern w:val="22"/>
                <w:szCs w:val="22"/>
              </w:rPr>
              <w:t xml:space="preserve">, III ; </w:t>
            </w:r>
            <w:r w:rsidRPr="0088780C">
              <w:rPr>
                <w:rFonts w:eastAsia="Times New Roman"/>
                <w:i/>
                <w:snapToGrid w:val="0"/>
                <w:kern w:val="22"/>
                <w:szCs w:val="22"/>
              </w:rPr>
              <w:t>Oxyura leucocephala</w:t>
            </w:r>
            <w:r w:rsidRPr="0088780C">
              <w:rPr>
                <w:rFonts w:eastAsia="Times New Roman"/>
                <w:snapToGrid w:val="0"/>
                <w:kern w:val="22"/>
                <w:szCs w:val="22"/>
              </w:rPr>
              <w:t xml:space="preserve">, III ; </w:t>
            </w:r>
            <w:r w:rsidRPr="0088780C">
              <w:rPr>
                <w:rFonts w:eastAsia="Times New Roman"/>
                <w:i/>
                <w:snapToGrid w:val="0"/>
                <w:kern w:val="22"/>
                <w:szCs w:val="22"/>
              </w:rPr>
              <w:t>Haliaeetus leucoryphus</w:t>
            </w:r>
            <w:r w:rsidRPr="0088780C">
              <w:rPr>
                <w:rFonts w:eastAsia="Times New Roman"/>
                <w:snapToGrid w:val="0"/>
                <w:kern w:val="22"/>
                <w:szCs w:val="22"/>
              </w:rPr>
              <w:t xml:space="preserve">, III (vulnerable). </w:t>
            </w:r>
            <w:r w:rsidRPr="0088780C">
              <w:rPr>
                <w:rFonts w:eastAsia="MS Mincho"/>
                <w:snapToGrid w:val="0"/>
                <w:color w:val="000000"/>
                <w:kern w:val="22"/>
                <w:szCs w:val="22"/>
              </w:rPr>
              <w:t xml:space="preserve">Among the mammals, the most interesting species is the Caspian seal </w:t>
            </w:r>
            <w:r w:rsidRPr="0088780C">
              <w:rPr>
                <w:rFonts w:eastAsia="MS Mincho"/>
                <w:iCs/>
                <w:snapToGrid w:val="0"/>
                <w:color w:val="000000"/>
                <w:kern w:val="22"/>
                <w:szCs w:val="22"/>
              </w:rPr>
              <w:t>(</w:t>
            </w:r>
            <w:r w:rsidRPr="0088780C">
              <w:rPr>
                <w:rFonts w:eastAsia="MS Mincho"/>
                <w:i/>
                <w:iCs/>
                <w:snapToGrid w:val="0"/>
                <w:color w:val="000000"/>
                <w:kern w:val="22"/>
                <w:szCs w:val="22"/>
              </w:rPr>
              <w:t>Pusa (Phoca) caspica</w:t>
            </w:r>
            <w:r w:rsidRPr="0088780C">
              <w:rPr>
                <w:rFonts w:eastAsia="MS Mincho"/>
                <w:iCs/>
                <w:snapToGrid w:val="0"/>
                <w:color w:val="000000"/>
                <w:kern w:val="22"/>
                <w:szCs w:val="22"/>
              </w:rPr>
              <w:t xml:space="preserve">), I (critically endangered) </w:t>
            </w:r>
            <w:r w:rsidRPr="0088780C">
              <w:rPr>
                <w:rFonts w:eastAsia="MS Mincho"/>
                <w:snapToGrid w:val="0"/>
                <w:color w:val="000000"/>
                <w:kern w:val="22"/>
                <w:szCs w:val="22"/>
              </w:rPr>
              <w:t>which is endemic to the Caspian and is</w:t>
            </w:r>
            <w:r w:rsidRPr="0088780C">
              <w:rPr>
                <w:snapToGrid w:val="0"/>
                <w:kern w:val="22"/>
                <w:szCs w:val="22"/>
              </w:rPr>
              <w:t xml:space="preserve"> listed in the Red Data Book of Turkmenistan. </w:t>
            </w:r>
            <w:r w:rsidRPr="0088780C">
              <w:rPr>
                <w:rFonts w:eastAsia="MS Mincho"/>
                <w:snapToGrid w:val="0"/>
                <w:color w:val="000000"/>
                <w:kern w:val="22"/>
                <w:szCs w:val="22"/>
              </w:rPr>
              <w:t xml:space="preserve">Among fish there are following Red Data Book of Turkmenistan (2011) species: </w:t>
            </w:r>
            <w:r w:rsidRPr="0088780C">
              <w:rPr>
                <w:rFonts w:eastAsia="MinionPro-SemiboldIt"/>
                <w:i/>
                <w:iCs/>
                <w:snapToGrid w:val="0"/>
                <w:color w:val="231F20"/>
                <w:kern w:val="22"/>
                <w:szCs w:val="22"/>
              </w:rPr>
              <w:t>Acipenser nudiventris</w:t>
            </w:r>
            <w:r w:rsidRPr="0088780C">
              <w:rPr>
                <w:rFonts w:eastAsia="MinionPro-SemiboldIt"/>
                <w:iCs/>
                <w:snapToGrid w:val="0"/>
                <w:color w:val="231F20"/>
                <w:kern w:val="22"/>
                <w:szCs w:val="22"/>
              </w:rPr>
              <w:t xml:space="preserve">, </w:t>
            </w:r>
            <w:r w:rsidRPr="0088780C">
              <w:rPr>
                <w:rFonts w:eastAsia="MinionPro-Regular"/>
                <w:snapToGrid w:val="0"/>
                <w:color w:val="231F20"/>
                <w:kern w:val="22"/>
                <w:szCs w:val="22"/>
              </w:rPr>
              <w:t xml:space="preserve">I (critically endangered), </w:t>
            </w:r>
            <w:r w:rsidRPr="0088780C">
              <w:rPr>
                <w:rFonts w:eastAsia="MinionPro-SemiboldIt"/>
                <w:i/>
                <w:iCs/>
                <w:snapToGrid w:val="0"/>
                <w:color w:val="231F20"/>
                <w:kern w:val="22"/>
                <w:szCs w:val="22"/>
              </w:rPr>
              <w:t>Alosa kessleri volgensis</w:t>
            </w:r>
            <w:r w:rsidRPr="0088780C">
              <w:rPr>
                <w:rFonts w:eastAsia="MinionPro-SemiboldIt"/>
                <w:iCs/>
                <w:snapToGrid w:val="0"/>
                <w:color w:val="231F20"/>
                <w:kern w:val="22"/>
                <w:szCs w:val="22"/>
              </w:rPr>
              <w:t xml:space="preserve">, </w:t>
            </w:r>
            <w:r w:rsidRPr="0088780C">
              <w:rPr>
                <w:rFonts w:eastAsia="MinionPro-Regular"/>
                <w:snapToGrid w:val="0"/>
                <w:color w:val="231F20"/>
                <w:kern w:val="22"/>
                <w:szCs w:val="22"/>
              </w:rPr>
              <w:t xml:space="preserve">II (endangered), </w:t>
            </w:r>
            <w:r w:rsidRPr="0088780C">
              <w:rPr>
                <w:rFonts w:eastAsia="MinionPro-SemiboldIt"/>
                <w:i/>
                <w:iCs/>
                <w:snapToGrid w:val="0"/>
                <w:color w:val="231F20"/>
                <w:kern w:val="22"/>
                <w:szCs w:val="22"/>
              </w:rPr>
              <w:t>Salmo trutta caspius</w:t>
            </w:r>
            <w:r w:rsidRPr="0088780C">
              <w:rPr>
                <w:rFonts w:eastAsia="MinionPro-SemiboldIt"/>
                <w:iCs/>
                <w:snapToGrid w:val="0"/>
                <w:color w:val="231F20"/>
                <w:kern w:val="22"/>
                <w:szCs w:val="22"/>
              </w:rPr>
              <w:t xml:space="preserve">, </w:t>
            </w:r>
            <w:r w:rsidRPr="0088780C">
              <w:rPr>
                <w:rFonts w:eastAsia="MinionPro-Regular"/>
                <w:snapToGrid w:val="0"/>
                <w:color w:val="231F20"/>
                <w:kern w:val="22"/>
                <w:szCs w:val="22"/>
              </w:rPr>
              <w:t xml:space="preserve">III and </w:t>
            </w:r>
            <w:r w:rsidRPr="0088780C">
              <w:rPr>
                <w:rFonts w:eastAsia="MinionPro-SemiboldIt"/>
                <w:i/>
                <w:iCs/>
                <w:snapToGrid w:val="0"/>
                <w:color w:val="231F20"/>
                <w:kern w:val="22"/>
                <w:szCs w:val="22"/>
              </w:rPr>
              <w:t>Stenodus leucichthys leucichthys</w:t>
            </w:r>
            <w:r w:rsidRPr="0088780C">
              <w:rPr>
                <w:rFonts w:eastAsia="MinionPro-SemiboldIt"/>
                <w:iCs/>
                <w:snapToGrid w:val="0"/>
                <w:color w:val="231F20"/>
                <w:kern w:val="22"/>
                <w:szCs w:val="22"/>
              </w:rPr>
              <w:t xml:space="preserve">, </w:t>
            </w:r>
            <w:r w:rsidRPr="0088780C">
              <w:rPr>
                <w:rFonts w:eastAsia="MinionPro-Regular"/>
                <w:snapToGrid w:val="0"/>
                <w:color w:val="231F20"/>
                <w:kern w:val="22"/>
                <w:szCs w:val="22"/>
              </w:rPr>
              <w:t>III (vulnerable) (</w:t>
            </w:r>
            <w:r w:rsidRPr="0088780C">
              <w:rPr>
                <w:rFonts w:eastAsia="MS Mincho"/>
                <w:snapToGrid w:val="0"/>
                <w:kern w:val="22"/>
                <w:szCs w:val="22"/>
              </w:rPr>
              <w:t>Красная книга Туркменистана, 2011)</w:t>
            </w:r>
            <w:r w:rsidRPr="0088780C">
              <w:rPr>
                <w:rFonts w:eastAsia="MinionPro-Regular"/>
                <w:snapToGrid w:val="0"/>
                <w:color w:val="231F20"/>
                <w:kern w:val="22"/>
                <w:szCs w:val="22"/>
              </w:rPr>
              <w:t>.</w:t>
            </w:r>
          </w:p>
        </w:tc>
      </w:tr>
      <w:tr w:rsidR="00A876F3" w:rsidRPr="0088780C" w14:paraId="7A721402" w14:textId="77777777" w:rsidTr="006972AD">
        <w:tc>
          <w:tcPr>
            <w:tcW w:w="783" w:type="pct"/>
            <w:shd w:val="clear" w:color="auto" w:fill="auto"/>
          </w:tcPr>
          <w:p w14:paraId="4D31FFD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1231AA0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1654F29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3EA493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E089B9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0B453E4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7876F550" w14:textId="77777777" w:rsidTr="006972AD">
        <w:tc>
          <w:tcPr>
            <w:tcW w:w="5000" w:type="pct"/>
            <w:gridSpan w:val="11"/>
            <w:shd w:val="clear" w:color="auto" w:fill="auto"/>
          </w:tcPr>
          <w:p w14:paraId="05768D1D"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301032BB"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rPr>
            </w:pPr>
            <w:r w:rsidRPr="0088780C">
              <w:rPr>
                <w:snapToGrid w:val="0"/>
                <w:kern w:val="22"/>
                <w:szCs w:val="22"/>
              </w:rPr>
              <w:t>Now the area is subject to anthropogenic influence, interfering with its normal functioning. The area contains many sensitive habitats, is functionally fragile (extremely subject to degradation or exhaustion owing to anthropogenic activity or natural events) or different slow rates of restoration. The ecosystem of this area is related to the level of the Caspian Sea. Particularly it’s related to the coastal stripe. When the level of the sea is going down, bays are drying, particularly it depends for Michaylovskiy and Balhan bays. This is a factor of degradation of waterbirds habitats. When the sea level increase, activities of strong wave washed away small islands. For example, Osushnoy and Bolshoy and Malyi Islands, on which colonies of sea gulls and Caspian seals rest areas. Therefore, vulnerability is high,particularly during periods when sea level decreases (</w:t>
            </w:r>
            <w:r w:rsidRPr="0088780C">
              <w:rPr>
                <w:rFonts w:eastAsia="MS Mincho"/>
                <w:snapToGrid w:val="0"/>
                <w:kern w:val="22"/>
                <w:szCs w:val="22"/>
                <w:lang w:val="ru-RU"/>
              </w:rPr>
              <w:t>Бобров, 1959; Рустамов, Васильев, 1976; Васильев, Гаузер, Тишков, 1990; Рустамов, Гаузер, 2009</w:t>
            </w:r>
            <w:r w:rsidRPr="0088780C">
              <w:rPr>
                <w:rFonts w:eastAsia="MS Mincho"/>
                <w:snapToGrid w:val="0"/>
                <w:kern w:val="22"/>
                <w:szCs w:val="22"/>
              </w:rPr>
              <w:t>).</w:t>
            </w:r>
          </w:p>
        </w:tc>
      </w:tr>
      <w:tr w:rsidR="00A876F3" w:rsidRPr="0088780C" w14:paraId="50D967D8" w14:textId="77777777" w:rsidTr="006972AD">
        <w:tc>
          <w:tcPr>
            <w:tcW w:w="783" w:type="pct"/>
            <w:shd w:val="clear" w:color="auto" w:fill="auto"/>
          </w:tcPr>
          <w:p w14:paraId="06AE05E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5D257B4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01F674F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6F2B18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790600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48C1E0C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58CA8073" w14:textId="77777777" w:rsidTr="006972AD">
        <w:tc>
          <w:tcPr>
            <w:tcW w:w="5000" w:type="pct"/>
            <w:gridSpan w:val="11"/>
            <w:shd w:val="clear" w:color="auto" w:fill="auto"/>
          </w:tcPr>
          <w:p w14:paraId="3F71A7BB"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63C77BF"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area has high natural biological productivity. According to the data available,  the biomass of plankton and benthos is considered one of the highest in the Caspian Sea. Small deep bays allow for quick warming, therefore waterweeds grow fast  in small bays, thereby promoting high biological productivity (Киреева, Щапова, 1957; Бобров, 1959; Блинова, Филлипов, 1975).</w:t>
            </w:r>
          </w:p>
        </w:tc>
      </w:tr>
      <w:tr w:rsidR="00A876F3" w:rsidRPr="0088780C" w14:paraId="0920C90A" w14:textId="77777777" w:rsidTr="006972AD">
        <w:tc>
          <w:tcPr>
            <w:tcW w:w="783" w:type="pct"/>
            <w:shd w:val="clear" w:color="auto" w:fill="auto"/>
          </w:tcPr>
          <w:p w14:paraId="6BAEA01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25410DF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4BC194C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C7533D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751A22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2" w:type="pct"/>
            <w:gridSpan w:val="2"/>
            <w:shd w:val="clear" w:color="auto" w:fill="auto"/>
          </w:tcPr>
          <w:p w14:paraId="31C5B79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6FD05F3A" w14:textId="77777777" w:rsidTr="001C26AF">
        <w:trPr>
          <w:cantSplit/>
        </w:trPr>
        <w:tc>
          <w:tcPr>
            <w:tcW w:w="5000" w:type="pct"/>
            <w:gridSpan w:val="11"/>
            <w:shd w:val="clear" w:color="auto" w:fill="auto"/>
          </w:tcPr>
          <w:p w14:paraId="49CD4C6A"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63F958CB" w14:textId="44B80BE8"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r w:rsidRPr="0088780C">
              <w:rPr>
                <w:snapToGrid w:val="0"/>
                <w:kern w:val="22"/>
                <w:szCs w:val="22"/>
              </w:rPr>
              <w:t>There are more than 200 species of seaweeds. Five species grow on the sandy soils of coastal zones at depths to 6,0 m. The list of marine invertebrates totals more than 1200 species. Vertebrates are represented by fish (49 species and subspecies), birds (almost 300 species, of which 130 are waterfowl and waterbirds) and mammals (</w:t>
            </w:r>
            <w:r w:rsidRPr="0088780C">
              <w:rPr>
                <w:rFonts w:eastAsia="MS Mincho"/>
                <w:bCs/>
                <w:snapToGrid w:val="0"/>
                <w:color w:val="000000"/>
                <w:kern w:val="22"/>
                <w:szCs w:val="22"/>
              </w:rPr>
              <w:t xml:space="preserve">Caspian Seal), </w:t>
            </w:r>
            <w:r w:rsidRPr="0088780C">
              <w:rPr>
                <w:snapToGrid w:val="0"/>
                <w:kern w:val="22"/>
                <w:szCs w:val="22"/>
              </w:rPr>
              <w:t>including species listed in the Red Data Book of Turkmenistan (</w:t>
            </w:r>
            <w:r w:rsidRPr="0088780C">
              <w:rPr>
                <w:rFonts w:eastAsia="MS Mincho"/>
                <w:snapToGrid w:val="0"/>
                <w:kern w:val="22"/>
                <w:szCs w:val="22"/>
              </w:rPr>
              <w:t>Васильев, Гаузер, Тишков, 1990; Рустамов, Гаузер, 2009).</w:t>
            </w:r>
          </w:p>
        </w:tc>
      </w:tr>
      <w:tr w:rsidR="00A876F3" w:rsidRPr="0088780C" w14:paraId="08EB1218" w14:textId="77777777" w:rsidTr="006972AD">
        <w:tc>
          <w:tcPr>
            <w:tcW w:w="783" w:type="pct"/>
            <w:shd w:val="clear" w:color="auto" w:fill="auto"/>
          </w:tcPr>
          <w:p w14:paraId="27E21B19"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28365EA2"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48D92A7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4E3E16B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3EFACA1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c>
          <w:tcPr>
            <w:tcW w:w="385" w:type="pct"/>
            <w:shd w:val="clear" w:color="auto" w:fill="auto"/>
          </w:tcPr>
          <w:p w14:paraId="3626C89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A876F3" w:rsidRPr="0088780C" w14:paraId="07FDF0EB" w14:textId="77777777" w:rsidTr="006972AD">
        <w:tc>
          <w:tcPr>
            <w:tcW w:w="5000" w:type="pct"/>
            <w:gridSpan w:val="11"/>
            <w:shd w:val="clear" w:color="auto" w:fill="auto"/>
          </w:tcPr>
          <w:p w14:paraId="3D21DB24"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56E0C54D" w14:textId="6EE9E10E"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The area’s naturalness has been conserved throughout </w:t>
            </w:r>
            <w:r w:rsidRPr="0088780C">
              <w:rPr>
                <w:rFonts w:eastAsia="MS Mincho"/>
                <w:bCs/>
                <w:snapToGrid w:val="0"/>
                <w:color w:val="000000"/>
                <w:kern w:val="22"/>
                <w:szCs w:val="22"/>
              </w:rPr>
              <w:t>(except its northern part). N</w:t>
            </w:r>
            <w:r w:rsidRPr="0088780C">
              <w:rPr>
                <w:snapToGrid w:val="0"/>
                <w:kern w:val="22"/>
                <w:szCs w:val="22"/>
              </w:rPr>
              <w:t xml:space="preserve">aturalness is, however, related to the water level of the Caspian Sea.  During periods of low sea levels, naturalness is rated </w:t>
            </w:r>
            <w:r w:rsidR="00D8482D" w:rsidRPr="0088780C">
              <w:rPr>
                <w:snapToGrid w:val="0"/>
                <w:kern w:val="22"/>
                <w:szCs w:val="22"/>
              </w:rPr>
              <w:t>“</w:t>
            </w:r>
            <w:r w:rsidRPr="0088780C">
              <w:rPr>
                <w:snapToGrid w:val="0"/>
                <w:kern w:val="22"/>
                <w:szCs w:val="22"/>
              </w:rPr>
              <w:t>medium</w:t>
            </w:r>
            <w:r w:rsidR="00D8482D" w:rsidRPr="0088780C">
              <w:rPr>
                <w:snapToGrid w:val="0"/>
                <w:kern w:val="22"/>
                <w:szCs w:val="22"/>
              </w:rPr>
              <w:t>”</w:t>
            </w:r>
            <w:r w:rsidRPr="0088780C">
              <w:rPr>
                <w:snapToGrid w:val="0"/>
                <w:kern w:val="22"/>
                <w:szCs w:val="22"/>
              </w:rPr>
              <w:t xml:space="preserve"> (</w:t>
            </w:r>
            <w:r w:rsidRPr="0088780C">
              <w:rPr>
                <w:snapToGrid w:val="0"/>
                <w:kern w:val="22"/>
                <w:szCs w:val="22"/>
                <w:lang w:val="ru-RU"/>
              </w:rPr>
              <w:t>Васильев, Гаузер, Тишков, 1990; Зонн, 2004; Зонн, Жильцов, 2004</w:t>
            </w:r>
            <w:r w:rsidRPr="0088780C">
              <w:rPr>
                <w:snapToGrid w:val="0"/>
                <w:kern w:val="22"/>
                <w:szCs w:val="22"/>
              </w:rPr>
              <w:t>).</w:t>
            </w:r>
          </w:p>
        </w:tc>
      </w:tr>
    </w:tbl>
    <w:p w14:paraId="6AD9D1D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155391E" w14:textId="77777777" w:rsidR="00A876F3" w:rsidRPr="0088780C" w:rsidRDefault="00A876F3" w:rsidP="001C26AF">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7D7D1D52" w14:textId="6666A6BC"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en-US"/>
        </w:rPr>
      </w:pPr>
      <w:r w:rsidRPr="0088780C">
        <w:rPr>
          <w:rFonts w:eastAsia="MS Mincho"/>
          <w:snapToGrid w:val="0"/>
          <w:kern w:val="22"/>
          <w:szCs w:val="22"/>
          <w:lang w:val="ru-RU"/>
        </w:rPr>
        <w:t>Блинова Е.И, Филлипов Г.М. 1975. Фитобентос Красноводского залив</w:t>
      </w:r>
      <w:r w:rsidR="001C26AF" w:rsidRPr="0088780C">
        <w:rPr>
          <w:rFonts w:eastAsia="MS Mincho"/>
          <w:snapToGrid w:val="0"/>
          <w:kern w:val="22"/>
          <w:szCs w:val="22"/>
          <w:lang w:val="ru-RU"/>
        </w:rPr>
        <w:t>а // Тр. ВНИРО, Т.108. С.75-80.</w:t>
      </w:r>
    </w:p>
    <w:p w14:paraId="43DAC26F"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Бобров С.Н. 1959. Биологические процессы на дне Красноводского залива // Природа. №10.</w:t>
      </w:r>
    </w:p>
    <w:p w14:paraId="3A61E8AD"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Васильев В.И., Гаузер М.Е., Тишков Л.А. 1990. Красноводский заповедник // Заповедники СССР. Заповедники Средней Азии и Казахстана. – М.: Мысль. – С.128-140.</w:t>
      </w:r>
    </w:p>
    <w:p w14:paraId="59281235"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Гюль К.К. 1956. Каспийское море. Баку. 328 с.</w:t>
      </w:r>
    </w:p>
    <w:p w14:paraId="714F6187"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Дерягин В.А. 1977. Каспий, его прошлое, настоящее и будущее (краткий историко-географический очерк). Баку. 115 с.</w:t>
      </w:r>
    </w:p>
    <w:p w14:paraId="0D5D75ED"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Забержинская Э.Б. 1974. Донная растительность Каспийского моря // Ин-т Ботаники АН Аз.ССР. Деп. в ВНТИТИ. 16.07.1974. №1949-74.</w:t>
      </w:r>
    </w:p>
    <w:p w14:paraId="5581BE91"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Зонн И.С. 2004. Каспийская энциклопедия. М.: Международные отношения. 461 с.</w:t>
      </w:r>
    </w:p>
    <w:p w14:paraId="6D78A6BA"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Зонн И.С., Жильцов С.С. 2004. Каспийский регион: география, экономика, политика, сотрудничество. М.: Эдель-М. 638 с.</w:t>
      </w:r>
    </w:p>
    <w:p w14:paraId="48A1168B"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Касымов А.Г. 1987. Каспийское море. Л.: Гидрометиоиздат. 157 с.</w:t>
      </w:r>
    </w:p>
    <w:p w14:paraId="66EABEC4"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Красная книга Туркменистана. 2011. Т.2. Беспозвоночные и позвоночные животные. Изд.3-е, перераб. и доп. Ашхабад: Ылым. 384 с.</w:t>
      </w:r>
    </w:p>
    <w:p w14:paraId="56A55119"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Киреева М.С., Щапова Т.Ф. 1957. Донная растительность Красноводского залива // Тр. ИОАН СССР. Т.23. С. 125-137.</w:t>
      </w:r>
    </w:p>
    <w:p w14:paraId="1F251B81" w14:textId="1BE5D930"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en-US"/>
        </w:rPr>
      </w:pPr>
      <w:r w:rsidRPr="0088780C">
        <w:rPr>
          <w:rFonts w:eastAsia="MS Mincho"/>
          <w:snapToGrid w:val="0"/>
          <w:kern w:val="22"/>
          <w:szCs w:val="22"/>
          <w:lang w:val="ru-RU"/>
        </w:rPr>
        <w:t>Прошкина-Лавренко А.И., Макарова И.В. 1968. Водоросли планктона Касп</w:t>
      </w:r>
      <w:r w:rsidR="001C26AF" w:rsidRPr="0088780C">
        <w:rPr>
          <w:rFonts w:eastAsia="MS Mincho"/>
          <w:snapToGrid w:val="0"/>
          <w:kern w:val="22"/>
          <w:szCs w:val="22"/>
          <w:lang w:val="ru-RU"/>
        </w:rPr>
        <w:t>ийского моря. Л.: Наука, 291 с.</w:t>
      </w:r>
    </w:p>
    <w:p w14:paraId="6D9CDB28"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Рустамов А.К., Васильев В.И. 1976. Природные заповедники СССР: (Всесоюзный орнитологический Красноводский заповедник). – М.: Знание. – 48 с.</w:t>
      </w:r>
    </w:p>
    <w:p w14:paraId="35908FAF"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Рустамов Э.А., Гаузер М.Е. 2009. Туркменбаши айлагы // Ключевые орнитологические территории Туркменистана. Ашхабад: МОП. С.74-76.</w:t>
      </w:r>
    </w:p>
    <w:p w14:paraId="05E4F3AF"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Рустамов Э.А., Щербина А.А. 2007. Учет численности водно-болотных птиц на туркменском побережье Каспия // Проблемы освоения пустынь. №1. С.55-57.</w:t>
      </w:r>
    </w:p>
    <w:p w14:paraId="3B654283" w14:textId="77777777" w:rsidR="00A876F3" w:rsidRPr="0088780C" w:rsidRDefault="00A876F3" w:rsidP="001C26AF">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Щербина А.А. 2013. Из материалов по редким и малоизученным видам птиц туркменского Прикаспия // Изучение биоразнообразия Туркменистана (позвоночные животные). Москва – Ашхабад. С.170-181.</w:t>
      </w:r>
    </w:p>
    <w:p w14:paraId="36B56F6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6980D8FA"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rFonts w:eastAsia="MS Mincho"/>
          <w:b/>
          <w:snapToGrid w:val="0"/>
          <w:color w:val="000000" w:themeColor="text1"/>
          <w:kern w:val="22"/>
          <w:szCs w:val="22"/>
        </w:rPr>
        <w:t>Maps and Figures</w:t>
      </w:r>
    </w:p>
    <w:p w14:paraId="0F10DEFE"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p>
    <w:p w14:paraId="15476688"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p>
    <w:p w14:paraId="6F3521FB"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noProof/>
          <w:snapToGrid w:val="0"/>
          <w:kern w:val="22"/>
          <w:szCs w:val="22"/>
          <w:lang w:eastAsia="zh-CN"/>
        </w:rPr>
        <w:drawing>
          <wp:inline distT="0" distB="0" distL="0" distR="0" wp14:anchorId="4EE13BA6" wp14:editId="31BA283F">
            <wp:extent cx="5486400" cy="4572000"/>
            <wp:effectExtent l="0" t="0" r="0" b="0"/>
            <wp:docPr id="13312" name="Picture 13312" descr="C:\Users\grekin\AppData\Local\Microsoft\Windows\Temporary Internet Files\Content.Word\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grekin\AppData\Local\Microsoft\Windows\Temporary Internet Files\Content.Word\23.png"/>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64658B53"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rFonts w:eastAsia="MS Mincho"/>
          <w:b/>
          <w:snapToGrid w:val="0"/>
          <w:color w:val="000000" w:themeColor="text1"/>
          <w:kern w:val="22"/>
          <w:szCs w:val="22"/>
        </w:rPr>
        <w:t>Figure 1. Area meeting the EBSA criteria</w:t>
      </w:r>
    </w:p>
    <w:p w14:paraId="269ED3C8" w14:textId="4CA9B81A" w:rsidR="00C479E0" w:rsidRPr="0088780C" w:rsidRDefault="00C479E0">
      <w:pPr>
        <w:jc w:val="left"/>
        <w:rPr>
          <w:rFonts w:eastAsia="MS Mincho"/>
          <w:b/>
          <w:snapToGrid w:val="0"/>
          <w:color w:val="000000" w:themeColor="text1"/>
          <w:kern w:val="22"/>
          <w:szCs w:val="22"/>
        </w:rPr>
      </w:pPr>
      <w:r w:rsidRPr="0088780C">
        <w:rPr>
          <w:rFonts w:eastAsia="MS Mincho"/>
          <w:b/>
          <w:snapToGrid w:val="0"/>
          <w:color w:val="000000" w:themeColor="text1"/>
          <w:kern w:val="22"/>
          <w:szCs w:val="22"/>
        </w:rPr>
        <w:br w:type="page"/>
      </w:r>
    </w:p>
    <w:p w14:paraId="362F7753" w14:textId="77777777" w:rsidR="00A876F3" w:rsidRPr="0088780C" w:rsidRDefault="00A876F3" w:rsidP="001013AF">
      <w:pPr>
        <w:suppressLineNumbers/>
        <w:suppressAutoHyphens/>
        <w:kinsoku w:val="0"/>
        <w:overflowPunct w:val="0"/>
        <w:autoSpaceDE w:val="0"/>
        <w:autoSpaceDN w:val="0"/>
        <w:rPr>
          <w:rFonts w:eastAsia="MS Mincho"/>
          <w:b/>
          <w:snapToGrid w:val="0"/>
          <w:color w:val="FF0000"/>
          <w:kern w:val="22"/>
          <w:szCs w:val="22"/>
        </w:rPr>
      </w:pPr>
      <w:r w:rsidRPr="0088780C">
        <w:rPr>
          <w:rFonts w:eastAsia="MS Mincho"/>
          <w:b/>
          <w:noProof/>
          <w:snapToGrid w:val="0"/>
          <w:color w:val="FF0000"/>
          <w:kern w:val="22"/>
          <w:szCs w:val="22"/>
          <w:lang w:eastAsia="zh-CN"/>
        </w:rPr>
        <w:drawing>
          <wp:inline distT="0" distB="0" distL="0" distR="0" wp14:anchorId="4DA6C3AA" wp14:editId="11AD353D">
            <wp:extent cx="5824450" cy="3882967"/>
            <wp:effectExtent l="0" t="0" r="5080" b="3810"/>
            <wp:docPr id="64518" name="Рисунок 2" descr="C:\Users\user7\Desktop\EBSA WS_BAKU_2017\updated files\Для презентации\Туркменбаши\21- вост.часть Гарадага,задн.план - Губада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7\Desktop\EBSA WS_BAKU_2017\updated files\Для презентации\Туркменбаши\21- вост.часть Гарадага,задн.план - Губадаг.JPG"/>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825490" cy="3883660"/>
                    </a:xfrm>
                    <a:prstGeom prst="rect">
                      <a:avLst/>
                    </a:prstGeom>
                    <a:noFill/>
                    <a:ln>
                      <a:noFill/>
                    </a:ln>
                  </pic:spPr>
                </pic:pic>
              </a:graphicData>
            </a:graphic>
          </wp:inline>
        </w:drawing>
      </w:r>
    </w:p>
    <w:p w14:paraId="5601728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 2. North-eastern part of Turkmenbashi Gulf (Photo: Eldar Rustamov)</w:t>
      </w:r>
    </w:p>
    <w:p w14:paraId="1094B5C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340DBD3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E2032AF" w14:textId="77777777" w:rsidR="00A876F3" w:rsidRPr="0088780C" w:rsidRDefault="00A876F3" w:rsidP="001013AF">
      <w:pPr>
        <w:suppressLineNumbers/>
        <w:suppressAutoHyphens/>
        <w:kinsoku w:val="0"/>
        <w:overflowPunct w:val="0"/>
        <w:autoSpaceDE w:val="0"/>
        <w:autoSpaceDN w:val="0"/>
        <w:rPr>
          <w:rFonts w:eastAsia="MS Mincho"/>
          <w:b/>
          <w:snapToGrid w:val="0"/>
          <w:color w:val="FF0000"/>
          <w:kern w:val="22"/>
          <w:szCs w:val="22"/>
        </w:rPr>
      </w:pPr>
      <w:r w:rsidRPr="0088780C">
        <w:rPr>
          <w:noProof/>
          <w:snapToGrid w:val="0"/>
          <w:kern w:val="22"/>
          <w:szCs w:val="22"/>
          <w:lang w:eastAsia="zh-CN"/>
        </w:rPr>
        <w:drawing>
          <wp:inline distT="0" distB="0" distL="0" distR="0" wp14:anchorId="3CE02EE4" wp14:editId="7F73B079">
            <wp:extent cx="5184775" cy="3455988"/>
            <wp:effectExtent l="0" t="0" r="0" b="0"/>
            <wp:docPr id="5124" name="Picture 2" descr="D:\Документы Рустамов\Доклад на водном Формуе апрель 2015 г\СЛАЙДЫ 9-16\Слайд 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2" descr="D:\Документы Рустамов\Доклад на водном Формуе апрель 2015 г\СЛАЙДЫ 9-16\Слайд 13.tif"/>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5184775" cy="3455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4451F4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3. Coots in </w:t>
      </w:r>
      <w:r w:rsidRPr="0088780C">
        <w:rPr>
          <w:b/>
          <w:snapToGrid w:val="0"/>
          <w:kern w:val="22"/>
          <w:szCs w:val="22"/>
        </w:rPr>
        <w:t>Mihajlovsky</w:t>
      </w:r>
      <w:r w:rsidRPr="0088780C">
        <w:rPr>
          <w:rFonts w:eastAsia="MS Mincho"/>
          <w:b/>
          <w:snapToGrid w:val="0"/>
          <w:kern w:val="22"/>
          <w:szCs w:val="22"/>
        </w:rPr>
        <w:t xml:space="preserve"> small bay (Photo: Eldar Rustamov)</w:t>
      </w:r>
    </w:p>
    <w:p w14:paraId="6ACE512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80CBF0F" w14:textId="74179F35" w:rsidR="00A876F3" w:rsidRPr="0088780C" w:rsidRDefault="00C479E0" w:rsidP="001013AF">
      <w:pPr>
        <w:suppressLineNumbers/>
        <w:suppressAutoHyphens/>
        <w:kinsoku w:val="0"/>
        <w:overflowPunct w:val="0"/>
        <w:autoSpaceDE w:val="0"/>
        <w:autoSpaceDN w:val="0"/>
        <w:rPr>
          <w:rFonts w:eastAsia="MS Mincho"/>
          <w:bCs/>
          <w:i/>
          <w:iCs/>
          <w:snapToGrid w:val="0"/>
          <w:kern w:val="22"/>
          <w:szCs w:val="22"/>
        </w:rPr>
      </w:pPr>
      <w:r w:rsidRPr="0088780C">
        <w:rPr>
          <w:rFonts w:eastAsia="MS Mincho"/>
          <w:bCs/>
          <w:i/>
          <w:iCs/>
          <w:snapToGrid w:val="0"/>
          <w:kern w:val="22"/>
          <w:szCs w:val="22"/>
        </w:rPr>
        <w:t>Rights and permissions</w:t>
      </w:r>
    </w:p>
    <w:p w14:paraId="45220D2A" w14:textId="27832F79" w:rsidR="00A876F3" w:rsidRPr="0088780C" w:rsidRDefault="00A876F3" w:rsidP="00C479E0">
      <w:pPr>
        <w:suppressLineNumbers/>
        <w:suppressAutoHyphens/>
        <w:kinsoku w:val="0"/>
        <w:overflowPunct w:val="0"/>
        <w:autoSpaceDE w:val="0"/>
        <w:autoSpaceDN w:val="0"/>
        <w:rPr>
          <w:rFonts w:eastAsia="MS Mincho"/>
          <w:b/>
          <w:snapToGrid w:val="0"/>
          <w:kern w:val="22"/>
          <w:szCs w:val="22"/>
        </w:rPr>
      </w:pPr>
      <w:r w:rsidRPr="0088780C">
        <w:rPr>
          <w:rFonts w:eastAsia="MS Mincho"/>
          <w:snapToGrid w:val="0"/>
          <w:kern w:val="22"/>
          <w:szCs w:val="22"/>
        </w:rPr>
        <w:t>Among references, pr</w:t>
      </w:r>
      <w:r w:rsidR="00C479E0" w:rsidRPr="0088780C">
        <w:rPr>
          <w:rFonts w:eastAsia="MS Mincho"/>
          <w:snapToGrid w:val="0"/>
          <w:kern w:val="22"/>
          <w:szCs w:val="22"/>
        </w:rPr>
        <w:t>ivate data of authors are used.</w:t>
      </w:r>
      <w:r w:rsidRPr="0088780C">
        <w:rPr>
          <w:rFonts w:eastAsia="MS Mincho"/>
          <w:b/>
          <w:snapToGrid w:val="0"/>
          <w:kern w:val="22"/>
          <w:szCs w:val="22"/>
        </w:rPr>
        <w:br w:type="page"/>
      </w:r>
    </w:p>
    <w:p w14:paraId="465FDCC0" w14:textId="1D6BD3D2"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b/>
          <w:snapToGrid w:val="0"/>
          <w:kern w:val="22"/>
          <w:szCs w:val="22"/>
        </w:rPr>
        <w:t xml:space="preserve">Area </w:t>
      </w:r>
      <w:r w:rsidR="00F743B2" w:rsidRPr="0088780C">
        <w:rPr>
          <w:b/>
          <w:snapToGrid w:val="0"/>
          <w:kern w:val="22"/>
          <w:szCs w:val="22"/>
        </w:rPr>
        <w:t>No.</w:t>
      </w:r>
      <w:r w:rsidRPr="0088780C">
        <w:rPr>
          <w:b/>
          <w:snapToGrid w:val="0"/>
          <w:kern w:val="22"/>
          <w:szCs w:val="22"/>
        </w:rPr>
        <w:t xml:space="preserve"> 24: </w:t>
      </w:r>
      <w:r w:rsidRPr="0088780C">
        <w:rPr>
          <w:rFonts w:eastAsia="MS Mincho"/>
          <w:b/>
          <w:snapToGrid w:val="0"/>
          <w:kern w:val="22"/>
          <w:szCs w:val="22"/>
        </w:rPr>
        <w:t>Turkmen Aylagy</w:t>
      </w:r>
    </w:p>
    <w:p w14:paraId="66A47914" w14:textId="77777777" w:rsidR="00A876F3" w:rsidRPr="0088780C" w:rsidRDefault="00A876F3" w:rsidP="001013AF">
      <w:pPr>
        <w:suppressLineNumbers/>
        <w:shd w:val="clear" w:color="auto" w:fill="FFFFFF"/>
        <w:suppressAutoHyphens/>
        <w:kinsoku w:val="0"/>
        <w:overflowPunct w:val="0"/>
        <w:autoSpaceDE w:val="0"/>
        <w:autoSpaceDN w:val="0"/>
        <w:adjustRightInd w:val="0"/>
        <w:rPr>
          <w:rFonts w:eastAsia="MS Mincho"/>
          <w:b/>
          <w:snapToGrid w:val="0"/>
          <w:kern w:val="22"/>
          <w:szCs w:val="22"/>
        </w:rPr>
      </w:pPr>
    </w:p>
    <w:p w14:paraId="4EC5F178" w14:textId="77777777" w:rsidR="00A876F3" w:rsidRPr="0088780C" w:rsidRDefault="00A876F3" w:rsidP="001013AF">
      <w:pPr>
        <w:suppressLineNumbers/>
        <w:shd w:val="clear" w:color="auto" w:fill="FFFFFF"/>
        <w:suppressAutoHyphens/>
        <w:kinsoku w:val="0"/>
        <w:overflowPunct w:val="0"/>
        <w:autoSpaceDE w:val="0"/>
        <w:autoSpaceDN w:val="0"/>
        <w:adjustRightInd w:val="0"/>
        <w:rPr>
          <w:rFonts w:eastAsia="MS Mincho"/>
          <w:b/>
          <w:snapToGrid w:val="0"/>
          <w:kern w:val="22"/>
          <w:szCs w:val="22"/>
        </w:rPr>
      </w:pPr>
      <w:r w:rsidRPr="0088780C">
        <w:rPr>
          <w:rFonts w:eastAsia="MS Mincho"/>
          <w:b/>
          <w:snapToGrid w:val="0"/>
          <w:kern w:val="22"/>
          <w:szCs w:val="22"/>
        </w:rPr>
        <w:t>Abstract</w:t>
      </w:r>
    </w:p>
    <w:p w14:paraId="1ACD7671" w14:textId="2C466103"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Turkmen Aylagy has a unique complex of biodiversity, especially birds, fishes and two species of mammals. It is affected by seasonal and annual fluctuations in the level of the Caspian Sea and by movements of Dardzhakum sands. During periods of sea level rise, there are favourable conditions for protection, fodder nesting and wintering of birds in bays, but extensive saline soils are formed in their place during periods of sea-level drop. Prevailing depths of the Turkmen</w:t>
      </w:r>
      <w:r w:rsidRPr="0088780C">
        <w:rPr>
          <w:rFonts w:eastAsia="MS Mincho"/>
          <w:snapToGrid w:val="0"/>
          <w:kern w:val="22"/>
          <w:szCs w:val="22"/>
        </w:rPr>
        <w:t xml:space="preserve"> Aylagy range from </w:t>
      </w:r>
      <w:r w:rsidRPr="0088780C">
        <w:rPr>
          <w:snapToGrid w:val="0"/>
          <w:kern w:val="22"/>
          <w:szCs w:val="22"/>
        </w:rPr>
        <w:t>3-4 m in the east to 9-11 m in the centre. The water in the area has a higher salt content than the Caspian Sea, as the rivers do not run into it.</w:t>
      </w:r>
    </w:p>
    <w:p w14:paraId="57458B77"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220439D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Introduction</w:t>
      </w:r>
    </w:p>
    <w:p w14:paraId="172B85E9" w14:textId="4D7BEC24"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site covers the water portion of Turkmen Gulf, from Ogurdzhaly island (inclusive) in the west, the South Cheleken Bay, with a total area of 3708 km</w:t>
      </w:r>
      <w:r w:rsidRPr="0088780C">
        <w:rPr>
          <w:snapToGrid w:val="0"/>
          <w:kern w:val="22"/>
          <w:szCs w:val="22"/>
          <w:vertAlign w:val="superscript"/>
        </w:rPr>
        <w:t>2</w:t>
      </w:r>
      <w:r w:rsidRPr="0088780C">
        <w:rPr>
          <w:snapToGrid w:val="0"/>
          <w:kern w:val="22"/>
          <w:szCs w:val="22"/>
        </w:rPr>
        <w:t>. Ogurdzhaly Island is a sandy strip,  2 km wide, that extends 40 km in a  north-south direction, with an area of 6 000 ha. Coasts are shallow, and atthe northern end of the island there is a small bay. The south Cheleken Bay (which varies from 2 to 10 km in width) has a sandy coast in its western and northern parts, with coverage of the small bays Garakyol and Heles (Гюль, 1956; Дерягин, 1977; Касымов, 1987; Зонн, 2004).</w:t>
      </w:r>
    </w:p>
    <w:p w14:paraId="7BBCF3D6"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1AE361C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Location</w:t>
      </w:r>
    </w:p>
    <w:p w14:paraId="202B3E67" w14:textId="261F0E1A" w:rsidR="00A876F3" w:rsidRPr="0088780C" w:rsidRDefault="00A876F3" w:rsidP="001013AF">
      <w:pPr>
        <w:pStyle w:val="p1"/>
        <w:suppressLineNumbers/>
        <w:suppressAutoHyphens/>
        <w:kinsoku w:val="0"/>
        <w:overflowPunct w:val="0"/>
        <w:autoSpaceDE w:val="0"/>
        <w:autoSpaceDN w:val="0"/>
        <w:jc w:val="both"/>
        <w:rPr>
          <w:rFonts w:ascii="Times New Roman" w:hAnsi="Times New Roman"/>
          <w:snapToGrid w:val="0"/>
          <w:kern w:val="22"/>
          <w:sz w:val="22"/>
          <w:szCs w:val="22"/>
          <w:lang w:val="en-GB"/>
        </w:rPr>
      </w:pPr>
      <w:r w:rsidRPr="0088780C">
        <w:rPr>
          <w:rFonts w:ascii="Times New Roman" w:eastAsia="MS Mincho" w:hAnsi="Times New Roman"/>
          <w:snapToGrid w:val="0"/>
          <w:kern w:val="22"/>
          <w:sz w:val="22"/>
          <w:szCs w:val="22"/>
          <w:lang w:val="en-GB"/>
        </w:rPr>
        <w:t xml:space="preserve">Turkmen Aylagy </w:t>
      </w:r>
      <w:r w:rsidRPr="0088780C">
        <w:rPr>
          <w:rFonts w:ascii="Times New Roman" w:hAnsi="Times New Roman"/>
          <w:snapToGrid w:val="0"/>
          <w:kern w:val="22"/>
          <w:sz w:val="22"/>
          <w:szCs w:val="22"/>
          <w:lang w:val="en-GB"/>
        </w:rPr>
        <w:t>is bordered in the north by the Cheleken Peninsula and in the west by Ogurdzhaly Island. The site covers the water area of the Turkmen Gulf, from Ogurdzhaly Island (inclusive) in the west, to South Cheleken Bay, with a total area of 3708 km</w:t>
      </w:r>
      <w:r w:rsidRPr="0088780C">
        <w:rPr>
          <w:rFonts w:ascii="Times New Roman" w:hAnsi="Times New Roman"/>
          <w:snapToGrid w:val="0"/>
          <w:kern w:val="22"/>
          <w:sz w:val="22"/>
          <w:szCs w:val="22"/>
          <w:vertAlign w:val="superscript"/>
          <w:lang w:val="en-GB"/>
        </w:rPr>
        <w:t>2</w:t>
      </w:r>
      <w:r w:rsidRPr="0088780C">
        <w:rPr>
          <w:rFonts w:ascii="Times New Roman" w:hAnsi="Times New Roman"/>
          <w:snapToGrid w:val="0"/>
          <w:kern w:val="22"/>
          <w:sz w:val="22"/>
          <w:szCs w:val="22"/>
          <w:lang w:val="en-GB"/>
        </w:rPr>
        <w:t>. Ogurdzhaly Island is a sandy strip, 2 km wide, that extends 40 km in a north-south direction, with an area of 6 000 ha. The area is geographically centred at 39.035352N, 53.439243E.</w:t>
      </w:r>
    </w:p>
    <w:p w14:paraId="3605BBDA"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15046A2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6568E003" w14:textId="52EE7E83"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Since 1994, </w:t>
      </w:r>
      <w:r w:rsidRPr="0088780C">
        <w:rPr>
          <w:rFonts w:eastAsia="MS Mincho"/>
          <w:snapToGrid w:val="0"/>
          <w:kern w:val="22"/>
          <w:szCs w:val="22"/>
        </w:rPr>
        <w:t>Ogurdzhaly Island</w:t>
      </w:r>
      <w:r w:rsidRPr="0088780C">
        <w:rPr>
          <w:snapToGrid w:val="0"/>
          <w:kern w:val="22"/>
          <w:szCs w:val="22"/>
        </w:rPr>
        <w:t xml:space="preserve"> has been a wildlife sanctuary of the Hazar State Nature Reserve. </w:t>
      </w:r>
      <w:r w:rsidRPr="0088780C">
        <w:rPr>
          <w:rFonts w:eastAsia="MS Mincho"/>
          <w:snapToGrid w:val="0"/>
          <w:kern w:val="22"/>
          <w:szCs w:val="22"/>
        </w:rPr>
        <w:t xml:space="preserve">The area described includes three Important Bird and Biodiversity Areas (IBAs): </w:t>
      </w:r>
      <w:r w:rsidRPr="0088780C">
        <w:rPr>
          <w:snapToGrid w:val="0"/>
          <w:kern w:val="22"/>
          <w:szCs w:val="22"/>
        </w:rPr>
        <w:t>Ogurdzhaly Island, South Cheleken Bay and Turkmen Bay.</w:t>
      </w:r>
    </w:p>
    <w:p w14:paraId="0366B360"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15FC2D03" w14:textId="324B1404"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Vegetation includes up to 200 species (Прошкина-Лавренко, Макарова, 1968; Яблонская, 1985). Annually, biomass has exceeded 1000 mg/m</w:t>
      </w:r>
      <w:r w:rsidRPr="0088780C">
        <w:rPr>
          <w:snapToGrid w:val="0"/>
          <w:kern w:val="22"/>
          <w:szCs w:val="22"/>
          <w:vertAlign w:val="superscript"/>
        </w:rPr>
        <w:t>3</w:t>
      </w:r>
      <w:r w:rsidRPr="0088780C">
        <w:rPr>
          <w:snapToGrid w:val="0"/>
          <w:kern w:val="22"/>
          <w:szCs w:val="22"/>
        </w:rPr>
        <w:t xml:space="preserve">. From the shallowest, to the deepest, at 6 m, there are the following seaweeds: green (28 species), the greatest value among which are Charophyta on oozy bottom. Among red seaweeds, there are 11 species, the most common of whichis Polysiphonia on sandy bottom. There is only one species of brown seaweed: Ectocarpus. Except macroscopical, hundreds of microscopic seaweed species, basically representatives of Diatomeae, green (Clorophyta), blue-green (Cyanophyta) and Pyrrophyta, comprise the plankton and benthos. Floral (sea grasses) plants are represented by </w:t>
      </w:r>
      <w:r w:rsidRPr="0088780C">
        <w:rPr>
          <w:i/>
          <w:snapToGrid w:val="0"/>
          <w:kern w:val="22"/>
          <w:szCs w:val="22"/>
        </w:rPr>
        <w:t>Zostera noltii</w:t>
      </w:r>
      <w:r w:rsidRPr="0088780C">
        <w:rPr>
          <w:snapToGrid w:val="0"/>
          <w:kern w:val="22"/>
          <w:szCs w:val="22"/>
        </w:rPr>
        <w:t xml:space="preserve">, </w:t>
      </w:r>
      <w:r w:rsidRPr="0088780C">
        <w:rPr>
          <w:i/>
          <w:snapToGrid w:val="0"/>
          <w:kern w:val="22"/>
          <w:szCs w:val="22"/>
        </w:rPr>
        <w:t>Ruppia maritima</w:t>
      </w:r>
      <w:r w:rsidRPr="0088780C">
        <w:rPr>
          <w:snapToGrid w:val="0"/>
          <w:kern w:val="22"/>
          <w:szCs w:val="22"/>
        </w:rPr>
        <w:t xml:space="preserve">, </w:t>
      </w:r>
      <w:r w:rsidRPr="0088780C">
        <w:rPr>
          <w:i/>
          <w:snapToGrid w:val="0"/>
          <w:kern w:val="22"/>
          <w:szCs w:val="22"/>
        </w:rPr>
        <w:t>Potamogeton pectinatus</w:t>
      </w:r>
      <w:r w:rsidRPr="0088780C">
        <w:rPr>
          <w:snapToGrid w:val="0"/>
          <w:kern w:val="22"/>
          <w:szCs w:val="22"/>
        </w:rPr>
        <w:t xml:space="preserve">, and </w:t>
      </w:r>
      <w:r w:rsidRPr="0088780C">
        <w:rPr>
          <w:i/>
          <w:snapToGrid w:val="0"/>
          <w:kern w:val="22"/>
          <w:szCs w:val="22"/>
        </w:rPr>
        <w:t>Najas marina</w:t>
      </w:r>
      <w:r w:rsidRPr="0088780C">
        <w:rPr>
          <w:snapToGrid w:val="0"/>
          <w:kern w:val="22"/>
          <w:szCs w:val="22"/>
        </w:rPr>
        <w:t xml:space="preserve">. The general biomass is at least 500 000 tonnes/year. Along the coasts of Ogurdzhaly Island and gulf coast there are 50 species, most of which </w:t>
      </w:r>
      <w:r w:rsidR="00AA5691" w:rsidRPr="0088780C">
        <w:rPr>
          <w:snapToGrid w:val="0"/>
          <w:kern w:val="22"/>
          <w:szCs w:val="22"/>
        </w:rPr>
        <w:t>are ephemerids (60%);and 10-15</w:t>
      </w:r>
      <w:r w:rsidRPr="0088780C">
        <w:rPr>
          <w:snapToGrid w:val="0"/>
          <w:kern w:val="22"/>
          <w:szCs w:val="22"/>
        </w:rPr>
        <w:t xml:space="preserve">% are bushes. In a coastal strip on moderated salted sites there are </w:t>
      </w:r>
      <w:r w:rsidRPr="0088780C">
        <w:rPr>
          <w:i/>
          <w:snapToGrid w:val="0"/>
          <w:kern w:val="22"/>
          <w:szCs w:val="22"/>
        </w:rPr>
        <w:t>Salsola dendroides</w:t>
      </w:r>
      <w:r w:rsidRPr="0088780C">
        <w:rPr>
          <w:snapToGrid w:val="0"/>
          <w:kern w:val="22"/>
          <w:szCs w:val="22"/>
        </w:rPr>
        <w:t xml:space="preserve">, </w:t>
      </w:r>
      <w:r w:rsidRPr="0088780C">
        <w:rPr>
          <w:i/>
          <w:snapToGrid w:val="0"/>
          <w:kern w:val="22"/>
          <w:szCs w:val="22"/>
        </w:rPr>
        <w:t>S. lanata</w:t>
      </w:r>
      <w:r w:rsidRPr="0088780C">
        <w:rPr>
          <w:snapToGrid w:val="0"/>
          <w:kern w:val="22"/>
          <w:szCs w:val="22"/>
        </w:rPr>
        <w:t xml:space="preserve">, </w:t>
      </w:r>
      <w:r w:rsidRPr="0088780C">
        <w:rPr>
          <w:i/>
          <w:snapToGrid w:val="0"/>
          <w:kern w:val="22"/>
          <w:szCs w:val="22"/>
        </w:rPr>
        <w:t>S. angustata</w:t>
      </w:r>
      <w:r w:rsidRPr="0088780C">
        <w:rPr>
          <w:snapToGrid w:val="0"/>
          <w:kern w:val="22"/>
          <w:szCs w:val="22"/>
        </w:rPr>
        <w:t xml:space="preserve">, </w:t>
      </w:r>
      <w:r w:rsidRPr="0088780C">
        <w:rPr>
          <w:i/>
          <w:snapToGrid w:val="0"/>
          <w:kern w:val="22"/>
          <w:szCs w:val="22"/>
        </w:rPr>
        <w:t>S. transhyrcanica</w:t>
      </w:r>
      <w:r w:rsidRPr="0088780C">
        <w:rPr>
          <w:snapToGrid w:val="0"/>
          <w:kern w:val="22"/>
          <w:szCs w:val="22"/>
        </w:rPr>
        <w:t xml:space="preserve">, </w:t>
      </w:r>
      <w:r w:rsidRPr="0088780C">
        <w:rPr>
          <w:i/>
          <w:snapToGrid w:val="0"/>
          <w:kern w:val="22"/>
          <w:szCs w:val="22"/>
        </w:rPr>
        <w:t>Halostachys caspica</w:t>
      </w:r>
      <w:r w:rsidRPr="0088780C">
        <w:rPr>
          <w:snapToGrid w:val="0"/>
          <w:kern w:val="22"/>
          <w:szCs w:val="22"/>
        </w:rPr>
        <w:t xml:space="preserve"> and in some places </w:t>
      </w:r>
      <w:r w:rsidRPr="0088780C">
        <w:rPr>
          <w:i/>
          <w:snapToGrid w:val="0"/>
          <w:kern w:val="22"/>
          <w:szCs w:val="22"/>
        </w:rPr>
        <w:t>Alhagi persarum</w:t>
      </w:r>
      <w:r w:rsidRPr="0088780C">
        <w:rPr>
          <w:snapToGrid w:val="0"/>
          <w:kern w:val="22"/>
          <w:szCs w:val="22"/>
        </w:rPr>
        <w:t>.</w:t>
      </w:r>
    </w:p>
    <w:p w14:paraId="06579C58"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558398BC" w14:textId="18D5A677" w:rsidR="00A876F3" w:rsidRPr="0088780C" w:rsidRDefault="00A876F3" w:rsidP="00AA5691">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The list of marine invertebrates totals more than 1000 species belonging to 30 taxa (Бирштейн и др., 1968). In recent years, the invasive alien species </w:t>
      </w:r>
      <w:r w:rsidRPr="0088780C">
        <w:rPr>
          <w:i/>
          <w:snapToGrid w:val="0"/>
          <w:kern w:val="22"/>
          <w:szCs w:val="22"/>
        </w:rPr>
        <w:t>Mnemiopsis leidyi</w:t>
      </w:r>
      <w:r w:rsidR="00AA5691" w:rsidRPr="0088780C">
        <w:rPr>
          <w:snapToGrid w:val="0"/>
          <w:kern w:val="22"/>
          <w:szCs w:val="22"/>
        </w:rPr>
        <w:t xml:space="preserve"> has become common. </w:t>
      </w:r>
      <w:r w:rsidRPr="0088780C">
        <w:rPr>
          <w:snapToGrid w:val="0"/>
          <w:kern w:val="22"/>
          <w:szCs w:val="22"/>
        </w:rPr>
        <w:t>The development of zoobenthos (molluscs, Crustacea, hearts) creates favourable fodder conditions for herring (</w:t>
      </w:r>
      <w:r w:rsidRPr="0088780C">
        <w:rPr>
          <w:i/>
          <w:snapToGrid w:val="0"/>
          <w:kern w:val="22"/>
          <w:szCs w:val="22"/>
        </w:rPr>
        <w:t>Alosa brashnikovii</w:t>
      </w:r>
      <w:r w:rsidRPr="0088780C">
        <w:rPr>
          <w:snapToGrid w:val="0"/>
          <w:kern w:val="22"/>
          <w:szCs w:val="22"/>
        </w:rPr>
        <w:t>), mullets (Liza saliens, L. auratus), sprats (</w:t>
      </w:r>
      <w:r w:rsidRPr="0088780C">
        <w:rPr>
          <w:i/>
          <w:snapToGrid w:val="0"/>
          <w:kern w:val="22"/>
          <w:szCs w:val="22"/>
        </w:rPr>
        <w:t>Clupeonella engrauliformis</w:t>
      </w:r>
      <w:r w:rsidRPr="0088780C">
        <w:rPr>
          <w:snapToGrid w:val="0"/>
          <w:kern w:val="22"/>
          <w:szCs w:val="22"/>
        </w:rPr>
        <w:t xml:space="preserve">, </w:t>
      </w:r>
      <w:r w:rsidRPr="0088780C">
        <w:rPr>
          <w:i/>
          <w:snapToGrid w:val="0"/>
          <w:kern w:val="22"/>
          <w:szCs w:val="22"/>
        </w:rPr>
        <w:t>С. delicatula</w:t>
      </w:r>
      <w:r w:rsidRPr="0088780C">
        <w:rPr>
          <w:snapToGrid w:val="0"/>
          <w:kern w:val="22"/>
          <w:szCs w:val="22"/>
        </w:rPr>
        <w:t xml:space="preserve">, </w:t>
      </w:r>
      <w:r w:rsidRPr="0088780C">
        <w:rPr>
          <w:i/>
          <w:snapToGrid w:val="0"/>
          <w:kern w:val="22"/>
          <w:szCs w:val="22"/>
        </w:rPr>
        <w:t>C. grimmi</w:t>
      </w:r>
      <w:r w:rsidRPr="0088780C">
        <w:rPr>
          <w:snapToGrid w:val="0"/>
          <w:kern w:val="22"/>
          <w:szCs w:val="22"/>
        </w:rPr>
        <w:t>), etc.</w:t>
      </w:r>
    </w:p>
    <w:p w14:paraId="34874F4C"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45F9D8C5"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The ichthyofauna includes 34 species, including</w:t>
      </w:r>
      <w:r w:rsidRPr="0088780C">
        <w:rPr>
          <w:rFonts w:eastAsia="MS Mincho"/>
          <w:bCs/>
          <w:snapToGrid w:val="0"/>
          <w:color w:val="000000"/>
          <w:kern w:val="22"/>
          <w:szCs w:val="22"/>
        </w:rPr>
        <w:t xml:space="preserve"> the following Red Data Book of Turkmenistan </w:t>
      </w:r>
      <w:r w:rsidRPr="0088780C">
        <w:rPr>
          <w:snapToGrid w:val="0"/>
          <w:kern w:val="22"/>
          <w:szCs w:val="22"/>
        </w:rPr>
        <w:t>(2011)</w:t>
      </w:r>
      <w:r w:rsidRPr="0088780C">
        <w:rPr>
          <w:rFonts w:eastAsia="MS Mincho"/>
          <w:bCs/>
          <w:snapToGrid w:val="0"/>
          <w:color w:val="000000"/>
          <w:kern w:val="22"/>
          <w:szCs w:val="22"/>
        </w:rPr>
        <w:t xml:space="preserve"> species:</w:t>
      </w:r>
      <w:r w:rsidRPr="0088780C">
        <w:rPr>
          <w:rFonts w:eastAsia="MS Mincho"/>
          <w:bCs/>
          <w:i/>
          <w:snapToGrid w:val="0"/>
          <w:color w:val="000000"/>
          <w:kern w:val="22"/>
          <w:szCs w:val="22"/>
        </w:rPr>
        <w:t xml:space="preserve"> </w:t>
      </w:r>
      <w:r w:rsidRPr="0088780C">
        <w:rPr>
          <w:rFonts w:eastAsia="MinionPro-SemiboldIt"/>
          <w:i/>
          <w:iCs/>
          <w:snapToGrid w:val="0"/>
          <w:color w:val="231F20"/>
          <w:kern w:val="22"/>
          <w:szCs w:val="22"/>
        </w:rPr>
        <w:t xml:space="preserve">Acipenser nudiventris, </w:t>
      </w:r>
      <w:r w:rsidRPr="0088780C">
        <w:rPr>
          <w:rFonts w:eastAsia="MinionPro-Regular"/>
          <w:i/>
          <w:snapToGrid w:val="0"/>
          <w:color w:val="231F20"/>
          <w:kern w:val="22"/>
          <w:szCs w:val="22"/>
        </w:rPr>
        <w:t xml:space="preserve">I (CR), </w:t>
      </w:r>
      <w:r w:rsidRPr="0088780C">
        <w:rPr>
          <w:rFonts w:eastAsia="MinionPro-SemiboldIt"/>
          <w:i/>
          <w:iCs/>
          <w:snapToGrid w:val="0"/>
          <w:color w:val="231F20"/>
          <w:kern w:val="22"/>
          <w:szCs w:val="22"/>
        </w:rPr>
        <w:t xml:space="preserve">Alosa kessleri volgensis, </w:t>
      </w:r>
      <w:r w:rsidRPr="0088780C">
        <w:rPr>
          <w:rFonts w:eastAsia="MinionPro-Regular"/>
          <w:i/>
          <w:snapToGrid w:val="0"/>
          <w:color w:val="231F20"/>
          <w:kern w:val="22"/>
          <w:szCs w:val="22"/>
        </w:rPr>
        <w:t xml:space="preserve">II (EN), </w:t>
      </w:r>
      <w:r w:rsidRPr="0088780C">
        <w:rPr>
          <w:rFonts w:eastAsia="MinionPro-SemiboldIt"/>
          <w:i/>
          <w:iCs/>
          <w:snapToGrid w:val="0"/>
          <w:color w:val="231F20"/>
          <w:kern w:val="22"/>
          <w:szCs w:val="22"/>
        </w:rPr>
        <w:t xml:space="preserve">Salmo trutta caspius, </w:t>
      </w:r>
      <w:r w:rsidRPr="0088780C">
        <w:rPr>
          <w:rFonts w:eastAsia="MinionPro-Regular"/>
          <w:i/>
          <w:snapToGrid w:val="0"/>
          <w:color w:val="231F20"/>
          <w:kern w:val="22"/>
          <w:szCs w:val="22"/>
        </w:rPr>
        <w:t xml:space="preserve">III (VU), </w:t>
      </w:r>
      <w:r w:rsidRPr="0088780C">
        <w:rPr>
          <w:rFonts w:eastAsia="MinionPro-SemiboldIt"/>
          <w:i/>
          <w:iCs/>
          <w:snapToGrid w:val="0"/>
          <w:color w:val="231F20"/>
          <w:kern w:val="22"/>
          <w:szCs w:val="22"/>
        </w:rPr>
        <w:t xml:space="preserve">Stenodus leucichthys leucichthys, </w:t>
      </w:r>
      <w:r w:rsidRPr="0088780C">
        <w:rPr>
          <w:rFonts w:eastAsia="MinionPro-Regular"/>
          <w:i/>
          <w:snapToGrid w:val="0"/>
          <w:color w:val="231F20"/>
          <w:kern w:val="22"/>
          <w:szCs w:val="22"/>
        </w:rPr>
        <w:t>III (VU).</w:t>
      </w:r>
    </w:p>
    <w:p w14:paraId="1CFDE652" w14:textId="77777777" w:rsidR="00A876F3" w:rsidRPr="0088780C" w:rsidRDefault="00A876F3" w:rsidP="001013AF">
      <w:pPr>
        <w:suppressLineNumbers/>
        <w:suppressAutoHyphens/>
        <w:kinsoku w:val="0"/>
        <w:overflowPunct w:val="0"/>
        <w:autoSpaceDE w:val="0"/>
        <w:autoSpaceDN w:val="0"/>
        <w:adjustRightInd w:val="0"/>
        <w:rPr>
          <w:i/>
          <w:snapToGrid w:val="0"/>
          <w:kern w:val="22"/>
          <w:szCs w:val="22"/>
        </w:rPr>
      </w:pPr>
    </w:p>
    <w:p w14:paraId="537988B7" w14:textId="575FDB20"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The avifauna includes almost 290 species, of which 130 are waterfowl and waterbirds (Щербина, 2013). The majority occur during spring-autumn migration and in winter in some years up to 90 000, with an average of at last 20 000 (Рустамов, Щербина, 2007). On Ogurdzhaly Island, there are colonies of gulls and terns (</w:t>
      </w:r>
      <w:r w:rsidRPr="0088780C">
        <w:rPr>
          <w:snapToGrid w:val="0"/>
          <w:kern w:val="22"/>
          <w:szCs w:val="22"/>
          <w:lang w:val="ru-RU"/>
        </w:rPr>
        <w:t>Гаузер, Бердыев, 2009</w:t>
      </w:r>
      <w:r w:rsidRPr="0088780C">
        <w:rPr>
          <w:snapToGrid w:val="0"/>
          <w:kern w:val="22"/>
          <w:szCs w:val="22"/>
        </w:rPr>
        <w:t>).</w:t>
      </w:r>
    </w:p>
    <w:p w14:paraId="787EC5C5"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327608FC" w14:textId="77777777" w:rsidR="00A876F3" w:rsidRPr="0088780C" w:rsidRDefault="00A876F3" w:rsidP="001013AF">
      <w:pPr>
        <w:suppressLineNumbers/>
        <w:suppressAutoHyphens/>
        <w:kinsoku w:val="0"/>
        <w:overflowPunct w:val="0"/>
        <w:autoSpaceDE w:val="0"/>
        <w:autoSpaceDN w:val="0"/>
        <w:adjustRightInd w:val="0"/>
        <w:rPr>
          <w:rFonts w:eastAsia="Times New Roman"/>
          <w:snapToGrid w:val="0"/>
          <w:kern w:val="22"/>
          <w:szCs w:val="22"/>
        </w:rPr>
      </w:pPr>
      <w:r w:rsidRPr="0088780C">
        <w:rPr>
          <w:snapToGrid w:val="0"/>
          <w:kern w:val="22"/>
          <w:szCs w:val="22"/>
        </w:rPr>
        <w:t xml:space="preserve">The following threatened migratory and wintering birds, which are listed in the Red Data Book of Turkmenistan (2011), are present: </w:t>
      </w:r>
      <w:r w:rsidRPr="0088780C">
        <w:rPr>
          <w:rFonts w:eastAsia="Times New Roman"/>
          <w:i/>
          <w:snapToGrid w:val="0"/>
          <w:kern w:val="22"/>
          <w:szCs w:val="22"/>
        </w:rPr>
        <w:t>Pelecanus onocrotalus</w:t>
      </w:r>
      <w:r w:rsidRPr="0088780C">
        <w:rPr>
          <w:rFonts w:eastAsia="Times New Roman"/>
          <w:snapToGrid w:val="0"/>
          <w:kern w:val="22"/>
          <w:szCs w:val="22"/>
        </w:rPr>
        <w:t xml:space="preserve">, III (VU); </w:t>
      </w:r>
      <w:r w:rsidRPr="0088780C">
        <w:rPr>
          <w:rFonts w:eastAsia="Times New Roman"/>
          <w:i/>
          <w:snapToGrid w:val="0"/>
          <w:kern w:val="22"/>
          <w:szCs w:val="22"/>
        </w:rPr>
        <w:t>Pelecanus crispus</w:t>
      </w:r>
      <w:r w:rsidRPr="0088780C">
        <w:rPr>
          <w:rFonts w:eastAsia="Times New Roman"/>
          <w:snapToGrid w:val="0"/>
          <w:kern w:val="22"/>
          <w:szCs w:val="22"/>
        </w:rPr>
        <w:t xml:space="preserve">, II (EN); </w:t>
      </w:r>
      <w:r w:rsidRPr="0088780C">
        <w:rPr>
          <w:rFonts w:eastAsia="Times New Roman"/>
          <w:i/>
          <w:snapToGrid w:val="0"/>
          <w:kern w:val="22"/>
          <w:szCs w:val="22"/>
        </w:rPr>
        <w:t>Platalea leucorodia</w:t>
      </w:r>
      <w:r w:rsidRPr="0088780C">
        <w:rPr>
          <w:rFonts w:eastAsia="Times New Roman"/>
          <w:snapToGrid w:val="0"/>
          <w:kern w:val="22"/>
          <w:szCs w:val="22"/>
        </w:rPr>
        <w:t xml:space="preserve">, IV; </w:t>
      </w:r>
      <w:r w:rsidRPr="0088780C">
        <w:rPr>
          <w:rFonts w:eastAsia="Times New Roman"/>
          <w:i/>
          <w:snapToGrid w:val="0"/>
          <w:kern w:val="22"/>
          <w:szCs w:val="22"/>
        </w:rPr>
        <w:t>Phoenicopterus roseus</w:t>
      </w:r>
      <w:r w:rsidRPr="0088780C">
        <w:rPr>
          <w:rFonts w:eastAsia="Times New Roman"/>
          <w:snapToGrid w:val="0"/>
          <w:kern w:val="22"/>
          <w:szCs w:val="22"/>
        </w:rPr>
        <w:t xml:space="preserve">, IV; </w:t>
      </w:r>
      <w:r w:rsidRPr="0088780C">
        <w:rPr>
          <w:rFonts w:eastAsia="Times New Roman"/>
          <w:i/>
          <w:snapToGrid w:val="0"/>
          <w:kern w:val="22"/>
          <w:szCs w:val="22"/>
        </w:rPr>
        <w:t>Anser erythropus</w:t>
      </w:r>
      <w:r w:rsidRPr="0088780C">
        <w:rPr>
          <w:rFonts w:eastAsia="Times New Roman"/>
          <w:snapToGrid w:val="0"/>
          <w:kern w:val="22"/>
          <w:szCs w:val="22"/>
        </w:rPr>
        <w:t xml:space="preserve">, III (VU); </w:t>
      </w:r>
      <w:r w:rsidRPr="0088780C">
        <w:rPr>
          <w:rFonts w:eastAsia="Times New Roman"/>
          <w:i/>
          <w:snapToGrid w:val="0"/>
          <w:kern w:val="22"/>
          <w:szCs w:val="22"/>
        </w:rPr>
        <w:t>Aythya (Nyroca) nyroca</w:t>
      </w:r>
      <w:r w:rsidRPr="0088780C">
        <w:rPr>
          <w:rFonts w:eastAsia="Times New Roman"/>
          <w:snapToGrid w:val="0"/>
          <w:kern w:val="22"/>
          <w:szCs w:val="22"/>
        </w:rPr>
        <w:t xml:space="preserve">, III (VU); </w:t>
      </w:r>
      <w:r w:rsidRPr="0088780C">
        <w:rPr>
          <w:rFonts w:eastAsia="Times New Roman"/>
          <w:i/>
          <w:snapToGrid w:val="0"/>
          <w:kern w:val="22"/>
          <w:szCs w:val="22"/>
        </w:rPr>
        <w:t>Oxyura leucocephala</w:t>
      </w:r>
      <w:r w:rsidRPr="0088780C">
        <w:rPr>
          <w:rFonts w:eastAsia="Times New Roman"/>
          <w:snapToGrid w:val="0"/>
          <w:kern w:val="22"/>
          <w:szCs w:val="22"/>
        </w:rPr>
        <w:t>, III (VU).</w:t>
      </w:r>
    </w:p>
    <w:p w14:paraId="75436D1B" w14:textId="77777777" w:rsidR="00A876F3" w:rsidRPr="0088780C" w:rsidRDefault="00A876F3" w:rsidP="001013AF">
      <w:pPr>
        <w:suppressLineNumbers/>
        <w:tabs>
          <w:tab w:val="left" w:pos="0"/>
        </w:tabs>
        <w:suppressAutoHyphens/>
        <w:kinsoku w:val="0"/>
        <w:overflowPunct w:val="0"/>
        <w:autoSpaceDE w:val="0"/>
        <w:autoSpaceDN w:val="0"/>
        <w:adjustRightInd w:val="0"/>
        <w:rPr>
          <w:rFonts w:eastAsia="Times New Roman"/>
          <w:snapToGrid w:val="0"/>
          <w:kern w:val="22"/>
          <w:szCs w:val="22"/>
        </w:rPr>
      </w:pPr>
    </w:p>
    <w:p w14:paraId="36BDA28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snapToGrid w:val="0"/>
          <w:kern w:val="22"/>
          <w:szCs w:val="22"/>
        </w:rPr>
        <w:t>The key mammal species here, in its most southerly breeding ground, is the Caspian seal (</w:t>
      </w:r>
      <w:r w:rsidRPr="0088780C">
        <w:rPr>
          <w:i/>
          <w:snapToGrid w:val="0"/>
          <w:kern w:val="22"/>
          <w:szCs w:val="22"/>
        </w:rPr>
        <w:t>Phoca caspica</w:t>
      </w:r>
      <w:r w:rsidRPr="0088780C">
        <w:rPr>
          <w:snapToGrid w:val="0"/>
          <w:kern w:val="22"/>
          <w:szCs w:val="22"/>
        </w:rPr>
        <w:t xml:space="preserve">), </w:t>
      </w:r>
      <w:r w:rsidRPr="0088780C">
        <w:rPr>
          <w:rFonts w:eastAsia="MS Mincho"/>
          <w:bCs/>
          <w:snapToGrid w:val="0"/>
          <w:color w:val="000000"/>
          <w:kern w:val="22"/>
          <w:szCs w:val="22"/>
        </w:rPr>
        <w:t>which is endemic to the Caspian</w:t>
      </w:r>
      <w:r w:rsidRPr="0088780C" w:rsidDel="00055033">
        <w:rPr>
          <w:snapToGrid w:val="0"/>
          <w:kern w:val="22"/>
          <w:szCs w:val="22"/>
        </w:rPr>
        <w:t xml:space="preserve"> </w:t>
      </w:r>
      <w:r w:rsidRPr="0088780C">
        <w:rPr>
          <w:snapToGrid w:val="0"/>
          <w:kern w:val="22"/>
          <w:szCs w:val="22"/>
        </w:rPr>
        <w:t xml:space="preserve">Sea. The population numbers no more than 100 individuals. Caspian seal is listed as </w:t>
      </w:r>
      <w:r w:rsidRPr="0088780C">
        <w:rPr>
          <w:rFonts w:eastAsia="MS Mincho"/>
          <w:bCs/>
          <w:iCs/>
          <w:snapToGrid w:val="0"/>
          <w:color w:val="000000"/>
          <w:kern w:val="22"/>
          <w:szCs w:val="22"/>
        </w:rPr>
        <w:t>critically endangered (category I)</w:t>
      </w:r>
      <w:r w:rsidRPr="0088780C">
        <w:rPr>
          <w:snapToGrid w:val="0"/>
          <w:kern w:val="22"/>
          <w:szCs w:val="22"/>
        </w:rPr>
        <w:t xml:space="preserve"> in the Red Book of Turkmenistan (2011)</w:t>
      </w:r>
      <w:r w:rsidRPr="0088780C">
        <w:rPr>
          <w:rFonts w:eastAsia="MS Mincho"/>
          <w:bCs/>
          <w:snapToGrid w:val="0"/>
          <w:color w:val="000000"/>
          <w:kern w:val="22"/>
          <w:szCs w:val="22"/>
        </w:rPr>
        <w:t>.</w:t>
      </w:r>
    </w:p>
    <w:p w14:paraId="24115A2E"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48BD6C94" w14:textId="7BB4DC25" w:rsidR="00A876F3" w:rsidRPr="0088780C" w:rsidRDefault="00A876F3" w:rsidP="00AA5691">
      <w:pPr>
        <w:suppressLineNumbers/>
        <w:suppressAutoHyphens/>
        <w:kinsoku w:val="0"/>
        <w:overflowPunct w:val="0"/>
        <w:autoSpaceDE w:val="0"/>
        <w:autoSpaceDN w:val="0"/>
        <w:adjustRightInd w:val="0"/>
        <w:rPr>
          <w:snapToGrid w:val="0"/>
          <w:kern w:val="22"/>
          <w:szCs w:val="22"/>
        </w:rPr>
      </w:pPr>
      <w:r w:rsidRPr="0088780C">
        <w:rPr>
          <w:rFonts w:eastAsia="MS Mincho"/>
          <w:b/>
          <w:snapToGrid w:val="0"/>
          <w:kern w:val="22"/>
          <w:szCs w:val="22"/>
        </w:rPr>
        <w:t>Feature condition and future outlook of the area</w:t>
      </w:r>
    </w:p>
    <w:p w14:paraId="25FB49C0" w14:textId="130DAD84"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There is no resident population on Ogurdzhaly Island, except for frontier guards. In Garakyol Bay there is a small settlement with the same name with a landing stage for small boats, oil storage and also Aladzha landing stage for bulk-oil carriers. Except the settlement which population, basically, is occupied by fishery and hunting, on northeast coast of a gulf there is a frontier post and a tourist base on Heles Bay. The a</w:t>
      </w:r>
      <w:r w:rsidR="00593872" w:rsidRPr="0088780C">
        <w:rPr>
          <w:snapToGrid w:val="0"/>
          <w:kern w:val="22"/>
          <w:szCs w:val="22"/>
        </w:rPr>
        <w:t>rea is in rather good condition;</w:t>
      </w:r>
      <w:r w:rsidRPr="0088780C">
        <w:rPr>
          <w:snapToGrid w:val="0"/>
          <w:kern w:val="22"/>
          <w:szCs w:val="22"/>
        </w:rPr>
        <w:t xml:space="preserve"> however</w:t>
      </w:r>
      <w:r w:rsidR="00593872" w:rsidRPr="0088780C">
        <w:rPr>
          <w:snapToGrid w:val="0"/>
          <w:kern w:val="22"/>
          <w:szCs w:val="22"/>
        </w:rPr>
        <w:t>,</w:t>
      </w:r>
      <w:r w:rsidRPr="0088780C">
        <w:rPr>
          <w:snapToGrid w:val="0"/>
          <w:kern w:val="22"/>
          <w:szCs w:val="22"/>
        </w:rPr>
        <w:t xml:space="preserve"> the fishery and the gas drilling on the shelf continue to grow. There are three IBAs located here: Ogurdzhaly Island, South Cheleken Bay and Turkmen Bay (Рустамов, 2009а, 2009в; Гаузер, Бердыев, 2009).</w:t>
      </w:r>
    </w:p>
    <w:p w14:paraId="3449186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338FB9B" w14:textId="7CB18988"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 area against CBD EBSA Criteria</w:t>
      </w:r>
    </w:p>
    <w:p w14:paraId="6C19564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1E2ED606" w14:textId="77777777" w:rsidTr="006972AD">
        <w:tc>
          <w:tcPr>
            <w:tcW w:w="783" w:type="pct"/>
            <w:vMerge w:val="restart"/>
            <w:shd w:val="clear" w:color="auto" w:fill="auto"/>
          </w:tcPr>
          <w:p w14:paraId="230ED9A6"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0BC08DA6"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7506D2B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21CDFC1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37" w:type="pct"/>
            <w:gridSpan w:val="9"/>
            <w:shd w:val="clear" w:color="auto" w:fill="auto"/>
          </w:tcPr>
          <w:p w14:paraId="764DAB5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1CB31B6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4B6ED2B0" w14:textId="77777777" w:rsidTr="006972AD">
        <w:tc>
          <w:tcPr>
            <w:tcW w:w="783" w:type="pct"/>
            <w:vMerge/>
            <w:shd w:val="clear" w:color="auto" w:fill="auto"/>
          </w:tcPr>
          <w:p w14:paraId="05D55FF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65CFAB5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6AED51A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2D61F86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2282D8E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2" w:type="pct"/>
            <w:gridSpan w:val="2"/>
            <w:shd w:val="clear" w:color="auto" w:fill="auto"/>
          </w:tcPr>
          <w:p w14:paraId="10C75E0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4FE5FBCE" w14:textId="77777777" w:rsidTr="006972AD">
        <w:tc>
          <w:tcPr>
            <w:tcW w:w="783" w:type="pct"/>
            <w:shd w:val="clear" w:color="auto" w:fill="auto"/>
          </w:tcPr>
          <w:p w14:paraId="759580D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037D2003" w14:textId="1884FF41"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7241CD7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547" w:type="pct"/>
            <w:gridSpan w:val="3"/>
            <w:shd w:val="clear" w:color="auto" w:fill="auto"/>
          </w:tcPr>
          <w:p w14:paraId="6173EE7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78F8FD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198CF6D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43A0F95B" w14:textId="77777777" w:rsidTr="006972AD">
        <w:tc>
          <w:tcPr>
            <w:tcW w:w="5000" w:type="pct"/>
            <w:gridSpan w:val="11"/>
            <w:shd w:val="clear" w:color="auto" w:fill="auto"/>
          </w:tcPr>
          <w:p w14:paraId="44F9F10B" w14:textId="77777777" w:rsidR="00A876F3" w:rsidRPr="0088780C" w:rsidRDefault="00A876F3" w:rsidP="001013AF">
            <w:pPr>
              <w:suppressLineNumbers/>
              <w:tabs>
                <w:tab w:val="left" w:pos="0"/>
              </w:tabs>
              <w:suppressAutoHyphens/>
              <w:kinsoku w:val="0"/>
              <w:overflowPunct w:val="0"/>
              <w:autoSpaceDE w:val="0"/>
              <w:autoSpaceDN w:val="0"/>
              <w:adjustRightInd w:val="0"/>
              <w:rPr>
                <w:rFonts w:eastAsia="MS Mincho"/>
                <w:bCs/>
                <w:i/>
                <w:snapToGrid w:val="0"/>
                <w:color w:val="000000"/>
                <w:kern w:val="22"/>
                <w:szCs w:val="22"/>
              </w:rPr>
            </w:pPr>
            <w:r w:rsidRPr="0088780C">
              <w:rPr>
                <w:rFonts w:eastAsia="MS Mincho"/>
                <w:bCs/>
                <w:i/>
                <w:snapToGrid w:val="0"/>
                <w:color w:val="000000"/>
                <w:kern w:val="22"/>
                <w:szCs w:val="22"/>
              </w:rPr>
              <w:t xml:space="preserve"> </w:t>
            </w:r>
          </w:p>
        </w:tc>
      </w:tr>
      <w:tr w:rsidR="00A876F3" w:rsidRPr="0088780C" w14:paraId="0E3664B3" w14:textId="77777777" w:rsidTr="006972AD">
        <w:tc>
          <w:tcPr>
            <w:tcW w:w="783" w:type="pct"/>
            <w:shd w:val="clear" w:color="auto" w:fill="auto"/>
          </w:tcPr>
          <w:p w14:paraId="118AE10B"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17E8135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3D3A371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D5F277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67A0B7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5316012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4F0BF9C0" w14:textId="77777777" w:rsidTr="006972AD">
        <w:tc>
          <w:tcPr>
            <w:tcW w:w="5000" w:type="pct"/>
            <w:gridSpan w:val="11"/>
            <w:shd w:val="clear" w:color="auto" w:fill="auto"/>
          </w:tcPr>
          <w:p w14:paraId="57C1D75B"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26F9DF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snapToGrid w:val="0"/>
                <w:kern w:val="22"/>
                <w:szCs w:val="22"/>
              </w:rPr>
              <w:t xml:space="preserve">The area necessary for the survival and success of populations of fishes, birds and the Caspian seal. The territory contains: i) nesting places of sea gulls and breeding ground of the Caspian seal (Ogurdzhaly Island) and spawning areas for sturgeons (in water column); and ii) habitats of migrating species - places of wintering and migratory routes of waterfowl. The waters surrounding the island are important as foraging areas for seabirds during the breeding period (Гаузер, Бердыев, 2009; Рустамов, 2009а, 2009в). </w:t>
            </w:r>
          </w:p>
        </w:tc>
      </w:tr>
      <w:tr w:rsidR="00A876F3" w:rsidRPr="0088780C" w14:paraId="3CBE11C6" w14:textId="77777777" w:rsidTr="00593872">
        <w:trPr>
          <w:cantSplit/>
        </w:trPr>
        <w:tc>
          <w:tcPr>
            <w:tcW w:w="783" w:type="pct"/>
            <w:shd w:val="clear" w:color="auto" w:fill="auto"/>
          </w:tcPr>
          <w:p w14:paraId="19791F9B"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56BE438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5C31005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EE7A85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8328A3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45ED540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4D4DB8CE" w14:textId="77777777" w:rsidTr="006972AD">
        <w:tc>
          <w:tcPr>
            <w:tcW w:w="5000" w:type="pct"/>
            <w:gridSpan w:val="11"/>
            <w:shd w:val="clear" w:color="auto" w:fill="auto"/>
          </w:tcPr>
          <w:p w14:paraId="62BCA25C"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79AD7D8F"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The area contains habitat for the survival or restoration of threatened, endangered or decling  species, as it contains considerable communities of such species.</w:t>
            </w:r>
          </w:p>
          <w:p w14:paraId="0FB6C47F" w14:textId="77777777" w:rsidR="00A876F3" w:rsidRPr="0088780C" w:rsidRDefault="00A876F3" w:rsidP="001013AF">
            <w:pPr>
              <w:suppressLineNumbers/>
              <w:tabs>
                <w:tab w:val="left" w:pos="0"/>
              </w:tabs>
              <w:suppressAutoHyphens/>
              <w:kinsoku w:val="0"/>
              <w:overflowPunct w:val="0"/>
              <w:autoSpaceDE w:val="0"/>
              <w:autoSpaceDN w:val="0"/>
              <w:adjustRightInd w:val="0"/>
              <w:rPr>
                <w:snapToGrid w:val="0"/>
                <w:kern w:val="22"/>
                <w:szCs w:val="22"/>
              </w:rPr>
            </w:pPr>
            <w:r w:rsidRPr="0088780C">
              <w:rPr>
                <w:snapToGrid w:val="0"/>
                <w:kern w:val="22"/>
                <w:szCs w:val="22"/>
              </w:rPr>
              <w:t xml:space="preserve"> Regarding avifauna, the area includes almost 290 species, of which 130 are waterfowl and waterbirds. The majority occur during spring-autumn migration and in winter in some years up to 90 000, with an average of at least 20 000. The species include the following threatened migratory and wintering birds, included in the Red Data Book of Turkmenistan: </w:t>
            </w:r>
            <w:r w:rsidRPr="0088780C">
              <w:rPr>
                <w:i/>
                <w:snapToGrid w:val="0"/>
                <w:kern w:val="22"/>
                <w:szCs w:val="22"/>
              </w:rPr>
              <w:t>Pelecanus onocrotalus</w:t>
            </w:r>
            <w:r w:rsidRPr="0088780C">
              <w:rPr>
                <w:snapToGrid w:val="0"/>
                <w:kern w:val="22"/>
                <w:szCs w:val="22"/>
              </w:rPr>
              <w:t xml:space="preserve">, III (vulnerable); </w:t>
            </w:r>
            <w:r w:rsidRPr="0088780C">
              <w:rPr>
                <w:i/>
                <w:snapToGrid w:val="0"/>
                <w:kern w:val="22"/>
                <w:szCs w:val="22"/>
              </w:rPr>
              <w:t>Pelecanus crispus</w:t>
            </w:r>
            <w:r w:rsidRPr="0088780C">
              <w:rPr>
                <w:snapToGrid w:val="0"/>
                <w:kern w:val="22"/>
                <w:szCs w:val="22"/>
              </w:rPr>
              <w:t>, II (endangered); Platalea leucorodia, IV; Phoenicopterus roseus, IV; Anser erythropus, III (vulnerable); Aythya (Nyroca) nyroca, III (vulnerable); Oxyura leucocephala, III (vulnerable).</w:t>
            </w:r>
          </w:p>
          <w:p w14:paraId="719D0530" w14:textId="77777777" w:rsidR="00A876F3" w:rsidRPr="0088780C" w:rsidRDefault="00A876F3" w:rsidP="001013AF">
            <w:pPr>
              <w:suppressLineNumbers/>
              <w:tabs>
                <w:tab w:val="left" w:pos="0"/>
              </w:tabs>
              <w:suppressAutoHyphens/>
              <w:kinsoku w:val="0"/>
              <w:overflowPunct w:val="0"/>
              <w:autoSpaceDE w:val="0"/>
              <w:autoSpaceDN w:val="0"/>
              <w:adjustRightInd w:val="0"/>
              <w:rPr>
                <w:snapToGrid w:val="0"/>
                <w:kern w:val="22"/>
                <w:szCs w:val="22"/>
              </w:rPr>
            </w:pPr>
            <w:r w:rsidRPr="0088780C">
              <w:rPr>
                <w:snapToGrid w:val="0"/>
                <w:kern w:val="22"/>
                <w:szCs w:val="22"/>
              </w:rPr>
              <w:t>Among mammals, the most interesting species is the Caspian Seal (</w:t>
            </w:r>
            <w:r w:rsidRPr="0088780C">
              <w:rPr>
                <w:i/>
                <w:snapToGrid w:val="0"/>
                <w:kern w:val="22"/>
                <w:szCs w:val="22"/>
              </w:rPr>
              <w:t>Pusa (Phoca) caspica</w:t>
            </w:r>
            <w:r w:rsidRPr="0088780C">
              <w:rPr>
                <w:snapToGrid w:val="0"/>
                <w:kern w:val="22"/>
                <w:szCs w:val="22"/>
              </w:rPr>
              <w:t>), which is endemic to the Caspian and is critically endangered.</w:t>
            </w:r>
          </w:p>
          <w:p w14:paraId="2FDD0676" w14:textId="77777777" w:rsidR="00A876F3" w:rsidRPr="0088780C" w:rsidRDefault="00A876F3" w:rsidP="001013AF">
            <w:pPr>
              <w:suppressLineNumbers/>
              <w:tabs>
                <w:tab w:val="left" w:pos="0"/>
              </w:tabs>
              <w:suppressAutoHyphens/>
              <w:kinsoku w:val="0"/>
              <w:overflowPunct w:val="0"/>
              <w:autoSpaceDE w:val="0"/>
              <w:autoSpaceDN w:val="0"/>
              <w:adjustRightInd w:val="0"/>
              <w:rPr>
                <w:snapToGrid w:val="0"/>
                <w:kern w:val="22"/>
                <w:szCs w:val="22"/>
              </w:rPr>
            </w:pPr>
            <w:r w:rsidRPr="0088780C">
              <w:rPr>
                <w:snapToGrid w:val="0"/>
                <w:kern w:val="22"/>
                <w:szCs w:val="22"/>
              </w:rPr>
              <w:t xml:space="preserve">The area’s ichthyofauna includes 34 species, including the following Red Data Book of Turkmenistan species: </w:t>
            </w:r>
            <w:r w:rsidRPr="0088780C">
              <w:rPr>
                <w:i/>
                <w:snapToGrid w:val="0"/>
                <w:kern w:val="22"/>
                <w:szCs w:val="22"/>
              </w:rPr>
              <w:t>Acipenser nudiventris</w:t>
            </w:r>
            <w:r w:rsidRPr="0088780C">
              <w:rPr>
                <w:snapToGrid w:val="0"/>
                <w:kern w:val="22"/>
                <w:szCs w:val="22"/>
              </w:rPr>
              <w:t xml:space="preserve">, I (critically endangered), </w:t>
            </w:r>
            <w:r w:rsidRPr="0088780C">
              <w:rPr>
                <w:i/>
                <w:snapToGrid w:val="0"/>
                <w:kern w:val="22"/>
                <w:szCs w:val="22"/>
              </w:rPr>
              <w:t>Alosa kessleri volgensis</w:t>
            </w:r>
            <w:r w:rsidRPr="0088780C">
              <w:rPr>
                <w:snapToGrid w:val="0"/>
                <w:kern w:val="22"/>
                <w:szCs w:val="22"/>
              </w:rPr>
              <w:t xml:space="preserve">, II (EN), </w:t>
            </w:r>
            <w:r w:rsidRPr="0088780C">
              <w:rPr>
                <w:i/>
                <w:snapToGrid w:val="0"/>
                <w:kern w:val="22"/>
                <w:szCs w:val="22"/>
              </w:rPr>
              <w:t>Salmo trutta caspius</w:t>
            </w:r>
            <w:r w:rsidRPr="0088780C">
              <w:rPr>
                <w:snapToGrid w:val="0"/>
                <w:kern w:val="22"/>
                <w:szCs w:val="22"/>
              </w:rPr>
              <w:t xml:space="preserve">, III (vulnerable) and </w:t>
            </w:r>
            <w:r w:rsidRPr="0088780C">
              <w:rPr>
                <w:i/>
                <w:snapToGrid w:val="0"/>
                <w:kern w:val="22"/>
                <w:szCs w:val="22"/>
              </w:rPr>
              <w:t>Stenodus leucichthys leucichthys</w:t>
            </w:r>
            <w:r w:rsidRPr="0088780C">
              <w:rPr>
                <w:snapToGrid w:val="0"/>
                <w:kern w:val="22"/>
                <w:szCs w:val="22"/>
              </w:rPr>
              <w:t>, III (vulnerable) (Красная книга Туркменистана, 2011).</w:t>
            </w:r>
          </w:p>
        </w:tc>
      </w:tr>
      <w:tr w:rsidR="00A876F3" w:rsidRPr="0088780C" w14:paraId="282F58FE" w14:textId="77777777" w:rsidTr="006972AD">
        <w:tc>
          <w:tcPr>
            <w:tcW w:w="783" w:type="pct"/>
            <w:shd w:val="clear" w:color="auto" w:fill="auto"/>
          </w:tcPr>
          <w:p w14:paraId="39B78BCE"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517B36E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7EF6FAC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400D9C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FB0580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7B2DD41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r>
      <w:tr w:rsidR="00A876F3" w:rsidRPr="0088780C" w14:paraId="34B3730B" w14:textId="77777777" w:rsidTr="006972AD">
        <w:tc>
          <w:tcPr>
            <w:tcW w:w="5000" w:type="pct"/>
            <w:gridSpan w:val="11"/>
            <w:shd w:val="clear" w:color="auto" w:fill="auto"/>
          </w:tcPr>
          <w:p w14:paraId="3B75D6E0"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32C1179B" w14:textId="77777777" w:rsidR="00A876F3" w:rsidRPr="0088780C" w:rsidRDefault="00A876F3" w:rsidP="001013AF">
            <w:pPr>
              <w:suppressLineNumbers/>
              <w:tabs>
                <w:tab w:val="left" w:pos="0"/>
              </w:tab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 ecosystem of this area is related to the sea level of the Caspian Sea, particularly the  coastline. When the sea level drops, bays are dryout on the eastern part of the coast. This is a factor of in the degradation of waterbirds. Therefore, vulnerability is high, particularly during drops in sea level (Гаузер, Бердыев, 2009; Рустамов, 2009а, 2009в).</w:t>
            </w:r>
          </w:p>
        </w:tc>
      </w:tr>
      <w:tr w:rsidR="00A876F3" w:rsidRPr="0088780C" w14:paraId="74242586" w14:textId="77777777" w:rsidTr="006972AD">
        <w:tc>
          <w:tcPr>
            <w:tcW w:w="783" w:type="pct"/>
            <w:shd w:val="clear" w:color="auto" w:fill="auto"/>
          </w:tcPr>
          <w:p w14:paraId="63514FC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416D620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1C5661E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10" w:type="pct"/>
            <w:gridSpan w:val="2"/>
            <w:shd w:val="clear" w:color="auto" w:fill="auto"/>
          </w:tcPr>
          <w:p w14:paraId="38F615E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3B35A5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2" w:type="pct"/>
            <w:gridSpan w:val="2"/>
            <w:shd w:val="clear" w:color="auto" w:fill="auto"/>
          </w:tcPr>
          <w:p w14:paraId="229CCAF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5581B307" w14:textId="77777777" w:rsidTr="006972AD">
        <w:tc>
          <w:tcPr>
            <w:tcW w:w="5000" w:type="pct"/>
            <w:gridSpan w:val="11"/>
            <w:shd w:val="clear" w:color="auto" w:fill="auto"/>
          </w:tcPr>
          <w:p w14:paraId="29C068D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i/>
                <w:snapToGrid w:val="0"/>
                <w:color w:val="000000"/>
                <w:kern w:val="22"/>
                <w:szCs w:val="22"/>
              </w:rPr>
              <w:t xml:space="preserve"> </w:t>
            </w:r>
          </w:p>
        </w:tc>
      </w:tr>
      <w:tr w:rsidR="00A876F3" w:rsidRPr="0088780C" w14:paraId="74916EC1" w14:textId="77777777" w:rsidTr="006972AD">
        <w:tc>
          <w:tcPr>
            <w:tcW w:w="783" w:type="pct"/>
            <w:shd w:val="clear" w:color="auto" w:fill="auto"/>
          </w:tcPr>
          <w:p w14:paraId="6BBDE79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6F6B443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01256F5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142C2ED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E0E0C0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2" w:type="pct"/>
            <w:gridSpan w:val="2"/>
            <w:shd w:val="clear" w:color="auto" w:fill="auto"/>
          </w:tcPr>
          <w:p w14:paraId="7BF1568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6639C754" w14:textId="77777777" w:rsidTr="006972AD">
        <w:tc>
          <w:tcPr>
            <w:tcW w:w="5000" w:type="pct"/>
            <w:gridSpan w:val="11"/>
            <w:shd w:val="clear" w:color="auto" w:fill="auto"/>
          </w:tcPr>
          <w:p w14:paraId="0A52C9BE"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25123998" w14:textId="77777777" w:rsidR="00A876F3" w:rsidRPr="0088780C" w:rsidRDefault="00A876F3" w:rsidP="001013AF">
            <w:pPr>
              <w:suppressLineNumbers/>
              <w:suppressAutoHyphens/>
              <w:kinsoku w:val="0"/>
              <w:overflowPunct w:val="0"/>
              <w:autoSpaceDE w:val="0"/>
              <w:autoSpaceDN w:val="0"/>
              <w:adjustRightInd w:val="0"/>
              <w:rPr>
                <w:snapToGrid w:val="0"/>
                <w:spacing w:val="-4"/>
                <w:kern w:val="22"/>
                <w:szCs w:val="22"/>
              </w:rPr>
            </w:pPr>
            <w:r w:rsidRPr="0088780C">
              <w:rPr>
                <w:snapToGrid w:val="0"/>
                <w:spacing w:val="-4"/>
                <w:kern w:val="22"/>
                <w:szCs w:val="22"/>
              </w:rPr>
              <w:t>Vegetation includes up to 200 species (Прошкина-Лавренко, Макарова, 1968; Яблонская, 1985). Annually, biomass has exceeded 1000 mg/m</w:t>
            </w:r>
            <w:r w:rsidRPr="0088780C">
              <w:rPr>
                <w:snapToGrid w:val="0"/>
                <w:spacing w:val="-4"/>
                <w:kern w:val="22"/>
                <w:szCs w:val="22"/>
                <w:vertAlign w:val="superscript"/>
              </w:rPr>
              <w:t>3</w:t>
            </w:r>
            <w:r w:rsidRPr="0088780C">
              <w:rPr>
                <w:snapToGrid w:val="0"/>
                <w:spacing w:val="-4"/>
                <w:kern w:val="22"/>
                <w:szCs w:val="22"/>
              </w:rPr>
              <w:t xml:space="preserve">. From the shallowest, to the deepest, at 6 m, there are the following seaweeds: green (28 species), the greatest value among which are Charophyta on oozy bottom. Among red seaweeds, there are 11 species, the most common of whichis Polysiphonia on sandy bottom. There is only one species of brown seaweed: Ectocarpus. Except macroscopical, hundreds of microscopic seaweed species, basically representatives of Diatomeae, green (Clorophyta), blue-green (Cyanophyta) and Pyrrophyta, comprise the plankton and benthos. Floral (sea grasses) plants are represented by </w:t>
            </w:r>
            <w:r w:rsidRPr="0088780C">
              <w:rPr>
                <w:i/>
                <w:snapToGrid w:val="0"/>
                <w:spacing w:val="-4"/>
                <w:kern w:val="22"/>
                <w:szCs w:val="22"/>
              </w:rPr>
              <w:t>Zostera noltii</w:t>
            </w:r>
            <w:r w:rsidRPr="0088780C">
              <w:rPr>
                <w:snapToGrid w:val="0"/>
                <w:spacing w:val="-4"/>
                <w:kern w:val="22"/>
                <w:szCs w:val="22"/>
              </w:rPr>
              <w:t xml:space="preserve">, </w:t>
            </w:r>
            <w:r w:rsidRPr="0088780C">
              <w:rPr>
                <w:i/>
                <w:snapToGrid w:val="0"/>
                <w:spacing w:val="-4"/>
                <w:kern w:val="22"/>
                <w:szCs w:val="22"/>
              </w:rPr>
              <w:t>Ruppia maritima</w:t>
            </w:r>
            <w:r w:rsidRPr="0088780C">
              <w:rPr>
                <w:snapToGrid w:val="0"/>
                <w:spacing w:val="-4"/>
                <w:kern w:val="22"/>
                <w:szCs w:val="22"/>
              </w:rPr>
              <w:t xml:space="preserve">, </w:t>
            </w:r>
            <w:r w:rsidRPr="0088780C">
              <w:rPr>
                <w:i/>
                <w:snapToGrid w:val="0"/>
                <w:spacing w:val="-4"/>
                <w:kern w:val="22"/>
                <w:szCs w:val="22"/>
              </w:rPr>
              <w:t>Potamogeton pectinatus</w:t>
            </w:r>
            <w:r w:rsidRPr="0088780C">
              <w:rPr>
                <w:snapToGrid w:val="0"/>
                <w:spacing w:val="-4"/>
                <w:kern w:val="22"/>
                <w:szCs w:val="22"/>
              </w:rPr>
              <w:t xml:space="preserve">, and </w:t>
            </w:r>
            <w:r w:rsidRPr="0088780C">
              <w:rPr>
                <w:i/>
                <w:snapToGrid w:val="0"/>
                <w:spacing w:val="-4"/>
                <w:kern w:val="22"/>
                <w:szCs w:val="22"/>
              </w:rPr>
              <w:t>Najas marina</w:t>
            </w:r>
            <w:r w:rsidRPr="0088780C">
              <w:rPr>
                <w:snapToGrid w:val="0"/>
                <w:spacing w:val="-4"/>
                <w:kern w:val="22"/>
                <w:szCs w:val="22"/>
              </w:rPr>
              <w:t xml:space="preserve">. The general biomass is at least 500 000 tonnes/year. Along the coasts of Ogurdzhaly Island and the gulf coast there are 50 species, most of which are ephemerids (60 %) and 10-15 % are bushes. In a coastal strip on moderated salted sites there are </w:t>
            </w:r>
            <w:r w:rsidRPr="0088780C">
              <w:rPr>
                <w:i/>
                <w:snapToGrid w:val="0"/>
                <w:spacing w:val="-4"/>
                <w:kern w:val="22"/>
                <w:szCs w:val="22"/>
              </w:rPr>
              <w:t>Salsola dendroides</w:t>
            </w:r>
            <w:r w:rsidRPr="0088780C">
              <w:rPr>
                <w:snapToGrid w:val="0"/>
                <w:spacing w:val="-4"/>
                <w:kern w:val="22"/>
                <w:szCs w:val="22"/>
              </w:rPr>
              <w:t xml:space="preserve">, </w:t>
            </w:r>
            <w:r w:rsidRPr="0088780C">
              <w:rPr>
                <w:i/>
                <w:snapToGrid w:val="0"/>
                <w:spacing w:val="-4"/>
                <w:kern w:val="22"/>
                <w:szCs w:val="22"/>
              </w:rPr>
              <w:t>S. lanata</w:t>
            </w:r>
            <w:r w:rsidRPr="0088780C">
              <w:rPr>
                <w:snapToGrid w:val="0"/>
                <w:spacing w:val="-4"/>
                <w:kern w:val="22"/>
                <w:szCs w:val="22"/>
              </w:rPr>
              <w:t xml:space="preserve">, </w:t>
            </w:r>
            <w:r w:rsidRPr="0088780C">
              <w:rPr>
                <w:i/>
                <w:snapToGrid w:val="0"/>
                <w:spacing w:val="-4"/>
                <w:kern w:val="22"/>
                <w:szCs w:val="22"/>
              </w:rPr>
              <w:t>S. angustata</w:t>
            </w:r>
            <w:r w:rsidRPr="0088780C">
              <w:rPr>
                <w:snapToGrid w:val="0"/>
                <w:spacing w:val="-4"/>
                <w:kern w:val="22"/>
                <w:szCs w:val="22"/>
              </w:rPr>
              <w:t xml:space="preserve">, </w:t>
            </w:r>
            <w:r w:rsidRPr="0088780C">
              <w:rPr>
                <w:i/>
                <w:snapToGrid w:val="0"/>
                <w:spacing w:val="-4"/>
                <w:kern w:val="22"/>
                <w:szCs w:val="22"/>
              </w:rPr>
              <w:t>S. transhyrcanica</w:t>
            </w:r>
            <w:r w:rsidRPr="0088780C">
              <w:rPr>
                <w:snapToGrid w:val="0"/>
                <w:spacing w:val="-4"/>
                <w:kern w:val="22"/>
                <w:szCs w:val="22"/>
              </w:rPr>
              <w:t xml:space="preserve">, </w:t>
            </w:r>
            <w:r w:rsidRPr="0088780C">
              <w:rPr>
                <w:i/>
                <w:snapToGrid w:val="0"/>
                <w:spacing w:val="-4"/>
                <w:kern w:val="22"/>
                <w:szCs w:val="22"/>
              </w:rPr>
              <w:t>Halostachys caspica</w:t>
            </w:r>
            <w:r w:rsidRPr="0088780C">
              <w:rPr>
                <w:snapToGrid w:val="0"/>
                <w:spacing w:val="-4"/>
                <w:kern w:val="22"/>
                <w:szCs w:val="22"/>
              </w:rPr>
              <w:t xml:space="preserve"> and in some places </w:t>
            </w:r>
            <w:r w:rsidRPr="0088780C">
              <w:rPr>
                <w:i/>
                <w:snapToGrid w:val="0"/>
                <w:spacing w:val="-4"/>
                <w:kern w:val="22"/>
                <w:szCs w:val="22"/>
              </w:rPr>
              <w:t>Alhagi persarum</w:t>
            </w:r>
            <w:r w:rsidRPr="0088780C">
              <w:rPr>
                <w:snapToGrid w:val="0"/>
                <w:spacing w:val="-4"/>
                <w:kern w:val="22"/>
                <w:szCs w:val="22"/>
              </w:rPr>
              <w:t>.</w:t>
            </w:r>
          </w:p>
          <w:p w14:paraId="47383F34"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53DD9691" w14:textId="2814A4CC"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 xml:space="preserve">The list of marine invertebrates totals more than 1000 species belonging to 30 taxa (Бирштейн и др., 1968). In recent years, the invasive alien species </w:t>
            </w:r>
            <w:r w:rsidRPr="0088780C">
              <w:rPr>
                <w:i/>
                <w:snapToGrid w:val="0"/>
                <w:kern w:val="22"/>
                <w:szCs w:val="22"/>
              </w:rPr>
              <w:t>Mnemiopsis leidyi</w:t>
            </w:r>
            <w:r w:rsidR="00C05D4E" w:rsidRPr="0088780C">
              <w:rPr>
                <w:snapToGrid w:val="0"/>
                <w:kern w:val="22"/>
                <w:szCs w:val="22"/>
              </w:rPr>
              <w:t xml:space="preserve"> has become common.</w:t>
            </w:r>
          </w:p>
          <w:p w14:paraId="76E608FF"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The development of zoobenthos (molluscs, Crustacea, hearts) creates favourable fodder conditions for herring (</w:t>
            </w:r>
            <w:r w:rsidRPr="0088780C">
              <w:rPr>
                <w:i/>
                <w:snapToGrid w:val="0"/>
                <w:kern w:val="22"/>
                <w:szCs w:val="22"/>
              </w:rPr>
              <w:t>Alosa brashnikovii</w:t>
            </w:r>
            <w:r w:rsidRPr="0088780C">
              <w:rPr>
                <w:snapToGrid w:val="0"/>
                <w:kern w:val="22"/>
                <w:szCs w:val="22"/>
              </w:rPr>
              <w:t>), mullets (Liza saliens, L. auratus), sprats (</w:t>
            </w:r>
            <w:r w:rsidRPr="0088780C">
              <w:rPr>
                <w:i/>
                <w:snapToGrid w:val="0"/>
                <w:kern w:val="22"/>
                <w:szCs w:val="22"/>
              </w:rPr>
              <w:t>Clupeonella engrauliformis</w:t>
            </w:r>
            <w:r w:rsidRPr="0088780C">
              <w:rPr>
                <w:snapToGrid w:val="0"/>
                <w:kern w:val="22"/>
                <w:szCs w:val="22"/>
              </w:rPr>
              <w:t xml:space="preserve">, </w:t>
            </w:r>
            <w:r w:rsidRPr="0088780C">
              <w:rPr>
                <w:i/>
                <w:snapToGrid w:val="0"/>
                <w:kern w:val="22"/>
                <w:szCs w:val="22"/>
              </w:rPr>
              <w:t>С. delicatula</w:t>
            </w:r>
            <w:r w:rsidRPr="0088780C">
              <w:rPr>
                <w:snapToGrid w:val="0"/>
                <w:kern w:val="22"/>
                <w:szCs w:val="22"/>
              </w:rPr>
              <w:t xml:space="preserve">, </w:t>
            </w:r>
            <w:r w:rsidRPr="0088780C">
              <w:rPr>
                <w:i/>
                <w:snapToGrid w:val="0"/>
                <w:kern w:val="22"/>
                <w:szCs w:val="22"/>
              </w:rPr>
              <w:t>C. grimmi</w:t>
            </w:r>
            <w:r w:rsidRPr="0088780C">
              <w:rPr>
                <w:snapToGrid w:val="0"/>
                <w:kern w:val="22"/>
                <w:szCs w:val="22"/>
              </w:rPr>
              <w:t>), etc.</w:t>
            </w:r>
          </w:p>
          <w:p w14:paraId="71F4140C"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3BB2027A"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The ichthyofauna includes 34 species, including</w:t>
            </w:r>
            <w:r w:rsidRPr="0088780C">
              <w:rPr>
                <w:rFonts w:eastAsia="MS Mincho"/>
                <w:snapToGrid w:val="0"/>
                <w:color w:val="000000"/>
                <w:kern w:val="22"/>
                <w:szCs w:val="22"/>
              </w:rPr>
              <w:t xml:space="preserve"> the following Red Data Book of Turkmenistan </w:t>
            </w:r>
            <w:r w:rsidRPr="0088780C">
              <w:rPr>
                <w:snapToGrid w:val="0"/>
                <w:kern w:val="22"/>
                <w:szCs w:val="22"/>
              </w:rPr>
              <w:t>(2011)</w:t>
            </w:r>
            <w:r w:rsidRPr="0088780C">
              <w:rPr>
                <w:rFonts w:eastAsia="MS Mincho"/>
                <w:snapToGrid w:val="0"/>
                <w:color w:val="000000"/>
                <w:kern w:val="22"/>
                <w:szCs w:val="22"/>
              </w:rPr>
              <w:t xml:space="preserve"> species:</w:t>
            </w:r>
            <w:r w:rsidRPr="0088780C">
              <w:rPr>
                <w:rFonts w:eastAsia="MS Mincho"/>
                <w:i/>
                <w:snapToGrid w:val="0"/>
                <w:color w:val="000000"/>
                <w:kern w:val="22"/>
                <w:szCs w:val="22"/>
              </w:rPr>
              <w:t xml:space="preserve"> </w:t>
            </w:r>
            <w:r w:rsidRPr="0088780C">
              <w:rPr>
                <w:rFonts w:eastAsia="MinionPro-SemiboldIt"/>
                <w:i/>
                <w:iCs/>
                <w:snapToGrid w:val="0"/>
                <w:color w:val="231F20"/>
                <w:kern w:val="22"/>
                <w:szCs w:val="22"/>
              </w:rPr>
              <w:t xml:space="preserve">Acipenser nudiventris, </w:t>
            </w:r>
            <w:r w:rsidRPr="0088780C">
              <w:rPr>
                <w:rFonts w:eastAsia="MinionPro-Regular"/>
                <w:i/>
                <w:snapToGrid w:val="0"/>
                <w:color w:val="231F20"/>
                <w:kern w:val="22"/>
                <w:szCs w:val="22"/>
              </w:rPr>
              <w:t xml:space="preserve">I (CR), </w:t>
            </w:r>
            <w:r w:rsidRPr="0088780C">
              <w:rPr>
                <w:rFonts w:eastAsia="MinionPro-SemiboldIt"/>
                <w:i/>
                <w:iCs/>
                <w:snapToGrid w:val="0"/>
                <w:color w:val="231F20"/>
                <w:kern w:val="22"/>
                <w:szCs w:val="22"/>
              </w:rPr>
              <w:t xml:space="preserve">Alosa kessleri volgensis, </w:t>
            </w:r>
            <w:r w:rsidRPr="0088780C">
              <w:rPr>
                <w:rFonts w:eastAsia="MinionPro-Regular"/>
                <w:i/>
                <w:snapToGrid w:val="0"/>
                <w:color w:val="231F20"/>
                <w:kern w:val="22"/>
                <w:szCs w:val="22"/>
              </w:rPr>
              <w:t xml:space="preserve">II (EN), </w:t>
            </w:r>
            <w:r w:rsidRPr="0088780C">
              <w:rPr>
                <w:rFonts w:eastAsia="MinionPro-SemiboldIt"/>
                <w:i/>
                <w:iCs/>
                <w:snapToGrid w:val="0"/>
                <w:color w:val="231F20"/>
                <w:kern w:val="22"/>
                <w:szCs w:val="22"/>
              </w:rPr>
              <w:t xml:space="preserve">Salmo trutta caspius, </w:t>
            </w:r>
            <w:r w:rsidRPr="0088780C">
              <w:rPr>
                <w:rFonts w:eastAsia="MinionPro-Regular"/>
                <w:i/>
                <w:snapToGrid w:val="0"/>
                <w:color w:val="231F20"/>
                <w:kern w:val="22"/>
                <w:szCs w:val="22"/>
              </w:rPr>
              <w:t xml:space="preserve">III (VU), </w:t>
            </w:r>
            <w:r w:rsidRPr="0088780C">
              <w:rPr>
                <w:rFonts w:eastAsia="MinionPro-SemiboldIt"/>
                <w:i/>
                <w:iCs/>
                <w:snapToGrid w:val="0"/>
                <w:color w:val="231F20"/>
                <w:kern w:val="22"/>
                <w:szCs w:val="22"/>
              </w:rPr>
              <w:t xml:space="preserve">Stenodus leucichthys leucichthys, </w:t>
            </w:r>
            <w:r w:rsidRPr="0088780C">
              <w:rPr>
                <w:rFonts w:eastAsia="MinionPro-Regular"/>
                <w:i/>
                <w:snapToGrid w:val="0"/>
                <w:color w:val="231F20"/>
                <w:kern w:val="22"/>
                <w:szCs w:val="22"/>
              </w:rPr>
              <w:t>III (VU).</w:t>
            </w:r>
          </w:p>
          <w:p w14:paraId="3715CE60" w14:textId="77777777" w:rsidR="00A876F3" w:rsidRPr="0088780C" w:rsidRDefault="00A876F3" w:rsidP="001013AF">
            <w:pPr>
              <w:suppressLineNumbers/>
              <w:suppressAutoHyphens/>
              <w:kinsoku w:val="0"/>
              <w:overflowPunct w:val="0"/>
              <w:autoSpaceDE w:val="0"/>
              <w:autoSpaceDN w:val="0"/>
              <w:adjustRightInd w:val="0"/>
              <w:rPr>
                <w:iCs/>
                <w:snapToGrid w:val="0"/>
                <w:kern w:val="22"/>
                <w:szCs w:val="22"/>
              </w:rPr>
            </w:pPr>
          </w:p>
          <w:p w14:paraId="5A9AFA5C" w14:textId="3B02DE28"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The avifauna includes almost 290 species, of which 130 are waterfowl and waterbirds (Щербина, 2013). The majority occur during spring-autumn migration and in winter in some years up to 90 000, with an average of at last 20 000 (Рустамов, Щербина, 2007). On Ogurdzhaly Island, there are colonies of gulls and terns (Гаузер, Бердыев, 2009).</w:t>
            </w:r>
          </w:p>
          <w:p w14:paraId="06839230"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008BEB19" w14:textId="77777777" w:rsidR="00A876F3" w:rsidRPr="0088780C" w:rsidRDefault="00A876F3" w:rsidP="001013AF">
            <w:pPr>
              <w:suppressLineNumbers/>
              <w:tabs>
                <w:tab w:val="left" w:pos="0"/>
              </w:tabs>
              <w:suppressAutoHyphens/>
              <w:kinsoku w:val="0"/>
              <w:overflowPunct w:val="0"/>
              <w:autoSpaceDE w:val="0"/>
              <w:autoSpaceDN w:val="0"/>
              <w:adjustRightInd w:val="0"/>
              <w:rPr>
                <w:rFonts w:eastAsia="Times New Roman"/>
                <w:snapToGrid w:val="0"/>
                <w:kern w:val="22"/>
                <w:szCs w:val="22"/>
              </w:rPr>
            </w:pPr>
            <w:r w:rsidRPr="0088780C">
              <w:rPr>
                <w:snapToGrid w:val="0"/>
                <w:kern w:val="22"/>
                <w:szCs w:val="22"/>
              </w:rPr>
              <w:t xml:space="preserve">The following threatened migratory and wintering birds, which are listed in the Red Data Book of Turkmenistan (2011), are present: </w:t>
            </w:r>
            <w:r w:rsidRPr="0088780C">
              <w:rPr>
                <w:rFonts w:eastAsia="Times New Roman"/>
                <w:i/>
                <w:snapToGrid w:val="0"/>
                <w:kern w:val="22"/>
                <w:szCs w:val="22"/>
              </w:rPr>
              <w:t>Pelecanus onocrotalus</w:t>
            </w:r>
            <w:r w:rsidRPr="0088780C">
              <w:rPr>
                <w:rFonts w:eastAsia="Times New Roman"/>
                <w:snapToGrid w:val="0"/>
                <w:kern w:val="22"/>
                <w:szCs w:val="22"/>
              </w:rPr>
              <w:t xml:space="preserve">, III (vulnerable); </w:t>
            </w:r>
            <w:r w:rsidRPr="0088780C">
              <w:rPr>
                <w:rFonts w:eastAsia="Times New Roman"/>
                <w:i/>
                <w:snapToGrid w:val="0"/>
                <w:kern w:val="22"/>
                <w:szCs w:val="22"/>
              </w:rPr>
              <w:t>Pelecanus crispus</w:t>
            </w:r>
            <w:r w:rsidRPr="0088780C">
              <w:rPr>
                <w:rFonts w:eastAsia="Times New Roman"/>
                <w:snapToGrid w:val="0"/>
                <w:kern w:val="22"/>
                <w:szCs w:val="22"/>
              </w:rPr>
              <w:t xml:space="preserve">, II (endangered); </w:t>
            </w:r>
            <w:r w:rsidRPr="0088780C">
              <w:rPr>
                <w:rFonts w:eastAsia="Times New Roman"/>
                <w:i/>
                <w:snapToGrid w:val="0"/>
                <w:kern w:val="22"/>
                <w:szCs w:val="22"/>
              </w:rPr>
              <w:t>Platalea leucorodia</w:t>
            </w:r>
            <w:r w:rsidRPr="0088780C">
              <w:rPr>
                <w:rFonts w:eastAsia="Times New Roman"/>
                <w:snapToGrid w:val="0"/>
                <w:kern w:val="22"/>
                <w:szCs w:val="22"/>
              </w:rPr>
              <w:t xml:space="preserve">, IV; </w:t>
            </w:r>
            <w:r w:rsidRPr="0088780C">
              <w:rPr>
                <w:rFonts w:eastAsia="Times New Roman"/>
                <w:i/>
                <w:snapToGrid w:val="0"/>
                <w:kern w:val="22"/>
                <w:szCs w:val="22"/>
              </w:rPr>
              <w:t>Phoenicopterus roseus</w:t>
            </w:r>
            <w:r w:rsidRPr="0088780C">
              <w:rPr>
                <w:rFonts w:eastAsia="Times New Roman"/>
                <w:snapToGrid w:val="0"/>
                <w:kern w:val="22"/>
                <w:szCs w:val="22"/>
              </w:rPr>
              <w:t xml:space="preserve">, IV; </w:t>
            </w:r>
            <w:r w:rsidRPr="0088780C">
              <w:rPr>
                <w:rFonts w:eastAsia="Times New Roman"/>
                <w:i/>
                <w:snapToGrid w:val="0"/>
                <w:kern w:val="22"/>
                <w:szCs w:val="22"/>
              </w:rPr>
              <w:t>Anser erythropus</w:t>
            </w:r>
            <w:r w:rsidRPr="0088780C">
              <w:rPr>
                <w:rFonts w:eastAsia="Times New Roman"/>
                <w:snapToGrid w:val="0"/>
                <w:kern w:val="22"/>
                <w:szCs w:val="22"/>
              </w:rPr>
              <w:t xml:space="preserve">, III (vulnerable); </w:t>
            </w:r>
            <w:r w:rsidRPr="0088780C">
              <w:rPr>
                <w:rFonts w:eastAsia="Times New Roman"/>
                <w:i/>
                <w:snapToGrid w:val="0"/>
                <w:kern w:val="22"/>
                <w:szCs w:val="22"/>
              </w:rPr>
              <w:t>Aythya (Nyroca) nyroca</w:t>
            </w:r>
            <w:r w:rsidRPr="0088780C">
              <w:rPr>
                <w:rFonts w:eastAsia="Times New Roman"/>
                <w:snapToGrid w:val="0"/>
                <w:kern w:val="22"/>
                <w:szCs w:val="22"/>
              </w:rPr>
              <w:t xml:space="preserve">, III (vulnerable); </w:t>
            </w:r>
            <w:r w:rsidRPr="0088780C">
              <w:rPr>
                <w:rFonts w:eastAsia="Times New Roman"/>
                <w:i/>
                <w:snapToGrid w:val="0"/>
                <w:kern w:val="22"/>
                <w:szCs w:val="22"/>
              </w:rPr>
              <w:t>Oxyura leucocephala</w:t>
            </w:r>
            <w:r w:rsidRPr="0088780C">
              <w:rPr>
                <w:rFonts w:eastAsia="Times New Roman"/>
                <w:snapToGrid w:val="0"/>
                <w:kern w:val="22"/>
                <w:szCs w:val="22"/>
              </w:rPr>
              <w:t>, III (vulnerable).</w:t>
            </w:r>
          </w:p>
          <w:p w14:paraId="12C6BF47" w14:textId="77777777" w:rsidR="00A876F3" w:rsidRPr="0088780C" w:rsidRDefault="00A876F3" w:rsidP="001013AF">
            <w:pPr>
              <w:suppressLineNumbers/>
              <w:tabs>
                <w:tab w:val="left" w:pos="0"/>
              </w:tabs>
              <w:suppressAutoHyphens/>
              <w:kinsoku w:val="0"/>
              <w:overflowPunct w:val="0"/>
              <w:autoSpaceDE w:val="0"/>
              <w:autoSpaceDN w:val="0"/>
              <w:adjustRightInd w:val="0"/>
              <w:rPr>
                <w:rFonts w:eastAsia="Times New Roman"/>
                <w:snapToGrid w:val="0"/>
                <w:kern w:val="22"/>
                <w:szCs w:val="22"/>
              </w:rPr>
            </w:pPr>
          </w:p>
          <w:p w14:paraId="6DA4CC2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 key mammal species here, in its most southerly breeding ground, is the Caspian seal (</w:t>
            </w:r>
            <w:r w:rsidRPr="0088780C">
              <w:rPr>
                <w:i/>
                <w:snapToGrid w:val="0"/>
                <w:kern w:val="22"/>
                <w:szCs w:val="22"/>
              </w:rPr>
              <w:t>Phoca caspica</w:t>
            </w:r>
            <w:r w:rsidRPr="0088780C">
              <w:rPr>
                <w:snapToGrid w:val="0"/>
                <w:kern w:val="22"/>
                <w:szCs w:val="22"/>
              </w:rPr>
              <w:t xml:space="preserve">), </w:t>
            </w:r>
            <w:r w:rsidRPr="0088780C">
              <w:rPr>
                <w:rFonts w:eastAsia="MS Mincho"/>
                <w:snapToGrid w:val="0"/>
                <w:color w:val="000000"/>
                <w:kern w:val="22"/>
                <w:szCs w:val="22"/>
              </w:rPr>
              <w:t>which is endemic to the Caspian</w:t>
            </w:r>
            <w:r w:rsidRPr="0088780C" w:rsidDel="00055033">
              <w:rPr>
                <w:snapToGrid w:val="0"/>
                <w:kern w:val="22"/>
                <w:szCs w:val="22"/>
              </w:rPr>
              <w:t xml:space="preserve"> </w:t>
            </w:r>
            <w:r w:rsidRPr="0088780C">
              <w:rPr>
                <w:snapToGrid w:val="0"/>
                <w:kern w:val="22"/>
                <w:szCs w:val="22"/>
              </w:rPr>
              <w:t xml:space="preserve">Sea. The population numbers no more than 100 individuals. Caspian seal is listed as </w:t>
            </w:r>
            <w:r w:rsidRPr="0088780C">
              <w:rPr>
                <w:rFonts w:eastAsia="MS Mincho"/>
                <w:iCs/>
                <w:snapToGrid w:val="0"/>
                <w:color w:val="000000"/>
                <w:kern w:val="22"/>
                <w:szCs w:val="22"/>
              </w:rPr>
              <w:t>critically endangered (category I)</w:t>
            </w:r>
            <w:r w:rsidRPr="0088780C">
              <w:rPr>
                <w:snapToGrid w:val="0"/>
                <w:kern w:val="22"/>
                <w:szCs w:val="22"/>
              </w:rPr>
              <w:t xml:space="preserve"> in the Red Book of Turkmenistan (2011)</w:t>
            </w:r>
            <w:r w:rsidRPr="0088780C">
              <w:rPr>
                <w:rFonts w:eastAsia="MS Mincho"/>
                <w:snapToGrid w:val="0"/>
                <w:color w:val="000000"/>
                <w:kern w:val="22"/>
                <w:szCs w:val="22"/>
              </w:rPr>
              <w:t xml:space="preserve">. </w:t>
            </w:r>
            <w:r w:rsidRPr="0088780C">
              <w:rPr>
                <w:snapToGrid w:val="0"/>
                <w:kern w:val="22"/>
                <w:szCs w:val="22"/>
              </w:rPr>
              <w:t>(</w:t>
            </w:r>
            <w:r w:rsidRPr="0088780C">
              <w:rPr>
                <w:snapToGrid w:val="0"/>
                <w:kern w:val="22"/>
                <w:szCs w:val="22"/>
                <w:lang w:val="ru-RU"/>
              </w:rPr>
              <w:t>Прошкина-Лавренко, Макарова, 1968; Яблонская, 1985; Гаузер, Бердыев, 2009; Рустамов, 2009а, 2009в; Красная книга Туркменистана, 2011</w:t>
            </w:r>
            <w:r w:rsidRPr="0088780C">
              <w:rPr>
                <w:snapToGrid w:val="0"/>
                <w:kern w:val="22"/>
                <w:szCs w:val="22"/>
              </w:rPr>
              <w:t>).</w:t>
            </w:r>
          </w:p>
        </w:tc>
      </w:tr>
      <w:tr w:rsidR="00A876F3" w:rsidRPr="0088780C" w14:paraId="360AFB6E" w14:textId="77777777" w:rsidTr="006972AD">
        <w:trPr>
          <w:trHeight w:val="1061"/>
        </w:trPr>
        <w:tc>
          <w:tcPr>
            <w:tcW w:w="783" w:type="pct"/>
            <w:shd w:val="clear" w:color="auto" w:fill="auto"/>
          </w:tcPr>
          <w:p w14:paraId="51A0D62E"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2245756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5DB6EB2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4D6924F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55BC0F1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385" w:type="pct"/>
            <w:shd w:val="clear" w:color="auto" w:fill="auto"/>
          </w:tcPr>
          <w:p w14:paraId="2A9BCCC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X</w:t>
            </w:r>
          </w:p>
        </w:tc>
      </w:tr>
      <w:tr w:rsidR="00A876F3" w:rsidRPr="0088780C" w14:paraId="7260CA4E" w14:textId="77777777" w:rsidTr="006972AD">
        <w:tc>
          <w:tcPr>
            <w:tcW w:w="5000" w:type="pct"/>
            <w:gridSpan w:val="11"/>
            <w:shd w:val="clear" w:color="auto" w:fill="auto"/>
          </w:tcPr>
          <w:p w14:paraId="5E5C7357"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1BC1BC48" w14:textId="72445F40" w:rsidR="00A876F3" w:rsidRPr="0088780C" w:rsidRDefault="00A876F3" w:rsidP="001013AF">
            <w:pPr>
              <w:suppressLineNumbers/>
              <w:tabs>
                <w:tab w:val="left" w:pos="0"/>
              </w:tab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There is a high degree of naturalness thanks to the absence of anthropogenic pressures.</w:t>
            </w:r>
          </w:p>
        </w:tc>
      </w:tr>
    </w:tbl>
    <w:p w14:paraId="063DFC5D"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p w14:paraId="15CF6D76" w14:textId="41412D7D" w:rsidR="00A876F3" w:rsidRPr="0088780C" w:rsidRDefault="00A876F3" w:rsidP="00C05D4E">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51A7162B"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Бирштейн Я.А., Виноградова Л.Г., Кондакова Н.Н., Кун М.С., Астахова Т.С., Романова Н.Н. 1968. Атлас беспозвоночных Каспийского моря. М.: Пищевая промышленность, М.</w:t>
      </w:r>
    </w:p>
    <w:p w14:paraId="120A4258"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Гаузер М.Е., Бердыев Б.Р. 2009. Огурджалы ада // Ключевые орнитологические территории Туркменистана. Ашхабад: МОП. С.76-78.</w:t>
      </w:r>
    </w:p>
    <w:p w14:paraId="2E9FF1D4"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Гюль К.К. 1956. Каспийское море. Баку. 328 с.</w:t>
      </w:r>
    </w:p>
    <w:p w14:paraId="490D0CE9"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Дерягин В.А. 1977. Каспий, его прошлое, настоящее и будущее (краткий историко-географический очерк). Баку. 115 с.</w:t>
      </w:r>
    </w:p>
    <w:p w14:paraId="14B517A5"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Зонн И.С. 2004. Каспийская энциклопедия. М.: Международные отношения. 461 с.</w:t>
      </w:r>
    </w:p>
    <w:p w14:paraId="0258D5FC"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Касымов А.Г. 1987. Каспийское море. Л.: Гидрометиоиздат. 157 с.</w:t>
      </w:r>
    </w:p>
    <w:p w14:paraId="2515CB23"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Красная книга Туркменистана. 2011. Т.2. Беспозвоночные и позвоночные животные. Изд.3-е, перераб. и доп. Ашхабад: Ылым. 384 с.</w:t>
      </w:r>
    </w:p>
    <w:p w14:paraId="501EC619"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Прошкина-Лавренко А.И., Макарова И.В. 1968. Водоросли планктона Каспийского моря. Л.: Наука. 291 с.</w:t>
      </w:r>
    </w:p>
    <w:p w14:paraId="47A28965"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Рустамов Э.А. 2009а. Гунорта-Челекен айлагы // Ключевые орнитологические территории Туркменистана. Ашхабад: МОП. С.78-79.</w:t>
      </w:r>
    </w:p>
    <w:p w14:paraId="417DB924"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Рустамов Э.А. 2009в. Туркмен айлагы // Ключевые орнитологические территории Туркменистана. Ашхабад: МОП. С.81-83.</w:t>
      </w:r>
    </w:p>
    <w:p w14:paraId="0F345E91"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Рустамов Э.А., Щербина А.А. 2007. Учет численности водно-болотных птиц на туркменском побережье Каспия // Проблемы освоения пустынь. №1. С.55-57.</w:t>
      </w:r>
    </w:p>
    <w:p w14:paraId="671C94E6" w14:textId="77777777" w:rsidR="00A876F3" w:rsidRPr="0088780C" w:rsidRDefault="00A876F3" w:rsidP="00C05D4E">
      <w:pPr>
        <w:suppressLineNumbers/>
        <w:suppressAutoHyphens/>
        <w:kinsoku w:val="0"/>
        <w:overflowPunct w:val="0"/>
        <w:autoSpaceDE w:val="0"/>
        <w:autoSpaceDN w:val="0"/>
        <w:spacing w:after="60"/>
        <w:ind w:left="720" w:hanging="720"/>
        <w:rPr>
          <w:snapToGrid w:val="0"/>
          <w:kern w:val="22"/>
          <w:szCs w:val="22"/>
          <w:lang w:val="ru-RU"/>
        </w:rPr>
      </w:pPr>
      <w:r w:rsidRPr="0088780C">
        <w:rPr>
          <w:snapToGrid w:val="0"/>
          <w:kern w:val="22"/>
          <w:szCs w:val="22"/>
          <w:lang w:val="ru-RU"/>
        </w:rPr>
        <w:t>Щербина А.А. 2013. Из материалов по редким и малоизученным видам птиц туркменского Прикаспия // Изучение биоразнообразия Туркменистана (позвоночные животные). Москва – Ашхабад. С.170-181.</w:t>
      </w:r>
    </w:p>
    <w:p w14:paraId="4E892C8C" w14:textId="30F16248" w:rsidR="00A876F3" w:rsidRPr="0088780C" w:rsidRDefault="00A876F3" w:rsidP="00C05D4E">
      <w:pPr>
        <w:suppressLineNumbers/>
        <w:suppressAutoHyphens/>
        <w:kinsoku w:val="0"/>
        <w:overflowPunct w:val="0"/>
        <w:autoSpaceDE w:val="0"/>
        <w:autoSpaceDN w:val="0"/>
        <w:spacing w:after="60"/>
        <w:ind w:left="720" w:hanging="720"/>
        <w:rPr>
          <w:rFonts w:eastAsia="MS Mincho"/>
          <w:snapToGrid w:val="0"/>
          <w:kern w:val="22"/>
          <w:szCs w:val="22"/>
          <w:lang w:val="en-US"/>
        </w:rPr>
      </w:pPr>
      <w:r w:rsidRPr="0088780C">
        <w:rPr>
          <w:snapToGrid w:val="0"/>
          <w:kern w:val="22"/>
          <w:szCs w:val="22"/>
          <w:lang w:val="ru-RU"/>
        </w:rPr>
        <w:t>Яблонская Е.А. 1985. Каспийское море. Фауна и биологическая продуктивность. М.: Наука.  2</w:t>
      </w:r>
      <w:r w:rsidR="009E6A29" w:rsidRPr="0088780C">
        <w:rPr>
          <w:snapToGrid w:val="0"/>
          <w:kern w:val="22"/>
          <w:szCs w:val="22"/>
          <w:lang w:val="ru-RU"/>
        </w:rPr>
        <w:t>90</w:t>
      </w:r>
      <w:r w:rsidR="009E6A29" w:rsidRPr="0088780C">
        <w:rPr>
          <w:snapToGrid w:val="0"/>
          <w:kern w:val="22"/>
          <w:szCs w:val="22"/>
          <w:lang w:val="en-US"/>
        </w:rPr>
        <w:t> </w:t>
      </w:r>
      <w:r w:rsidRPr="0088780C">
        <w:rPr>
          <w:snapToGrid w:val="0"/>
          <w:kern w:val="22"/>
          <w:szCs w:val="22"/>
          <w:lang w:val="ru-RU"/>
        </w:rPr>
        <w:t>с.</w:t>
      </w:r>
    </w:p>
    <w:p w14:paraId="7F7ECD66" w14:textId="77777777" w:rsidR="00A876F3" w:rsidRPr="0088780C" w:rsidRDefault="00A876F3" w:rsidP="001013AF">
      <w:pPr>
        <w:suppressLineNumbers/>
        <w:suppressAutoHyphens/>
        <w:kinsoku w:val="0"/>
        <w:overflowPunct w:val="0"/>
        <w:autoSpaceDE w:val="0"/>
        <w:autoSpaceDN w:val="0"/>
        <w:ind w:left="284"/>
        <w:rPr>
          <w:rFonts w:eastAsia="MS Mincho"/>
          <w:b/>
          <w:snapToGrid w:val="0"/>
          <w:kern w:val="22"/>
          <w:szCs w:val="22"/>
        </w:rPr>
      </w:pPr>
      <w:r w:rsidRPr="0088780C">
        <w:rPr>
          <w:rFonts w:eastAsia="MS Mincho"/>
          <w:b/>
          <w:snapToGrid w:val="0"/>
          <w:kern w:val="22"/>
          <w:szCs w:val="22"/>
        </w:rPr>
        <w:br w:type="page"/>
      </w:r>
    </w:p>
    <w:p w14:paraId="3E9ABA64"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r w:rsidRPr="0088780C">
        <w:rPr>
          <w:rFonts w:eastAsia="MS Mincho"/>
          <w:b/>
          <w:snapToGrid w:val="0"/>
          <w:color w:val="000000" w:themeColor="text1"/>
          <w:kern w:val="22"/>
          <w:szCs w:val="22"/>
        </w:rPr>
        <w:t>Maps and Figures</w:t>
      </w:r>
    </w:p>
    <w:p w14:paraId="50ED5D60"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p>
    <w:p w14:paraId="3D241DEB" w14:textId="77777777" w:rsidR="00A876F3" w:rsidRPr="0088780C" w:rsidRDefault="00A876F3" w:rsidP="001013AF">
      <w:pPr>
        <w:suppressLineNumbers/>
        <w:suppressAutoHyphens/>
        <w:kinsoku w:val="0"/>
        <w:overflowPunct w:val="0"/>
        <w:autoSpaceDE w:val="0"/>
        <w:autoSpaceDN w:val="0"/>
        <w:rPr>
          <w:rFonts w:eastAsia="MS Mincho"/>
          <w:b/>
          <w:snapToGrid w:val="0"/>
          <w:color w:val="000000" w:themeColor="text1"/>
          <w:kern w:val="22"/>
          <w:szCs w:val="22"/>
        </w:rPr>
      </w:pPr>
    </w:p>
    <w:p w14:paraId="2D9C8562" w14:textId="77777777" w:rsidR="00A876F3" w:rsidRPr="0088780C" w:rsidRDefault="00A876F3" w:rsidP="001013AF">
      <w:pPr>
        <w:suppressLineNumbers/>
        <w:suppressAutoHyphens/>
        <w:kinsoku w:val="0"/>
        <w:overflowPunct w:val="0"/>
        <w:autoSpaceDE w:val="0"/>
        <w:autoSpaceDN w:val="0"/>
        <w:ind w:left="284"/>
        <w:rPr>
          <w:rFonts w:eastAsia="MS Mincho"/>
          <w:b/>
          <w:snapToGrid w:val="0"/>
          <w:color w:val="FF0000"/>
          <w:kern w:val="22"/>
          <w:szCs w:val="22"/>
        </w:rPr>
      </w:pPr>
      <w:r w:rsidRPr="0088780C">
        <w:rPr>
          <w:noProof/>
          <w:snapToGrid w:val="0"/>
          <w:kern w:val="22"/>
          <w:szCs w:val="22"/>
          <w:lang w:eastAsia="zh-CN"/>
        </w:rPr>
        <w:drawing>
          <wp:inline distT="0" distB="0" distL="0" distR="0" wp14:anchorId="14461562" wp14:editId="5FAF1B27">
            <wp:extent cx="5486400" cy="4572000"/>
            <wp:effectExtent l="0" t="0" r="0" b="0"/>
            <wp:docPr id="13313" name="Picture 13313" descr="C:\Users\grekin\AppData\Local\Microsoft\Windows\Temporary Internet Files\Content.Word\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grekin\AppData\Local\Microsoft\Windows\Temporary Internet Files\Content.Word\24.png"/>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68B5BF3D" w14:textId="77777777" w:rsidR="00A876F3" w:rsidRPr="0088780C" w:rsidRDefault="00A876F3" w:rsidP="001013AF">
      <w:pPr>
        <w:suppressLineNumbers/>
        <w:suppressAutoHyphens/>
        <w:kinsoku w:val="0"/>
        <w:overflowPunct w:val="0"/>
        <w:autoSpaceDE w:val="0"/>
        <w:autoSpaceDN w:val="0"/>
        <w:ind w:left="284"/>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p>
    <w:p w14:paraId="1F7681AC" w14:textId="77777777" w:rsidR="00A876F3" w:rsidRPr="0088780C" w:rsidRDefault="00A876F3" w:rsidP="001013AF">
      <w:pPr>
        <w:suppressLineNumbers/>
        <w:suppressAutoHyphens/>
        <w:kinsoku w:val="0"/>
        <w:overflowPunct w:val="0"/>
        <w:autoSpaceDE w:val="0"/>
        <w:autoSpaceDN w:val="0"/>
        <w:ind w:left="284"/>
        <w:rPr>
          <w:rFonts w:eastAsia="MS Mincho"/>
          <w:b/>
          <w:snapToGrid w:val="0"/>
          <w:kern w:val="22"/>
          <w:szCs w:val="22"/>
        </w:rPr>
      </w:pPr>
    </w:p>
    <w:p w14:paraId="2059564A" w14:textId="375438C0" w:rsidR="009E6A29" w:rsidRPr="0088780C" w:rsidRDefault="009E6A29">
      <w:pPr>
        <w:jc w:val="left"/>
        <w:rPr>
          <w:rFonts w:eastAsia="MS Mincho"/>
          <w:b/>
          <w:snapToGrid w:val="0"/>
          <w:kern w:val="22"/>
          <w:szCs w:val="22"/>
        </w:rPr>
      </w:pPr>
      <w:r w:rsidRPr="0088780C">
        <w:rPr>
          <w:rFonts w:eastAsia="MS Mincho"/>
          <w:b/>
          <w:snapToGrid w:val="0"/>
          <w:kern w:val="22"/>
          <w:szCs w:val="22"/>
        </w:rPr>
        <w:br w:type="page"/>
      </w:r>
    </w:p>
    <w:p w14:paraId="1E500E35" w14:textId="77777777" w:rsidR="00A876F3" w:rsidRPr="0088780C" w:rsidRDefault="00A876F3" w:rsidP="001013AF">
      <w:pPr>
        <w:suppressLineNumbers/>
        <w:suppressAutoHyphens/>
        <w:kinsoku w:val="0"/>
        <w:overflowPunct w:val="0"/>
        <w:autoSpaceDE w:val="0"/>
        <w:autoSpaceDN w:val="0"/>
        <w:ind w:left="284"/>
        <w:rPr>
          <w:rFonts w:eastAsia="MS Mincho"/>
          <w:b/>
          <w:snapToGrid w:val="0"/>
          <w:color w:val="FF0000"/>
          <w:kern w:val="22"/>
          <w:szCs w:val="22"/>
        </w:rPr>
      </w:pPr>
      <w:r w:rsidRPr="0088780C">
        <w:rPr>
          <w:noProof/>
          <w:snapToGrid w:val="0"/>
          <w:kern w:val="22"/>
          <w:szCs w:val="22"/>
          <w:lang w:eastAsia="zh-CN"/>
        </w:rPr>
        <w:drawing>
          <wp:inline distT="0" distB="0" distL="0" distR="0" wp14:anchorId="5BB19D1B" wp14:editId="47E4EAE7">
            <wp:extent cx="4223385" cy="3173314"/>
            <wp:effectExtent l="0" t="0" r="5715" b="8255"/>
            <wp:docPr id="13314" name="Picture 2" descr="D:\Документы Рустамов\Доклад на водном Формуе апрель 2015 г\СЛАЙДЫ 9-16\Слайд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descr="D:\Документы Рустамов\Доклад на водном Формуе апрель 2015 г\СЛАЙДЫ 9-16\Слайд 9.JPG"/>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4237800" cy="3184145"/>
                    </a:xfrm>
                    <a:prstGeom prst="rect">
                      <a:avLst/>
                    </a:prstGeom>
                    <a:noFill/>
                    <a:ln>
                      <a:noFill/>
                    </a:ln>
                    <a:extLst/>
                  </pic:spPr>
                </pic:pic>
              </a:graphicData>
            </a:graphic>
          </wp:inline>
        </w:drawing>
      </w:r>
    </w:p>
    <w:p w14:paraId="003DB903" w14:textId="77777777" w:rsidR="00A876F3" w:rsidRPr="0088780C" w:rsidRDefault="00A876F3" w:rsidP="0094592A">
      <w:pPr>
        <w:suppressLineNumbers/>
        <w:suppressAutoHyphens/>
        <w:kinsoku w:val="0"/>
        <w:overflowPunct w:val="0"/>
        <w:autoSpaceDE w:val="0"/>
        <w:autoSpaceDN w:val="0"/>
        <w:ind w:left="270"/>
        <w:rPr>
          <w:rFonts w:eastAsia="MS Mincho"/>
          <w:b/>
          <w:snapToGrid w:val="0"/>
          <w:kern w:val="22"/>
          <w:szCs w:val="22"/>
        </w:rPr>
      </w:pPr>
      <w:r w:rsidRPr="0088780C">
        <w:rPr>
          <w:rFonts w:eastAsia="MS Mincho"/>
          <w:b/>
          <w:snapToGrid w:val="0"/>
          <w:kern w:val="22"/>
          <w:szCs w:val="22"/>
        </w:rPr>
        <w:t>Figure 2. Wetlands on the eastern coast of Turkmen Aylagy (Photo: Eldar Rustamov)</w:t>
      </w:r>
    </w:p>
    <w:p w14:paraId="5AEF4C94" w14:textId="77777777" w:rsidR="00A876F3" w:rsidRPr="0088780C" w:rsidRDefault="00A876F3" w:rsidP="0094592A">
      <w:pPr>
        <w:suppressLineNumbers/>
        <w:suppressAutoHyphens/>
        <w:kinsoku w:val="0"/>
        <w:overflowPunct w:val="0"/>
        <w:autoSpaceDE w:val="0"/>
        <w:autoSpaceDN w:val="0"/>
        <w:rPr>
          <w:rFonts w:eastAsia="MS Mincho"/>
          <w:b/>
          <w:snapToGrid w:val="0"/>
          <w:kern w:val="22"/>
          <w:szCs w:val="22"/>
        </w:rPr>
      </w:pPr>
    </w:p>
    <w:p w14:paraId="2959B537" w14:textId="77777777" w:rsidR="00A876F3" w:rsidRPr="0088780C" w:rsidRDefault="00A876F3" w:rsidP="001013AF">
      <w:pPr>
        <w:suppressLineNumbers/>
        <w:suppressAutoHyphens/>
        <w:kinsoku w:val="0"/>
        <w:overflowPunct w:val="0"/>
        <w:autoSpaceDE w:val="0"/>
        <w:autoSpaceDN w:val="0"/>
        <w:ind w:left="284"/>
        <w:rPr>
          <w:rFonts w:eastAsia="MS Mincho"/>
          <w:b/>
          <w:snapToGrid w:val="0"/>
          <w:color w:val="FF0000"/>
          <w:kern w:val="22"/>
          <w:szCs w:val="22"/>
        </w:rPr>
      </w:pPr>
      <w:r w:rsidRPr="0088780C">
        <w:rPr>
          <w:rFonts w:eastAsia="MS Mincho"/>
          <w:b/>
          <w:noProof/>
          <w:snapToGrid w:val="0"/>
          <w:color w:val="FF0000"/>
          <w:kern w:val="22"/>
          <w:szCs w:val="22"/>
          <w:lang w:eastAsia="zh-CN"/>
        </w:rPr>
        <w:drawing>
          <wp:inline distT="0" distB="0" distL="0" distR="0" wp14:anchorId="34146E72" wp14:editId="0EDDCCAE">
            <wp:extent cx="4686300" cy="3514402"/>
            <wp:effectExtent l="0" t="0" r="0" b="0"/>
            <wp:docPr id="64519" name="Рисунок 1" descr="C:\Users\user7\Desktop\EBSA WS_BAKU_2017\updated files\FINAL EBSAs\Изображение 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7\Desktop\EBSA WS_BAKU_2017\updated files\FINAL EBSAs\Изображение 094.jpg"/>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4687631" cy="3515400"/>
                    </a:xfrm>
                    <a:prstGeom prst="rect">
                      <a:avLst/>
                    </a:prstGeom>
                    <a:noFill/>
                    <a:ln>
                      <a:noFill/>
                    </a:ln>
                  </pic:spPr>
                </pic:pic>
              </a:graphicData>
            </a:graphic>
          </wp:inline>
        </w:drawing>
      </w:r>
    </w:p>
    <w:p w14:paraId="4F6F8C0C" w14:textId="77777777" w:rsidR="00A876F3" w:rsidRPr="0088780C" w:rsidRDefault="00A876F3" w:rsidP="0094592A">
      <w:pPr>
        <w:suppressLineNumbers/>
        <w:suppressAutoHyphens/>
        <w:kinsoku w:val="0"/>
        <w:overflowPunct w:val="0"/>
        <w:autoSpaceDE w:val="0"/>
        <w:autoSpaceDN w:val="0"/>
        <w:ind w:left="270"/>
        <w:rPr>
          <w:rFonts w:eastAsia="MS Mincho"/>
          <w:b/>
          <w:snapToGrid w:val="0"/>
          <w:kern w:val="22"/>
          <w:szCs w:val="22"/>
        </w:rPr>
      </w:pPr>
      <w:r w:rsidRPr="0088780C">
        <w:rPr>
          <w:rFonts w:eastAsia="MS Mincho"/>
          <w:b/>
          <w:snapToGrid w:val="0"/>
          <w:kern w:val="22"/>
          <w:szCs w:val="22"/>
        </w:rPr>
        <w:t>Figure 3. Caspian seals on the southern peninsula of Ogurdzhaly Island (Photo: Pavel Erokhin)</w:t>
      </w:r>
    </w:p>
    <w:p w14:paraId="055C904A" w14:textId="7C7AFC2F"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B1817E3" w14:textId="6190BB63" w:rsidR="00A876F3" w:rsidRPr="0088780C" w:rsidRDefault="009E6A29" w:rsidP="001013AF">
      <w:pPr>
        <w:suppressLineNumbers/>
        <w:suppressAutoHyphens/>
        <w:kinsoku w:val="0"/>
        <w:overflowPunct w:val="0"/>
        <w:autoSpaceDE w:val="0"/>
        <w:autoSpaceDN w:val="0"/>
        <w:rPr>
          <w:rFonts w:eastAsia="MS Mincho"/>
          <w:bCs/>
          <w:i/>
          <w:iCs/>
          <w:snapToGrid w:val="0"/>
          <w:kern w:val="22"/>
          <w:szCs w:val="22"/>
        </w:rPr>
      </w:pPr>
      <w:r w:rsidRPr="0088780C">
        <w:rPr>
          <w:rFonts w:eastAsia="MS Mincho"/>
          <w:bCs/>
          <w:i/>
          <w:iCs/>
          <w:snapToGrid w:val="0"/>
          <w:kern w:val="22"/>
          <w:szCs w:val="22"/>
        </w:rPr>
        <w:t>Rights and permissions</w:t>
      </w:r>
    </w:p>
    <w:p w14:paraId="7659315C" w14:textId="152986DF"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snapToGrid w:val="0"/>
          <w:kern w:val="22"/>
          <w:szCs w:val="22"/>
        </w:rPr>
        <w:t>Among references, private data of authors are used.</w:t>
      </w:r>
    </w:p>
    <w:p w14:paraId="56C784B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3F3B48B5" w14:textId="7527CCC9"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25: </w:t>
      </w:r>
      <w:r w:rsidRPr="0088780C">
        <w:rPr>
          <w:rFonts w:eastAsia="MS Mincho"/>
          <w:b/>
          <w:bCs/>
          <w:snapToGrid w:val="0"/>
          <w:kern w:val="22"/>
          <w:szCs w:val="22"/>
        </w:rPr>
        <w:t>Miankaleh-Esenguly</w:t>
      </w:r>
    </w:p>
    <w:p w14:paraId="606114A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7614C45"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Abstract</w:t>
      </w:r>
    </w:p>
    <w:p w14:paraId="3AB7962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area is located in the south-eastern corner of the Caspian Sea in the marine and coastal areas adjacent to Turkmenistan and Iran. </w:t>
      </w:r>
      <w:r w:rsidRPr="0088780C">
        <w:rPr>
          <w:snapToGrid w:val="0"/>
          <w:kern w:val="22"/>
          <w:szCs w:val="22"/>
        </w:rPr>
        <w:t xml:space="preserve">The area is a potential candidate Seal Special Protected Area (SSPA), under the Caspian Environment Programme. The area is also one of the most important foraging and spawning grounds for all five critically endangered species of sturgeon, including </w:t>
      </w:r>
      <w:r w:rsidRPr="0088780C">
        <w:rPr>
          <w:i/>
          <w:iCs/>
          <w:snapToGrid w:val="0"/>
          <w:kern w:val="22"/>
          <w:szCs w:val="22"/>
        </w:rPr>
        <w:t>Acipenser</w:t>
      </w:r>
      <w:r w:rsidRPr="0088780C">
        <w:rPr>
          <w:snapToGrid w:val="0"/>
          <w:kern w:val="22"/>
          <w:szCs w:val="22"/>
        </w:rPr>
        <w:t xml:space="preserve"> </w:t>
      </w:r>
      <w:r w:rsidRPr="0088780C">
        <w:rPr>
          <w:i/>
          <w:iCs/>
          <w:snapToGrid w:val="0"/>
          <w:kern w:val="22"/>
          <w:szCs w:val="22"/>
        </w:rPr>
        <w:t>gueldenstaedtii</w:t>
      </w:r>
      <w:r w:rsidRPr="0088780C">
        <w:rPr>
          <w:snapToGrid w:val="0"/>
          <w:kern w:val="22"/>
          <w:szCs w:val="22"/>
        </w:rPr>
        <w:t xml:space="preserve">, </w:t>
      </w:r>
      <w:r w:rsidRPr="0088780C">
        <w:rPr>
          <w:i/>
          <w:iCs/>
          <w:snapToGrid w:val="0"/>
          <w:kern w:val="22"/>
          <w:szCs w:val="22"/>
        </w:rPr>
        <w:t>A. nudiventris</w:t>
      </w:r>
      <w:r w:rsidRPr="0088780C">
        <w:rPr>
          <w:snapToGrid w:val="0"/>
          <w:kern w:val="22"/>
          <w:szCs w:val="22"/>
        </w:rPr>
        <w:t xml:space="preserve">, </w:t>
      </w:r>
      <w:r w:rsidRPr="0088780C">
        <w:rPr>
          <w:i/>
          <w:iCs/>
          <w:snapToGrid w:val="0"/>
          <w:kern w:val="22"/>
          <w:szCs w:val="22"/>
        </w:rPr>
        <w:t>A. persicus</w:t>
      </w:r>
      <w:r w:rsidRPr="0088780C">
        <w:rPr>
          <w:snapToGrid w:val="0"/>
          <w:kern w:val="22"/>
          <w:szCs w:val="22"/>
        </w:rPr>
        <w:t xml:space="preserve">, </w:t>
      </w:r>
      <w:r w:rsidRPr="0088780C">
        <w:rPr>
          <w:i/>
          <w:iCs/>
          <w:snapToGrid w:val="0"/>
          <w:kern w:val="22"/>
          <w:szCs w:val="22"/>
        </w:rPr>
        <w:t>A. stellatus</w:t>
      </w:r>
      <w:r w:rsidRPr="0088780C">
        <w:rPr>
          <w:snapToGrid w:val="0"/>
          <w:kern w:val="22"/>
          <w:szCs w:val="22"/>
        </w:rPr>
        <w:t xml:space="preserve"> and </w:t>
      </w:r>
      <w:r w:rsidRPr="0088780C">
        <w:rPr>
          <w:i/>
          <w:iCs/>
          <w:snapToGrid w:val="0"/>
          <w:kern w:val="22"/>
          <w:szCs w:val="22"/>
        </w:rPr>
        <w:t>Huso huso</w:t>
      </w:r>
      <w:r w:rsidRPr="0088780C">
        <w:rPr>
          <w:snapToGrid w:val="0"/>
          <w:kern w:val="22"/>
          <w:szCs w:val="22"/>
        </w:rPr>
        <w:t xml:space="preserve">. </w:t>
      </w:r>
      <w:r w:rsidRPr="0088780C">
        <w:rPr>
          <w:rFonts w:eastAsia="MS Mincho"/>
          <w:iCs/>
          <w:snapToGrid w:val="0"/>
          <w:kern w:val="22"/>
          <w:szCs w:val="22"/>
        </w:rPr>
        <w:t xml:space="preserve">The </w:t>
      </w:r>
      <w:r w:rsidRPr="0088780C">
        <w:rPr>
          <w:rFonts w:eastAsia="MS Mincho"/>
          <w:bCs/>
          <w:snapToGrid w:val="0"/>
          <w:kern w:val="22"/>
          <w:szCs w:val="22"/>
        </w:rPr>
        <w:t xml:space="preserve">Miankaleh-Esenguly </w:t>
      </w:r>
      <w:r w:rsidRPr="0088780C">
        <w:rPr>
          <w:rFonts w:eastAsia="MS Mincho"/>
          <w:iCs/>
          <w:snapToGrid w:val="0"/>
          <w:kern w:val="22"/>
          <w:szCs w:val="22"/>
        </w:rPr>
        <w:t>area is extremely important for both wintering and passage of waterfowl and holds one of the highest number of wintering birds in the entire south Caspian.</w:t>
      </w:r>
    </w:p>
    <w:p w14:paraId="3007707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87358F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6C2877E8" w14:textId="12E82891"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snapToGrid w:val="0"/>
          <w:kern w:val="22"/>
          <w:szCs w:val="22"/>
        </w:rPr>
        <w:t xml:space="preserve">The area is located in the south-eastern corner of the Caspian and </w:t>
      </w:r>
      <w:r w:rsidRPr="0088780C">
        <w:rPr>
          <w:rFonts w:eastAsia="MS Mincho"/>
          <w:iCs/>
          <w:snapToGrid w:val="0"/>
          <w:kern w:val="22"/>
          <w:szCs w:val="22"/>
        </w:rPr>
        <w:t xml:space="preserve">extends from </w:t>
      </w:r>
      <w:r w:rsidRPr="0088780C">
        <w:rPr>
          <w:rFonts w:eastAsia="MS Mincho"/>
          <w:bCs/>
          <w:snapToGrid w:val="0"/>
          <w:kern w:val="22"/>
          <w:szCs w:val="22"/>
        </w:rPr>
        <w:t>Esenguly-Okarem</w:t>
      </w:r>
      <w:r w:rsidRPr="0088780C">
        <w:rPr>
          <w:rFonts w:eastAsia="MS Mincho"/>
          <w:iCs/>
          <w:snapToGrid w:val="0"/>
          <w:kern w:val="22"/>
          <w:szCs w:val="22"/>
        </w:rPr>
        <w:t xml:space="preserve"> in Turkmenistan towards Iranian Gomishan Lagoon and Gorgan Bay, including Miankaleh Peninsula, Ashouradeh and Esmaeilsay islands and the freshwater lagoons of Lapouye Zaghmarz (Lapoo-Zaghmarz Ab-Bandans). The area </w:t>
      </w:r>
      <w:r w:rsidRPr="0088780C">
        <w:rPr>
          <w:rFonts w:eastAsia="MS Mincho"/>
          <w:snapToGrid w:val="0"/>
          <w:kern w:val="22"/>
          <w:szCs w:val="22"/>
        </w:rPr>
        <w:t xml:space="preserve">supports a diverse range of ecosystems and habitats, including shallow marine waters, intertidal muddy and sandy shores, coastal lagoons, </w:t>
      </w:r>
      <w:r w:rsidRPr="0088780C">
        <w:rPr>
          <w:rFonts w:eastAsia="MS Mincho"/>
          <w:iCs/>
          <w:snapToGrid w:val="0"/>
          <w:kern w:val="22"/>
          <w:szCs w:val="22"/>
        </w:rPr>
        <w:t>extensive coastal reedbeds and</w:t>
      </w:r>
      <w:r w:rsidRPr="0088780C">
        <w:rPr>
          <w:rFonts w:eastAsia="MS Mincho"/>
          <w:snapToGrid w:val="0"/>
          <w:kern w:val="22"/>
          <w:szCs w:val="22"/>
        </w:rPr>
        <w:t xml:space="preserve"> coastal freshwater marshes and lagoons</w:t>
      </w:r>
      <w:r w:rsidRPr="0088780C">
        <w:rPr>
          <w:rFonts w:eastAsia="MS Mincho"/>
          <w:iCs/>
          <w:snapToGrid w:val="0"/>
          <w:kern w:val="22"/>
          <w:szCs w:val="22"/>
        </w:rPr>
        <w:t>.</w:t>
      </w:r>
    </w:p>
    <w:p w14:paraId="678CF55E"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25ADFB2E" w14:textId="4C1A09FF" w:rsidR="00A876F3" w:rsidRPr="0088780C" w:rsidRDefault="00A876F3" w:rsidP="0094592A">
      <w:pPr>
        <w:suppressLineNumbers/>
        <w:suppressAutoHyphens/>
        <w:kinsoku w:val="0"/>
        <w:overflowPunct w:val="0"/>
        <w:autoSpaceDE w:val="0"/>
        <w:autoSpaceDN w:val="0"/>
        <w:rPr>
          <w:rFonts w:eastAsia="MS Mincho"/>
          <w:snapToGrid w:val="0"/>
          <w:kern w:val="22"/>
          <w:szCs w:val="22"/>
        </w:rPr>
      </w:pPr>
      <w:r w:rsidRPr="0088780C">
        <w:rPr>
          <w:rFonts w:eastAsia="MS Mincho"/>
          <w:iCs/>
          <w:snapToGrid w:val="0"/>
          <w:kern w:val="22"/>
          <w:szCs w:val="22"/>
        </w:rPr>
        <w:t xml:space="preserve">The area </w:t>
      </w:r>
      <w:r w:rsidRPr="0088780C">
        <w:rPr>
          <w:rFonts w:eastAsia="MS Mincho"/>
          <w:snapToGrid w:val="0"/>
          <w:kern w:val="22"/>
          <w:szCs w:val="22"/>
        </w:rPr>
        <w:t xml:space="preserve">includes a UNESCO biosphere reserve, two wetlands of international importance (Ramsar Sites), five Important Bird and Biodiversity Areas (IBAs), </w:t>
      </w:r>
      <w:r w:rsidRPr="0088780C">
        <w:rPr>
          <w:rFonts w:eastAsia="MS Mincho"/>
          <w:snapToGrid w:val="0"/>
          <w:kern w:val="22"/>
          <w:szCs w:val="22"/>
          <w:lang w:bidi="fa-IR"/>
        </w:rPr>
        <w:t xml:space="preserve">a wildlife refuge, a no-hunting/no-fishing area, a nature reserve and a proposed </w:t>
      </w:r>
      <w:r w:rsidRPr="0088780C">
        <w:rPr>
          <w:rFonts w:eastAsia="MS Mincho"/>
          <w:iCs/>
          <w:snapToGrid w:val="0"/>
          <w:kern w:val="22"/>
          <w:szCs w:val="22"/>
        </w:rPr>
        <w:t xml:space="preserve">UNESCO World </w:t>
      </w:r>
      <w:r w:rsidRPr="0088780C">
        <w:rPr>
          <w:rFonts w:eastAsia="MS Mincho"/>
          <w:snapToGrid w:val="0"/>
          <w:kern w:val="22"/>
          <w:szCs w:val="22"/>
        </w:rPr>
        <w:t xml:space="preserve">Heritage site. These IBAs were designated mostly for the importance for waterbirds, with 126 species, representing 24% of the total avifauna of </w:t>
      </w:r>
      <w:r w:rsidR="0094592A" w:rsidRPr="0088780C">
        <w:rPr>
          <w:rFonts w:eastAsia="MS Mincho"/>
          <w:snapToGrid w:val="0"/>
          <w:kern w:val="22"/>
          <w:szCs w:val="22"/>
        </w:rPr>
        <w:t>C</w:t>
      </w:r>
      <w:r w:rsidRPr="0088780C">
        <w:rPr>
          <w:rFonts w:eastAsia="MS Mincho"/>
          <w:snapToGrid w:val="0"/>
          <w:kern w:val="22"/>
          <w:szCs w:val="22"/>
        </w:rPr>
        <w:t>entral Asia.</w:t>
      </w:r>
    </w:p>
    <w:p w14:paraId="1E89D9FF"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297CCDA6" w14:textId="2BEE22DB"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wetlands of the area are unique and outstanding examples of a natural sand spit/coastal lagoon system that is characteristic of the south Caspian Sea. They play a substantial hydrological and ecological role in the functioning of the coastal systems of the </w:t>
      </w:r>
      <w:r w:rsidR="00953367" w:rsidRPr="0088780C">
        <w:rPr>
          <w:rFonts w:eastAsia="MS Mincho"/>
          <w:iCs/>
          <w:snapToGrid w:val="0"/>
          <w:kern w:val="22"/>
          <w:szCs w:val="22"/>
        </w:rPr>
        <w:t>south-east</w:t>
      </w:r>
      <w:r w:rsidRPr="0088780C">
        <w:rPr>
          <w:rFonts w:eastAsia="MS Mincho"/>
          <w:iCs/>
          <w:snapToGrid w:val="0"/>
          <w:kern w:val="22"/>
          <w:szCs w:val="22"/>
        </w:rPr>
        <w:t xml:space="preserve"> Caspian Sea (Ramsar  Convention Bureau 2001; 1997).</w:t>
      </w:r>
    </w:p>
    <w:p w14:paraId="33EA341E"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3ADE426F" w14:textId="69BBE939"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The Esenguly section (with total area of 97 000 hectares, 78 000 of which are marine areas) was established as a reserve in 1932, and in 1968, as the separate southern part of the Khazar State Reserve of Turkmenistan. There are three IBAs: Ekerem, Esenguly and Garadegish (Rustamov et al., 2009, BirdLife International, 2017).</w:t>
      </w:r>
    </w:p>
    <w:p w14:paraId="7BA76680"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601435F5"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snapToGrid w:val="0"/>
          <w:kern w:val="22"/>
          <w:szCs w:val="22"/>
        </w:rPr>
        <w:t xml:space="preserve">The </w:t>
      </w:r>
      <w:r w:rsidRPr="0088780C">
        <w:rPr>
          <w:rFonts w:eastAsia="MS Mincho"/>
          <w:bCs/>
          <w:snapToGrid w:val="0"/>
          <w:kern w:val="22"/>
          <w:szCs w:val="22"/>
        </w:rPr>
        <w:t>Miankaleh Peninsula-Gomishan</w:t>
      </w:r>
      <w:r w:rsidRPr="0088780C">
        <w:rPr>
          <w:rFonts w:eastAsia="MS Mincho"/>
          <w:snapToGrid w:val="0"/>
          <w:kern w:val="22"/>
          <w:szCs w:val="22"/>
        </w:rPr>
        <w:t xml:space="preserve"> Lagoon area is considered the most important area in the Iranian Caspian Sea based on several specific criteria, including: naturalness, uniqueness, habitat connectivity (lower fragmentation), habitat diversity, number of threatened and endangered marine species, number of threatened and endangered bird species, spawning and nursery grounds, wintering and breeding grounds for birds, number of bird populations, </w:t>
      </w:r>
      <w:r w:rsidRPr="0088780C">
        <w:rPr>
          <w:rFonts w:eastAsia="MS Mincho"/>
          <w:iCs/>
          <w:snapToGrid w:val="0"/>
          <w:kern w:val="22"/>
          <w:szCs w:val="22"/>
        </w:rPr>
        <w:t>more than 1% of the regional populations of several bird species,</w:t>
      </w:r>
      <w:r w:rsidRPr="0088780C">
        <w:rPr>
          <w:rFonts w:eastAsia="MS Mincho"/>
          <w:snapToGrid w:val="0"/>
          <w:kern w:val="22"/>
          <w:szCs w:val="22"/>
        </w:rPr>
        <w:t xml:space="preserve"> bird diversity and importance for the Caspian Seal (BirdLife International, 2017; Danehkar, 2002; Danehkar &amp; Majnoonian, 2004a; Giesen, 2011; 2010; UNEP-GEF, 2013). The Gorgan Bay and Gomishan Lagoon also have the highest score in terms of sensitivity and significance on a combined list of ecological, social and economic criteria suggested by IUCN and the International Maritime Organization (Danehkar &amp; Majnoonian, 2004a; 2004b; Danehkar, 2002; Razmjooy et al., 2010</w:t>
      </w:r>
      <w:r w:rsidRPr="0088780C">
        <w:rPr>
          <w:snapToGrid w:val="0"/>
          <w:kern w:val="22"/>
          <w:szCs w:val="22"/>
          <w:shd w:val="clear" w:color="auto" w:fill="FFFFFF"/>
        </w:rPr>
        <w:t xml:space="preserve">). </w:t>
      </w:r>
      <w:r w:rsidRPr="0088780C">
        <w:rPr>
          <w:rFonts w:eastAsia="MS Mincho"/>
          <w:iCs/>
          <w:snapToGrid w:val="0"/>
          <w:kern w:val="22"/>
          <w:szCs w:val="22"/>
        </w:rPr>
        <w:t>Miankaleh Peninsula and adjacent Gorgan Bay hold the highest number of wintering waterbirds in Iran (</w:t>
      </w:r>
      <w:r w:rsidRPr="0088780C">
        <w:rPr>
          <w:rFonts w:eastAsia="MS Mincho"/>
          <w:snapToGrid w:val="0"/>
          <w:kern w:val="22"/>
          <w:szCs w:val="22"/>
        </w:rPr>
        <w:t>van Diek</w:t>
      </w:r>
      <w:r w:rsidRPr="0088780C">
        <w:rPr>
          <w:rFonts w:eastAsia="MS Mincho"/>
          <w:iCs/>
          <w:snapToGrid w:val="0"/>
          <w:kern w:val="22"/>
          <w:szCs w:val="22"/>
        </w:rPr>
        <w:t xml:space="preserve"> et al., 2004).</w:t>
      </w:r>
    </w:p>
    <w:p w14:paraId="0266E2C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016BFEA"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Gorgan Bay,</w:t>
      </w:r>
      <w:r w:rsidRPr="0088780C">
        <w:rPr>
          <w:snapToGrid w:val="0"/>
          <w:kern w:val="22"/>
          <w:szCs w:val="22"/>
        </w:rPr>
        <w:t xml:space="preserve"> Miankaleh Peninsula</w:t>
      </w:r>
      <w:r w:rsidRPr="0088780C">
        <w:rPr>
          <w:rFonts w:eastAsia="MS Mincho"/>
          <w:iCs/>
          <w:snapToGrid w:val="0"/>
          <w:kern w:val="22"/>
          <w:szCs w:val="22"/>
        </w:rPr>
        <w:t xml:space="preserve">, </w:t>
      </w:r>
      <w:r w:rsidRPr="0088780C">
        <w:rPr>
          <w:snapToGrid w:val="0"/>
          <w:kern w:val="22"/>
          <w:szCs w:val="22"/>
        </w:rPr>
        <w:t xml:space="preserve">Gomishan Lagoon and Esenguly area are </w:t>
      </w:r>
      <w:r w:rsidRPr="0088780C">
        <w:rPr>
          <w:rFonts w:eastAsia="MS Mincho"/>
          <w:iCs/>
          <w:snapToGrid w:val="0"/>
          <w:kern w:val="22"/>
          <w:szCs w:val="22"/>
        </w:rPr>
        <w:t>the most important foraging grounds and hauling-out sites for the Caspian Seal (</w:t>
      </w:r>
      <w:r w:rsidRPr="0088780C">
        <w:rPr>
          <w:rFonts w:eastAsia="MS Mincho"/>
          <w:i/>
          <w:snapToGrid w:val="0"/>
          <w:kern w:val="22"/>
          <w:szCs w:val="22"/>
        </w:rPr>
        <w:t>Pusa caspica</w:t>
      </w:r>
      <w:r w:rsidRPr="0088780C">
        <w:rPr>
          <w:rFonts w:eastAsia="MS Mincho"/>
          <w:iCs/>
          <w:snapToGrid w:val="0"/>
          <w:kern w:val="22"/>
          <w:szCs w:val="22"/>
        </w:rPr>
        <w:t>) in the south Caspian Sea.</w:t>
      </w:r>
      <w:r w:rsidRPr="0088780C">
        <w:rPr>
          <w:snapToGrid w:val="0"/>
          <w:kern w:val="22"/>
          <w:szCs w:val="22"/>
        </w:rPr>
        <w:t xml:space="preserve"> They are potential candidates for Seal Special Protected Areas (SSPAs) in the south-east Caspian Sea (CEP, 2010). The area is one of the most important feeding and spawning grounds for all five critically endangered species of sturgeon, including </w:t>
      </w:r>
      <w:r w:rsidRPr="0088780C">
        <w:rPr>
          <w:i/>
          <w:iCs/>
          <w:snapToGrid w:val="0"/>
          <w:kern w:val="22"/>
          <w:szCs w:val="22"/>
        </w:rPr>
        <w:t>Acipenser</w:t>
      </w:r>
      <w:r w:rsidRPr="0088780C">
        <w:rPr>
          <w:snapToGrid w:val="0"/>
          <w:kern w:val="22"/>
          <w:szCs w:val="22"/>
        </w:rPr>
        <w:t xml:space="preserve"> </w:t>
      </w:r>
      <w:r w:rsidRPr="0088780C">
        <w:rPr>
          <w:i/>
          <w:iCs/>
          <w:snapToGrid w:val="0"/>
          <w:kern w:val="22"/>
          <w:szCs w:val="22"/>
        </w:rPr>
        <w:t>gueldenstaedtii</w:t>
      </w:r>
      <w:r w:rsidRPr="0088780C">
        <w:rPr>
          <w:snapToGrid w:val="0"/>
          <w:kern w:val="22"/>
          <w:szCs w:val="22"/>
        </w:rPr>
        <w:t xml:space="preserve">, </w:t>
      </w:r>
      <w:r w:rsidRPr="0088780C">
        <w:rPr>
          <w:i/>
          <w:iCs/>
          <w:snapToGrid w:val="0"/>
          <w:kern w:val="22"/>
          <w:szCs w:val="22"/>
        </w:rPr>
        <w:t>A. nudiventris</w:t>
      </w:r>
      <w:r w:rsidRPr="0088780C">
        <w:rPr>
          <w:snapToGrid w:val="0"/>
          <w:kern w:val="22"/>
          <w:szCs w:val="22"/>
        </w:rPr>
        <w:t xml:space="preserve">, </w:t>
      </w:r>
      <w:r w:rsidRPr="0088780C">
        <w:rPr>
          <w:i/>
          <w:iCs/>
          <w:snapToGrid w:val="0"/>
          <w:kern w:val="22"/>
          <w:szCs w:val="22"/>
        </w:rPr>
        <w:t>A. persicus</w:t>
      </w:r>
      <w:r w:rsidRPr="0088780C">
        <w:rPr>
          <w:snapToGrid w:val="0"/>
          <w:kern w:val="22"/>
          <w:szCs w:val="22"/>
        </w:rPr>
        <w:t xml:space="preserve">, </w:t>
      </w:r>
      <w:r w:rsidRPr="0088780C">
        <w:rPr>
          <w:i/>
          <w:iCs/>
          <w:snapToGrid w:val="0"/>
          <w:kern w:val="22"/>
          <w:szCs w:val="22"/>
        </w:rPr>
        <w:t>A. stellatus</w:t>
      </w:r>
      <w:r w:rsidRPr="0088780C">
        <w:rPr>
          <w:snapToGrid w:val="0"/>
          <w:kern w:val="22"/>
          <w:szCs w:val="22"/>
        </w:rPr>
        <w:t xml:space="preserve"> and </w:t>
      </w:r>
      <w:r w:rsidRPr="0088780C">
        <w:rPr>
          <w:i/>
          <w:iCs/>
          <w:snapToGrid w:val="0"/>
          <w:kern w:val="22"/>
          <w:szCs w:val="22"/>
        </w:rPr>
        <w:t>Huso huso</w:t>
      </w:r>
      <w:r w:rsidRPr="0088780C">
        <w:rPr>
          <w:snapToGrid w:val="0"/>
          <w:kern w:val="22"/>
          <w:szCs w:val="22"/>
        </w:rPr>
        <w:t xml:space="preserve"> (Kiabi et al., 1999a; </w:t>
      </w:r>
      <w:r w:rsidRPr="0088780C">
        <w:rPr>
          <w:rFonts w:eastAsia="MS Mincho"/>
          <w:iCs/>
          <w:snapToGrid w:val="0"/>
          <w:kern w:val="22"/>
          <w:szCs w:val="22"/>
        </w:rPr>
        <w:t>UNEP-WCMC, 2010</w:t>
      </w:r>
      <w:r w:rsidRPr="0088780C">
        <w:rPr>
          <w:snapToGrid w:val="0"/>
          <w:kern w:val="22"/>
          <w:szCs w:val="22"/>
        </w:rPr>
        <w:t xml:space="preserve">). </w:t>
      </w:r>
      <w:r w:rsidRPr="0088780C">
        <w:rPr>
          <w:rFonts w:eastAsia="MS Mincho"/>
          <w:iCs/>
          <w:snapToGrid w:val="0"/>
          <w:kern w:val="22"/>
          <w:szCs w:val="22"/>
        </w:rPr>
        <w:t>In the Iranian waters of the Caspian Sea, the south-east area has the highest concentrations of phytoplankton and zooplankton (Rowshan Tabari, 2013).</w:t>
      </w:r>
    </w:p>
    <w:p w14:paraId="43CD42C3"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3486F9A6"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392421BB" w14:textId="3010C8CB"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This area is located in south-eas</w:t>
      </w:r>
      <w:r w:rsidR="00E76DD1" w:rsidRPr="0088780C">
        <w:rPr>
          <w:rFonts w:eastAsia="MS Mincho"/>
          <w:snapToGrid w:val="0"/>
          <w:kern w:val="22"/>
          <w:szCs w:val="22"/>
        </w:rPr>
        <w:t xml:space="preserve">tern corner of the Caspian Sea </w:t>
      </w:r>
      <w:r w:rsidRPr="0088780C">
        <w:rPr>
          <w:rFonts w:eastAsia="MS Mincho"/>
          <w:snapToGrid w:val="0"/>
          <w:kern w:val="22"/>
          <w:szCs w:val="22"/>
        </w:rPr>
        <w:t>and extends from the marine and coastal waters of Ekerem-</w:t>
      </w:r>
      <w:r w:rsidRPr="0088780C">
        <w:rPr>
          <w:rFonts w:eastAsia="MS Mincho"/>
          <w:bCs/>
          <w:snapToGrid w:val="0"/>
          <w:kern w:val="22"/>
          <w:szCs w:val="22"/>
        </w:rPr>
        <w:t xml:space="preserve">Esenguly </w:t>
      </w:r>
      <w:r w:rsidRPr="0088780C">
        <w:rPr>
          <w:rFonts w:eastAsia="MS Mincho"/>
          <w:snapToGrid w:val="0"/>
          <w:kern w:val="22"/>
          <w:szCs w:val="22"/>
        </w:rPr>
        <w:t xml:space="preserve">in Turkmenistan to Gomishan Lagoon, Gorgan Bay, Miankaleh Peninsula and </w:t>
      </w:r>
      <w:r w:rsidRPr="0088780C">
        <w:rPr>
          <w:rFonts w:eastAsia="MS Mincho"/>
          <w:iCs/>
          <w:snapToGrid w:val="0"/>
          <w:kern w:val="22"/>
          <w:szCs w:val="22"/>
        </w:rPr>
        <w:t xml:space="preserve">the Lapoo-Zaghmarz Ab-Bandans in </w:t>
      </w:r>
      <w:r w:rsidR="00E76DD1" w:rsidRPr="0088780C">
        <w:rPr>
          <w:rFonts w:eastAsia="MS Mincho"/>
          <w:iCs/>
          <w:snapToGrid w:val="0"/>
          <w:kern w:val="22"/>
          <w:szCs w:val="22"/>
        </w:rPr>
        <w:t xml:space="preserve">the Islamic Republic of </w:t>
      </w:r>
      <w:r w:rsidRPr="0088780C">
        <w:rPr>
          <w:rFonts w:eastAsia="MS Mincho"/>
          <w:iCs/>
          <w:snapToGrid w:val="0"/>
          <w:kern w:val="22"/>
          <w:szCs w:val="22"/>
        </w:rPr>
        <w:t>Iran.</w:t>
      </w:r>
    </w:p>
    <w:p w14:paraId="3A2EE74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346AD77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01D9FB08"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u w:val="single"/>
        </w:rPr>
      </w:pPr>
      <w:r w:rsidRPr="0088780C">
        <w:rPr>
          <w:rFonts w:eastAsia="MS Mincho"/>
          <w:bCs/>
          <w:snapToGrid w:val="0"/>
          <w:kern w:val="22"/>
          <w:szCs w:val="22"/>
          <w:u w:val="single"/>
        </w:rPr>
        <w:t>Physical description</w:t>
      </w:r>
    </w:p>
    <w:p w14:paraId="228017DB" w14:textId="0EF3EF89"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Gorgan Bay is a shallow, brackish and oligotrophic embayment with a variation of salinity around 13ppt in the warm season and about 15ppt in the cold season (Jamshidi, 2016; Patimar et al., 2008). It is connected to the Caspian Sea through the inlet of Ashouradeh-Bandar Turkman, situated in the north-eastern part of the bay. There are strong currents in the Ashouradeh-Bandar Turkman mouth, which is affected by storm surge and inter-annual water level fluctuations in the Caspian Sea (Ghorbanzadeh Zaferani, 2017). Generally, there is a counter-clockwise flow pattern in the Gorgan Bay in all four seasons. On the northern and southern shores, currents move from west to east along the coast and are affected by dominant winds (Sharbaty, 2011; 2012). The average depth of the bay is 2–2.5 m. The depth increases from west to east of the bay and reaches about 5 m near the connection between Gorgan Bay and the Caspian Sea (Jamshidi, 2016). The bay has a surface area of about 400 km</w:t>
      </w:r>
      <w:r w:rsidRPr="0088780C">
        <w:rPr>
          <w:rFonts w:eastAsia="MS Mincho"/>
          <w:iCs/>
          <w:snapToGrid w:val="0"/>
          <w:kern w:val="22"/>
          <w:szCs w:val="22"/>
          <w:vertAlign w:val="superscript"/>
        </w:rPr>
        <w:t>2</w:t>
      </w:r>
      <w:r w:rsidRPr="0088780C">
        <w:rPr>
          <w:rFonts w:eastAsia="MS Mincho"/>
          <w:iCs/>
          <w:snapToGrid w:val="0"/>
          <w:kern w:val="22"/>
          <w:szCs w:val="22"/>
        </w:rPr>
        <w:t xml:space="preserve"> and is almost separated from the Caspian Sea by the 60 km long sand dune ridge of Miankaleh Peninsula (BirdLife International; Patimar et al., 2008; Scott, 1995; Ramsar Information Sheet; Zonn et al., 2010). Gorgan Bay has a muddy bottom and receives freshwater inflow from nearly 30 small rivers (notably Qarasou River) and a number of streams rising on the humid northern slopes of the Alborz Mountains (Kiabi et al., 1999b; BirdLife International; Carp, 1980; Patimar et al., 2008; Ramsar Convention Bureau 2001; 1997; WCMC, 1990; Zonn et al., 2010). Among them, two rivers affect the bay, including Gorganroud (Gorgan River) in the north of the inlet and Qarasou River in the east</w:t>
      </w:r>
      <w:r w:rsidR="00E76DD1" w:rsidRPr="0088780C">
        <w:rPr>
          <w:rFonts w:eastAsia="MS Mincho"/>
          <w:iCs/>
          <w:snapToGrid w:val="0"/>
          <w:kern w:val="22"/>
          <w:szCs w:val="22"/>
        </w:rPr>
        <w:t>ern</w:t>
      </w:r>
      <w:r w:rsidRPr="0088780C">
        <w:rPr>
          <w:rFonts w:eastAsia="MS Mincho"/>
          <w:iCs/>
          <w:snapToGrid w:val="0"/>
          <w:kern w:val="22"/>
          <w:szCs w:val="22"/>
        </w:rPr>
        <w:t xml:space="preserve"> part of the bay (Ghorbanzadeh Zaferani, 2017). These two rivers drain runoff from residential and agricultural areas into the bay. The narrow inlet of Gorgan Bay (Gorgan Strait) is subjected to shallowing by 8–10 cm every year due to sedimentary buildup from Gorgan Bay (Zonn et al., 2010). There are extensive freshwater marshes and seasonally flooded </w:t>
      </w:r>
      <w:r w:rsidRPr="0088780C">
        <w:rPr>
          <w:rFonts w:eastAsia="MS Mincho"/>
          <w:i/>
          <w:snapToGrid w:val="0"/>
          <w:kern w:val="22"/>
          <w:szCs w:val="22"/>
        </w:rPr>
        <w:t>Tamarix</w:t>
      </w:r>
      <w:r w:rsidRPr="0088780C">
        <w:rPr>
          <w:rFonts w:eastAsia="MS Mincho"/>
          <w:iCs/>
          <w:snapToGrid w:val="0"/>
          <w:kern w:val="22"/>
          <w:szCs w:val="22"/>
        </w:rPr>
        <w:t xml:space="preserve"> woodlands at the west end of the bay and along its south shore, where the freshwater inflow is greatest. The marshes are flooded in autumn and winter with maximum depth of 0.5 metre.</w:t>
      </w:r>
    </w:p>
    <w:p w14:paraId="271FFE03"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11606E38" w14:textId="62F034CD"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The Miankaleh Peninsula is a 60 km narrow low-lying spit stretching eastward as far as the Gorgan Strait and separates Gorgan Bay from the Caspian Sea. The peninsula, which covers nearly 24,200 ha, averages about 2 km in width, with the narrowest point being about 1 km wide and the widest about 4 km. A chain of 50 m-wide sand dunes parallels the Caspian Sea coast. The dunes, which rise to a</w:t>
      </w:r>
      <w:r w:rsidR="00E76DD1" w:rsidRPr="0088780C">
        <w:rPr>
          <w:rFonts w:eastAsia="MS Mincho"/>
          <w:iCs/>
          <w:snapToGrid w:val="0"/>
          <w:kern w:val="22"/>
          <w:szCs w:val="22"/>
        </w:rPr>
        <w:t>bout 4-5 m (and occasionally 15-</w:t>
      </w:r>
      <w:r w:rsidRPr="0088780C">
        <w:rPr>
          <w:rFonts w:eastAsia="MS Mincho"/>
          <w:iCs/>
          <w:snapToGrid w:val="0"/>
          <w:kern w:val="22"/>
          <w:szCs w:val="22"/>
        </w:rPr>
        <w:t>20 m) above the sea level, form the highest points in the area (</w:t>
      </w:r>
      <w:r w:rsidRPr="0088780C">
        <w:rPr>
          <w:rFonts w:eastAsia="MS Mincho"/>
          <w:snapToGrid w:val="0"/>
          <w:kern w:val="22"/>
          <w:szCs w:val="22"/>
        </w:rPr>
        <w:t>Scott, 1995</w:t>
      </w:r>
      <w:r w:rsidRPr="0088780C">
        <w:rPr>
          <w:rFonts w:eastAsia="MS Mincho"/>
          <w:iCs/>
          <w:snapToGrid w:val="0"/>
          <w:kern w:val="22"/>
          <w:szCs w:val="22"/>
        </w:rPr>
        <w:t>). The peninsula is connected to the Ashouradeh Island by the narrow Khozeini channel.</w:t>
      </w:r>
    </w:p>
    <w:p w14:paraId="3B710581"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79ECF150" w14:textId="49B89FE9"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Ashouradeh Island, the largest Iranian island of the Caspian Sea, with its small abandoned fishing village, is located at the eastern tip of the Miankaleh Peninsula almost separated by the narrow Khozeini channel. The Island faces the city of Bandar-e Turkman on the far side of the inlet to the Gorgan Bay. </w:t>
      </w:r>
      <w:r w:rsidR="00E76DD1" w:rsidRPr="0088780C">
        <w:rPr>
          <w:rFonts w:eastAsia="MS Mincho"/>
          <w:iCs/>
          <w:snapToGrid w:val="0"/>
          <w:kern w:val="22"/>
          <w:szCs w:val="22"/>
        </w:rPr>
        <w:t xml:space="preserve">Esmaeilsay Island is the second </w:t>
      </w:r>
      <w:r w:rsidRPr="0088780C">
        <w:rPr>
          <w:rFonts w:eastAsia="MS Mincho"/>
          <w:iCs/>
          <w:snapToGrid w:val="0"/>
          <w:kern w:val="22"/>
          <w:szCs w:val="22"/>
        </w:rPr>
        <w:t>largest Iranian Island and is located in the western end of Gorgan Bay.</w:t>
      </w:r>
    </w:p>
    <w:p w14:paraId="11F286E5"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202DCA59"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The Lapoo-Zaghmarz Ab-Bandans are two long, narrow constructed freshwater lagoons (reservoirs) with extensive fringing reedbeds located at the landward end of Miankaleh Peninsula, about 10 km west of Gorgan Bay and about 18-20 m below sea level. They are fed by irrigation ditches and local run-off, which drain east into the Gorgan Bay marshes (Carp 1980; Scott, 1995).</w:t>
      </w:r>
    </w:p>
    <w:p w14:paraId="17B872EE"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1A1DC996"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The Gomishan area consists of a chain of narrow, brackish coastal lagoons behind the Caspian Sea coast, stretching from the transboundary estuary of Atrek (Atrak) River from the Turkmenistan border to the current estuary of Gorgan River (Gorganroud), with an area of nearly 20,000 ha (</w:t>
      </w:r>
      <w:r w:rsidRPr="0088780C">
        <w:rPr>
          <w:rFonts w:eastAsia="MS Mincho"/>
          <w:snapToGrid w:val="0"/>
          <w:kern w:val="22"/>
          <w:szCs w:val="22"/>
        </w:rPr>
        <w:t xml:space="preserve">Behrouzi-Rad and Ghaeimi, 2015; </w:t>
      </w:r>
      <w:r w:rsidRPr="0088780C">
        <w:rPr>
          <w:snapToGrid w:val="0"/>
          <w:kern w:val="22"/>
          <w:szCs w:val="22"/>
          <w:shd w:val="clear" w:color="auto" w:fill="FFFFFF"/>
        </w:rPr>
        <w:t xml:space="preserve">Gandomi et al., 2011; </w:t>
      </w:r>
      <w:r w:rsidRPr="0088780C">
        <w:rPr>
          <w:rFonts w:eastAsia="MS Mincho"/>
          <w:iCs/>
          <w:snapToGrid w:val="0"/>
          <w:kern w:val="22"/>
          <w:szCs w:val="22"/>
        </w:rPr>
        <w:t xml:space="preserve">Ramsar Convention Bureau 2001; 1997). </w:t>
      </w:r>
      <w:r w:rsidRPr="0088780C">
        <w:rPr>
          <w:snapToGrid w:val="0"/>
          <w:kern w:val="22"/>
          <w:szCs w:val="22"/>
        </w:rPr>
        <w:t>Gomishan Lagoon is bounded by low coastal dunes with typical sand-dune vegetation from the Caspian Sea on the west side and extends onto the short-grass plains of the Turkoman Steppes on the east side. The s</w:t>
      </w:r>
      <w:r w:rsidRPr="0088780C">
        <w:rPr>
          <w:rFonts w:eastAsia="MS Mincho"/>
          <w:iCs/>
          <w:snapToGrid w:val="0"/>
          <w:kern w:val="22"/>
          <w:szCs w:val="22"/>
        </w:rPr>
        <w:t>ea-lagoon connection is through a number of inlets. The Gomishan Lagoon consists of lowlands with fine silty to highly adhesive carbonated clay sand sediments. The depth of the lagoon is variable and depends on fluctuations in Caspian Sea water level. Despite this variation, Gomishan Lagoon is about 1m depth in most locations except the north-west region, which may reach 2.5 m in depth (</w:t>
      </w:r>
      <w:r w:rsidRPr="0088780C">
        <w:rPr>
          <w:snapToGrid w:val="0"/>
          <w:kern w:val="22"/>
          <w:szCs w:val="22"/>
          <w:shd w:val="clear" w:color="auto" w:fill="FFFFFF"/>
        </w:rPr>
        <w:t>Gandomi et al., 2011</w:t>
      </w:r>
      <w:r w:rsidRPr="0088780C">
        <w:rPr>
          <w:rFonts w:eastAsia="MS Mincho"/>
          <w:iCs/>
          <w:snapToGrid w:val="0"/>
          <w:kern w:val="22"/>
          <w:szCs w:val="22"/>
        </w:rPr>
        <w:t xml:space="preserve">). The salinity ranges from 11 to 15ppt in Gomishan Lagoon (Naddafi et al., 2005). </w:t>
      </w:r>
      <w:r w:rsidRPr="0088780C">
        <w:rPr>
          <w:rFonts w:eastAsia="MS Mincho"/>
          <w:snapToGrid w:val="0"/>
          <w:kern w:val="22"/>
          <w:szCs w:val="22"/>
        </w:rPr>
        <w:t>The lagoon receives water from a catchment consisting of two river basins. The</w:t>
      </w:r>
      <w:r w:rsidRPr="0088780C">
        <w:rPr>
          <w:rFonts w:eastAsia="MS Mincho"/>
          <w:iCs/>
          <w:snapToGrid w:val="0"/>
          <w:kern w:val="22"/>
          <w:szCs w:val="22"/>
        </w:rPr>
        <w:t xml:space="preserve"> Atrek</w:t>
      </w:r>
      <w:r w:rsidRPr="0088780C">
        <w:rPr>
          <w:rFonts w:eastAsia="MS Mincho"/>
          <w:snapToGrid w:val="0"/>
          <w:kern w:val="22"/>
          <w:szCs w:val="22"/>
        </w:rPr>
        <w:t xml:space="preserve"> (Atrak) River enters the wetland in the northern part, in Turkmenistan. The </w:t>
      </w:r>
      <w:r w:rsidRPr="0088780C">
        <w:rPr>
          <w:rFonts w:eastAsia="MS Mincho"/>
          <w:iCs/>
          <w:snapToGrid w:val="0"/>
          <w:kern w:val="22"/>
          <w:szCs w:val="22"/>
        </w:rPr>
        <w:t>Gorganroud (</w:t>
      </w:r>
      <w:r w:rsidRPr="0088780C">
        <w:rPr>
          <w:rFonts w:eastAsia="MS Mincho"/>
          <w:snapToGrid w:val="0"/>
          <w:kern w:val="22"/>
          <w:szCs w:val="22"/>
        </w:rPr>
        <w:t>Gorgan River) enters the Caspian Sea at the southern end of the lagoon (Behrouzi-Rad &amp; Ghaeimi, 2015).</w:t>
      </w:r>
    </w:p>
    <w:p w14:paraId="03CB5105"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29EFD1E8" w14:textId="627F1681"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Turkmenistan side of the area includes the extension of Gomishan Lagoon in the country of Turkmenistan and also an extensive pristine coastline of Esenguli (formerly Gasan-Kuli) plain stretching from the transboundary estuary of Atrek (Atrak) River to 80 km north along the Caspian Sea between </w:t>
      </w:r>
      <w:r w:rsidRPr="0088780C">
        <w:rPr>
          <w:rFonts w:eastAsia="MS Mincho"/>
          <w:bCs/>
          <w:snapToGrid w:val="0"/>
          <w:kern w:val="22"/>
          <w:szCs w:val="22"/>
        </w:rPr>
        <w:t xml:space="preserve">Esenguly and Okarem (Zonn et al., 2010; </w:t>
      </w:r>
      <w:r w:rsidRPr="0088780C">
        <w:rPr>
          <w:rFonts w:eastAsia="MS Mincho"/>
          <w:snapToGrid w:val="0"/>
          <w:kern w:val="22"/>
          <w:szCs w:val="22"/>
        </w:rPr>
        <w:t>Zonn &amp; Kostianoy, 2013)</w:t>
      </w:r>
      <w:r w:rsidRPr="0088780C">
        <w:rPr>
          <w:rFonts w:eastAsia="MS Mincho"/>
          <w:iCs/>
          <w:snapToGrid w:val="0"/>
          <w:kern w:val="22"/>
          <w:szCs w:val="22"/>
        </w:rPr>
        <w:t xml:space="preserve">. This area is the recent surface of the deltaic plain of the Atrek (Atrak) River. The </w:t>
      </w:r>
      <w:r w:rsidRPr="0088780C">
        <w:rPr>
          <w:rFonts w:eastAsia="MS Mincho"/>
          <w:bCs/>
          <w:snapToGrid w:val="0"/>
          <w:kern w:val="22"/>
          <w:szCs w:val="22"/>
        </w:rPr>
        <w:t>Esenguly</w:t>
      </w:r>
      <w:r w:rsidRPr="0088780C">
        <w:rPr>
          <w:rFonts w:eastAsia="MS Mincho"/>
          <w:iCs/>
          <w:snapToGrid w:val="0"/>
          <w:kern w:val="22"/>
          <w:szCs w:val="22"/>
        </w:rPr>
        <w:t xml:space="preserve"> area is a low-lying stretch of coast consisting of a 50 to 100 m-wide sandy strip with hilly ridges of fixed sand and saltmarsh inland. The shoreline of the Caspian Sea between the settlement of Ekerem and the settlement of Esenguly is located in the zone of dry subtropics with hot dry summer and humid mild winter. The average temperature is +17.1°C while the maximum is +48°C and the minimum is -16°C. Average temperature of January is +4.3°C. Precipitation may reach 200 mm per annum on average and occurs mainly from November to April. Cloudy days are quite frequent (up to 74 days). The maximal number of non-freezing days is 296. The shore is a dense layer of sand layer up to 100 m wide. Like the entire shore of the </w:t>
      </w:r>
      <w:r w:rsidR="00953367" w:rsidRPr="0088780C">
        <w:rPr>
          <w:rFonts w:eastAsia="MS Mincho"/>
          <w:iCs/>
          <w:snapToGrid w:val="0"/>
          <w:kern w:val="22"/>
          <w:szCs w:val="22"/>
        </w:rPr>
        <w:t>south-east</w:t>
      </w:r>
      <w:r w:rsidRPr="0088780C">
        <w:rPr>
          <w:rFonts w:eastAsia="MS Mincho"/>
          <w:iCs/>
          <w:snapToGrid w:val="0"/>
          <w:kern w:val="22"/>
          <w:szCs w:val="22"/>
        </w:rPr>
        <w:t>ern Caspian Sea starting from the shore, there are str</w:t>
      </w:r>
      <w:r w:rsidR="00E76DD1" w:rsidRPr="0088780C">
        <w:rPr>
          <w:rFonts w:eastAsia="MS Mincho"/>
          <w:iCs/>
          <w:snapToGrid w:val="0"/>
          <w:kern w:val="22"/>
          <w:szCs w:val="22"/>
        </w:rPr>
        <w:t xml:space="preserve">ips differing by substrate and </w:t>
      </w:r>
      <w:r w:rsidRPr="0088780C">
        <w:rPr>
          <w:rFonts w:eastAsia="MS Mincho"/>
          <w:iCs/>
          <w:snapToGrid w:val="0"/>
          <w:kern w:val="22"/>
          <w:szCs w:val="22"/>
        </w:rPr>
        <w:t>diversity of plant species: wet saline lands covered by incoming sea waves; saline shell sands; semi-saline and wind-cleaned shell sands; fixed plain areas with some sand spits. Changes in micro landscape as a result of sea-level fluctuations are reflected in dynamics of its substrate and vegetation.</w:t>
      </w:r>
    </w:p>
    <w:p w14:paraId="705487BF"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75E89BC0" w14:textId="2E0D3A5B"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Gorganroud (Gorgan River) is the major river on the </w:t>
      </w:r>
      <w:r w:rsidR="00953367" w:rsidRPr="0088780C">
        <w:rPr>
          <w:rFonts w:eastAsia="MS Mincho"/>
          <w:iCs/>
          <w:snapToGrid w:val="0"/>
          <w:kern w:val="22"/>
          <w:szCs w:val="22"/>
        </w:rPr>
        <w:t>south-east</w:t>
      </w:r>
      <w:r w:rsidRPr="0088780C">
        <w:rPr>
          <w:rFonts w:eastAsia="MS Mincho"/>
          <w:iCs/>
          <w:snapToGrid w:val="0"/>
          <w:kern w:val="22"/>
          <w:szCs w:val="22"/>
        </w:rPr>
        <w:t>ern shore of the Caspian Sea, with a mean discharge of 11 m</w:t>
      </w:r>
      <w:r w:rsidRPr="0088780C">
        <w:rPr>
          <w:rFonts w:eastAsia="MS Mincho"/>
          <w:iCs/>
          <w:snapToGrid w:val="0"/>
          <w:kern w:val="22"/>
          <w:szCs w:val="22"/>
          <w:vertAlign w:val="superscript"/>
        </w:rPr>
        <w:t>3</w:t>
      </w:r>
      <w:r w:rsidRPr="0088780C">
        <w:rPr>
          <w:rFonts w:eastAsia="MS Mincho"/>
          <w:iCs/>
          <w:snapToGrid w:val="0"/>
          <w:kern w:val="22"/>
          <w:szCs w:val="22"/>
        </w:rPr>
        <w:t>/s (Zonn et al., 2010). At present, the Gorganroud delta is 20 km</w:t>
      </w:r>
      <w:r w:rsidRPr="0088780C">
        <w:rPr>
          <w:rFonts w:eastAsia="MS Mincho"/>
          <w:iCs/>
          <w:snapToGrid w:val="0"/>
          <w:kern w:val="22"/>
          <w:szCs w:val="22"/>
          <w:vertAlign w:val="superscript"/>
        </w:rPr>
        <w:t>2</w:t>
      </w:r>
      <w:r w:rsidRPr="0088780C">
        <w:rPr>
          <w:rFonts w:eastAsia="MS Mincho"/>
          <w:iCs/>
          <w:snapToGrid w:val="0"/>
          <w:kern w:val="22"/>
          <w:szCs w:val="22"/>
        </w:rPr>
        <w:t xml:space="preserve"> in area and surges out into the sea to a distance of 2 km. The mean annual runoff of the river equals 0.49 km</w:t>
      </w:r>
      <w:r w:rsidRPr="0088780C">
        <w:rPr>
          <w:rFonts w:eastAsia="MS Mincho"/>
          <w:iCs/>
          <w:snapToGrid w:val="0"/>
          <w:kern w:val="22"/>
          <w:szCs w:val="22"/>
          <w:vertAlign w:val="superscript"/>
        </w:rPr>
        <w:t>3</w:t>
      </w:r>
      <w:r w:rsidRPr="0088780C">
        <w:rPr>
          <w:rFonts w:eastAsia="MS Mincho"/>
          <w:iCs/>
          <w:snapToGrid w:val="0"/>
          <w:kern w:val="22"/>
          <w:szCs w:val="22"/>
        </w:rPr>
        <w:t>, and the suspended load runoff is 3.1 million tonnes. The water turbidity is rather high due to its clay-aleurite banks, and the bed is easily washed out. The river mouth offshore is rather shallow; the 10-m isobath passes at a distance of 15 km from the shore, and the underwater shore slope gradient to the depth of 10 m equals 0.007 (Zonn et al., 2010).</w:t>
      </w:r>
    </w:p>
    <w:p w14:paraId="77AC0E35"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1EA9F207"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The Atrek (Atrak) River flows along the border between Turkmenistan and Iran into the Caspian Sea. The Atrek waters reach the Caspian Sea only in spring during floods (March–May). The Atrek River flows over the area composed of loose, mostly sandy and clay soils, which determines high water turbidity – 25 kg/m</w:t>
      </w:r>
      <w:r w:rsidRPr="0088780C">
        <w:rPr>
          <w:rFonts w:eastAsia="MS Mincho"/>
          <w:iCs/>
          <w:snapToGrid w:val="0"/>
          <w:kern w:val="22"/>
          <w:szCs w:val="22"/>
          <w:vertAlign w:val="superscript"/>
        </w:rPr>
        <w:t>3</w:t>
      </w:r>
      <w:r w:rsidRPr="0088780C">
        <w:rPr>
          <w:rFonts w:eastAsia="MS Mincho"/>
          <w:iCs/>
          <w:snapToGrid w:val="0"/>
          <w:kern w:val="22"/>
          <w:szCs w:val="22"/>
        </w:rPr>
        <w:t xml:space="preserve"> on average (six times higher than turbidity of the Amu Darya), while its maximum may be more than 170 kg/m</w:t>
      </w:r>
      <w:r w:rsidRPr="0088780C">
        <w:rPr>
          <w:rFonts w:eastAsia="MS Mincho"/>
          <w:iCs/>
          <w:snapToGrid w:val="0"/>
          <w:kern w:val="22"/>
          <w:szCs w:val="22"/>
          <w:vertAlign w:val="superscript"/>
        </w:rPr>
        <w:t>3</w:t>
      </w:r>
      <w:r w:rsidRPr="0088780C">
        <w:rPr>
          <w:rFonts w:eastAsia="MS Mincho"/>
          <w:iCs/>
          <w:snapToGrid w:val="0"/>
          <w:kern w:val="22"/>
          <w:szCs w:val="22"/>
        </w:rPr>
        <w:t xml:space="preserve"> (Zonn et al., 2010). This is the most turbid river in Central Asia, and its average annual debit is 10.4 m</w:t>
      </w:r>
      <w:r w:rsidRPr="0088780C">
        <w:rPr>
          <w:rFonts w:eastAsia="MS Mincho"/>
          <w:iCs/>
          <w:snapToGrid w:val="0"/>
          <w:kern w:val="22"/>
          <w:szCs w:val="22"/>
          <w:vertAlign w:val="superscript"/>
        </w:rPr>
        <w:t>3</w:t>
      </w:r>
      <w:r w:rsidRPr="0088780C">
        <w:rPr>
          <w:rFonts w:eastAsia="MS Mincho"/>
          <w:iCs/>
          <w:snapToGrid w:val="0"/>
          <w:kern w:val="22"/>
          <w:szCs w:val="22"/>
        </w:rPr>
        <w:t>/sec (Fet &amp; Atamuradov, 2012).</w:t>
      </w:r>
    </w:p>
    <w:p w14:paraId="78B6CA3C"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17795BE2" w14:textId="4C846E3A" w:rsidR="00A876F3" w:rsidRPr="0088780C" w:rsidRDefault="00A876F3" w:rsidP="001013AF">
      <w:pPr>
        <w:suppressLineNumbers/>
        <w:suppressAutoHyphens/>
        <w:kinsoku w:val="0"/>
        <w:overflowPunct w:val="0"/>
        <w:autoSpaceDE w:val="0"/>
        <w:autoSpaceDN w:val="0"/>
        <w:rPr>
          <w:rFonts w:eastAsia="MS Mincho"/>
          <w:iCs/>
          <w:snapToGrid w:val="0"/>
          <w:kern w:val="22"/>
          <w:szCs w:val="22"/>
          <w:u w:val="single"/>
        </w:rPr>
      </w:pPr>
      <w:r w:rsidRPr="0088780C">
        <w:rPr>
          <w:rFonts w:eastAsia="MS Mincho"/>
          <w:iCs/>
          <w:snapToGrid w:val="0"/>
          <w:kern w:val="22"/>
          <w:szCs w:val="22"/>
          <w:u w:val="single"/>
        </w:rPr>
        <w:t xml:space="preserve">Biological </w:t>
      </w:r>
      <w:r w:rsidR="00AA35AB" w:rsidRPr="0088780C">
        <w:rPr>
          <w:rFonts w:eastAsia="MS Mincho"/>
          <w:iCs/>
          <w:snapToGrid w:val="0"/>
          <w:kern w:val="22"/>
          <w:szCs w:val="22"/>
          <w:u w:val="single"/>
        </w:rPr>
        <w:t>c</w:t>
      </w:r>
      <w:r w:rsidRPr="0088780C">
        <w:rPr>
          <w:rFonts w:eastAsia="MS Mincho"/>
          <w:iCs/>
          <w:snapToGrid w:val="0"/>
          <w:kern w:val="22"/>
          <w:szCs w:val="22"/>
          <w:u w:val="single"/>
        </w:rPr>
        <w:t>ommunities</w:t>
      </w:r>
    </w:p>
    <w:p w14:paraId="25C698C9" w14:textId="13163522" w:rsidR="00A876F3" w:rsidRPr="0088780C" w:rsidRDefault="00A876F3" w:rsidP="001013AF">
      <w:pPr>
        <w:suppressLineNumbers/>
        <w:suppressAutoHyphens/>
        <w:kinsoku w:val="0"/>
        <w:overflowPunct w:val="0"/>
        <w:autoSpaceDE w:val="0"/>
        <w:autoSpaceDN w:val="0"/>
        <w:rPr>
          <w:rFonts w:eastAsia="MS Mincho"/>
          <w:iCs/>
          <w:snapToGrid w:val="0"/>
          <w:spacing w:val="-2"/>
          <w:kern w:val="22"/>
          <w:szCs w:val="22"/>
        </w:rPr>
      </w:pPr>
      <w:r w:rsidRPr="0088780C">
        <w:rPr>
          <w:rFonts w:eastAsia="MS Mincho"/>
          <w:bCs/>
          <w:snapToGrid w:val="0"/>
          <w:spacing w:val="-2"/>
          <w:kern w:val="22"/>
          <w:szCs w:val="22"/>
        </w:rPr>
        <w:t xml:space="preserve">The Esenguly area covers the </w:t>
      </w:r>
      <w:r w:rsidR="00D8482D" w:rsidRPr="0088780C">
        <w:rPr>
          <w:rFonts w:eastAsia="MS Mincho"/>
          <w:bCs/>
          <w:snapToGrid w:val="0"/>
          <w:spacing w:val="-2"/>
          <w:kern w:val="22"/>
          <w:szCs w:val="22"/>
        </w:rPr>
        <w:t>“</w:t>
      </w:r>
      <w:r w:rsidRPr="0088780C">
        <w:rPr>
          <w:rFonts w:eastAsia="MS Mincho"/>
          <w:iCs/>
          <w:snapToGrid w:val="0"/>
          <w:spacing w:val="-2"/>
          <w:kern w:val="22"/>
          <w:szCs w:val="22"/>
        </w:rPr>
        <w:t>Esenguly section</w:t>
      </w:r>
      <w:r w:rsidR="00D8482D" w:rsidRPr="0088780C">
        <w:rPr>
          <w:rFonts w:eastAsia="MS Mincho"/>
          <w:iCs/>
          <w:snapToGrid w:val="0"/>
          <w:spacing w:val="-2"/>
          <w:kern w:val="22"/>
          <w:szCs w:val="22"/>
        </w:rPr>
        <w:t>”</w:t>
      </w:r>
      <w:r w:rsidRPr="0088780C">
        <w:rPr>
          <w:rFonts w:eastAsia="MS Mincho"/>
          <w:iCs/>
          <w:snapToGrid w:val="0"/>
          <w:spacing w:val="-2"/>
          <w:kern w:val="22"/>
          <w:szCs w:val="22"/>
        </w:rPr>
        <w:t xml:space="preserve"> of Hazar State Nature Reserve and includes two Important Bird and Biodiversity Areas (IBAs): Ekerem-Esenguly and Garadashly-Ekerem. Hazar State Nature Reserve has also been on Turkmenistan’s national tentative list of sites to enter the UNESCO World Heritage List since 2009 (</w:t>
      </w:r>
      <w:r w:rsidRPr="0088780C">
        <w:rPr>
          <w:rFonts w:eastAsia="MS Mincho"/>
          <w:snapToGrid w:val="0"/>
          <w:spacing w:val="-2"/>
          <w:kern w:val="22"/>
          <w:szCs w:val="22"/>
        </w:rPr>
        <w:t>Zonn &amp; Kostianoy, 2013)</w:t>
      </w:r>
      <w:r w:rsidRPr="0088780C">
        <w:rPr>
          <w:rFonts w:eastAsia="MS Mincho"/>
          <w:iCs/>
          <w:snapToGrid w:val="0"/>
          <w:spacing w:val="-2"/>
          <w:kern w:val="22"/>
          <w:szCs w:val="22"/>
        </w:rPr>
        <w:t xml:space="preserve">. The </w:t>
      </w:r>
      <w:r w:rsidRPr="0088780C">
        <w:rPr>
          <w:rFonts w:eastAsia="MS Mincho"/>
          <w:bCs/>
          <w:snapToGrid w:val="0"/>
          <w:spacing w:val="-2"/>
          <w:kern w:val="22"/>
          <w:szCs w:val="22"/>
        </w:rPr>
        <w:t xml:space="preserve">Esenguly </w:t>
      </w:r>
      <w:r w:rsidRPr="0088780C">
        <w:rPr>
          <w:rFonts w:eastAsia="MS Mincho"/>
          <w:iCs/>
          <w:snapToGrid w:val="0"/>
          <w:spacing w:val="-2"/>
          <w:kern w:val="22"/>
          <w:szCs w:val="22"/>
        </w:rPr>
        <w:t>area has intra-zonal vegetation in the floodplain and Atrek dry delta. The Atrek floodplain and some coastal areas are overgrown with sedge, cane and cattail thickets, which form a 3-4 m high wall surrounding the water bodies (Zonn et al., 2010).</w:t>
      </w:r>
    </w:p>
    <w:p w14:paraId="4EE02CE3"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0926E074"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Warm winters, non-freezing sea, and abundant food attract a great number of birds during winter. The lower reaches of the Atrek River and the nearby shores of the Caspian Sea are one of the most important waterfowl wintering and feeding areas in Turkmenistan (Rustamov, 1994). This area is located on a major waterfowl migration route along the east coast of the Caspian Sea and holds winter accumulations of international importance. The avifauna includes at least 280 species, of which 240 (86%) are passing wintering birds, including 120 (43%) of which are waterbirds (BirdLife International; Zonn et al., 2010). These represent 46% and 23% of the total avifauna of Central Asia, respectively. Passeriformes are the most common (96 species), followed by Haematopodidae (45), Anseriformes (28), Falconiformes (27) and Laridae (16). Most typical, only on migration, are coots and ducks (e.g., </w:t>
      </w:r>
      <w:r w:rsidRPr="0088780C">
        <w:rPr>
          <w:rFonts w:eastAsia="MS Mincho"/>
          <w:i/>
          <w:snapToGrid w:val="0"/>
          <w:kern w:val="22"/>
          <w:szCs w:val="22"/>
        </w:rPr>
        <w:t>Netta</w:t>
      </w:r>
      <w:r w:rsidRPr="0088780C">
        <w:rPr>
          <w:rFonts w:eastAsia="MS Mincho"/>
          <w:iCs/>
          <w:snapToGrid w:val="0"/>
          <w:kern w:val="22"/>
          <w:szCs w:val="22"/>
        </w:rPr>
        <w:t xml:space="preserve"> </w:t>
      </w:r>
      <w:r w:rsidRPr="0088780C">
        <w:rPr>
          <w:rFonts w:eastAsia="MS Mincho"/>
          <w:i/>
          <w:snapToGrid w:val="0"/>
          <w:kern w:val="22"/>
          <w:szCs w:val="22"/>
        </w:rPr>
        <w:t>rufina</w:t>
      </w:r>
      <w:r w:rsidRPr="0088780C">
        <w:rPr>
          <w:rFonts w:eastAsia="MS Mincho"/>
          <w:iCs/>
          <w:snapToGrid w:val="0"/>
          <w:kern w:val="22"/>
          <w:szCs w:val="22"/>
        </w:rPr>
        <w:t xml:space="preserve">, </w:t>
      </w:r>
      <w:r w:rsidRPr="0088780C">
        <w:rPr>
          <w:rFonts w:eastAsia="MS Mincho"/>
          <w:i/>
          <w:snapToGrid w:val="0"/>
          <w:kern w:val="22"/>
          <w:szCs w:val="22"/>
        </w:rPr>
        <w:t>Aythya</w:t>
      </w:r>
      <w:r w:rsidRPr="0088780C">
        <w:rPr>
          <w:rFonts w:eastAsia="MS Mincho"/>
          <w:iCs/>
          <w:snapToGrid w:val="0"/>
          <w:kern w:val="22"/>
          <w:szCs w:val="22"/>
        </w:rPr>
        <w:t xml:space="preserve"> </w:t>
      </w:r>
      <w:r w:rsidRPr="0088780C">
        <w:rPr>
          <w:rFonts w:eastAsia="MS Mincho"/>
          <w:i/>
          <w:snapToGrid w:val="0"/>
          <w:kern w:val="22"/>
          <w:szCs w:val="22"/>
        </w:rPr>
        <w:t>ferina</w:t>
      </w:r>
      <w:r w:rsidRPr="0088780C">
        <w:rPr>
          <w:rFonts w:eastAsia="MS Mincho"/>
          <w:iCs/>
          <w:snapToGrid w:val="0"/>
          <w:kern w:val="22"/>
          <w:szCs w:val="22"/>
        </w:rPr>
        <w:t xml:space="preserve">, </w:t>
      </w:r>
      <w:r w:rsidRPr="0088780C">
        <w:rPr>
          <w:rFonts w:eastAsia="MS Mincho"/>
          <w:i/>
          <w:snapToGrid w:val="0"/>
          <w:kern w:val="22"/>
          <w:szCs w:val="22"/>
        </w:rPr>
        <w:t>Anas</w:t>
      </w:r>
      <w:r w:rsidRPr="0088780C">
        <w:rPr>
          <w:rFonts w:eastAsia="MS Mincho"/>
          <w:iCs/>
          <w:snapToGrid w:val="0"/>
          <w:kern w:val="22"/>
          <w:szCs w:val="22"/>
        </w:rPr>
        <w:t xml:space="preserve"> </w:t>
      </w:r>
      <w:r w:rsidRPr="0088780C">
        <w:rPr>
          <w:rFonts w:eastAsia="MS Mincho"/>
          <w:i/>
          <w:snapToGrid w:val="0"/>
          <w:kern w:val="22"/>
          <w:szCs w:val="22"/>
        </w:rPr>
        <w:t>platyrhynchos</w:t>
      </w:r>
      <w:r w:rsidRPr="0088780C">
        <w:rPr>
          <w:rFonts w:eastAsia="MS Mincho"/>
          <w:iCs/>
          <w:snapToGrid w:val="0"/>
          <w:kern w:val="22"/>
          <w:szCs w:val="22"/>
        </w:rPr>
        <w:t xml:space="preserve">, </w:t>
      </w:r>
      <w:r w:rsidRPr="0088780C">
        <w:rPr>
          <w:rFonts w:eastAsia="MS Mincho"/>
          <w:i/>
          <w:snapToGrid w:val="0"/>
          <w:kern w:val="22"/>
          <w:szCs w:val="22"/>
        </w:rPr>
        <w:t>Aythya</w:t>
      </w:r>
      <w:r w:rsidRPr="0088780C">
        <w:rPr>
          <w:rFonts w:eastAsia="MS Mincho"/>
          <w:iCs/>
          <w:snapToGrid w:val="0"/>
          <w:kern w:val="22"/>
          <w:szCs w:val="22"/>
        </w:rPr>
        <w:t xml:space="preserve"> </w:t>
      </w:r>
      <w:r w:rsidRPr="0088780C">
        <w:rPr>
          <w:rFonts w:eastAsia="MS Mincho"/>
          <w:i/>
          <w:snapToGrid w:val="0"/>
          <w:kern w:val="22"/>
          <w:szCs w:val="22"/>
        </w:rPr>
        <w:t>fuligula</w:t>
      </w:r>
      <w:r w:rsidRPr="0088780C">
        <w:rPr>
          <w:rFonts w:eastAsia="MS Mincho"/>
          <w:iCs/>
          <w:snapToGrid w:val="0"/>
          <w:kern w:val="22"/>
          <w:szCs w:val="22"/>
        </w:rPr>
        <w:t xml:space="preserve">, </w:t>
      </w:r>
      <w:r w:rsidRPr="0088780C">
        <w:rPr>
          <w:rFonts w:eastAsia="MS Mincho"/>
          <w:i/>
          <w:snapToGrid w:val="0"/>
          <w:kern w:val="22"/>
          <w:szCs w:val="22"/>
        </w:rPr>
        <w:t>Aythya</w:t>
      </w:r>
      <w:r w:rsidRPr="0088780C">
        <w:rPr>
          <w:rFonts w:eastAsia="MS Mincho"/>
          <w:iCs/>
          <w:snapToGrid w:val="0"/>
          <w:kern w:val="22"/>
          <w:szCs w:val="22"/>
        </w:rPr>
        <w:t xml:space="preserve"> </w:t>
      </w:r>
      <w:r w:rsidRPr="0088780C">
        <w:rPr>
          <w:rFonts w:eastAsia="MS Mincho"/>
          <w:i/>
          <w:snapToGrid w:val="0"/>
          <w:kern w:val="22"/>
          <w:szCs w:val="22"/>
        </w:rPr>
        <w:t>marila</w:t>
      </w:r>
      <w:r w:rsidRPr="0088780C">
        <w:rPr>
          <w:rFonts w:eastAsia="MS Mincho"/>
          <w:iCs/>
          <w:snapToGrid w:val="0"/>
          <w:kern w:val="22"/>
          <w:szCs w:val="22"/>
        </w:rPr>
        <w:t xml:space="preserve">, </w:t>
      </w:r>
      <w:r w:rsidRPr="0088780C">
        <w:rPr>
          <w:rFonts w:eastAsia="MS Mincho"/>
          <w:i/>
          <w:snapToGrid w:val="0"/>
          <w:kern w:val="22"/>
          <w:szCs w:val="22"/>
        </w:rPr>
        <w:t>Anas</w:t>
      </w:r>
      <w:r w:rsidRPr="0088780C">
        <w:rPr>
          <w:rFonts w:eastAsia="MS Mincho"/>
          <w:iCs/>
          <w:snapToGrid w:val="0"/>
          <w:kern w:val="22"/>
          <w:szCs w:val="22"/>
        </w:rPr>
        <w:t xml:space="preserve"> </w:t>
      </w:r>
      <w:r w:rsidRPr="0088780C">
        <w:rPr>
          <w:rFonts w:eastAsia="MS Mincho"/>
          <w:i/>
          <w:snapToGrid w:val="0"/>
          <w:kern w:val="22"/>
          <w:szCs w:val="22"/>
        </w:rPr>
        <w:t>penelope</w:t>
      </w:r>
      <w:r w:rsidRPr="0088780C">
        <w:rPr>
          <w:rFonts w:eastAsia="MS Mincho"/>
          <w:iCs/>
          <w:snapToGrid w:val="0"/>
          <w:kern w:val="22"/>
          <w:szCs w:val="22"/>
        </w:rPr>
        <w:t xml:space="preserve">), plus waders, gulls and terns. In spring, there is a high turnover rate of birds, with migration lasting from the middle of March to the end of April. In autumn, the migration shows several peaks and extends from the end of August to the beginning and middle of November (BirdLife International 2017a). The following species, listed in the Red Data Book of Turkmenistan (1999), have been recorded in this area: </w:t>
      </w:r>
      <w:r w:rsidRPr="0088780C">
        <w:rPr>
          <w:rFonts w:eastAsia="MS Mincho"/>
          <w:i/>
          <w:snapToGrid w:val="0"/>
          <w:kern w:val="22"/>
          <w:szCs w:val="22"/>
        </w:rPr>
        <w:t>Platalea</w:t>
      </w:r>
      <w:r w:rsidRPr="0088780C">
        <w:rPr>
          <w:rFonts w:eastAsia="MS Mincho"/>
          <w:iCs/>
          <w:snapToGrid w:val="0"/>
          <w:kern w:val="22"/>
          <w:szCs w:val="22"/>
        </w:rPr>
        <w:t xml:space="preserve"> </w:t>
      </w:r>
      <w:r w:rsidRPr="0088780C">
        <w:rPr>
          <w:rFonts w:eastAsia="MS Mincho"/>
          <w:i/>
          <w:snapToGrid w:val="0"/>
          <w:kern w:val="22"/>
          <w:szCs w:val="22"/>
        </w:rPr>
        <w:t>leucorodia</w:t>
      </w:r>
      <w:r w:rsidRPr="0088780C">
        <w:rPr>
          <w:rFonts w:eastAsia="MS Mincho"/>
          <w:iCs/>
          <w:snapToGrid w:val="0"/>
          <w:kern w:val="22"/>
          <w:szCs w:val="22"/>
        </w:rPr>
        <w:t xml:space="preserve">, </w:t>
      </w:r>
      <w:r w:rsidRPr="0088780C">
        <w:rPr>
          <w:rFonts w:eastAsia="MS Mincho"/>
          <w:i/>
          <w:snapToGrid w:val="0"/>
          <w:kern w:val="22"/>
          <w:szCs w:val="22"/>
        </w:rPr>
        <w:t>Phoenicopterus</w:t>
      </w:r>
      <w:r w:rsidRPr="0088780C">
        <w:rPr>
          <w:rFonts w:eastAsia="MS Mincho"/>
          <w:iCs/>
          <w:snapToGrid w:val="0"/>
          <w:kern w:val="22"/>
          <w:szCs w:val="22"/>
        </w:rPr>
        <w:t xml:space="preserve"> </w:t>
      </w:r>
      <w:r w:rsidRPr="0088780C">
        <w:rPr>
          <w:rFonts w:eastAsia="MS Mincho"/>
          <w:i/>
          <w:snapToGrid w:val="0"/>
          <w:kern w:val="22"/>
          <w:szCs w:val="22"/>
        </w:rPr>
        <w:t>ruber</w:t>
      </w:r>
      <w:r w:rsidRPr="0088780C">
        <w:rPr>
          <w:rFonts w:eastAsia="MS Mincho"/>
          <w:iCs/>
          <w:snapToGrid w:val="0"/>
          <w:kern w:val="22"/>
          <w:szCs w:val="22"/>
        </w:rPr>
        <w:t xml:space="preserve">, </w:t>
      </w:r>
      <w:r w:rsidRPr="0088780C">
        <w:rPr>
          <w:rFonts w:eastAsia="MS Mincho"/>
          <w:i/>
          <w:snapToGrid w:val="0"/>
          <w:kern w:val="22"/>
          <w:szCs w:val="22"/>
        </w:rPr>
        <w:t>Anthropoides</w:t>
      </w:r>
      <w:r w:rsidRPr="0088780C">
        <w:rPr>
          <w:rFonts w:eastAsia="MS Mincho"/>
          <w:iCs/>
          <w:snapToGrid w:val="0"/>
          <w:kern w:val="22"/>
          <w:szCs w:val="22"/>
        </w:rPr>
        <w:t xml:space="preserve"> </w:t>
      </w:r>
      <w:r w:rsidRPr="0088780C">
        <w:rPr>
          <w:rFonts w:eastAsia="MS Mincho"/>
          <w:i/>
          <w:snapToGrid w:val="0"/>
          <w:kern w:val="22"/>
          <w:szCs w:val="22"/>
        </w:rPr>
        <w:t>virgo</w:t>
      </w:r>
      <w:r w:rsidRPr="0088780C">
        <w:rPr>
          <w:rFonts w:eastAsia="MS Mincho"/>
          <w:iCs/>
          <w:snapToGrid w:val="0"/>
          <w:kern w:val="22"/>
          <w:szCs w:val="22"/>
        </w:rPr>
        <w:t xml:space="preserve">, </w:t>
      </w:r>
      <w:r w:rsidRPr="0088780C">
        <w:rPr>
          <w:rFonts w:eastAsia="MS Mincho"/>
          <w:i/>
          <w:snapToGrid w:val="0"/>
          <w:kern w:val="22"/>
          <w:szCs w:val="22"/>
        </w:rPr>
        <w:t>Buteo</w:t>
      </w:r>
      <w:r w:rsidRPr="0088780C">
        <w:rPr>
          <w:rFonts w:eastAsia="MS Mincho"/>
          <w:iCs/>
          <w:snapToGrid w:val="0"/>
          <w:kern w:val="22"/>
          <w:szCs w:val="22"/>
        </w:rPr>
        <w:t xml:space="preserve"> </w:t>
      </w:r>
      <w:r w:rsidRPr="0088780C">
        <w:rPr>
          <w:rFonts w:eastAsia="MS Mincho"/>
          <w:i/>
          <w:snapToGrid w:val="0"/>
          <w:kern w:val="22"/>
          <w:szCs w:val="22"/>
        </w:rPr>
        <w:t>buteo</w:t>
      </w:r>
      <w:r w:rsidRPr="0088780C">
        <w:rPr>
          <w:rFonts w:eastAsia="MS Mincho"/>
          <w:iCs/>
          <w:snapToGrid w:val="0"/>
          <w:kern w:val="22"/>
          <w:szCs w:val="22"/>
        </w:rPr>
        <w:t xml:space="preserve">, </w:t>
      </w:r>
      <w:r w:rsidRPr="0088780C">
        <w:rPr>
          <w:rFonts w:eastAsia="MS Mincho"/>
          <w:i/>
          <w:snapToGrid w:val="0"/>
          <w:kern w:val="22"/>
          <w:szCs w:val="22"/>
        </w:rPr>
        <w:t>Pandion</w:t>
      </w:r>
      <w:r w:rsidRPr="0088780C">
        <w:rPr>
          <w:rFonts w:eastAsia="MS Mincho"/>
          <w:iCs/>
          <w:snapToGrid w:val="0"/>
          <w:kern w:val="22"/>
          <w:szCs w:val="22"/>
        </w:rPr>
        <w:t xml:space="preserve"> </w:t>
      </w:r>
      <w:r w:rsidRPr="0088780C">
        <w:rPr>
          <w:rFonts w:eastAsia="MS Mincho"/>
          <w:i/>
          <w:snapToGrid w:val="0"/>
          <w:kern w:val="22"/>
          <w:szCs w:val="22"/>
        </w:rPr>
        <w:t>haliaetus</w:t>
      </w:r>
      <w:r w:rsidRPr="0088780C">
        <w:rPr>
          <w:rFonts w:eastAsia="MS Mincho"/>
          <w:iCs/>
          <w:snapToGrid w:val="0"/>
          <w:kern w:val="22"/>
          <w:szCs w:val="22"/>
        </w:rPr>
        <w:t xml:space="preserve">, </w:t>
      </w:r>
      <w:r w:rsidRPr="0088780C">
        <w:rPr>
          <w:rFonts w:eastAsia="MS Mincho"/>
          <w:i/>
          <w:snapToGrid w:val="0"/>
          <w:kern w:val="22"/>
          <w:szCs w:val="22"/>
        </w:rPr>
        <w:t>Haliaeetus</w:t>
      </w:r>
      <w:r w:rsidRPr="0088780C">
        <w:rPr>
          <w:rFonts w:eastAsia="MS Mincho"/>
          <w:iCs/>
          <w:snapToGrid w:val="0"/>
          <w:kern w:val="22"/>
          <w:szCs w:val="22"/>
        </w:rPr>
        <w:t xml:space="preserve"> </w:t>
      </w:r>
      <w:r w:rsidRPr="0088780C">
        <w:rPr>
          <w:rFonts w:eastAsia="MS Mincho"/>
          <w:i/>
          <w:snapToGrid w:val="0"/>
          <w:kern w:val="22"/>
          <w:szCs w:val="22"/>
        </w:rPr>
        <w:t>leucoryphus</w:t>
      </w:r>
      <w:r w:rsidRPr="0088780C">
        <w:rPr>
          <w:rFonts w:eastAsia="MS Mincho"/>
          <w:iCs/>
          <w:snapToGrid w:val="0"/>
          <w:kern w:val="22"/>
          <w:szCs w:val="22"/>
        </w:rPr>
        <w:t xml:space="preserve">, </w:t>
      </w:r>
      <w:r w:rsidRPr="0088780C">
        <w:rPr>
          <w:rFonts w:eastAsia="MS Mincho"/>
          <w:i/>
          <w:snapToGrid w:val="0"/>
          <w:kern w:val="22"/>
          <w:szCs w:val="22"/>
        </w:rPr>
        <w:t>Falco</w:t>
      </w:r>
      <w:r w:rsidRPr="0088780C">
        <w:rPr>
          <w:rFonts w:eastAsia="MS Mincho"/>
          <w:iCs/>
          <w:snapToGrid w:val="0"/>
          <w:kern w:val="22"/>
          <w:szCs w:val="22"/>
        </w:rPr>
        <w:t xml:space="preserve"> </w:t>
      </w:r>
      <w:r w:rsidRPr="0088780C">
        <w:rPr>
          <w:rFonts w:eastAsia="MS Mincho"/>
          <w:i/>
          <w:snapToGrid w:val="0"/>
          <w:kern w:val="22"/>
          <w:szCs w:val="22"/>
        </w:rPr>
        <w:t>peregrinus</w:t>
      </w:r>
      <w:r w:rsidRPr="0088780C">
        <w:rPr>
          <w:rFonts w:eastAsia="MS Mincho"/>
          <w:iCs/>
          <w:snapToGrid w:val="0"/>
          <w:kern w:val="22"/>
          <w:szCs w:val="22"/>
        </w:rPr>
        <w:t xml:space="preserve">, </w:t>
      </w:r>
      <w:r w:rsidRPr="0088780C">
        <w:rPr>
          <w:rFonts w:eastAsia="MS Mincho"/>
          <w:i/>
          <w:snapToGrid w:val="0"/>
          <w:kern w:val="22"/>
          <w:szCs w:val="22"/>
        </w:rPr>
        <w:t>Circaetus</w:t>
      </w:r>
      <w:r w:rsidRPr="0088780C">
        <w:rPr>
          <w:rFonts w:eastAsia="MS Mincho"/>
          <w:iCs/>
          <w:snapToGrid w:val="0"/>
          <w:kern w:val="22"/>
          <w:szCs w:val="22"/>
        </w:rPr>
        <w:t xml:space="preserve"> </w:t>
      </w:r>
      <w:r w:rsidRPr="0088780C">
        <w:rPr>
          <w:rFonts w:eastAsia="MS Mincho"/>
          <w:i/>
          <w:snapToGrid w:val="0"/>
          <w:kern w:val="22"/>
          <w:szCs w:val="22"/>
        </w:rPr>
        <w:t>gallicus</w:t>
      </w:r>
      <w:r w:rsidRPr="0088780C">
        <w:rPr>
          <w:rFonts w:eastAsia="MS Mincho"/>
          <w:iCs/>
          <w:snapToGrid w:val="0"/>
          <w:kern w:val="22"/>
          <w:szCs w:val="22"/>
        </w:rPr>
        <w:t xml:space="preserve">, </w:t>
      </w:r>
      <w:r w:rsidRPr="0088780C">
        <w:rPr>
          <w:rFonts w:eastAsia="MS Mincho"/>
          <w:i/>
          <w:snapToGrid w:val="0"/>
          <w:kern w:val="22"/>
          <w:szCs w:val="22"/>
        </w:rPr>
        <w:t>Burhinus</w:t>
      </w:r>
      <w:r w:rsidRPr="0088780C">
        <w:rPr>
          <w:rFonts w:eastAsia="MS Mincho"/>
          <w:iCs/>
          <w:snapToGrid w:val="0"/>
          <w:kern w:val="22"/>
          <w:szCs w:val="22"/>
        </w:rPr>
        <w:t xml:space="preserve"> </w:t>
      </w:r>
      <w:r w:rsidRPr="0088780C">
        <w:rPr>
          <w:rFonts w:eastAsia="MS Mincho"/>
          <w:i/>
          <w:snapToGrid w:val="0"/>
          <w:kern w:val="22"/>
          <w:szCs w:val="22"/>
        </w:rPr>
        <w:t>oedicnemus</w:t>
      </w:r>
      <w:r w:rsidRPr="0088780C">
        <w:rPr>
          <w:rFonts w:eastAsia="MS Mincho"/>
          <w:iCs/>
          <w:snapToGrid w:val="0"/>
          <w:kern w:val="22"/>
          <w:szCs w:val="22"/>
        </w:rPr>
        <w:t xml:space="preserve">, and also the non-migratory </w:t>
      </w:r>
      <w:r w:rsidRPr="0088780C">
        <w:rPr>
          <w:rFonts w:eastAsia="MS Mincho"/>
          <w:i/>
          <w:snapToGrid w:val="0"/>
          <w:kern w:val="22"/>
          <w:szCs w:val="22"/>
        </w:rPr>
        <w:t>Aquila</w:t>
      </w:r>
      <w:r w:rsidRPr="0088780C">
        <w:rPr>
          <w:rFonts w:eastAsia="MS Mincho"/>
          <w:iCs/>
          <w:snapToGrid w:val="0"/>
          <w:kern w:val="22"/>
          <w:szCs w:val="22"/>
        </w:rPr>
        <w:t xml:space="preserve"> </w:t>
      </w:r>
      <w:r w:rsidRPr="0088780C">
        <w:rPr>
          <w:rFonts w:eastAsia="MS Mincho"/>
          <w:i/>
          <w:snapToGrid w:val="0"/>
          <w:kern w:val="22"/>
          <w:szCs w:val="22"/>
        </w:rPr>
        <w:t>chrysaetos</w:t>
      </w:r>
      <w:r w:rsidRPr="0088780C">
        <w:rPr>
          <w:rFonts w:eastAsia="MS Mincho"/>
          <w:iCs/>
          <w:snapToGrid w:val="0"/>
          <w:kern w:val="22"/>
          <w:szCs w:val="22"/>
        </w:rPr>
        <w:t xml:space="preserve">, </w:t>
      </w:r>
      <w:r w:rsidRPr="0088780C">
        <w:rPr>
          <w:rFonts w:eastAsia="MS Mincho"/>
          <w:i/>
          <w:snapToGrid w:val="0"/>
          <w:kern w:val="22"/>
          <w:szCs w:val="22"/>
        </w:rPr>
        <w:t>Falco</w:t>
      </w:r>
      <w:r w:rsidRPr="0088780C">
        <w:rPr>
          <w:rFonts w:eastAsia="MS Mincho"/>
          <w:iCs/>
          <w:snapToGrid w:val="0"/>
          <w:kern w:val="22"/>
          <w:szCs w:val="22"/>
        </w:rPr>
        <w:t xml:space="preserve"> </w:t>
      </w:r>
      <w:r w:rsidRPr="0088780C">
        <w:rPr>
          <w:rFonts w:eastAsia="MS Mincho"/>
          <w:i/>
          <w:snapToGrid w:val="0"/>
          <w:kern w:val="22"/>
          <w:szCs w:val="22"/>
        </w:rPr>
        <w:t>cherrug</w:t>
      </w:r>
      <w:r w:rsidRPr="0088780C">
        <w:rPr>
          <w:rFonts w:eastAsia="MS Mincho"/>
          <w:iCs/>
          <w:snapToGrid w:val="0"/>
          <w:kern w:val="22"/>
          <w:szCs w:val="22"/>
        </w:rPr>
        <w:t xml:space="preserve"> and </w:t>
      </w:r>
      <w:r w:rsidRPr="0088780C">
        <w:rPr>
          <w:rFonts w:eastAsia="MS Mincho"/>
          <w:i/>
          <w:snapToGrid w:val="0"/>
          <w:kern w:val="22"/>
          <w:szCs w:val="22"/>
        </w:rPr>
        <w:t>Bubo</w:t>
      </w:r>
      <w:r w:rsidRPr="0088780C">
        <w:rPr>
          <w:rFonts w:eastAsia="MS Mincho"/>
          <w:iCs/>
          <w:snapToGrid w:val="0"/>
          <w:kern w:val="22"/>
          <w:szCs w:val="22"/>
        </w:rPr>
        <w:t xml:space="preserve"> </w:t>
      </w:r>
      <w:r w:rsidRPr="0088780C">
        <w:rPr>
          <w:rFonts w:eastAsia="MS Mincho"/>
          <w:i/>
          <w:snapToGrid w:val="0"/>
          <w:kern w:val="22"/>
          <w:szCs w:val="22"/>
        </w:rPr>
        <w:t>bubo</w:t>
      </w:r>
      <w:r w:rsidRPr="0088780C">
        <w:rPr>
          <w:rFonts w:eastAsia="MS Mincho"/>
          <w:iCs/>
          <w:snapToGrid w:val="0"/>
          <w:kern w:val="22"/>
          <w:szCs w:val="22"/>
        </w:rPr>
        <w:t xml:space="preserve">. The globally threatened </w:t>
      </w:r>
      <w:r w:rsidRPr="0088780C">
        <w:rPr>
          <w:rFonts w:eastAsia="MS Mincho"/>
          <w:i/>
          <w:snapToGrid w:val="0"/>
          <w:kern w:val="22"/>
          <w:szCs w:val="22"/>
        </w:rPr>
        <w:t>Vanellus</w:t>
      </w:r>
      <w:r w:rsidRPr="0088780C">
        <w:rPr>
          <w:rFonts w:eastAsia="MS Mincho"/>
          <w:iCs/>
          <w:snapToGrid w:val="0"/>
          <w:kern w:val="22"/>
          <w:szCs w:val="22"/>
        </w:rPr>
        <w:t xml:space="preserve"> </w:t>
      </w:r>
      <w:r w:rsidRPr="0088780C">
        <w:rPr>
          <w:rFonts w:eastAsia="MS Mincho"/>
          <w:i/>
          <w:snapToGrid w:val="0"/>
          <w:kern w:val="22"/>
          <w:szCs w:val="22"/>
        </w:rPr>
        <w:t>gregarius</w:t>
      </w:r>
      <w:r w:rsidRPr="0088780C">
        <w:rPr>
          <w:rFonts w:eastAsia="MS Mincho"/>
          <w:iCs/>
          <w:snapToGrid w:val="0"/>
          <w:kern w:val="22"/>
          <w:szCs w:val="22"/>
        </w:rPr>
        <w:t xml:space="preserve"> (critically endangered) and </w:t>
      </w:r>
      <w:r w:rsidRPr="0088780C">
        <w:rPr>
          <w:rFonts w:eastAsia="MS Mincho"/>
          <w:i/>
          <w:snapToGrid w:val="0"/>
          <w:kern w:val="22"/>
          <w:szCs w:val="22"/>
        </w:rPr>
        <w:t>Aquila</w:t>
      </w:r>
      <w:r w:rsidRPr="0088780C">
        <w:rPr>
          <w:rFonts w:eastAsia="MS Mincho"/>
          <w:iCs/>
          <w:snapToGrid w:val="0"/>
          <w:kern w:val="22"/>
          <w:szCs w:val="22"/>
        </w:rPr>
        <w:t xml:space="preserve"> </w:t>
      </w:r>
      <w:r w:rsidRPr="0088780C">
        <w:rPr>
          <w:rFonts w:eastAsia="MS Mincho"/>
          <w:i/>
          <w:snapToGrid w:val="0"/>
          <w:kern w:val="22"/>
          <w:szCs w:val="22"/>
        </w:rPr>
        <w:t>heliaca</w:t>
      </w:r>
      <w:r w:rsidRPr="0088780C">
        <w:rPr>
          <w:rFonts w:eastAsia="MS Mincho"/>
          <w:iCs/>
          <w:snapToGrid w:val="0"/>
          <w:kern w:val="22"/>
          <w:szCs w:val="22"/>
        </w:rPr>
        <w:t xml:space="preserve"> (vulnerable) have also been recorded in this area. </w:t>
      </w:r>
      <w:r w:rsidRPr="0088780C">
        <w:rPr>
          <w:snapToGrid w:val="0"/>
          <w:kern w:val="22"/>
          <w:szCs w:val="22"/>
        </w:rPr>
        <w:t xml:space="preserve">The Esenguly area is one of the potential candidates for Seal Special Protected Areas (SSPAs) in Turkmenistan in the category of </w:t>
      </w:r>
      <w:r w:rsidRPr="0088780C">
        <w:rPr>
          <w:i/>
          <w:iCs/>
          <w:snapToGrid w:val="0"/>
          <w:kern w:val="22"/>
          <w:szCs w:val="22"/>
        </w:rPr>
        <w:t>area or access corridor –for resting (haul-out) sites throughout the year</w:t>
      </w:r>
      <w:r w:rsidRPr="0088780C">
        <w:rPr>
          <w:snapToGrid w:val="0"/>
          <w:kern w:val="22"/>
          <w:szCs w:val="22"/>
        </w:rPr>
        <w:t xml:space="preserve"> (</w:t>
      </w:r>
      <w:r w:rsidRPr="0088780C">
        <w:rPr>
          <w:rFonts w:eastAsia="MS Mincho"/>
          <w:snapToGrid w:val="0"/>
          <w:kern w:val="22"/>
          <w:szCs w:val="22"/>
        </w:rPr>
        <w:t xml:space="preserve">CaspEco, 201; </w:t>
      </w:r>
      <w:r w:rsidRPr="0088780C">
        <w:rPr>
          <w:snapToGrid w:val="0"/>
          <w:kern w:val="22"/>
          <w:szCs w:val="22"/>
        </w:rPr>
        <w:t xml:space="preserve">CEP, 2010; </w:t>
      </w:r>
      <w:r w:rsidRPr="0088780C">
        <w:rPr>
          <w:snapToGrid w:val="0"/>
          <w:kern w:val="22"/>
          <w:szCs w:val="22"/>
          <w:shd w:val="clear" w:color="auto" w:fill="FFFFFF"/>
        </w:rPr>
        <w:t>Goodman &amp; Dmitrieva, 2016; Wilson &amp; Goodman, 2012)</w:t>
      </w:r>
      <w:r w:rsidRPr="0088780C">
        <w:rPr>
          <w:snapToGrid w:val="0"/>
          <w:kern w:val="22"/>
          <w:szCs w:val="22"/>
        </w:rPr>
        <w:t>. Up to 24 Caspian seals were reported in April 2007 and 1–5 seals in June–August 2007 in Esenguly area (CEP, 2010).</w:t>
      </w:r>
    </w:p>
    <w:p w14:paraId="337D696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D417526" w14:textId="56011DAF"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Gorgan Bay and Miankaleh Peninsula together occupy an area of about 97,200 ha. An area of 68,000 ha is a wildlife refuge, Ramsar site and UNESCO Biosphere Reserve. This area is considered the most important area of the Iranian Caspian Sea based on several specific criteria, including: naturalness, uniqueness, habitat connectivity (lower fragmentation), habitat diversity, number of threatened and endangered marine species, number of threatened and endangered bird species, spawning and nursery grounds, wintering and breeding grounds for birds, number of bird populations, </w:t>
      </w:r>
      <w:r w:rsidRPr="0088780C">
        <w:rPr>
          <w:rFonts w:eastAsia="MS Mincho"/>
          <w:iCs/>
          <w:snapToGrid w:val="0"/>
          <w:kern w:val="22"/>
          <w:szCs w:val="22"/>
        </w:rPr>
        <w:t>more than 1% of the regional populations of bird species,</w:t>
      </w:r>
      <w:r w:rsidRPr="0088780C">
        <w:rPr>
          <w:rFonts w:eastAsia="MS Mincho"/>
          <w:snapToGrid w:val="0"/>
          <w:kern w:val="22"/>
          <w:szCs w:val="22"/>
        </w:rPr>
        <w:t xml:space="preserve"> bird diversity and importance for the Caspian Seal (BirdLife International, 2017; Danehkar, 2002; Danehkar &amp; Majnoonian, 2004a; Giesen, 2011; 2010; Razmjooy et al., 2010; UNEP-GEF, 2013).</w:t>
      </w:r>
    </w:p>
    <w:p w14:paraId="03381FC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B26E6CA" w14:textId="6AB52032"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The vegetation fringing Gorgan Bay is predominantly glasswort (</w:t>
      </w:r>
      <w:r w:rsidRPr="0088780C">
        <w:rPr>
          <w:rFonts w:eastAsia="MS Mincho"/>
          <w:i/>
          <w:snapToGrid w:val="0"/>
          <w:kern w:val="22"/>
          <w:szCs w:val="22"/>
        </w:rPr>
        <w:t>Salicornia</w:t>
      </w:r>
      <w:r w:rsidRPr="0088780C">
        <w:rPr>
          <w:rFonts w:eastAsia="MS Mincho"/>
          <w:iCs/>
          <w:snapToGrid w:val="0"/>
          <w:kern w:val="22"/>
          <w:szCs w:val="22"/>
        </w:rPr>
        <w:t xml:space="preserve"> sp.), sedges (</w:t>
      </w:r>
      <w:r w:rsidRPr="0088780C">
        <w:rPr>
          <w:rFonts w:eastAsia="MS Mincho"/>
          <w:i/>
          <w:snapToGrid w:val="0"/>
          <w:kern w:val="22"/>
          <w:szCs w:val="22"/>
        </w:rPr>
        <w:t>Carex</w:t>
      </w:r>
      <w:r w:rsidRPr="0088780C">
        <w:rPr>
          <w:rFonts w:eastAsia="MS Mincho"/>
          <w:iCs/>
          <w:snapToGrid w:val="0"/>
          <w:kern w:val="22"/>
          <w:szCs w:val="22"/>
        </w:rPr>
        <w:t xml:space="preserve"> spp.) and rush (</w:t>
      </w:r>
      <w:r w:rsidRPr="0088780C">
        <w:rPr>
          <w:rFonts w:eastAsia="MS Mincho"/>
          <w:i/>
          <w:snapToGrid w:val="0"/>
          <w:kern w:val="22"/>
          <w:szCs w:val="22"/>
        </w:rPr>
        <w:t>Juncus</w:t>
      </w:r>
      <w:r w:rsidRPr="0088780C">
        <w:rPr>
          <w:rFonts w:eastAsia="MS Mincho"/>
          <w:iCs/>
          <w:snapToGrid w:val="0"/>
          <w:kern w:val="22"/>
          <w:szCs w:val="22"/>
        </w:rPr>
        <w:t xml:space="preserve"> sp.) with some small reedbeds of </w:t>
      </w:r>
      <w:r w:rsidRPr="0088780C">
        <w:rPr>
          <w:rFonts w:eastAsia="MS Mincho"/>
          <w:i/>
          <w:snapToGrid w:val="0"/>
          <w:kern w:val="22"/>
          <w:szCs w:val="22"/>
        </w:rPr>
        <w:t xml:space="preserve">Phragmites </w:t>
      </w:r>
      <w:r w:rsidRPr="0088780C">
        <w:rPr>
          <w:rFonts w:eastAsia="MS Mincho"/>
          <w:iCs/>
          <w:snapToGrid w:val="0"/>
          <w:kern w:val="22"/>
          <w:szCs w:val="22"/>
        </w:rPr>
        <w:t xml:space="preserve">and </w:t>
      </w:r>
      <w:r w:rsidRPr="0088780C">
        <w:rPr>
          <w:rFonts w:eastAsia="MS Mincho"/>
          <w:i/>
          <w:snapToGrid w:val="0"/>
          <w:kern w:val="22"/>
          <w:szCs w:val="22"/>
        </w:rPr>
        <w:t>Tamarix</w:t>
      </w:r>
      <w:r w:rsidRPr="0088780C">
        <w:rPr>
          <w:rFonts w:eastAsia="MS Mincho"/>
          <w:iCs/>
          <w:snapToGrid w:val="0"/>
          <w:kern w:val="22"/>
          <w:szCs w:val="22"/>
        </w:rPr>
        <w:t xml:space="preserve"> sp. (Carp, 1980)</w:t>
      </w:r>
      <w:r w:rsidR="00AA35AB" w:rsidRPr="0088780C">
        <w:rPr>
          <w:rFonts w:eastAsia="MS Mincho"/>
          <w:iCs/>
          <w:snapToGrid w:val="0"/>
          <w:kern w:val="22"/>
          <w:szCs w:val="22"/>
        </w:rPr>
        <w:t>.</w:t>
      </w:r>
      <w:r w:rsidRPr="0088780C">
        <w:rPr>
          <w:rFonts w:eastAsia="MS Mincho"/>
          <w:iCs/>
          <w:snapToGrid w:val="0"/>
          <w:kern w:val="22"/>
          <w:szCs w:val="22"/>
        </w:rPr>
        <w:t xml:space="preserve"> There is a strip of vegetated sand dune along Miankaleh Peninsula (Ramsar Convention Bureau 1997). The</w:t>
      </w:r>
      <w:r w:rsidRPr="0088780C">
        <w:rPr>
          <w:snapToGrid w:val="0"/>
          <w:kern w:val="22"/>
          <w:szCs w:val="22"/>
        </w:rPr>
        <w:t xml:space="preserve"> </w:t>
      </w:r>
      <w:r w:rsidRPr="0088780C">
        <w:rPr>
          <w:rFonts w:eastAsia="MS Mincho"/>
          <w:iCs/>
          <w:snapToGrid w:val="0"/>
          <w:kern w:val="22"/>
          <w:szCs w:val="22"/>
        </w:rPr>
        <w:t>beaked tasselweed (</w:t>
      </w:r>
      <w:r w:rsidRPr="0088780C">
        <w:rPr>
          <w:rFonts w:eastAsia="MS Mincho"/>
          <w:i/>
          <w:snapToGrid w:val="0"/>
          <w:kern w:val="22"/>
          <w:szCs w:val="22"/>
        </w:rPr>
        <w:t>Ruppia</w:t>
      </w:r>
      <w:r w:rsidRPr="0088780C">
        <w:rPr>
          <w:rFonts w:eastAsia="MS Mincho"/>
          <w:iCs/>
          <w:snapToGrid w:val="0"/>
          <w:kern w:val="22"/>
          <w:szCs w:val="22"/>
        </w:rPr>
        <w:t xml:space="preserve"> </w:t>
      </w:r>
      <w:r w:rsidRPr="0088780C">
        <w:rPr>
          <w:rFonts w:eastAsia="MS Mincho"/>
          <w:i/>
          <w:snapToGrid w:val="0"/>
          <w:kern w:val="22"/>
          <w:szCs w:val="22"/>
        </w:rPr>
        <w:t>maritima</w:t>
      </w:r>
      <w:r w:rsidRPr="0088780C">
        <w:rPr>
          <w:rFonts w:eastAsia="MS Mincho"/>
          <w:iCs/>
          <w:snapToGrid w:val="0"/>
          <w:kern w:val="22"/>
          <w:szCs w:val="22"/>
        </w:rPr>
        <w:t>) also dominates the eastern and shallow parts of the bay (Ghorbanzadeh Zaferani, 2017).</w:t>
      </w:r>
    </w:p>
    <w:p w14:paraId="3E70854A"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7DB6314F" w14:textId="551A62E3"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Miankaleh Peninsula/Gorgan Bay-Gomishan Lagoon holds the highest number of wintering waterbirds in </w:t>
      </w:r>
      <w:r w:rsidR="00C37D7C" w:rsidRPr="0088780C">
        <w:rPr>
          <w:rFonts w:eastAsia="MS Mincho"/>
          <w:iCs/>
          <w:snapToGrid w:val="0"/>
          <w:kern w:val="22"/>
          <w:szCs w:val="22"/>
        </w:rPr>
        <w:t xml:space="preserve">the Islamic Republic of </w:t>
      </w:r>
      <w:r w:rsidRPr="0088780C">
        <w:rPr>
          <w:rFonts w:eastAsia="MS Mincho"/>
          <w:iCs/>
          <w:snapToGrid w:val="0"/>
          <w:kern w:val="22"/>
          <w:szCs w:val="22"/>
        </w:rPr>
        <w:t xml:space="preserve">Iran (Amini &amp; Willems, 2008; </w:t>
      </w:r>
      <w:r w:rsidRPr="0088780C">
        <w:rPr>
          <w:rFonts w:eastAsia="MS Mincho"/>
          <w:snapToGrid w:val="0"/>
          <w:kern w:val="22"/>
          <w:szCs w:val="22"/>
        </w:rPr>
        <w:t>van Diek</w:t>
      </w:r>
      <w:r w:rsidRPr="0088780C">
        <w:rPr>
          <w:rFonts w:eastAsia="MS Mincho"/>
          <w:iCs/>
          <w:snapToGrid w:val="0"/>
          <w:kern w:val="22"/>
          <w:szCs w:val="22"/>
        </w:rPr>
        <w:t xml:space="preserve"> et al., 2004).</w:t>
      </w:r>
    </w:p>
    <w:p w14:paraId="518EA433"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683E2625" w14:textId="452F34BA"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At the Esenguly section, the following threatened species of birds pass through and wintering: </w:t>
      </w:r>
      <w:r w:rsidRPr="0088780C">
        <w:rPr>
          <w:i/>
          <w:snapToGrid w:val="0"/>
          <w:kern w:val="22"/>
          <w:szCs w:val="22"/>
        </w:rPr>
        <w:t>Aythya nyroca</w:t>
      </w:r>
      <w:r w:rsidRPr="0088780C">
        <w:rPr>
          <w:snapToGrid w:val="0"/>
          <w:kern w:val="22"/>
          <w:szCs w:val="22"/>
        </w:rPr>
        <w:t xml:space="preserve">, </w:t>
      </w:r>
      <w:r w:rsidRPr="0088780C">
        <w:rPr>
          <w:i/>
          <w:snapToGrid w:val="0"/>
          <w:kern w:val="22"/>
          <w:szCs w:val="22"/>
        </w:rPr>
        <w:t>Marmaronetta angustirostris</w:t>
      </w:r>
      <w:r w:rsidRPr="0088780C">
        <w:rPr>
          <w:snapToGrid w:val="0"/>
          <w:kern w:val="22"/>
          <w:szCs w:val="22"/>
        </w:rPr>
        <w:t xml:space="preserve"> and </w:t>
      </w:r>
      <w:r w:rsidRPr="0088780C">
        <w:rPr>
          <w:i/>
          <w:snapToGrid w:val="0"/>
          <w:kern w:val="22"/>
          <w:szCs w:val="22"/>
        </w:rPr>
        <w:t>Oxyura leucocephala</w:t>
      </w:r>
      <w:r w:rsidRPr="0088780C">
        <w:rPr>
          <w:snapToGrid w:val="0"/>
          <w:kern w:val="22"/>
          <w:szCs w:val="22"/>
        </w:rPr>
        <w:t xml:space="preserve">. The concentrations of wintering water birds average  more than 40 000, comprising mainly </w:t>
      </w:r>
      <w:r w:rsidRPr="0088780C">
        <w:rPr>
          <w:i/>
          <w:snapToGrid w:val="0"/>
          <w:kern w:val="22"/>
          <w:szCs w:val="22"/>
        </w:rPr>
        <w:t>Aythya fuligula</w:t>
      </w:r>
      <w:r w:rsidRPr="0088780C">
        <w:rPr>
          <w:snapToGrid w:val="0"/>
          <w:kern w:val="22"/>
          <w:szCs w:val="22"/>
        </w:rPr>
        <w:t xml:space="preserve"> (up to 20000) and </w:t>
      </w:r>
      <w:r w:rsidRPr="0088780C">
        <w:rPr>
          <w:i/>
          <w:snapToGrid w:val="0"/>
          <w:kern w:val="22"/>
          <w:szCs w:val="22"/>
        </w:rPr>
        <w:t>Fulica atra</w:t>
      </w:r>
      <w:r w:rsidRPr="0088780C">
        <w:rPr>
          <w:snapToGrid w:val="0"/>
          <w:kern w:val="22"/>
          <w:szCs w:val="22"/>
        </w:rPr>
        <w:t xml:space="preserve"> (more than 20000), but also including </w:t>
      </w:r>
      <w:r w:rsidRPr="0088780C">
        <w:rPr>
          <w:i/>
          <w:snapToGrid w:val="0"/>
          <w:kern w:val="22"/>
          <w:szCs w:val="22"/>
        </w:rPr>
        <w:t>Anas platyrhynchos</w:t>
      </w:r>
      <w:r w:rsidRPr="0088780C">
        <w:rPr>
          <w:snapToGrid w:val="0"/>
          <w:kern w:val="22"/>
          <w:szCs w:val="22"/>
        </w:rPr>
        <w:t xml:space="preserve">, </w:t>
      </w:r>
      <w:r w:rsidRPr="0088780C">
        <w:rPr>
          <w:i/>
          <w:snapToGrid w:val="0"/>
          <w:kern w:val="22"/>
          <w:szCs w:val="22"/>
        </w:rPr>
        <w:t>Netta rufina</w:t>
      </w:r>
      <w:r w:rsidRPr="0088780C">
        <w:rPr>
          <w:snapToGrid w:val="0"/>
          <w:kern w:val="22"/>
          <w:szCs w:val="22"/>
        </w:rPr>
        <w:t xml:space="preserve"> and </w:t>
      </w:r>
      <w:r w:rsidRPr="0088780C">
        <w:rPr>
          <w:i/>
          <w:snapToGrid w:val="0"/>
          <w:kern w:val="22"/>
          <w:szCs w:val="22"/>
        </w:rPr>
        <w:t>Aythya ferina</w:t>
      </w:r>
      <w:r w:rsidRPr="0088780C">
        <w:rPr>
          <w:snapToGrid w:val="0"/>
          <w:kern w:val="22"/>
          <w:szCs w:val="22"/>
        </w:rPr>
        <w:t xml:space="preserve">. From 1996 to 2004, the total number of birds (such as gooses, swans, ducks and coots) varied in November from 3 589 to 49 285, and averaging 21 261, while in January, it ranged from 3 434 to 48 750, and averaged 23 022 (Васильев и др., 2007). The number is not stable and varies significantly by years. Some of the bird species in the area exceed </w:t>
      </w:r>
      <w:r w:rsidRPr="0088780C">
        <w:rPr>
          <w:rFonts w:eastAsia="MS Mincho"/>
          <w:iCs/>
          <w:snapToGrid w:val="0"/>
          <w:kern w:val="22"/>
          <w:szCs w:val="22"/>
        </w:rPr>
        <w:t xml:space="preserve">1% of the regional populations. </w:t>
      </w:r>
      <w:r w:rsidRPr="0088780C">
        <w:rPr>
          <w:snapToGrid w:val="0"/>
          <w:kern w:val="22"/>
          <w:szCs w:val="22"/>
        </w:rPr>
        <w:t xml:space="preserve">These species are </w:t>
      </w:r>
      <w:r w:rsidRPr="0088780C">
        <w:rPr>
          <w:i/>
          <w:snapToGrid w:val="0"/>
          <w:kern w:val="22"/>
          <w:szCs w:val="22"/>
        </w:rPr>
        <w:t>Phalacrocorax carbo, Phoenicopterus roseus, Aythya fuligula, Aythya nyroca, Tachybaptus ruficollis, Podiceps cristatus, Podiceps nigricollis</w:t>
      </w:r>
      <w:r w:rsidRPr="0088780C">
        <w:rPr>
          <w:snapToGrid w:val="0"/>
          <w:kern w:val="22"/>
          <w:szCs w:val="22"/>
        </w:rPr>
        <w:t xml:space="preserve"> and </w:t>
      </w:r>
      <w:r w:rsidRPr="0088780C">
        <w:rPr>
          <w:i/>
          <w:snapToGrid w:val="0"/>
          <w:kern w:val="22"/>
          <w:szCs w:val="22"/>
        </w:rPr>
        <w:t>Fulica atra</w:t>
      </w:r>
      <w:r w:rsidRPr="0088780C">
        <w:rPr>
          <w:snapToGrid w:val="0"/>
          <w:kern w:val="22"/>
          <w:szCs w:val="22"/>
        </w:rPr>
        <w:t>. This area is located on the migration route; the spring passage of water birds starts from mid-February until the end of April. In fall, the migration takes place from the end of August until the beginning and the middle of November. At the same time, the passage takes place exclusively in northerly or southerly directions because of the north-south orientation of the IBA. For instance, in fall, up to 70,9% of all migrants are passing through in their southern migration. In February and March, the intensity of passage on average is up to 1,5 – 2,8 thousand birds per day. During the migration of spring and fall, there are numerous species of waders – 67,5% and 38% accordingly, gulls – 16,9% and 7,7%, ducks – 6,7% and 21,4%, and terns – 4,9% and 23,3% (Караваев, 1988; 1991a; 1991b).</w:t>
      </w:r>
    </w:p>
    <w:p w14:paraId="334A4FAE"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44DF91D0" w14:textId="3F06995D"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Gorgan Bay (including Miankaleh Peninsula, Ashouradeh and Esmaeilsay islands and Lapoo-Zaghmarz Ab-Bandans) is undoubtedly one of the most significant bird reserves in the Palearctic (BirdLife International; Mansoori, 2009; </w:t>
      </w:r>
      <w:r w:rsidRPr="0088780C">
        <w:rPr>
          <w:rFonts w:eastAsia="MS Mincho"/>
          <w:snapToGrid w:val="0"/>
          <w:kern w:val="22"/>
          <w:szCs w:val="22"/>
        </w:rPr>
        <w:t>Ramsar Convention Bureau</w:t>
      </w:r>
      <w:r w:rsidRPr="0088780C">
        <w:rPr>
          <w:rFonts w:eastAsia="MS Mincho"/>
          <w:iCs/>
          <w:snapToGrid w:val="0"/>
          <w:kern w:val="22"/>
          <w:szCs w:val="22"/>
        </w:rPr>
        <w:t>, 1997). At least 288 bird species have been recorded in this area, including 15 species currently listed in the I IUCN Red List of Threatened Species. Of the 126 species of waterfowl that occur in this area, at least 63 species have been present in internationally significant numbers. The area is extremely important throughout the year, regularly supporting more than 1 million waterfowl in winter (RamsarConvention Bureau 1997) and large colonies of herons, egrets, pratincoles and terns in summer. The Miankaleh Peninsula, Gorgan Bay and Gomishan Lagoon totally supported more the 1.7 million waterbirds in 2007, including 1,289,526 waterbirds in Miankaleh/Gorgan Bay and 400,000-450,000 waterbirds in Gomishan Lagoon (Amini &amp; Willems, 2008). A total of 1,041,000 wintering waterbirds were counted in 2004 (</w:t>
      </w:r>
      <w:r w:rsidRPr="0088780C">
        <w:rPr>
          <w:rFonts w:eastAsia="MS Mincho"/>
          <w:snapToGrid w:val="0"/>
          <w:kern w:val="22"/>
          <w:szCs w:val="22"/>
        </w:rPr>
        <w:t>van Diek</w:t>
      </w:r>
      <w:r w:rsidRPr="0088780C">
        <w:rPr>
          <w:rFonts w:eastAsia="MS Mincho"/>
          <w:iCs/>
          <w:snapToGrid w:val="0"/>
          <w:kern w:val="22"/>
          <w:szCs w:val="22"/>
        </w:rPr>
        <w:t xml:space="preserve"> et al., 2004). The most abundant species in the census of 2007 were Eurasian coot (1,070,688), greater flamingo (74,641), pochard (48,557), mallard (29,955) and tufted duck (28,637). Notable numbers of internationally or regionally rare or scarce species in the census of 2007 included Dalmatian pelican (93), pygmy cormorant (72), mute swan (833), Bewick’s swan (1), red-crested pochard (515), goosander (134), smew (555), white-headed duck (2 618), white-tailed sea eagle (138), Pacific golden plover (3), white-tailed plover (1) and white-winged black tern (8) (Amini &amp; Willems, 2008). The whole area is especially important for its large wintering populations of grebes, </w:t>
      </w:r>
      <w:r w:rsidRPr="0088780C">
        <w:rPr>
          <w:rFonts w:eastAsia="MS Mincho"/>
          <w:i/>
          <w:snapToGrid w:val="0"/>
          <w:kern w:val="22"/>
          <w:szCs w:val="22"/>
        </w:rPr>
        <w:t>Pelecanus</w:t>
      </w:r>
      <w:r w:rsidRPr="0088780C">
        <w:rPr>
          <w:rFonts w:eastAsia="MS Mincho"/>
          <w:iCs/>
          <w:snapToGrid w:val="0"/>
          <w:kern w:val="22"/>
          <w:szCs w:val="22"/>
        </w:rPr>
        <w:t xml:space="preserve"> </w:t>
      </w:r>
      <w:r w:rsidRPr="0088780C">
        <w:rPr>
          <w:rFonts w:eastAsia="MS Mincho"/>
          <w:i/>
          <w:snapToGrid w:val="0"/>
          <w:kern w:val="22"/>
          <w:szCs w:val="22"/>
        </w:rPr>
        <w:t>crispus</w:t>
      </w:r>
      <w:r w:rsidRPr="0088780C">
        <w:rPr>
          <w:rFonts w:eastAsia="MS Mincho"/>
          <w:iCs/>
          <w:snapToGrid w:val="0"/>
          <w:kern w:val="22"/>
          <w:szCs w:val="22"/>
        </w:rPr>
        <w:t xml:space="preserve">, </w:t>
      </w:r>
      <w:r w:rsidRPr="0088780C">
        <w:rPr>
          <w:rFonts w:eastAsia="MS Mincho"/>
          <w:i/>
          <w:snapToGrid w:val="0"/>
          <w:kern w:val="22"/>
          <w:szCs w:val="22"/>
        </w:rPr>
        <w:t>Phalacrocorax</w:t>
      </w:r>
      <w:r w:rsidRPr="0088780C">
        <w:rPr>
          <w:rFonts w:eastAsia="MS Mincho"/>
          <w:iCs/>
          <w:snapToGrid w:val="0"/>
          <w:kern w:val="22"/>
          <w:szCs w:val="22"/>
        </w:rPr>
        <w:t xml:space="preserve"> </w:t>
      </w:r>
      <w:r w:rsidRPr="0088780C">
        <w:rPr>
          <w:rFonts w:eastAsia="MS Mincho"/>
          <w:i/>
          <w:snapToGrid w:val="0"/>
          <w:kern w:val="22"/>
          <w:szCs w:val="22"/>
        </w:rPr>
        <w:t>carbo</w:t>
      </w:r>
      <w:r w:rsidRPr="0088780C">
        <w:rPr>
          <w:rFonts w:eastAsia="MS Mincho"/>
          <w:iCs/>
          <w:snapToGrid w:val="0"/>
          <w:kern w:val="22"/>
          <w:szCs w:val="22"/>
        </w:rPr>
        <w:t xml:space="preserve">, herons, </w:t>
      </w:r>
      <w:r w:rsidRPr="0088780C">
        <w:rPr>
          <w:rFonts w:eastAsia="MS Mincho"/>
          <w:i/>
          <w:snapToGrid w:val="0"/>
          <w:kern w:val="22"/>
          <w:szCs w:val="22"/>
        </w:rPr>
        <w:t>Phoenicopterus</w:t>
      </w:r>
      <w:r w:rsidRPr="0088780C">
        <w:rPr>
          <w:rFonts w:eastAsia="MS Mincho"/>
          <w:iCs/>
          <w:snapToGrid w:val="0"/>
          <w:kern w:val="22"/>
          <w:szCs w:val="22"/>
        </w:rPr>
        <w:t xml:space="preserve"> </w:t>
      </w:r>
      <w:r w:rsidRPr="0088780C">
        <w:rPr>
          <w:rFonts w:eastAsia="MS Mincho"/>
          <w:i/>
          <w:snapToGrid w:val="0"/>
          <w:kern w:val="22"/>
          <w:szCs w:val="22"/>
        </w:rPr>
        <w:t>ruber</w:t>
      </w:r>
      <w:r w:rsidRPr="0088780C">
        <w:rPr>
          <w:rFonts w:eastAsia="MS Mincho"/>
          <w:iCs/>
          <w:snapToGrid w:val="0"/>
          <w:kern w:val="22"/>
          <w:szCs w:val="22"/>
        </w:rPr>
        <w:t>,</w:t>
      </w:r>
      <w:r w:rsidRPr="0088780C">
        <w:rPr>
          <w:rFonts w:eastAsia="MS Mincho"/>
          <w:i/>
          <w:snapToGrid w:val="0"/>
          <w:kern w:val="22"/>
          <w:szCs w:val="22"/>
        </w:rPr>
        <w:t xml:space="preserve"> </w:t>
      </w:r>
      <w:r w:rsidRPr="0088780C">
        <w:rPr>
          <w:rFonts w:eastAsia="MS Mincho"/>
          <w:iCs/>
          <w:snapToGrid w:val="0"/>
          <w:kern w:val="22"/>
          <w:szCs w:val="22"/>
        </w:rPr>
        <w:t>swans, geese, surface feeding and diving ducks, raptors (</w:t>
      </w:r>
      <w:r w:rsidRPr="0088780C">
        <w:rPr>
          <w:rFonts w:eastAsia="MS Mincho"/>
          <w:i/>
          <w:snapToGrid w:val="0"/>
          <w:kern w:val="22"/>
          <w:szCs w:val="22"/>
        </w:rPr>
        <w:t>Haliaeetus</w:t>
      </w:r>
      <w:r w:rsidRPr="0088780C">
        <w:rPr>
          <w:rFonts w:eastAsia="MS Mincho"/>
          <w:iCs/>
          <w:snapToGrid w:val="0"/>
          <w:kern w:val="22"/>
          <w:szCs w:val="22"/>
        </w:rPr>
        <w:t xml:space="preserve"> </w:t>
      </w:r>
      <w:r w:rsidRPr="0088780C">
        <w:rPr>
          <w:rFonts w:eastAsia="MS Mincho"/>
          <w:i/>
          <w:snapToGrid w:val="0"/>
          <w:kern w:val="22"/>
          <w:szCs w:val="22"/>
        </w:rPr>
        <w:t>albicilla</w:t>
      </w:r>
      <w:r w:rsidRPr="0088780C">
        <w:rPr>
          <w:rFonts w:eastAsia="MS Mincho"/>
          <w:iCs/>
          <w:snapToGrid w:val="0"/>
          <w:kern w:val="22"/>
          <w:szCs w:val="22"/>
        </w:rPr>
        <w:t xml:space="preserve">, harriers, eagles and falcons), shorebirds and gulls, and for its breeding colonies of herons and egrets, </w:t>
      </w:r>
      <w:r w:rsidRPr="0088780C">
        <w:rPr>
          <w:rFonts w:eastAsia="MS Mincho"/>
          <w:i/>
          <w:snapToGrid w:val="0"/>
          <w:kern w:val="22"/>
          <w:szCs w:val="22"/>
        </w:rPr>
        <w:t>Glareola</w:t>
      </w:r>
      <w:r w:rsidRPr="0088780C">
        <w:rPr>
          <w:rFonts w:eastAsia="MS Mincho"/>
          <w:iCs/>
          <w:snapToGrid w:val="0"/>
          <w:kern w:val="22"/>
          <w:szCs w:val="22"/>
        </w:rPr>
        <w:t xml:space="preserve"> </w:t>
      </w:r>
      <w:r w:rsidRPr="0088780C">
        <w:rPr>
          <w:rFonts w:eastAsia="MS Mincho"/>
          <w:i/>
          <w:snapToGrid w:val="0"/>
          <w:kern w:val="22"/>
          <w:szCs w:val="22"/>
        </w:rPr>
        <w:t>pratincola</w:t>
      </w:r>
      <w:r w:rsidRPr="0088780C">
        <w:rPr>
          <w:rFonts w:eastAsia="MS Mincho"/>
          <w:iCs/>
          <w:snapToGrid w:val="0"/>
          <w:kern w:val="22"/>
          <w:szCs w:val="22"/>
        </w:rPr>
        <w:t xml:space="preserve"> and </w:t>
      </w:r>
      <w:r w:rsidRPr="0088780C">
        <w:rPr>
          <w:rFonts w:eastAsia="MS Mincho"/>
          <w:i/>
          <w:snapToGrid w:val="0"/>
          <w:kern w:val="22"/>
          <w:szCs w:val="22"/>
        </w:rPr>
        <w:t>Sterna</w:t>
      </w:r>
      <w:r w:rsidRPr="0088780C">
        <w:rPr>
          <w:rFonts w:eastAsia="MS Mincho"/>
          <w:iCs/>
          <w:snapToGrid w:val="0"/>
          <w:kern w:val="22"/>
          <w:szCs w:val="22"/>
        </w:rPr>
        <w:t xml:space="preserve"> </w:t>
      </w:r>
      <w:r w:rsidRPr="0088780C">
        <w:rPr>
          <w:rFonts w:eastAsia="MS Mincho"/>
          <w:i/>
          <w:snapToGrid w:val="0"/>
          <w:kern w:val="22"/>
          <w:szCs w:val="22"/>
        </w:rPr>
        <w:t xml:space="preserve">albifrons </w:t>
      </w:r>
      <w:r w:rsidRPr="0088780C">
        <w:rPr>
          <w:rFonts w:eastAsia="MS Mincho"/>
          <w:iCs/>
          <w:snapToGrid w:val="0"/>
          <w:kern w:val="22"/>
          <w:szCs w:val="22"/>
        </w:rPr>
        <w:t>(van Diek, 2004). The Eurasian coot (</w:t>
      </w:r>
      <w:r w:rsidRPr="0088780C">
        <w:rPr>
          <w:rFonts w:eastAsia="MS Mincho"/>
          <w:i/>
          <w:snapToGrid w:val="0"/>
          <w:kern w:val="22"/>
          <w:szCs w:val="22"/>
        </w:rPr>
        <w:t>Fulica</w:t>
      </w:r>
      <w:r w:rsidRPr="0088780C">
        <w:rPr>
          <w:rFonts w:eastAsia="MS Mincho"/>
          <w:iCs/>
          <w:snapToGrid w:val="0"/>
          <w:kern w:val="22"/>
          <w:szCs w:val="22"/>
        </w:rPr>
        <w:t xml:space="preserve"> </w:t>
      </w:r>
      <w:r w:rsidRPr="0088780C">
        <w:rPr>
          <w:rFonts w:eastAsia="MS Mincho"/>
          <w:i/>
          <w:snapToGrid w:val="0"/>
          <w:kern w:val="22"/>
          <w:szCs w:val="22"/>
        </w:rPr>
        <w:t>atra</w:t>
      </w:r>
      <w:r w:rsidRPr="0088780C">
        <w:rPr>
          <w:rFonts w:eastAsia="MS Mincho"/>
          <w:iCs/>
          <w:snapToGrid w:val="0"/>
          <w:kern w:val="22"/>
          <w:szCs w:val="22"/>
        </w:rPr>
        <w:t>) in one of the most numerous species (810,960 individuals) in Gorgan Bay (van Diek, 2004). This area is also a good wintering site for the endangered white-headed duck (</w:t>
      </w:r>
      <w:r w:rsidRPr="0088780C">
        <w:rPr>
          <w:rFonts w:eastAsia="MS Mincho"/>
          <w:i/>
          <w:snapToGrid w:val="0"/>
          <w:kern w:val="22"/>
          <w:szCs w:val="22"/>
        </w:rPr>
        <w:t>Oxyura</w:t>
      </w:r>
      <w:r w:rsidRPr="0088780C">
        <w:rPr>
          <w:rFonts w:eastAsia="MS Mincho"/>
          <w:iCs/>
          <w:snapToGrid w:val="0"/>
          <w:kern w:val="22"/>
          <w:szCs w:val="22"/>
        </w:rPr>
        <w:t xml:space="preserve"> </w:t>
      </w:r>
      <w:r w:rsidRPr="0088780C">
        <w:rPr>
          <w:rFonts w:eastAsia="MS Mincho"/>
          <w:i/>
          <w:snapToGrid w:val="0"/>
          <w:kern w:val="22"/>
          <w:szCs w:val="22"/>
        </w:rPr>
        <w:t>leucocephala</w:t>
      </w:r>
      <w:r w:rsidRPr="0088780C">
        <w:rPr>
          <w:rFonts w:eastAsia="MS Mincho"/>
          <w:iCs/>
          <w:snapToGrid w:val="0"/>
          <w:kern w:val="22"/>
          <w:szCs w:val="22"/>
        </w:rPr>
        <w:t>)</w:t>
      </w:r>
      <w:r w:rsidRPr="0088780C">
        <w:rPr>
          <w:rFonts w:eastAsia="MS Mincho"/>
          <w:i/>
          <w:snapToGrid w:val="0"/>
          <w:kern w:val="22"/>
          <w:szCs w:val="22"/>
        </w:rPr>
        <w:t xml:space="preserve"> </w:t>
      </w:r>
      <w:r w:rsidRPr="0088780C">
        <w:rPr>
          <w:rFonts w:eastAsia="MS Mincho"/>
          <w:iCs/>
          <w:snapToGrid w:val="0"/>
          <w:kern w:val="22"/>
          <w:szCs w:val="22"/>
        </w:rPr>
        <w:t>(</w:t>
      </w:r>
      <w:r w:rsidRPr="0088780C">
        <w:rPr>
          <w:rFonts w:eastAsia="MS Mincho"/>
          <w:snapToGrid w:val="0"/>
          <w:kern w:val="22"/>
          <w:szCs w:val="22"/>
        </w:rPr>
        <w:t>van Diek</w:t>
      </w:r>
      <w:r w:rsidRPr="0088780C">
        <w:rPr>
          <w:rFonts w:eastAsia="MS Mincho"/>
          <w:iCs/>
          <w:snapToGrid w:val="0"/>
          <w:kern w:val="22"/>
          <w:szCs w:val="22"/>
        </w:rPr>
        <w:t xml:space="preserve"> et al., 2004).</w:t>
      </w:r>
    </w:p>
    <w:p w14:paraId="4FE9BCF7"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550338DB" w14:textId="7B365DCC"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Gomishan wetland comprises shallow, brackish lagoons with saltmarsh vegetation and seasonallyinundated flats with species of </w:t>
      </w:r>
      <w:r w:rsidRPr="0088780C">
        <w:rPr>
          <w:i/>
          <w:snapToGrid w:val="0"/>
          <w:kern w:val="22"/>
          <w:szCs w:val="22"/>
        </w:rPr>
        <w:t>Salicornia</w:t>
      </w:r>
      <w:r w:rsidRPr="0088780C">
        <w:rPr>
          <w:snapToGrid w:val="0"/>
          <w:kern w:val="22"/>
          <w:szCs w:val="22"/>
        </w:rPr>
        <w:t xml:space="preserve">, </w:t>
      </w:r>
      <w:r w:rsidRPr="0088780C">
        <w:rPr>
          <w:i/>
          <w:snapToGrid w:val="0"/>
          <w:kern w:val="22"/>
          <w:szCs w:val="22"/>
        </w:rPr>
        <w:t>Halostachys</w:t>
      </w:r>
      <w:r w:rsidRPr="0088780C">
        <w:rPr>
          <w:snapToGrid w:val="0"/>
          <w:kern w:val="22"/>
          <w:szCs w:val="22"/>
        </w:rPr>
        <w:t xml:space="preserve"> and </w:t>
      </w:r>
      <w:r w:rsidRPr="0088780C">
        <w:rPr>
          <w:i/>
          <w:snapToGrid w:val="0"/>
          <w:kern w:val="22"/>
          <w:szCs w:val="22"/>
        </w:rPr>
        <w:t xml:space="preserve">Halocnemum </w:t>
      </w:r>
      <w:r w:rsidRPr="0088780C">
        <w:rPr>
          <w:iCs/>
          <w:snapToGrid w:val="0"/>
          <w:kern w:val="22"/>
          <w:szCs w:val="22"/>
        </w:rPr>
        <w:t>(</w:t>
      </w:r>
      <w:r w:rsidRPr="0088780C">
        <w:rPr>
          <w:rFonts w:eastAsia="MS Mincho"/>
          <w:snapToGrid w:val="0"/>
          <w:kern w:val="22"/>
          <w:szCs w:val="22"/>
        </w:rPr>
        <w:t>Ramsar Convention Bureau</w:t>
      </w:r>
      <w:r w:rsidRPr="0088780C">
        <w:rPr>
          <w:rFonts w:eastAsia="MS Mincho"/>
          <w:iCs/>
          <w:snapToGrid w:val="0"/>
          <w:kern w:val="22"/>
          <w:szCs w:val="22"/>
        </w:rPr>
        <w:t>, 1997</w:t>
      </w:r>
      <w:r w:rsidRPr="0088780C">
        <w:rPr>
          <w:iCs/>
          <w:snapToGrid w:val="0"/>
          <w:kern w:val="22"/>
          <w:szCs w:val="22"/>
        </w:rPr>
        <w:t xml:space="preserve">; BirdLife International </w:t>
      </w:r>
      <w:r w:rsidRPr="0088780C">
        <w:rPr>
          <w:snapToGrid w:val="0"/>
          <w:kern w:val="22"/>
          <w:szCs w:val="22"/>
        </w:rPr>
        <w:t>2017c</w:t>
      </w:r>
      <w:r w:rsidRPr="0088780C">
        <w:rPr>
          <w:iCs/>
          <w:snapToGrid w:val="0"/>
          <w:kern w:val="22"/>
          <w:szCs w:val="22"/>
        </w:rPr>
        <w:t>)</w:t>
      </w:r>
      <w:r w:rsidRPr="0088780C">
        <w:rPr>
          <w:snapToGrid w:val="0"/>
          <w:kern w:val="22"/>
          <w:szCs w:val="22"/>
        </w:rPr>
        <w:t xml:space="preserve">. </w:t>
      </w:r>
      <w:r w:rsidRPr="0088780C">
        <w:rPr>
          <w:rFonts w:eastAsia="MS Mincho"/>
          <w:iCs/>
          <w:snapToGrid w:val="0"/>
          <w:kern w:val="22"/>
          <w:szCs w:val="22"/>
        </w:rPr>
        <w:t xml:space="preserve">The eastern side of the lagoon is bordered by a vast strip of low-lying plains with halophytic vegetation. The wetland supports at least 17 species of aquatic </w:t>
      </w:r>
      <w:r w:rsidRPr="0088780C">
        <w:rPr>
          <w:snapToGrid w:val="0"/>
          <w:kern w:val="22"/>
          <w:szCs w:val="22"/>
        </w:rPr>
        <w:t xml:space="preserve">macrophytes, including </w:t>
      </w:r>
      <w:r w:rsidRPr="0088780C">
        <w:rPr>
          <w:i/>
          <w:iCs/>
          <w:snapToGrid w:val="0"/>
          <w:kern w:val="22"/>
          <w:szCs w:val="22"/>
        </w:rPr>
        <w:t>Ceratophyllum</w:t>
      </w:r>
      <w:r w:rsidRPr="0088780C">
        <w:rPr>
          <w:snapToGrid w:val="0"/>
          <w:kern w:val="22"/>
          <w:szCs w:val="22"/>
        </w:rPr>
        <w:t xml:space="preserve"> </w:t>
      </w:r>
      <w:r w:rsidRPr="0088780C">
        <w:rPr>
          <w:i/>
          <w:iCs/>
          <w:snapToGrid w:val="0"/>
          <w:kern w:val="22"/>
          <w:szCs w:val="22"/>
        </w:rPr>
        <w:t>demersum</w:t>
      </w:r>
      <w:r w:rsidRPr="0088780C">
        <w:rPr>
          <w:snapToGrid w:val="0"/>
          <w:kern w:val="22"/>
          <w:szCs w:val="22"/>
        </w:rPr>
        <w:t xml:space="preserve">, </w:t>
      </w:r>
      <w:r w:rsidRPr="0088780C">
        <w:rPr>
          <w:i/>
          <w:iCs/>
          <w:snapToGrid w:val="0"/>
          <w:kern w:val="22"/>
          <w:szCs w:val="22"/>
        </w:rPr>
        <w:t>Callitriche</w:t>
      </w:r>
      <w:r w:rsidRPr="0088780C">
        <w:rPr>
          <w:snapToGrid w:val="0"/>
          <w:kern w:val="22"/>
          <w:szCs w:val="22"/>
        </w:rPr>
        <w:t xml:space="preserve"> </w:t>
      </w:r>
      <w:r w:rsidRPr="0088780C">
        <w:rPr>
          <w:i/>
          <w:iCs/>
          <w:snapToGrid w:val="0"/>
          <w:kern w:val="22"/>
          <w:szCs w:val="22"/>
        </w:rPr>
        <w:t>palustris</w:t>
      </w:r>
      <w:r w:rsidRPr="0088780C">
        <w:rPr>
          <w:snapToGrid w:val="0"/>
          <w:kern w:val="22"/>
          <w:szCs w:val="22"/>
        </w:rPr>
        <w:t xml:space="preserve">, </w:t>
      </w:r>
      <w:r w:rsidRPr="0088780C">
        <w:rPr>
          <w:i/>
          <w:iCs/>
          <w:snapToGrid w:val="0"/>
          <w:kern w:val="22"/>
          <w:szCs w:val="22"/>
        </w:rPr>
        <w:t>Aeluropus</w:t>
      </w:r>
      <w:r w:rsidRPr="0088780C">
        <w:rPr>
          <w:snapToGrid w:val="0"/>
          <w:kern w:val="22"/>
          <w:szCs w:val="22"/>
        </w:rPr>
        <w:t xml:space="preserve"> </w:t>
      </w:r>
      <w:r w:rsidRPr="0088780C">
        <w:rPr>
          <w:i/>
          <w:iCs/>
          <w:snapToGrid w:val="0"/>
          <w:kern w:val="22"/>
          <w:szCs w:val="22"/>
        </w:rPr>
        <w:t>littoralis</w:t>
      </w:r>
      <w:r w:rsidRPr="0088780C">
        <w:rPr>
          <w:snapToGrid w:val="0"/>
          <w:kern w:val="22"/>
          <w:szCs w:val="22"/>
        </w:rPr>
        <w:t xml:space="preserve">, </w:t>
      </w:r>
      <w:r w:rsidRPr="0088780C">
        <w:rPr>
          <w:i/>
          <w:iCs/>
          <w:snapToGrid w:val="0"/>
          <w:kern w:val="22"/>
          <w:szCs w:val="22"/>
        </w:rPr>
        <w:t>Myriophyllum</w:t>
      </w:r>
      <w:r w:rsidRPr="0088780C">
        <w:rPr>
          <w:snapToGrid w:val="0"/>
          <w:kern w:val="22"/>
          <w:szCs w:val="22"/>
        </w:rPr>
        <w:t xml:space="preserve"> </w:t>
      </w:r>
      <w:r w:rsidRPr="0088780C">
        <w:rPr>
          <w:i/>
          <w:iCs/>
          <w:snapToGrid w:val="0"/>
          <w:kern w:val="22"/>
          <w:szCs w:val="22"/>
        </w:rPr>
        <w:t>spicatum</w:t>
      </w:r>
      <w:r w:rsidRPr="0088780C">
        <w:rPr>
          <w:snapToGrid w:val="0"/>
          <w:kern w:val="22"/>
          <w:szCs w:val="22"/>
        </w:rPr>
        <w:t xml:space="preserve">, </w:t>
      </w:r>
      <w:r w:rsidRPr="0088780C">
        <w:rPr>
          <w:i/>
          <w:iCs/>
          <w:snapToGrid w:val="0"/>
          <w:kern w:val="22"/>
          <w:szCs w:val="22"/>
        </w:rPr>
        <w:t>Phragmites</w:t>
      </w:r>
      <w:r w:rsidRPr="0088780C">
        <w:rPr>
          <w:snapToGrid w:val="0"/>
          <w:kern w:val="22"/>
          <w:szCs w:val="22"/>
        </w:rPr>
        <w:t xml:space="preserve"> </w:t>
      </w:r>
      <w:r w:rsidRPr="0088780C">
        <w:rPr>
          <w:i/>
          <w:iCs/>
          <w:snapToGrid w:val="0"/>
          <w:kern w:val="22"/>
          <w:szCs w:val="22"/>
        </w:rPr>
        <w:t>australis</w:t>
      </w:r>
      <w:r w:rsidRPr="0088780C">
        <w:rPr>
          <w:snapToGrid w:val="0"/>
          <w:kern w:val="22"/>
          <w:szCs w:val="22"/>
        </w:rPr>
        <w:t xml:space="preserve">, </w:t>
      </w:r>
      <w:r w:rsidRPr="0088780C">
        <w:rPr>
          <w:i/>
          <w:iCs/>
          <w:snapToGrid w:val="0"/>
          <w:kern w:val="22"/>
          <w:szCs w:val="22"/>
        </w:rPr>
        <w:t>Potamogeton</w:t>
      </w:r>
      <w:r w:rsidRPr="0088780C">
        <w:rPr>
          <w:snapToGrid w:val="0"/>
          <w:kern w:val="22"/>
          <w:szCs w:val="22"/>
        </w:rPr>
        <w:t xml:space="preserve"> </w:t>
      </w:r>
      <w:r w:rsidRPr="0088780C">
        <w:rPr>
          <w:i/>
          <w:iCs/>
          <w:snapToGrid w:val="0"/>
          <w:kern w:val="22"/>
          <w:szCs w:val="22"/>
        </w:rPr>
        <w:t>pectinatus</w:t>
      </w:r>
      <w:r w:rsidRPr="0088780C">
        <w:rPr>
          <w:snapToGrid w:val="0"/>
          <w:kern w:val="22"/>
          <w:szCs w:val="22"/>
        </w:rPr>
        <w:t xml:space="preserve">, </w:t>
      </w:r>
      <w:r w:rsidRPr="0088780C">
        <w:rPr>
          <w:i/>
          <w:iCs/>
          <w:snapToGrid w:val="0"/>
          <w:kern w:val="22"/>
          <w:szCs w:val="22"/>
        </w:rPr>
        <w:t>Juncus</w:t>
      </w:r>
      <w:r w:rsidRPr="0088780C">
        <w:rPr>
          <w:snapToGrid w:val="0"/>
          <w:kern w:val="22"/>
          <w:szCs w:val="22"/>
        </w:rPr>
        <w:t xml:space="preserve"> </w:t>
      </w:r>
      <w:r w:rsidRPr="0088780C">
        <w:rPr>
          <w:i/>
          <w:iCs/>
          <w:snapToGrid w:val="0"/>
          <w:kern w:val="22"/>
          <w:szCs w:val="22"/>
        </w:rPr>
        <w:t>effusus</w:t>
      </w:r>
      <w:r w:rsidRPr="0088780C">
        <w:rPr>
          <w:snapToGrid w:val="0"/>
          <w:kern w:val="22"/>
          <w:szCs w:val="22"/>
        </w:rPr>
        <w:t xml:space="preserve">, </w:t>
      </w:r>
      <w:r w:rsidRPr="0088780C">
        <w:rPr>
          <w:i/>
          <w:iCs/>
          <w:snapToGrid w:val="0"/>
          <w:kern w:val="22"/>
          <w:szCs w:val="22"/>
        </w:rPr>
        <w:t>Typha</w:t>
      </w:r>
      <w:r w:rsidRPr="0088780C">
        <w:rPr>
          <w:snapToGrid w:val="0"/>
          <w:kern w:val="22"/>
          <w:szCs w:val="22"/>
        </w:rPr>
        <w:t xml:space="preserve"> </w:t>
      </w:r>
      <w:r w:rsidRPr="0088780C">
        <w:rPr>
          <w:i/>
          <w:iCs/>
          <w:snapToGrid w:val="0"/>
          <w:kern w:val="22"/>
          <w:szCs w:val="22"/>
        </w:rPr>
        <w:t>angustifolia</w:t>
      </w:r>
      <w:r w:rsidRPr="0088780C">
        <w:rPr>
          <w:snapToGrid w:val="0"/>
          <w:kern w:val="22"/>
          <w:szCs w:val="22"/>
        </w:rPr>
        <w:t xml:space="preserve"> and </w:t>
      </w:r>
      <w:r w:rsidRPr="0088780C">
        <w:rPr>
          <w:i/>
          <w:iCs/>
          <w:snapToGrid w:val="0"/>
          <w:kern w:val="22"/>
          <w:szCs w:val="22"/>
        </w:rPr>
        <w:t>Zannichellia</w:t>
      </w:r>
      <w:r w:rsidRPr="0088780C">
        <w:rPr>
          <w:snapToGrid w:val="0"/>
          <w:kern w:val="22"/>
          <w:szCs w:val="22"/>
        </w:rPr>
        <w:t xml:space="preserve"> </w:t>
      </w:r>
      <w:r w:rsidRPr="0088780C">
        <w:rPr>
          <w:i/>
          <w:iCs/>
          <w:snapToGrid w:val="0"/>
          <w:kern w:val="22"/>
          <w:szCs w:val="22"/>
        </w:rPr>
        <w:t>palustris</w:t>
      </w:r>
      <w:r w:rsidRPr="0088780C">
        <w:rPr>
          <w:snapToGrid w:val="0"/>
          <w:kern w:val="22"/>
          <w:szCs w:val="22"/>
        </w:rPr>
        <w:t xml:space="preserve"> (</w:t>
      </w:r>
      <w:r w:rsidRPr="0088780C">
        <w:rPr>
          <w:snapToGrid w:val="0"/>
          <w:kern w:val="22"/>
          <w:szCs w:val="22"/>
          <w:shd w:val="clear" w:color="auto" w:fill="FFFFFF"/>
        </w:rPr>
        <w:t>Basatnia et al., no date;</w:t>
      </w:r>
      <w:r w:rsidRPr="0088780C">
        <w:rPr>
          <w:snapToGrid w:val="0"/>
          <w:kern w:val="22"/>
          <w:szCs w:val="22"/>
        </w:rPr>
        <w:t xml:space="preserve"> Scott, 1995; Kiabi et al., 1999b, UNECE, 2011).</w:t>
      </w:r>
    </w:p>
    <w:p w14:paraId="77A8FD53"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90B5C34"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At least 81 waterbirds species</w:t>
      </w:r>
      <w:r w:rsidRPr="0088780C">
        <w:rPr>
          <w:rFonts w:eastAsia="MS Mincho"/>
          <w:snapToGrid w:val="0"/>
          <w:kern w:val="22"/>
          <w:szCs w:val="22"/>
        </w:rPr>
        <w:t xml:space="preserve"> have been recorded in Gomishan Lagoon (Ramsar Information Bureau, 1997; </w:t>
      </w:r>
      <w:r w:rsidRPr="0088780C">
        <w:rPr>
          <w:rFonts w:eastAsia="MS Mincho"/>
          <w:iCs/>
          <w:snapToGrid w:val="0"/>
          <w:kern w:val="22"/>
          <w:szCs w:val="22"/>
        </w:rPr>
        <w:t>UNECE, 2011</w:t>
      </w:r>
      <w:r w:rsidRPr="0088780C">
        <w:rPr>
          <w:rFonts w:eastAsia="MS Mincho"/>
          <w:snapToGrid w:val="0"/>
          <w:kern w:val="22"/>
          <w:szCs w:val="22"/>
        </w:rPr>
        <w:t xml:space="preserve">). Annually tens of thousands of waterbirds (particularly waders, ducks, coots and gulls) use this coastal wetland as wintering habitat. The </w:t>
      </w:r>
      <w:r w:rsidRPr="0088780C">
        <w:rPr>
          <w:rFonts w:eastAsia="MS Mincho"/>
          <w:iCs/>
          <w:snapToGrid w:val="0"/>
          <w:kern w:val="22"/>
          <w:szCs w:val="22"/>
        </w:rPr>
        <w:t>Gomishan Lagoon has regularly supported more than 20,000 waterbirds during winter, which</w:t>
      </w:r>
      <w:r w:rsidRPr="0088780C">
        <w:rPr>
          <w:rFonts w:eastAsia="MS Mincho"/>
          <w:snapToGrid w:val="0"/>
          <w:kern w:val="22"/>
          <w:szCs w:val="22"/>
        </w:rPr>
        <w:t xml:space="preserve"> exceeds the Ramsar criterion for international importance (more than 20,000 birds), and 20 species occur in numbers exceeding 1% of their regional flyway population. A total of 74 species belonging to 12 families of waterbirds were recorded in mid-winter (January) over a five-year waterbird census (2007-2011) (</w:t>
      </w:r>
      <w:r w:rsidRPr="0088780C">
        <w:rPr>
          <w:snapToGrid w:val="0"/>
          <w:kern w:val="22"/>
          <w:szCs w:val="22"/>
        </w:rPr>
        <w:t>Behrouzi Rad &amp; Ghaemi, 2015).</w:t>
      </w:r>
      <w:r w:rsidRPr="0088780C">
        <w:rPr>
          <w:rFonts w:eastAsia="MS Mincho"/>
          <w:iCs/>
          <w:snapToGrid w:val="0"/>
          <w:kern w:val="22"/>
          <w:szCs w:val="22"/>
        </w:rPr>
        <w:t xml:space="preserve"> T</w:t>
      </w:r>
      <w:r w:rsidRPr="0088780C">
        <w:rPr>
          <w:rFonts w:eastAsia="MS Mincho"/>
          <w:snapToGrid w:val="0"/>
          <w:kern w:val="22"/>
          <w:szCs w:val="22"/>
        </w:rPr>
        <w:t>he Gomishan wetland has been identified as an Important Bird and Biodiversity Area (IBA) by Birdlife International and is recognized as a Wetland of International Importance (Ramsar site) and is nationally protected as a no-hunting area (</w:t>
      </w:r>
      <w:r w:rsidRPr="0088780C">
        <w:rPr>
          <w:snapToGrid w:val="0"/>
          <w:kern w:val="22"/>
          <w:szCs w:val="22"/>
        </w:rPr>
        <w:t>Behrouzi Rad &amp; Ghaemi, 2015).</w:t>
      </w:r>
    </w:p>
    <w:p w14:paraId="33DD04E4"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1117C0A" w14:textId="6FB95338"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area is primarily important for breeding </w:t>
      </w:r>
      <w:r w:rsidRPr="0088780C">
        <w:rPr>
          <w:i/>
          <w:iCs/>
          <w:snapToGrid w:val="0"/>
          <w:kern w:val="22"/>
          <w:szCs w:val="22"/>
        </w:rPr>
        <w:t>Himantopus</w:t>
      </w:r>
      <w:r w:rsidRPr="0088780C">
        <w:rPr>
          <w:snapToGrid w:val="0"/>
          <w:kern w:val="22"/>
          <w:szCs w:val="22"/>
        </w:rPr>
        <w:t xml:space="preserve"> </w:t>
      </w:r>
      <w:r w:rsidRPr="0088780C">
        <w:rPr>
          <w:i/>
          <w:iCs/>
          <w:snapToGrid w:val="0"/>
          <w:kern w:val="22"/>
          <w:szCs w:val="22"/>
        </w:rPr>
        <w:t>himantopus</w:t>
      </w:r>
      <w:r w:rsidRPr="0088780C">
        <w:rPr>
          <w:snapToGrid w:val="0"/>
          <w:kern w:val="22"/>
          <w:szCs w:val="22"/>
        </w:rPr>
        <w:t xml:space="preserve"> and terns (c.500 pairs of four species), and wintering geese (including </w:t>
      </w:r>
      <w:r w:rsidRPr="0088780C">
        <w:rPr>
          <w:i/>
          <w:iCs/>
          <w:snapToGrid w:val="0"/>
          <w:kern w:val="22"/>
          <w:szCs w:val="22"/>
        </w:rPr>
        <w:t>Anser</w:t>
      </w:r>
      <w:r w:rsidRPr="0088780C">
        <w:rPr>
          <w:snapToGrid w:val="0"/>
          <w:kern w:val="22"/>
          <w:szCs w:val="22"/>
        </w:rPr>
        <w:t xml:space="preserve"> </w:t>
      </w:r>
      <w:r w:rsidRPr="0088780C">
        <w:rPr>
          <w:i/>
          <w:iCs/>
          <w:snapToGrid w:val="0"/>
          <w:kern w:val="22"/>
          <w:szCs w:val="22"/>
        </w:rPr>
        <w:t>erythropus</w:t>
      </w:r>
      <w:r w:rsidRPr="0088780C">
        <w:rPr>
          <w:snapToGrid w:val="0"/>
          <w:kern w:val="22"/>
          <w:szCs w:val="22"/>
        </w:rPr>
        <w:t xml:space="preserve">), </w:t>
      </w:r>
      <w:r w:rsidRPr="0088780C">
        <w:rPr>
          <w:i/>
          <w:iCs/>
          <w:snapToGrid w:val="0"/>
          <w:kern w:val="22"/>
          <w:szCs w:val="22"/>
        </w:rPr>
        <w:t>Vanellus</w:t>
      </w:r>
      <w:r w:rsidRPr="0088780C">
        <w:rPr>
          <w:snapToGrid w:val="0"/>
          <w:kern w:val="22"/>
          <w:szCs w:val="22"/>
        </w:rPr>
        <w:t xml:space="preserve"> </w:t>
      </w:r>
      <w:r w:rsidRPr="0088780C">
        <w:rPr>
          <w:i/>
          <w:iCs/>
          <w:snapToGrid w:val="0"/>
          <w:kern w:val="22"/>
          <w:szCs w:val="22"/>
        </w:rPr>
        <w:t>vanellus</w:t>
      </w:r>
      <w:r w:rsidRPr="0088780C">
        <w:rPr>
          <w:snapToGrid w:val="0"/>
          <w:kern w:val="22"/>
          <w:szCs w:val="22"/>
        </w:rPr>
        <w:t xml:space="preserve"> and </w:t>
      </w:r>
      <w:r w:rsidRPr="0088780C">
        <w:rPr>
          <w:i/>
          <w:iCs/>
          <w:snapToGrid w:val="0"/>
          <w:kern w:val="22"/>
          <w:szCs w:val="22"/>
        </w:rPr>
        <w:t>Pterocles</w:t>
      </w:r>
      <w:r w:rsidRPr="0088780C">
        <w:rPr>
          <w:snapToGrid w:val="0"/>
          <w:kern w:val="22"/>
          <w:szCs w:val="22"/>
        </w:rPr>
        <w:t xml:space="preserve"> </w:t>
      </w:r>
      <w:r w:rsidRPr="0088780C">
        <w:rPr>
          <w:i/>
          <w:iCs/>
          <w:snapToGrid w:val="0"/>
          <w:kern w:val="22"/>
          <w:szCs w:val="22"/>
        </w:rPr>
        <w:t>alchata</w:t>
      </w:r>
      <w:r w:rsidRPr="0088780C">
        <w:rPr>
          <w:snapToGrid w:val="0"/>
          <w:kern w:val="22"/>
          <w:szCs w:val="22"/>
        </w:rPr>
        <w:t xml:space="preserve"> (up to 50,000) (BirdLife International 2017c). </w:t>
      </w:r>
      <w:r w:rsidRPr="0088780C">
        <w:rPr>
          <w:rFonts w:eastAsia="MS Mincho"/>
          <w:snapToGrid w:val="0"/>
          <w:kern w:val="22"/>
          <w:szCs w:val="22"/>
        </w:rPr>
        <w:t>A small group of the globally threatened Dalmatian pelican (</w:t>
      </w:r>
      <w:r w:rsidRPr="0088780C">
        <w:rPr>
          <w:rFonts w:eastAsia="MS Mincho"/>
          <w:i/>
          <w:iCs/>
          <w:snapToGrid w:val="0"/>
          <w:kern w:val="22"/>
          <w:szCs w:val="22"/>
        </w:rPr>
        <w:t>Pelecanus</w:t>
      </w:r>
      <w:r w:rsidRPr="0088780C">
        <w:rPr>
          <w:rFonts w:eastAsia="MS Mincho"/>
          <w:snapToGrid w:val="0"/>
          <w:kern w:val="22"/>
          <w:szCs w:val="22"/>
        </w:rPr>
        <w:t xml:space="preserve"> </w:t>
      </w:r>
      <w:r w:rsidRPr="0088780C">
        <w:rPr>
          <w:rFonts w:eastAsia="MS Mincho"/>
          <w:i/>
          <w:iCs/>
          <w:snapToGrid w:val="0"/>
          <w:kern w:val="22"/>
          <w:szCs w:val="22"/>
        </w:rPr>
        <w:t>crispus</w:t>
      </w:r>
      <w:r w:rsidRPr="0088780C">
        <w:rPr>
          <w:rFonts w:eastAsia="MS Mincho"/>
          <w:snapToGrid w:val="0"/>
          <w:kern w:val="22"/>
          <w:szCs w:val="22"/>
        </w:rPr>
        <w:t>) and white-headed duck (</w:t>
      </w:r>
      <w:r w:rsidRPr="0088780C">
        <w:rPr>
          <w:rFonts w:eastAsia="MS Mincho"/>
          <w:i/>
          <w:iCs/>
          <w:snapToGrid w:val="0"/>
          <w:kern w:val="22"/>
          <w:szCs w:val="22"/>
        </w:rPr>
        <w:t>Oxyura</w:t>
      </w:r>
      <w:r w:rsidRPr="0088780C">
        <w:rPr>
          <w:rFonts w:eastAsia="MS Mincho"/>
          <w:snapToGrid w:val="0"/>
          <w:kern w:val="22"/>
          <w:szCs w:val="22"/>
        </w:rPr>
        <w:t xml:space="preserve"> </w:t>
      </w:r>
      <w:r w:rsidRPr="0088780C">
        <w:rPr>
          <w:rFonts w:eastAsia="MS Mincho"/>
          <w:i/>
          <w:iCs/>
          <w:snapToGrid w:val="0"/>
          <w:kern w:val="22"/>
          <w:szCs w:val="22"/>
        </w:rPr>
        <w:t>leucocephala</w:t>
      </w:r>
      <w:r w:rsidRPr="0088780C">
        <w:rPr>
          <w:rFonts w:eastAsia="MS Mincho"/>
          <w:snapToGrid w:val="0"/>
          <w:kern w:val="22"/>
          <w:szCs w:val="22"/>
        </w:rPr>
        <w:t>), five species of Ardeidae and greater flamingo (</w:t>
      </w:r>
      <w:r w:rsidRPr="0088780C">
        <w:rPr>
          <w:rFonts w:eastAsia="MS Mincho"/>
          <w:i/>
          <w:iCs/>
          <w:snapToGrid w:val="0"/>
          <w:kern w:val="22"/>
          <w:szCs w:val="22"/>
        </w:rPr>
        <w:t>Phoenicopterus</w:t>
      </w:r>
      <w:r w:rsidRPr="0088780C">
        <w:rPr>
          <w:rFonts w:eastAsia="MS Mincho"/>
          <w:snapToGrid w:val="0"/>
          <w:kern w:val="22"/>
          <w:szCs w:val="22"/>
        </w:rPr>
        <w:t xml:space="preserve"> </w:t>
      </w:r>
      <w:r w:rsidRPr="0088780C">
        <w:rPr>
          <w:rFonts w:eastAsia="MS Mincho"/>
          <w:i/>
          <w:iCs/>
          <w:snapToGrid w:val="0"/>
          <w:kern w:val="22"/>
          <w:szCs w:val="22"/>
        </w:rPr>
        <w:t>ruber</w:t>
      </w:r>
      <w:r w:rsidRPr="0088780C">
        <w:rPr>
          <w:rFonts w:eastAsia="MS Mincho"/>
          <w:snapToGrid w:val="0"/>
          <w:kern w:val="22"/>
          <w:szCs w:val="22"/>
        </w:rPr>
        <w:t>),</w:t>
      </w:r>
      <w:r w:rsidRPr="0088780C">
        <w:rPr>
          <w:rFonts w:eastAsia="MS Mincho"/>
          <w:iCs/>
          <w:snapToGrid w:val="0"/>
          <w:kern w:val="22"/>
          <w:szCs w:val="22"/>
        </w:rPr>
        <w:t xml:space="preserve"> the critically endangered sociable lapwing (</w:t>
      </w:r>
      <w:r w:rsidRPr="0088780C">
        <w:rPr>
          <w:rFonts w:eastAsia="MS Mincho"/>
          <w:i/>
          <w:snapToGrid w:val="0"/>
          <w:kern w:val="22"/>
          <w:szCs w:val="22"/>
        </w:rPr>
        <w:t>Vanellus</w:t>
      </w:r>
      <w:r w:rsidRPr="0088780C">
        <w:rPr>
          <w:rFonts w:eastAsia="MS Mincho"/>
          <w:iCs/>
          <w:snapToGrid w:val="0"/>
          <w:kern w:val="22"/>
          <w:szCs w:val="22"/>
        </w:rPr>
        <w:t xml:space="preserve"> </w:t>
      </w:r>
      <w:r w:rsidRPr="0088780C">
        <w:rPr>
          <w:rFonts w:eastAsia="MS Mincho"/>
          <w:i/>
          <w:snapToGrid w:val="0"/>
          <w:kern w:val="22"/>
          <w:szCs w:val="22"/>
        </w:rPr>
        <w:t>gregarius</w:t>
      </w:r>
      <w:r w:rsidRPr="0088780C">
        <w:rPr>
          <w:rFonts w:eastAsia="MS Mincho"/>
          <w:iCs/>
          <w:snapToGrid w:val="0"/>
          <w:kern w:val="22"/>
          <w:szCs w:val="22"/>
        </w:rPr>
        <w:t>) and the near threatened ferruginous duck (</w:t>
      </w:r>
      <w:r w:rsidRPr="0088780C">
        <w:rPr>
          <w:rFonts w:eastAsia="MS Mincho"/>
          <w:i/>
          <w:snapToGrid w:val="0"/>
          <w:kern w:val="22"/>
          <w:szCs w:val="22"/>
        </w:rPr>
        <w:t>Aythya</w:t>
      </w:r>
      <w:r w:rsidRPr="0088780C">
        <w:rPr>
          <w:rFonts w:eastAsia="MS Mincho"/>
          <w:iCs/>
          <w:snapToGrid w:val="0"/>
          <w:kern w:val="22"/>
          <w:szCs w:val="22"/>
        </w:rPr>
        <w:t xml:space="preserve"> </w:t>
      </w:r>
      <w:r w:rsidRPr="0088780C">
        <w:rPr>
          <w:rFonts w:eastAsia="MS Mincho"/>
          <w:i/>
          <w:snapToGrid w:val="0"/>
          <w:kern w:val="22"/>
          <w:szCs w:val="22"/>
        </w:rPr>
        <w:t>nyroca</w:t>
      </w:r>
      <w:r w:rsidRPr="0088780C">
        <w:rPr>
          <w:rFonts w:eastAsia="MS Mincho"/>
          <w:iCs/>
          <w:snapToGrid w:val="0"/>
          <w:kern w:val="22"/>
          <w:szCs w:val="22"/>
        </w:rPr>
        <w:t xml:space="preserve">) </w:t>
      </w:r>
      <w:r w:rsidRPr="0088780C">
        <w:rPr>
          <w:rFonts w:eastAsia="MS Mincho"/>
          <w:snapToGrid w:val="0"/>
          <w:kern w:val="22"/>
          <w:szCs w:val="22"/>
        </w:rPr>
        <w:t xml:space="preserve">are of particular note (Behrouzi-Rad and Ghaeimi, 2015; </w:t>
      </w:r>
      <w:r w:rsidRPr="0088780C">
        <w:rPr>
          <w:snapToGrid w:val="0"/>
          <w:kern w:val="22"/>
          <w:szCs w:val="22"/>
        </w:rPr>
        <w:t>BirdLife International</w:t>
      </w:r>
      <w:r w:rsidRPr="0088780C">
        <w:rPr>
          <w:rFonts w:eastAsia="MS Mincho"/>
          <w:snapToGrid w:val="0"/>
          <w:kern w:val="22"/>
          <w:szCs w:val="22"/>
        </w:rPr>
        <w:t>; UNECE, 2011).</w:t>
      </w:r>
    </w:p>
    <w:p w14:paraId="56D063F9"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3982738"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Lapoo-Zaghmarz Ab-Bandans are long, narrow freshwater lagoons located at the landward end of Miankaleh Peninsula, about 10 km west of Gorgan Bay. They support extensive reedbeds and fringing vegetation like </w:t>
      </w:r>
      <w:r w:rsidRPr="0088780C">
        <w:rPr>
          <w:rFonts w:eastAsia="MS Mincho"/>
          <w:i/>
          <w:snapToGrid w:val="0"/>
          <w:kern w:val="22"/>
          <w:szCs w:val="22"/>
        </w:rPr>
        <w:t>Salix</w:t>
      </w:r>
      <w:r w:rsidRPr="0088780C">
        <w:rPr>
          <w:rFonts w:eastAsia="MS Mincho"/>
          <w:iCs/>
          <w:snapToGrid w:val="0"/>
          <w:kern w:val="22"/>
          <w:szCs w:val="22"/>
        </w:rPr>
        <w:t xml:space="preserve">. The area is extremely important for breeding, passage and wintering waterfowl. It provides wintering habitat to four species of threatened birds: </w:t>
      </w:r>
      <w:r w:rsidRPr="0088780C">
        <w:rPr>
          <w:rFonts w:eastAsia="MS Mincho"/>
          <w:i/>
          <w:snapToGrid w:val="0"/>
          <w:kern w:val="22"/>
          <w:szCs w:val="22"/>
        </w:rPr>
        <w:t>Pelecanus</w:t>
      </w:r>
      <w:r w:rsidRPr="0088780C">
        <w:rPr>
          <w:rFonts w:eastAsia="MS Mincho"/>
          <w:iCs/>
          <w:snapToGrid w:val="0"/>
          <w:kern w:val="22"/>
          <w:szCs w:val="22"/>
        </w:rPr>
        <w:t xml:space="preserve"> </w:t>
      </w:r>
      <w:r w:rsidRPr="0088780C">
        <w:rPr>
          <w:rFonts w:eastAsia="MS Mincho"/>
          <w:i/>
          <w:snapToGrid w:val="0"/>
          <w:kern w:val="22"/>
          <w:szCs w:val="22"/>
        </w:rPr>
        <w:t>crispus</w:t>
      </w:r>
      <w:r w:rsidRPr="0088780C">
        <w:rPr>
          <w:rFonts w:eastAsia="MS Mincho"/>
          <w:iCs/>
          <w:snapToGrid w:val="0"/>
          <w:kern w:val="22"/>
          <w:szCs w:val="22"/>
        </w:rPr>
        <w:t xml:space="preserve">, </w:t>
      </w:r>
      <w:r w:rsidRPr="0088780C">
        <w:rPr>
          <w:rFonts w:eastAsia="MS Mincho"/>
          <w:i/>
          <w:snapToGrid w:val="0"/>
          <w:kern w:val="22"/>
          <w:szCs w:val="22"/>
        </w:rPr>
        <w:t>Microcarbo pygmaeus</w:t>
      </w:r>
      <w:r w:rsidRPr="0088780C">
        <w:rPr>
          <w:rFonts w:eastAsia="MS Mincho"/>
          <w:iCs/>
          <w:snapToGrid w:val="0"/>
          <w:kern w:val="22"/>
          <w:szCs w:val="22"/>
        </w:rPr>
        <w:t xml:space="preserve">, </w:t>
      </w:r>
      <w:r w:rsidRPr="0088780C">
        <w:rPr>
          <w:rFonts w:eastAsia="MS Mincho"/>
          <w:i/>
          <w:snapToGrid w:val="0"/>
          <w:kern w:val="22"/>
          <w:szCs w:val="22"/>
        </w:rPr>
        <w:t>Oxyura</w:t>
      </w:r>
      <w:r w:rsidRPr="0088780C">
        <w:rPr>
          <w:rFonts w:eastAsia="MS Mincho"/>
          <w:iCs/>
          <w:snapToGrid w:val="0"/>
          <w:kern w:val="22"/>
          <w:szCs w:val="22"/>
        </w:rPr>
        <w:t xml:space="preserve"> </w:t>
      </w:r>
      <w:r w:rsidRPr="0088780C">
        <w:rPr>
          <w:rFonts w:eastAsia="MS Mincho"/>
          <w:i/>
          <w:snapToGrid w:val="0"/>
          <w:kern w:val="22"/>
          <w:szCs w:val="22"/>
        </w:rPr>
        <w:t>leucocephala</w:t>
      </w:r>
      <w:r w:rsidRPr="0088780C">
        <w:rPr>
          <w:rFonts w:eastAsia="MS Mincho"/>
          <w:iCs/>
          <w:snapToGrid w:val="0"/>
          <w:kern w:val="22"/>
          <w:szCs w:val="22"/>
        </w:rPr>
        <w:t xml:space="preserve"> and </w:t>
      </w:r>
      <w:r w:rsidRPr="0088780C">
        <w:rPr>
          <w:rFonts w:eastAsia="MS Mincho"/>
          <w:i/>
          <w:snapToGrid w:val="0"/>
          <w:kern w:val="22"/>
          <w:szCs w:val="22"/>
        </w:rPr>
        <w:t>Aquila</w:t>
      </w:r>
      <w:r w:rsidRPr="0088780C">
        <w:rPr>
          <w:rFonts w:eastAsia="MS Mincho"/>
          <w:iCs/>
          <w:snapToGrid w:val="0"/>
          <w:kern w:val="22"/>
          <w:szCs w:val="22"/>
        </w:rPr>
        <w:t xml:space="preserve"> </w:t>
      </w:r>
      <w:r w:rsidRPr="0088780C">
        <w:rPr>
          <w:rFonts w:eastAsia="MS Mincho"/>
          <w:i/>
          <w:snapToGrid w:val="0"/>
          <w:kern w:val="22"/>
          <w:szCs w:val="22"/>
        </w:rPr>
        <w:t xml:space="preserve">heliaca </w:t>
      </w:r>
      <w:r w:rsidRPr="0088780C">
        <w:rPr>
          <w:rFonts w:eastAsia="MS Mincho"/>
          <w:iCs/>
          <w:snapToGrid w:val="0"/>
          <w:kern w:val="22"/>
          <w:szCs w:val="22"/>
        </w:rPr>
        <w:t>(</w:t>
      </w:r>
      <w:r w:rsidRPr="0088780C">
        <w:rPr>
          <w:rFonts w:eastAsia="MS Mincho"/>
          <w:snapToGrid w:val="0"/>
          <w:kern w:val="22"/>
          <w:szCs w:val="22"/>
        </w:rPr>
        <w:t>Ramsar Convention Bureau, 1997)</w:t>
      </w:r>
      <w:r w:rsidRPr="0088780C">
        <w:rPr>
          <w:rFonts w:eastAsia="MS Mincho"/>
          <w:iCs/>
          <w:snapToGrid w:val="0"/>
          <w:kern w:val="22"/>
          <w:szCs w:val="22"/>
        </w:rPr>
        <w:t xml:space="preserve">. This area supports over 1% of the regional Middle East breeding populations of the waterbirds </w:t>
      </w:r>
      <w:r w:rsidRPr="0088780C">
        <w:rPr>
          <w:rFonts w:eastAsia="MS Mincho"/>
          <w:i/>
          <w:snapToGrid w:val="0"/>
          <w:kern w:val="22"/>
          <w:szCs w:val="22"/>
        </w:rPr>
        <w:t>Glareola</w:t>
      </w:r>
      <w:r w:rsidRPr="0088780C">
        <w:rPr>
          <w:rFonts w:eastAsia="MS Mincho"/>
          <w:iCs/>
          <w:snapToGrid w:val="0"/>
          <w:kern w:val="22"/>
          <w:szCs w:val="22"/>
        </w:rPr>
        <w:t xml:space="preserve"> </w:t>
      </w:r>
      <w:r w:rsidRPr="0088780C">
        <w:rPr>
          <w:rFonts w:eastAsia="MS Mincho"/>
          <w:i/>
          <w:snapToGrid w:val="0"/>
          <w:kern w:val="22"/>
          <w:szCs w:val="22"/>
        </w:rPr>
        <w:t>pratincola</w:t>
      </w:r>
      <w:r w:rsidRPr="0088780C">
        <w:rPr>
          <w:rFonts w:eastAsia="MS Mincho"/>
          <w:iCs/>
          <w:snapToGrid w:val="0"/>
          <w:kern w:val="22"/>
          <w:szCs w:val="22"/>
        </w:rPr>
        <w:t xml:space="preserve"> and </w:t>
      </w:r>
      <w:r w:rsidRPr="0088780C">
        <w:rPr>
          <w:rFonts w:eastAsia="MS Mincho"/>
          <w:i/>
          <w:snapToGrid w:val="0"/>
          <w:kern w:val="22"/>
          <w:szCs w:val="22"/>
        </w:rPr>
        <w:t>Sterna</w:t>
      </w:r>
      <w:r w:rsidRPr="0088780C">
        <w:rPr>
          <w:rFonts w:eastAsia="MS Mincho"/>
          <w:iCs/>
          <w:snapToGrid w:val="0"/>
          <w:kern w:val="22"/>
          <w:szCs w:val="22"/>
        </w:rPr>
        <w:t xml:space="preserve"> </w:t>
      </w:r>
      <w:r w:rsidRPr="0088780C">
        <w:rPr>
          <w:rFonts w:eastAsia="MS Mincho"/>
          <w:i/>
          <w:snapToGrid w:val="0"/>
          <w:kern w:val="22"/>
          <w:szCs w:val="22"/>
        </w:rPr>
        <w:t>albifrons</w:t>
      </w:r>
      <w:r w:rsidRPr="0088780C">
        <w:rPr>
          <w:rFonts w:eastAsia="MS Mincho"/>
          <w:iCs/>
          <w:snapToGrid w:val="0"/>
          <w:kern w:val="22"/>
          <w:szCs w:val="22"/>
        </w:rPr>
        <w:t xml:space="preserve"> and during the migration seasons and in winter, supports over 1% of the regional populations of at least 32 species of waterfowl (Ramsar Information Sheet). The Lapoo-Zaghmarz Ab-Bandans regularly support over 1% of the regional wintering population of </w:t>
      </w:r>
      <w:r w:rsidRPr="0088780C">
        <w:rPr>
          <w:rFonts w:eastAsia="MS Mincho"/>
          <w:i/>
          <w:snapToGrid w:val="0"/>
          <w:kern w:val="22"/>
          <w:szCs w:val="22"/>
        </w:rPr>
        <w:t>Anas</w:t>
      </w:r>
      <w:r w:rsidRPr="0088780C">
        <w:rPr>
          <w:rFonts w:eastAsia="MS Mincho"/>
          <w:iCs/>
          <w:snapToGrid w:val="0"/>
          <w:kern w:val="22"/>
          <w:szCs w:val="22"/>
        </w:rPr>
        <w:t xml:space="preserve"> </w:t>
      </w:r>
      <w:r w:rsidRPr="0088780C">
        <w:rPr>
          <w:rFonts w:eastAsia="MS Mincho"/>
          <w:i/>
          <w:snapToGrid w:val="0"/>
          <w:kern w:val="22"/>
          <w:szCs w:val="22"/>
        </w:rPr>
        <w:t>strepera</w:t>
      </w:r>
      <w:r w:rsidRPr="0088780C">
        <w:rPr>
          <w:rFonts w:eastAsia="MS Mincho"/>
          <w:iCs/>
          <w:snapToGrid w:val="0"/>
          <w:kern w:val="22"/>
          <w:szCs w:val="22"/>
        </w:rPr>
        <w:t>.</w:t>
      </w:r>
    </w:p>
    <w:p w14:paraId="430D3BCD" w14:textId="77777777" w:rsidR="003A5626" w:rsidRPr="0088780C" w:rsidRDefault="003A5626" w:rsidP="001013AF">
      <w:pPr>
        <w:suppressLineNumbers/>
        <w:suppressAutoHyphens/>
        <w:kinsoku w:val="0"/>
        <w:overflowPunct w:val="0"/>
        <w:autoSpaceDE w:val="0"/>
        <w:autoSpaceDN w:val="0"/>
        <w:rPr>
          <w:rFonts w:eastAsia="MS Mincho"/>
          <w:iCs/>
          <w:snapToGrid w:val="0"/>
          <w:kern w:val="22"/>
          <w:szCs w:val="22"/>
        </w:rPr>
      </w:pPr>
    </w:p>
    <w:p w14:paraId="4F254810" w14:textId="3C69536D"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The Miankaleh Peninsula, Gorgan Bay and the nearby Lapo-</w:t>
      </w:r>
      <w:r w:rsidRPr="0088780C">
        <w:rPr>
          <w:rFonts w:eastAsia="MS Mincho"/>
          <w:iCs/>
          <w:snapToGrid w:val="0"/>
          <w:kern w:val="22"/>
          <w:szCs w:val="22"/>
          <w:rtl/>
        </w:rPr>
        <w:t xml:space="preserve"> </w:t>
      </w:r>
      <w:r w:rsidRPr="0088780C">
        <w:rPr>
          <w:rFonts w:eastAsia="MS Mincho"/>
          <w:iCs/>
          <w:snapToGrid w:val="0"/>
          <w:kern w:val="22"/>
          <w:szCs w:val="22"/>
        </w:rPr>
        <w:t xml:space="preserve">Zaghmarz Ab-Bandans were designated as a Ramsar Site of 100,000 ha in 1975. The entire wildlife refuge was designated as </w:t>
      </w:r>
      <w:r w:rsidR="00E5062E" w:rsidRPr="0088780C">
        <w:rPr>
          <w:rFonts w:eastAsia="MS Mincho"/>
          <w:iCs/>
          <w:snapToGrid w:val="0"/>
          <w:kern w:val="22"/>
          <w:szCs w:val="22"/>
        </w:rPr>
        <w:t xml:space="preserve">a </w:t>
      </w:r>
      <w:r w:rsidRPr="0088780C">
        <w:rPr>
          <w:rFonts w:eastAsia="MS Mincho"/>
          <w:iCs/>
          <w:snapToGrid w:val="0"/>
          <w:kern w:val="22"/>
          <w:szCs w:val="22"/>
        </w:rPr>
        <w:t>Biosphere Reserve in 1976.</w:t>
      </w:r>
    </w:p>
    <w:p w14:paraId="644A7AE8"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185A021B" w14:textId="33BA6BC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Gomishan Lagoon is an important feeding ground for at least 20 fish species belonging to eight families (Naddafi et al., 2005). The most common species are </w:t>
      </w:r>
      <w:r w:rsidRPr="0088780C">
        <w:rPr>
          <w:rFonts w:eastAsia="MS Mincho"/>
          <w:i/>
          <w:snapToGrid w:val="0"/>
          <w:kern w:val="22"/>
          <w:szCs w:val="22"/>
        </w:rPr>
        <w:t>Atherina</w:t>
      </w:r>
      <w:r w:rsidRPr="0088780C">
        <w:rPr>
          <w:rFonts w:eastAsia="MS Mincho"/>
          <w:iCs/>
          <w:snapToGrid w:val="0"/>
          <w:kern w:val="22"/>
          <w:szCs w:val="22"/>
        </w:rPr>
        <w:t xml:space="preserve"> </w:t>
      </w:r>
      <w:r w:rsidRPr="0088780C">
        <w:rPr>
          <w:rFonts w:eastAsia="MS Mincho"/>
          <w:i/>
          <w:snapToGrid w:val="0"/>
          <w:kern w:val="22"/>
          <w:szCs w:val="22"/>
        </w:rPr>
        <w:t>boyeri</w:t>
      </w:r>
      <w:r w:rsidRPr="0088780C">
        <w:rPr>
          <w:rFonts w:eastAsia="MS Mincho"/>
          <w:iCs/>
          <w:snapToGrid w:val="0"/>
          <w:kern w:val="22"/>
          <w:szCs w:val="22"/>
        </w:rPr>
        <w:t xml:space="preserve">, </w:t>
      </w:r>
      <w:r w:rsidRPr="0088780C">
        <w:rPr>
          <w:rFonts w:eastAsia="MS Mincho"/>
          <w:i/>
          <w:snapToGrid w:val="0"/>
          <w:kern w:val="22"/>
          <w:szCs w:val="22"/>
        </w:rPr>
        <w:t>Neogobius</w:t>
      </w:r>
      <w:r w:rsidRPr="0088780C">
        <w:rPr>
          <w:rFonts w:eastAsia="MS Mincho"/>
          <w:iCs/>
          <w:snapToGrid w:val="0"/>
          <w:kern w:val="22"/>
          <w:szCs w:val="22"/>
        </w:rPr>
        <w:t xml:space="preserve"> spp. and the invasive alien species </w:t>
      </w:r>
      <w:r w:rsidRPr="0088780C">
        <w:rPr>
          <w:rFonts w:eastAsia="MS Mincho"/>
          <w:i/>
          <w:snapToGrid w:val="0"/>
          <w:kern w:val="22"/>
          <w:szCs w:val="22"/>
        </w:rPr>
        <w:t>Liza</w:t>
      </w:r>
      <w:r w:rsidRPr="0088780C">
        <w:rPr>
          <w:rFonts w:eastAsia="MS Mincho"/>
          <w:iCs/>
          <w:snapToGrid w:val="0"/>
          <w:kern w:val="22"/>
          <w:szCs w:val="22"/>
        </w:rPr>
        <w:t xml:space="preserve"> </w:t>
      </w:r>
      <w:r w:rsidRPr="0088780C">
        <w:rPr>
          <w:rFonts w:eastAsia="MS Mincho"/>
          <w:i/>
          <w:snapToGrid w:val="0"/>
          <w:kern w:val="22"/>
          <w:szCs w:val="22"/>
        </w:rPr>
        <w:t>saliens</w:t>
      </w:r>
      <w:r w:rsidRPr="0088780C">
        <w:rPr>
          <w:rFonts w:eastAsia="MS Mincho"/>
          <w:iCs/>
          <w:snapToGrid w:val="0"/>
          <w:kern w:val="22"/>
          <w:szCs w:val="22"/>
        </w:rPr>
        <w:t xml:space="preserve"> (Kiabi et al., 1999a; Yazdandad, 2000). The area is also an important migratory path for Caspian roach </w:t>
      </w:r>
      <w:r w:rsidRPr="0088780C">
        <w:rPr>
          <w:rFonts w:eastAsia="MS Mincho"/>
          <w:i/>
          <w:snapToGrid w:val="0"/>
          <w:kern w:val="22"/>
          <w:szCs w:val="22"/>
        </w:rPr>
        <w:t>Rutilus rutilus caspicus,</w:t>
      </w:r>
      <w:r w:rsidRPr="0088780C">
        <w:rPr>
          <w:rFonts w:eastAsia="MS Mincho"/>
          <w:iCs/>
          <w:snapToGrid w:val="0"/>
          <w:kern w:val="22"/>
          <w:szCs w:val="22"/>
        </w:rPr>
        <w:t xml:space="preserve"> which migrates into the lagoon from the Caspian Sea during winter and spring seasons (UNECE, 2011). During the spawning season, the sand smelt (</w:t>
      </w:r>
      <w:r w:rsidRPr="0088780C">
        <w:rPr>
          <w:rFonts w:eastAsia="MS Mincho"/>
          <w:i/>
          <w:snapToGrid w:val="0"/>
          <w:kern w:val="22"/>
          <w:szCs w:val="22"/>
        </w:rPr>
        <w:t>Atherina</w:t>
      </w:r>
      <w:r w:rsidRPr="0088780C">
        <w:rPr>
          <w:rFonts w:eastAsia="MS Mincho"/>
          <w:iCs/>
          <w:snapToGrid w:val="0"/>
          <w:kern w:val="22"/>
          <w:szCs w:val="22"/>
        </w:rPr>
        <w:t xml:space="preserve"> </w:t>
      </w:r>
      <w:r w:rsidRPr="0088780C">
        <w:rPr>
          <w:rFonts w:eastAsia="MS Mincho"/>
          <w:i/>
          <w:snapToGrid w:val="0"/>
          <w:kern w:val="22"/>
          <w:szCs w:val="22"/>
        </w:rPr>
        <w:t>boyeri</w:t>
      </w:r>
      <w:r w:rsidRPr="0088780C">
        <w:rPr>
          <w:rFonts w:eastAsia="MS Mincho"/>
          <w:iCs/>
          <w:snapToGrid w:val="0"/>
          <w:kern w:val="22"/>
          <w:szCs w:val="22"/>
        </w:rPr>
        <w:t xml:space="preserve">) is found in high abundance in the Gomishan Lagoon and Gorgan Bay, which are considered the most important spawning grounds for this species in the </w:t>
      </w:r>
      <w:r w:rsidR="00953367" w:rsidRPr="0088780C">
        <w:rPr>
          <w:rFonts w:eastAsia="MS Mincho"/>
          <w:iCs/>
          <w:snapToGrid w:val="0"/>
          <w:kern w:val="22"/>
          <w:szCs w:val="22"/>
        </w:rPr>
        <w:t>south-east</w:t>
      </w:r>
      <w:r w:rsidRPr="0088780C">
        <w:rPr>
          <w:rFonts w:eastAsia="MS Mincho"/>
          <w:iCs/>
          <w:snapToGrid w:val="0"/>
          <w:kern w:val="22"/>
          <w:szCs w:val="22"/>
        </w:rPr>
        <w:t xml:space="preserve"> Caspian Sea (Kiabi et al., 1999a; Patimar et al., 2009b).</w:t>
      </w:r>
    </w:p>
    <w:p w14:paraId="500F87E5"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7EDD3DF8" w14:textId="11C58272"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Gorgan Bay is believed to play a major role as a spawning and nursery ground for fish populations and is a site of the highest priority for fish biodiversity conservation (Ramsar Information Sheet; Kiabi et al., 1999a).</w:t>
      </w:r>
    </w:p>
    <w:p w14:paraId="089F54E0"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6387B990" w14:textId="2FB2516B"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area supports 42 fish species, more than 90% of the fish fauna of the southern Caspian Sea. At least 21 fish species have also been recorded from Gorgan Bay (Abdoli &amp; Naderi, 2009; Kiabi et al., 1999a). The waters of Gorgan Bay and nearby Miankaleh Peninsula are important foraging grounds </w:t>
      </w:r>
      <w:r w:rsidRPr="0088780C">
        <w:rPr>
          <w:snapToGrid w:val="0"/>
          <w:kern w:val="22"/>
          <w:szCs w:val="22"/>
        </w:rPr>
        <w:t xml:space="preserve">for all five critically endangered species of sturgeon, including </w:t>
      </w:r>
      <w:r w:rsidRPr="0088780C">
        <w:rPr>
          <w:i/>
          <w:iCs/>
          <w:snapToGrid w:val="0"/>
          <w:kern w:val="22"/>
          <w:szCs w:val="22"/>
        </w:rPr>
        <w:t>Acipenser</w:t>
      </w:r>
      <w:r w:rsidRPr="0088780C">
        <w:rPr>
          <w:snapToGrid w:val="0"/>
          <w:kern w:val="22"/>
          <w:szCs w:val="22"/>
        </w:rPr>
        <w:t xml:space="preserve"> </w:t>
      </w:r>
      <w:r w:rsidRPr="0088780C">
        <w:rPr>
          <w:i/>
          <w:iCs/>
          <w:snapToGrid w:val="0"/>
          <w:kern w:val="22"/>
          <w:szCs w:val="22"/>
        </w:rPr>
        <w:t>gueldenstaedtii</w:t>
      </w:r>
      <w:r w:rsidRPr="0088780C">
        <w:rPr>
          <w:snapToGrid w:val="0"/>
          <w:kern w:val="22"/>
          <w:szCs w:val="22"/>
        </w:rPr>
        <w:t xml:space="preserve">, </w:t>
      </w:r>
      <w:r w:rsidRPr="0088780C">
        <w:rPr>
          <w:i/>
          <w:iCs/>
          <w:snapToGrid w:val="0"/>
          <w:kern w:val="22"/>
          <w:szCs w:val="22"/>
        </w:rPr>
        <w:t>A. nudiventris</w:t>
      </w:r>
      <w:r w:rsidRPr="0088780C">
        <w:rPr>
          <w:snapToGrid w:val="0"/>
          <w:kern w:val="22"/>
          <w:szCs w:val="22"/>
        </w:rPr>
        <w:t xml:space="preserve">, </w:t>
      </w:r>
      <w:r w:rsidRPr="0088780C">
        <w:rPr>
          <w:i/>
          <w:iCs/>
          <w:snapToGrid w:val="0"/>
          <w:kern w:val="22"/>
          <w:szCs w:val="22"/>
        </w:rPr>
        <w:t>A. persicus</w:t>
      </w:r>
      <w:r w:rsidRPr="0088780C">
        <w:rPr>
          <w:snapToGrid w:val="0"/>
          <w:kern w:val="22"/>
          <w:szCs w:val="22"/>
        </w:rPr>
        <w:t xml:space="preserve">, </w:t>
      </w:r>
      <w:r w:rsidRPr="0088780C">
        <w:rPr>
          <w:i/>
          <w:iCs/>
          <w:snapToGrid w:val="0"/>
          <w:kern w:val="22"/>
          <w:szCs w:val="22"/>
        </w:rPr>
        <w:t>A. stellatus</w:t>
      </w:r>
      <w:r w:rsidRPr="0088780C">
        <w:rPr>
          <w:snapToGrid w:val="0"/>
          <w:kern w:val="22"/>
          <w:szCs w:val="22"/>
        </w:rPr>
        <w:t xml:space="preserve"> and </w:t>
      </w:r>
      <w:r w:rsidRPr="0088780C">
        <w:rPr>
          <w:i/>
          <w:iCs/>
          <w:snapToGrid w:val="0"/>
          <w:kern w:val="22"/>
          <w:szCs w:val="22"/>
        </w:rPr>
        <w:t>Huso huso</w:t>
      </w:r>
      <w:r w:rsidRPr="0088780C">
        <w:rPr>
          <w:snapToGrid w:val="0"/>
          <w:kern w:val="22"/>
          <w:szCs w:val="22"/>
        </w:rPr>
        <w:t xml:space="preserve"> (Kiabi et al., 1999a; </w:t>
      </w:r>
      <w:r w:rsidRPr="0088780C">
        <w:rPr>
          <w:rFonts w:eastAsia="MS Mincho"/>
          <w:iCs/>
          <w:snapToGrid w:val="0"/>
          <w:kern w:val="22"/>
          <w:szCs w:val="22"/>
        </w:rPr>
        <w:t>UNEP-WCMC, 2010</w:t>
      </w:r>
      <w:r w:rsidRPr="0088780C">
        <w:rPr>
          <w:snapToGrid w:val="0"/>
          <w:kern w:val="22"/>
          <w:szCs w:val="22"/>
        </w:rPr>
        <w:t>).</w:t>
      </w:r>
      <w:r w:rsidRPr="0088780C">
        <w:rPr>
          <w:rFonts w:eastAsia="MS Mincho"/>
          <w:iCs/>
          <w:snapToGrid w:val="0"/>
          <w:kern w:val="22"/>
          <w:szCs w:val="22"/>
        </w:rPr>
        <w:t xml:space="preserve"> There are two major inlets of importance from the fisheries point of view for sturgeon in Iran: Anzali Lagoon,</w:t>
      </w:r>
      <w:r w:rsidR="00E5062E" w:rsidRPr="0088780C">
        <w:rPr>
          <w:rFonts w:eastAsia="MS Mincho"/>
          <w:iCs/>
          <w:snapToGrid w:val="0"/>
          <w:kern w:val="22"/>
          <w:szCs w:val="22"/>
        </w:rPr>
        <w:t xml:space="preserve"> </w:t>
      </w:r>
      <w:r w:rsidRPr="0088780C">
        <w:rPr>
          <w:rFonts w:eastAsia="MS Mincho"/>
          <w:iCs/>
          <w:snapToGrid w:val="0"/>
          <w:kern w:val="22"/>
          <w:szCs w:val="22"/>
        </w:rPr>
        <w:t>south-west Caspian Sea, and Gorgan Bay in south-east Caspian Sea (</w:t>
      </w:r>
      <w:r w:rsidRPr="0088780C">
        <w:rPr>
          <w:snapToGrid w:val="0"/>
          <w:kern w:val="22"/>
          <w:szCs w:val="22"/>
          <w:shd w:val="clear" w:color="auto" w:fill="FFFFFF"/>
        </w:rPr>
        <w:t>Abdolhay, 2004</w:t>
      </w:r>
      <w:r w:rsidRPr="0088780C">
        <w:rPr>
          <w:rFonts w:eastAsia="MS Mincho"/>
          <w:iCs/>
          <w:snapToGrid w:val="0"/>
          <w:kern w:val="22"/>
          <w:szCs w:val="22"/>
        </w:rPr>
        <w:t>).</w:t>
      </w:r>
    </w:p>
    <w:p w14:paraId="68E6BF3F"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7743D057"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The fish species recorded by Kiabi et al. (1999a) and Abdoli &amp; Naderi (2009) in the Gorgan Bay include:</w:t>
      </w:r>
    </w:p>
    <w:p w14:paraId="7F9C8E7D" w14:textId="6129F806" w:rsidR="00A876F3" w:rsidRPr="0088780C" w:rsidRDefault="00A876F3" w:rsidP="001013AF">
      <w:pPr>
        <w:suppressLineNumbers/>
        <w:suppressAutoHyphens/>
        <w:kinsoku w:val="0"/>
        <w:overflowPunct w:val="0"/>
        <w:autoSpaceDE w:val="0"/>
        <w:autoSpaceDN w:val="0"/>
        <w:rPr>
          <w:snapToGrid w:val="0"/>
          <w:kern w:val="22"/>
          <w:szCs w:val="22"/>
        </w:rPr>
      </w:pPr>
      <w:r w:rsidRPr="0088780C">
        <w:rPr>
          <w:i/>
          <w:iCs/>
          <w:snapToGrid w:val="0"/>
          <w:kern w:val="22"/>
          <w:szCs w:val="22"/>
        </w:rPr>
        <w:t>Acipenser stellatus, Alburnus chalcoides, Alosa caspia lenipowitschi, Alosa caspia persica, Atherina boyeri, Benthophilus baeri, Benthophilus leobergi, Capoeta capoeta gracilis, Caspiomyzon wagneri, Clupeonella engrauliformis, Cyprinus carpio, Knipowitschia caucasica, Neogobius caspius, Neogobius fluviatilis, Neogobius gorlap, Neogobius kessleri, Neogobius melanostomus, Rutilus frisii kutum, Salmo caspius, Sander lucioperca, Syngnathus abaster, Vimba vimba</w:t>
      </w:r>
      <w:r w:rsidRPr="0088780C">
        <w:rPr>
          <w:snapToGrid w:val="0"/>
          <w:kern w:val="22"/>
          <w:szCs w:val="22"/>
        </w:rPr>
        <w:t>.</w:t>
      </w:r>
    </w:p>
    <w:p w14:paraId="34135F66"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663FADFC"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At least 94 species and varieties of phytoplankton (seven genera) have been recorded in the area. The </w:t>
      </w:r>
      <w:r w:rsidRPr="0088780C">
        <w:rPr>
          <w:rFonts w:eastAsia="MS Mincho"/>
          <w:i/>
          <w:snapToGrid w:val="0"/>
          <w:kern w:val="22"/>
          <w:szCs w:val="22"/>
        </w:rPr>
        <w:t>Chlorophyta</w:t>
      </w:r>
      <w:r w:rsidRPr="0088780C">
        <w:rPr>
          <w:rFonts w:eastAsia="MS Mincho"/>
          <w:iCs/>
          <w:snapToGrid w:val="0"/>
          <w:kern w:val="22"/>
          <w:szCs w:val="22"/>
        </w:rPr>
        <w:t xml:space="preserve"> and </w:t>
      </w:r>
      <w:r w:rsidRPr="0088780C">
        <w:rPr>
          <w:rFonts w:eastAsia="MS Mincho"/>
          <w:i/>
          <w:snapToGrid w:val="0"/>
          <w:kern w:val="22"/>
          <w:szCs w:val="22"/>
        </w:rPr>
        <w:t>Bacillariophyta</w:t>
      </w:r>
      <w:r w:rsidRPr="0088780C">
        <w:rPr>
          <w:rFonts w:eastAsia="MS Mincho"/>
          <w:iCs/>
          <w:snapToGrid w:val="0"/>
          <w:kern w:val="22"/>
          <w:szCs w:val="22"/>
        </w:rPr>
        <w:t xml:space="preserve"> are predominant and comprise 46% and 33% of all recorded taxa, respectively (Masoudi et al., 2012). The Gorgan Bay and Gomishan Lagoon show some similarities in terms of phytoplankton flora. The phytoplankton taxa mainly reflect the trophic state of this ecosystem. Some identified genera, such as </w:t>
      </w:r>
      <w:r w:rsidRPr="0088780C">
        <w:rPr>
          <w:rFonts w:eastAsia="MS Mincho"/>
          <w:i/>
          <w:snapToGrid w:val="0"/>
          <w:kern w:val="22"/>
          <w:szCs w:val="22"/>
        </w:rPr>
        <w:t>Eunotia,</w:t>
      </w:r>
      <w:r w:rsidRPr="0088780C">
        <w:rPr>
          <w:rFonts w:eastAsia="MS Mincho"/>
          <w:iCs/>
          <w:snapToGrid w:val="0"/>
          <w:kern w:val="22"/>
          <w:szCs w:val="22"/>
        </w:rPr>
        <w:t xml:space="preserve"> </w:t>
      </w:r>
      <w:r w:rsidRPr="0088780C">
        <w:rPr>
          <w:rFonts w:eastAsia="MS Mincho"/>
          <w:i/>
          <w:snapToGrid w:val="0"/>
          <w:kern w:val="22"/>
          <w:szCs w:val="22"/>
        </w:rPr>
        <w:t>Pinnularia</w:t>
      </w:r>
      <w:r w:rsidRPr="0088780C">
        <w:rPr>
          <w:rFonts w:eastAsia="MS Mincho"/>
          <w:iCs/>
          <w:snapToGrid w:val="0"/>
          <w:kern w:val="22"/>
          <w:szCs w:val="22"/>
        </w:rPr>
        <w:t xml:space="preserve">, </w:t>
      </w:r>
      <w:r w:rsidRPr="0088780C">
        <w:rPr>
          <w:rFonts w:eastAsia="MS Mincho"/>
          <w:i/>
          <w:snapToGrid w:val="0"/>
          <w:kern w:val="22"/>
          <w:szCs w:val="22"/>
        </w:rPr>
        <w:t>Achnanthes,</w:t>
      </w:r>
      <w:r w:rsidRPr="0088780C">
        <w:rPr>
          <w:rFonts w:eastAsia="MS Mincho"/>
          <w:iCs/>
          <w:snapToGrid w:val="0"/>
          <w:kern w:val="22"/>
          <w:szCs w:val="22"/>
        </w:rPr>
        <w:t xml:space="preserve"> and species such as </w:t>
      </w:r>
      <w:r w:rsidRPr="0088780C">
        <w:rPr>
          <w:rFonts w:eastAsia="MS Mincho"/>
          <w:i/>
          <w:snapToGrid w:val="0"/>
          <w:kern w:val="22"/>
          <w:szCs w:val="22"/>
        </w:rPr>
        <w:t>Pediastrum</w:t>
      </w:r>
      <w:r w:rsidRPr="0088780C">
        <w:rPr>
          <w:rFonts w:eastAsia="MS Mincho"/>
          <w:iCs/>
          <w:snapToGrid w:val="0"/>
          <w:kern w:val="22"/>
          <w:szCs w:val="22"/>
        </w:rPr>
        <w:t xml:space="preserve"> </w:t>
      </w:r>
      <w:r w:rsidRPr="0088780C">
        <w:rPr>
          <w:rFonts w:eastAsia="MS Mincho"/>
          <w:i/>
          <w:snapToGrid w:val="0"/>
          <w:kern w:val="22"/>
          <w:szCs w:val="22"/>
        </w:rPr>
        <w:t>boryanum</w:t>
      </w:r>
      <w:r w:rsidRPr="0088780C">
        <w:rPr>
          <w:rFonts w:eastAsia="MS Mincho"/>
          <w:iCs/>
          <w:snapToGrid w:val="0"/>
          <w:kern w:val="22"/>
          <w:szCs w:val="22"/>
        </w:rPr>
        <w:t xml:space="preserve">, </w:t>
      </w:r>
      <w:r w:rsidRPr="0088780C">
        <w:rPr>
          <w:rFonts w:eastAsia="MS Mincho"/>
          <w:i/>
          <w:snapToGrid w:val="0"/>
          <w:kern w:val="22"/>
          <w:szCs w:val="22"/>
        </w:rPr>
        <w:t>Cosmarium</w:t>
      </w:r>
      <w:r w:rsidRPr="0088780C">
        <w:rPr>
          <w:rFonts w:eastAsia="MS Mincho"/>
          <w:iCs/>
          <w:snapToGrid w:val="0"/>
          <w:kern w:val="22"/>
          <w:szCs w:val="22"/>
        </w:rPr>
        <w:t xml:space="preserve"> </w:t>
      </w:r>
      <w:r w:rsidRPr="0088780C">
        <w:rPr>
          <w:rFonts w:eastAsia="MS Mincho"/>
          <w:i/>
          <w:snapToGrid w:val="0"/>
          <w:kern w:val="22"/>
          <w:szCs w:val="22"/>
        </w:rPr>
        <w:t>laeve</w:t>
      </w:r>
      <w:r w:rsidRPr="0088780C">
        <w:rPr>
          <w:rFonts w:eastAsia="MS Mincho"/>
          <w:iCs/>
          <w:snapToGrid w:val="0"/>
          <w:kern w:val="22"/>
          <w:szCs w:val="22"/>
        </w:rPr>
        <w:t xml:space="preserve">, </w:t>
      </w:r>
      <w:r w:rsidRPr="0088780C">
        <w:rPr>
          <w:rFonts w:eastAsia="MS Mincho"/>
          <w:i/>
          <w:snapToGrid w:val="0"/>
          <w:kern w:val="22"/>
          <w:szCs w:val="22"/>
        </w:rPr>
        <w:t>Oscillatoria</w:t>
      </w:r>
      <w:r w:rsidRPr="0088780C">
        <w:rPr>
          <w:rFonts w:eastAsia="MS Mincho"/>
          <w:iCs/>
          <w:snapToGrid w:val="0"/>
          <w:kern w:val="22"/>
          <w:szCs w:val="22"/>
        </w:rPr>
        <w:t xml:space="preserve"> </w:t>
      </w:r>
      <w:r w:rsidRPr="0088780C">
        <w:rPr>
          <w:rFonts w:eastAsia="MS Mincho"/>
          <w:i/>
          <w:snapToGrid w:val="0"/>
          <w:kern w:val="22"/>
          <w:szCs w:val="22"/>
        </w:rPr>
        <w:t>limosa</w:t>
      </w:r>
      <w:r w:rsidRPr="0088780C">
        <w:rPr>
          <w:rFonts w:eastAsia="MS Mincho"/>
          <w:iCs/>
          <w:snapToGrid w:val="0"/>
          <w:kern w:val="22"/>
          <w:szCs w:val="22"/>
        </w:rPr>
        <w:t xml:space="preserve">, </w:t>
      </w:r>
      <w:r w:rsidRPr="0088780C">
        <w:rPr>
          <w:rFonts w:eastAsia="MS Mincho"/>
          <w:i/>
          <w:snapToGrid w:val="0"/>
          <w:kern w:val="22"/>
          <w:szCs w:val="22"/>
        </w:rPr>
        <w:t>Cymbella</w:t>
      </w:r>
      <w:r w:rsidRPr="0088780C">
        <w:rPr>
          <w:rFonts w:eastAsia="MS Mincho"/>
          <w:iCs/>
          <w:snapToGrid w:val="0"/>
          <w:kern w:val="22"/>
          <w:szCs w:val="22"/>
        </w:rPr>
        <w:t xml:space="preserve"> </w:t>
      </w:r>
      <w:r w:rsidRPr="0088780C">
        <w:rPr>
          <w:rFonts w:eastAsia="MS Mincho"/>
          <w:i/>
          <w:snapToGrid w:val="0"/>
          <w:kern w:val="22"/>
          <w:szCs w:val="22"/>
        </w:rPr>
        <w:t>affinis</w:t>
      </w:r>
      <w:r w:rsidRPr="0088780C">
        <w:rPr>
          <w:rFonts w:eastAsia="MS Mincho"/>
          <w:iCs/>
          <w:snapToGrid w:val="0"/>
          <w:kern w:val="22"/>
          <w:szCs w:val="22"/>
        </w:rPr>
        <w:t xml:space="preserve"> and </w:t>
      </w:r>
      <w:r w:rsidRPr="0088780C">
        <w:rPr>
          <w:rFonts w:eastAsia="MS Mincho"/>
          <w:i/>
          <w:snapToGrid w:val="0"/>
          <w:kern w:val="22"/>
          <w:szCs w:val="22"/>
        </w:rPr>
        <w:t>Navicula</w:t>
      </w:r>
      <w:r w:rsidRPr="0088780C">
        <w:rPr>
          <w:rFonts w:eastAsia="MS Mincho"/>
          <w:iCs/>
          <w:snapToGrid w:val="0"/>
          <w:kern w:val="22"/>
          <w:szCs w:val="22"/>
        </w:rPr>
        <w:t xml:space="preserve"> </w:t>
      </w:r>
      <w:r w:rsidRPr="0088780C">
        <w:rPr>
          <w:rFonts w:eastAsia="MS Mincho"/>
          <w:i/>
          <w:snapToGrid w:val="0"/>
          <w:kern w:val="22"/>
          <w:szCs w:val="22"/>
        </w:rPr>
        <w:t>cryptocephala,</w:t>
      </w:r>
      <w:r w:rsidRPr="0088780C">
        <w:rPr>
          <w:rFonts w:eastAsia="MS Mincho"/>
          <w:iCs/>
          <w:snapToGrid w:val="0"/>
          <w:kern w:val="22"/>
          <w:szCs w:val="22"/>
        </w:rPr>
        <w:t xml:space="preserve"> are characteristic species of oligotrophic lakes (Rawson, 1956). Based on the analysis of the phytoplankton flora composition, Miankaleh wetlands have an oligotrophic character (Masoudi et al., 2012). The green algae and diatoms are dominant algal groups in spring and winter, respectively. The phytoplankton diversity in dry seasons is higher than wet seasons and the density of the phytoplankton population decreases from spring toward winter. The </w:t>
      </w:r>
      <w:r w:rsidRPr="0088780C">
        <w:rPr>
          <w:rFonts w:eastAsia="MS Mincho"/>
          <w:i/>
          <w:snapToGrid w:val="0"/>
          <w:kern w:val="22"/>
          <w:szCs w:val="22"/>
        </w:rPr>
        <w:t>Scenedesmus</w:t>
      </w:r>
      <w:r w:rsidRPr="0088780C">
        <w:rPr>
          <w:rFonts w:eastAsia="MS Mincho"/>
          <w:iCs/>
          <w:snapToGrid w:val="0"/>
          <w:kern w:val="22"/>
          <w:szCs w:val="22"/>
        </w:rPr>
        <w:t xml:space="preserve"> </w:t>
      </w:r>
      <w:r w:rsidRPr="0088780C">
        <w:rPr>
          <w:rFonts w:eastAsia="MS Mincho"/>
          <w:i/>
          <w:snapToGrid w:val="0"/>
          <w:kern w:val="22"/>
          <w:szCs w:val="22"/>
        </w:rPr>
        <w:t>opoliensis</w:t>
      </w:r>
      <w:r w:rsidRPr="0088780C">
        <w:rPr>
          <w:rFonts w:eastAsia="MS Mincho"/>
          <w:iCs/>
          <w:snapToGrid w:val="0"/>
          <w:kern w:val="22"/>
          <w:szCs w:val="22"/>
        </w:rPr>
        <w:t xml:space="preserve">, </w:t>
      </w:r>
      <w:r w:rsidRPr="0088780C">
        <w:rPr>
          <w:rFonts w:eastAsia="MS Mincho"/>
          <w:i/>
          <w:snapToGrid w:val="0"/>
          <w:kern w:val="22"/>
          <w:szCs w:val="22"/>
        </w:rPr>
        <w:t>Pediastrum</w:t>
      </w:r>
      <w:r w:rsidRPr="0088780C">
        <w:rPr>
          <w:rFonts w:eastAsia="MS Mincho"/>
          <w:iCs/>
          <w:snapToGrid w:val="0"/>
          <w:kern w:val="22"/>
          <w:szCs w:val="22"/>
        </w:rPr>
        <w:t xml:space="preserve"> </w:t>
      </w:r>
      <w:r w:rsidRPr="0088780C">
        <w:rPr>
          <w:rFonts w:eastAsia="MS Mincho"/>
          <w:i/>
          <w:snapToGrid w:val="0"/>
          <w:kern w:val="22"/>
          <w:szCs w:val="22"/>
        </w:rPr>
        <w:t>tetras</w:t>
      </w:r>
      <w:r w:rsidRPr="0088780C">
        <w:rPr>
          <w:rFonts w:eastAsia="MS Mincho"/>
          <w:iCs/>
          <w:snapToGrid w:val="0"/>
          <w:kern w:val="22"/>
          <w:szCs w:val="22"/>
        </w:rPr>
        <w:t xml:space="preserve"> var. </w:t>
      </w:r>
      <w:r w:rsidRPr="0088780C">
        <w:rPr>
          <w:rFonts w:eastAsia="MS Mincho"/>
          <w:i/>
          <w:snapToGrid w:val="0"/>
          <w:kern w:val="22"/>
          <w:szCs w:val="22"/>
        </w:rPr>
        <w:t>tetraodon</w:t>
      </w:r>
      <w:r w:rsidRPr="0088780C">
        <w:rPr>
          <w:rFonts w:eastAsia="MS Mincho"/>
          <w:iCs/>
          <w:snapToGrid w:val="0"/>
          <w:kern w:val="22"/>
          <w:szCs w:val="22"/>
        </w:rPr>
        <w:t xml:space="preserve">, </w:t>
      </w:r>
      <w:r w:rsidRPr="0088780C">
        <w:rPr>
          <w:rFonts w:eastAsia="MS Mincho"/>
          <w:i/>
          <w:snapToGrid w:val="0"/>
          <w:kern w:val="22"/>
          <w:szCs w:val="22"/>
        </w:rPr>
        <w:t>Fragilaria</w:t>
      </w:r>
      <w:r w:rsidRPr="0088780C">
        <w:rPr>
          <w:rFonts w:eastAsia="MS Mincho"/>
          <w:iCs/>
          <w:snapToGrid w:val="0"/>
          <w:kern w:val="22"/>
          <w:szCs w:val="22"/>
        </w:rPr>
        <w:t xml:space="preserve"> </w:t>
      </w:r>
      <w:r w:rsidRPr="0088780C">
        <w:rPr>
          <w:rFonts w:eastAsia="MS Mincho"/>
          <w:i/>
          <w:snapToGrid w:val="0"/>
          <w:kern w:val="22"/>
          <w:szCs w:val="22"/>
        </w:rPr>
        <w:t>crotonensis</w:t>
      </w:r>
      <w:r w:rsidRPr="0088780C">
        <w:rPr>
          <w:rFonts w:eastAsia="MS Mincho"/>
          <w:iCs/>
          <w:snapToGrid w:val="0"/>
          <w:kern w:val="22"/>
          <w:szCs w:val="22"/>
        </w:rPr>
        <w:t xml:space="preserve">, </w:t>
      </w:r>
      <w:r w:rsidRPr="0088780C">
        <w:rPr>
          <w:rFonts w:eastAsia="MS Mincho"/>
          <w:i/>
          <w:snapToGrid w:val="0"/>
          <w:kern w:val="22"/>
          <w:szCs w:val="22"/>
        </w:rPr>
        <w:t>Navicula</w:t>
      </w:r>
      <w:r w:rsidRPr="0088780C">
        <w:rPr>
          <w:rFonts w:eastAsia="MS Mincho"/>
          <w:iCs/>
          <w:snapToGrid w:val="0"/>
          <w:kern w:val="22"/>
          <w:szCs w:val="22"/>
        </w:rPr>
        <w:t xml:space="preserve"> </w:t>
      </w:r>
      <w:r w:rsidRPr="0088780C">
        <w:rPr>
          <w:rFonts w:eastAsia="MS Mincho"/>
          <w:i/>
          <w:snapToGrid w:val="0"/>
          <w:kern w:val="22"/>
          <w:szCs w:val="22"/>
        </w:rPr>
        <w:t>cuspidata</w:t>
      </w:r>
      <w:r w:rsidRPr="0088780C">
        <w:rPr>
          <w:rFonts w:eastAsia="MS Mincho"/>
          <w:iCs/>
          <w:snapToGrid w:val="0"/>
          <w:kern w:val="22"/>
          <w:szCs w:val="22"/>
        </w:rPr>
        <w:t xml:space="preserve">, </w:t>
      </w:r>
      <w:r w:rsidRPr="0088780C">
        <w:rPr>
          <w:rFonts w:eastAsia="MS Mincho"/>
          <w:i/>
          <w:snapToGrid w:val="0"/>
          <w:kern w:val="22"/>
          <w:szCs w:val="22"/>
        </w:rPr>
        <w:t>Calothrix</w:t>
      </w:r>
      <w:r w:rsidRPr="0088780C">
        <w:rPr>
          <w:rFonts w:eastAsia="MS Mincho"/>
          <w:iCs/>
          <w:snapToGrid w:val="0"/>
          <w:kern w:val="22"/>
          <w:szCs w:val="22"/>
        </w:rPr>
        <w:t xml:space="preserve"> </w:t>
      </w:r>
      <w:r w:rsidRPr="0088780C">
        <w:rPr>
          <w:rFonts w:eastAsia="MS Mincho"/>
          <w:i/>
          <w:snapToGrid w:val="0"/>
          <w:kern w:val="22"/>
          <w:szCs w:val="22"/>
        </w:rPr>
        <w:t>ghosei</w:t>
      </w:r>
      <w:r w:rsidRPr="0088780C">
        <w:rPr>
          <w:rFonts w:eastAsia="MS Mincho"/>
          <w:iCs/>
          <w:snapToGrid w:val="0"/>
          <w:kern w:val="22"/>
          <w:szCs w:val="22"/>
        </w:rPr>
        <w:t xml:space="preserve"> and </w:t>
      </w:r>
      <w:r w:rsidRPr="0088780C">
        <w:rPr>
          <w:rFonts w:eastAsia="MS Mincho"/>
          <w:i/>
          <w:snapToGrid w:val="0"/>
          <w:kern w:val="22"/>
          <w:szCs w:val="22"/>
        </w:rPr>
        <w:t>Tetraedron</w:t>
      </w:r>
      <w:r w:rsidRPr="0088780C">
        <w:rPr>
          <w:rFonts w:eastAsia="MS Mincho"/>
          <w:iCs/>
          <w:snapToGrid w:val="0"/>
          <w:kern w:val="22"/>
          <w:szCs w:val="22"/>
        </w:rPr>
        <w:t xml:space="preserve"> </w:t>
      </w:r>
      <w:r w:rsidRPr="0088780C">
        <w:rPr>
          <w:rFonts w:eastAsia="MS Mincho"/>
          <w:i/>
          <w:snapToGrid w:val="0"/>
          <w:kern w:val="22"/>
          <w:szCs w:val="22"/>
        </w:rPr>
        <w:t>minimum</w:t>
      </w:r>
      <w:r w:rsidRPr="0088780C">
        <w:rPr>
          <w:rFonts w:eastAsia="MS Mincho"/>
          <w:iCs/>
          <w:snapToGrid w:val="0"/>
          <w:kern w:val="22"/>
          <w:szCs w:val="22"/>
        </w:rPr>
        <w:t xml:space="preserve"> are the most important phytoplankton in this area (Masoudi et al., 2012). The south-eastern waters of the Caspian Sea have the highest concentrations of phytoplankton and zooplankton (Rowshan Tabari, 2013). This part of the sea has the highest phytoplankton concentrations during summer, when the water temperature is 27-29°C and the highest concentrations of zooplankton during spring, when the temperature is higher than 18°C and the salinity is 11-13ppt (Rowshan Tabari, 2013).</w:t>
      </w:r>
    </w:p>
    <w:p w14:paraId="340285E6"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5FD78ADD"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Gorgan Bay is considered a suitable habitat for benthic communities due to the clayey bed, shallow depth and lack of heavy waves (Saghali et al., 2013). At least 14 species of benthic macrofauna belonging to 12 families have been recorded in Gorgan Bay. The four most abundant taxa are </w:t>
      </w:r>
      <w:r w:rsidRPr="0088780C">
        <w:rPr>
          <w:rFonts w:eastAsia="MS Mincho"/>
          <w:i/>
          <w:snapToGrid w:val="0"/>
          <w:kern w:val="22"/>
          <w:szCs w:val="22"/>
        </w:rPr>
        <w:t>Streblospio</w:t>
      </w:r>
      <w:r w:rsidRPr="0088780C">
        <w:rPr>
          <w:rFonts w:eastAsia="MS Mincho"/>
          <w:iCs/>
          <w:snapToGrid w:val="0"/>
          <w:kern w:val="22"/>
          <w:szCs w:val="22"/>
        </w:rPr>
        <w:t xml:space="preserve"> </w:t>
      </w:r>
      <w:r w:rsidRPr="0088780C">
        <w:rPr>
          <w:rFonts w:eastAsia="MS Mincho"/>
          <w:i/>
          <w:snapToGrid w:val="0"/>
          <w:kern w:val="22"/>
          <w:szCs w:val="22"/>
        </w:rPr>
        <w:t>gynobranchiata</w:t>
      </w:r>
      <w:r w:rsidRPr="0088780C">
        <w:rPr>
          <w:rFonts w:eastAsia="MS Mincho"/>
          <w:iCs/>
          <w:snapToGrid w:val="0"/>
          <w:kern w:val="22"/>
          <w:szCs w:val="22"/>
        </w:rPr>
        <w:t xml:space="preserve">, </w:t>
      </w:r>
      <w:r w:rsidRPr="0088780C">
        <w:rPr>
          <w:rFonts w:eastAsia="MS Mincho"/>
          <w:i/>
          <w:snapToGrid w:val="0"/>
          <w:kern w:val="22"/>
          <w:szCs w:val="22"/>
        </w:rPr>
        <w:t>Tubificidae</w:t>
      </w:r>
      <w:r w:rsidRPr="0088780C">
        <w:rPr>
          <w:rFonts w:eastAsia="MS Mincho"/>
          <w:iCs/>
          <w:snapToGrid w:val="0"/>
          <w:kern w:val="22"/>
          <w:szCs w:val="22"/>
        </w:rPr>
        <w:t xml:space="preserve">, </w:t>
      </w:r>
      <w:r w:rsidRPr="0088780C">
        <w:rPr>
          <w:rFonts w:eastAsia="MS Mincho"/>
          <w:i/>
          <w:snapToGrid w:val="0"/>
          <w:kern w:val="22"/>
          <w:szCs w:val="22"/>
        </w:rPr>
        <w:t>Hediste</w:t>
      </w:r>
      <w:r w:rsidRPr="0088780C">
        <w:rPr>
          <w:rFonts w:eastAsia="MS Mincho"/>
          <w:iCs/>
          <w:snapToGrid w:val="0"/>
          <w:kern w:val="22"/>
          <w:szCs w:val="22"/>
        </w:rPr>
        <w:t xml:space="preserve"> </w:t>
      </w:r>
      <w:r w:rsidRPr="0088780C">
        <w:rPr>
          <w:rFonts w:eastAsia="MS Mincho"/>
          <w:i/>
          <w:snapToGrid w:val="0"/>
          <w:kern w:val="22"/>
          <w:szCs w:val="22"/>
        </w:rPr>
        <w:t>diversicolor</w:t>
      </w:r>
      <w:r w:rsidRPr="0088780C">
        <w:rPr>
          <w:rFonts w:eastAsia="MS Mincho"/>
          <w:iCs/>
          <w:snapToGrid w:val="0"/>
          <w:kern w:val="22"/>
          <w:szCs w:val="22"/>
        </w:rPr>
        <w:t xml:space="preserve"> and </w:t>
      </w:r>
      <w:r w:rsidRPr="0088780C">
        <w:rPr>
          <w:rFonts w:eastAsia="MS Mincho"/>
          <w:i/>
          <w:snapToGrid w:val="0"/>
          <w:kern w:val="22"/>
          <w:szCs w:val="22"/>
        </w:rPr>
        <w:t>Abra</w:t>
      </w:r>
      <w:r w:rsidRPr="0088780C">
        <w:rPr>
          <w:rFonts w:eastAsia="MS Mincho"/>
          <w:iCs/>
          <w:snapToGrid w:val="0"/>
          <w:kern w:val="22"/>
          <w:szCs w:val="22"/>
        </w:rPr>
        <w:t xml:space="preserve"> </w:t>
      </w:r>
      <w:r w:rsidRPr="0088780C">
        <w:rPr>
          <w:rFonts w:eastAsia="MS Mincho"/>
          <w:i/>
          <w:snapToGrid w:val="0"/>
          <w:kern w:val="22"/>
          <w:szCs w:val="22"/>
        </w:rPr>
        <w:t>segmentum</w:t>
      </w:r>
      <w:r w:rsidRPr="0088780C">
        <w:rPr>
          <w:rFonts w:eastAsia="MS Mincho"/>
          <w:iCs/>
          <w:snapToGrid w:val="0"/>
          <w:kern w:val="22"/>
          <w:szCs w:val="22"/>
        </w:rPr>
        <w:t xml:space="preserve"> (Ghorbanzadeh Zaferani, 2017). The oligochaete </w:t>
      </w:r>
      <w:r w:rsidRPr="0088780C">
        <w:rPr>
          <w:rFonts w:eastAsia="MS Mincho"/>
          <w:i/>
          <w:snapToGrid w:val="0"/>
          <w:kern w:val="22"/>
          <w:szCs w:val="22"/>
        </w:rPr>
        <w:t>Tubificoides</w:t>
      </w:r>
      <w:r w:rsidRPr="0088780C">
        <w:rPr>
          <w:rFonts w:eastAsia="MS Mincho"/>
          <w:iCs/>
          <w:snapToGrid w:val="0"/>
          <w:kern w:val="22"/>
          <w:szCs w:val="22"/>
        </w:rPr>
        <w:t xml:space="preserve"> </w:t>
      </w:r>
      <w:r w:rsidRPr="0088780C">
        <w:rPr>
          <w:rFonts w:eastAsia="MS Mincho"/>
          <w:i/>
          <w:snapToGrid w:val="0"/>
          <w:kern w:val="22"/>
          <w:szCs w:val="22"/>
        </w:rPr>
        <w:t>fraseri</w:t>
      </w:r>
      <w:r w:rsidRPr="0088780C">
        <w:rPr>
          <w:rFonts w:eastAsia="MS Mincho"/>
          <w:iCs/>
          <w:snapToGrid w:val="0"/>
          <w:kern w:val="22"/>
          <w:szCs w:val="22"/>
        </w:rPr>
        <w:t xml:space="preserve"> and polychaete </w:t>
      </w:r>
      <w:r w:rsidRPr="0088780C">
        <w:rPr>
          <w:rFonts w:eastAsia="MS Mincho"/>
          <w:i/>
          <w:snapToGrid w:val="0"/>
          <w:kern w:val="22"/>
          <w:szCs w:val="22"/>
        </w:rPr>
        <w:t>S. gynobranchiata</w:t>
      </w:r>
      <w:r w:rsidRPr="0088780C">
        <w:rPr>
          <w:rFonts w:eastAsia="MS Mincho"/>
          <w:iCs/>
          <w:snapToGrid w:val="0"/>
          <w:kern w:val="22"/>
          <w:szCs w:val="22"/>
        </w:rPr>
        <w:t xml:space="preserve"> were unintentionally introduced into the Caspian Sea, while the bivalve </w:t>
      </w:r>
      <w:r w:rsidRPr="0088780C">
        <w:rPr>
          <w:rFonts w:eastAsia="MS Mincho"/>
          <w:i/>
          <w:snapToGrid w:val="0"/>
          <w:kern w:val="22"/>
          <w:szCs w:val="22"/>
        </w:rPr>
        <w:t>Abra</w:t>
      </w:r>
      <w:r w:rsidRPr="0088780C">
        <w:rPr>
          <w:rFonts w:eastAsia="MS Mincho"/>
          <w:iCs/>
          <w:snapToGrid w:val="0"/>
          <w:kern w:val="22"/>
          <w:szCs w:val="22"/>
        </w:rPr>
        <w:t xml:space="preserve"> </w:t>
      </w:r>
      <w:r w:rsidRPr="0088780C">
        <w:rPr>
          <w:rFonts w:eastAsia="MS Mincho"/>
          <w:i/>
          <w:snapToGrid w:val="0"/>
          <w:kern w:val="22"/>
          <w:szCs w:val="22"/>
        </w:rPr>
        <w:t>segmentum</w:t>
      </w:r>
      <w:r w:rsidRPr="0088780C">
        <w:rPr>
          <w:rFonts w:eastAsia="MS Mincho"/>
          <w:iCs/>
          <w:snapToGrid w:val="0"/>
          <w:kern w:val="22"/>
          <w:szCs w:val="22"/>
        </w:rPr>
        <w:t xml:space="preserve"> and polychaete </w:t>
      </w:r>
      <w:r w:rsidRPr="0088780C">
        <w:rPr>
          <w:rFonts w:eastAsia="MS Mincho"/>
          <w:i/>
          <w:snapToGrid w:val="0"/>
          <w:kern w:val="22"/>
          <w:szCs w:val="22"/>
        </w:rPr>
        <w:t>Hediste diversicolor</w:t>
      </w:r>
      <w:r w:rsidRPr="0088780C">
        <w:rPr>
          <w:rFonts w:eastAsia="MS Mincho"/>
          <w:iCs/>
          <w:snapToGrid w:val="0"/>
          <w:kern w:val="22"/>
          <w:szCs w:val="22"/>
        </w:rPr>
        <w:t xml:space="preserve"> were intentionally introduced to the Caspian Sea (including Gorgan Bay) to increase food resources for commercially exploited fish (Ghasemi et al., 2014; Taheri et al., 2012; </w:t>
      </w:r>
      <w:r w:rsidRPr="0088780C">
        <w:rPr>
          <w:snapToGrid w:val="0"/>
          <w:kern w:val="22"/>
          <w:szCs w:val="22"/>
        </w:rPr>
        <w:t>Vinarski, 2012</w:t>
      </w:r>
      <w:r w:rsidRPr="0088780C">
        <w:rPr>
          <w:rFonts w:eastAsia="MS Mincho"/>
          <w:iCs/>
          <w:snapToGrid w:val="0"/>
          <w:kern w:val="22"/>
          <w:szCs w:val="22"/>
        </w:rPr>
        <w:t>). Gorgan Bay presents transitional epifaunal and infaunal macrobenthic assemblages that are spatially distributed along substrate gradients, but it is widely acknowledged that the coastal ecosystems of the south Caspian Sea and south-eastern part of Gorgan Bay are very dynamic and characterized by high physical disturbances and lower richness. It seems toward the western part of Gorgan Bay, some species have formed a metapopulation and two endemic species (</w:t>
      </w:r>
      <w:r w:rsidRPr="0088780C">
        <w:rPr>
          <w:rFonts w:eastAsia="MS Mincho"/>
          <w:i/>
          <w:snapToGrid w:val="0"/>
          <w:kern w:val="22"/>
          <w:szCs w:val="22"/>
        </w:rPr>
        <w:t>Stenocuma gracilis</w:t>
      </w:r>
      <w:r w:rsidRPr="0088780C">
        <w:rPr>
          <w:rFonts w:eastAsia="MS Mincho"/>
          <w:iCs/>
          <w:snapToGrid w:val="0"/>
          <w:kern w:val="22"/>
          <w:szCs w:val="22"/>
        </w:rPr>
        <w:t xml:space="preserve"> &amp; </w:t>
      </w:r>
      <w:r w:rsidRPr="0088780C">
        <w:rPr>
          <w:rFonts w:eastAsia="MS Mincho"/>
          <w:i/>
          <w:snapToGrid w:val="0"/>
          <w:kern w:val="22"/>
          <w:szCs w:val="22"/>
        </w:rPr>
        <w:t>Didacna</w:t>
      </w:r>
      <w:r w:rsidRPr="0088780C">
        <w:rPr>
          <w:rFonts w:eastAsia="MS Mincho"/>
          <w:iCs/>
          <w:snapToGrid w:val="0"/>
          <w:kern w:val="22"/>
          <w:szCs w:val="22"/>
        </w:rPr>
        <w:t xml:space="preserve"> sp.) and one exotic rare species (</w:t>
      </w:r>
      <w:r w:rsidRPr="0088780C">
        <w:rPr>
          <w:rFonts w:eastAsia="MS Mincho"/>
          <w:i/>
          <w:snapToGrid w:val="0"/>
          <w:kern w:val="22"/>
          <w:szCs w:val="22"/>
        </w:rPr>
        <w:t>Rhithropanopeus harrisii</w:t>
      </w:r>
      <w:r w:rsidRPr="0088780C">
        <w:rPr>
          <w:rFonts w:eastAsia="MS Mincho"/>
          <w:iCs/>
          <w:snapToGrid w:val="0"/>
          <w:kern w:val="22"/>
          <w:szCs w:val="22"/>
        </w:rPr>
        <w:t>) have begun making colonies (Ghorbanzadeh Zaferani, 2017).</w:t>
      </w:r>
    </w:p>
    <w:p w14:paraId="6AF736F8"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2904BD82" w14:textId="1769BD3C" w:rsidR="00A876F3" w:rsidRPr="0088780C" w:rsidRDefault="00A876F3" w:rsidP="00674A41">
      <w:pPr>
        <w:suppressLineNumbers/>
        <w:suppressAutoHyphens/>
        <w:kinsoku w:val="0"/>
        <w:overflowPunct w:val="0"/>
        <w:autoSpaceDE w:val="0"/>
        <w:autoSpaceDN w:val="0"/>
        <w:rPr>
          <w:snapToGrid w:val="0"/>
          <w:kern w:val="22"/>
          <w:szCs w:val="22"/>
        </w:rPr>
      </w:pPr>
      <w:r w:rsidRPr="0088780C">
        <w:rPr>
          <w:snapToGrid w:val="0"/>
          <w:kern w:val="22"/>
          <w:szCs w:val="22"/>
        </w:rPr>
        <w:t xml:space="preserve">The Gomishan-Miankaleh Peninsula (including Ashouradeh Island) </w:t>
      </w:r>
      <w:r w:rsidRPr="0088780C">
        <w:rPr>
          <w:rFonts w:eastAsia="MS Mincho"/>
          <w:iCs/>
          <w:snapToGrid w:val="0"/>
          <w:kern w:val="22"/>
          <w:szCs w:val="22"/>
        </w:rPr>
        <w:t>and nearby waters are important foraging and hauling-out grounds for the Caspian Seal (</w:t>
      </w:r>
      <w:r w:rsidRPr="0088780C">
        <w:rPr>
          <w:rFonts w:eastAsia="MS Mincho"/>
          <w:i/>
          <w:snapToGrid w:val="0"/>
          <w:kern w:val="22"/>
          <w:szCs w:val="22"/>
        </w:rPr>
        <w:t>Pusa caspica</w:t>
      </w:r>
      <w:r w:rsidRPr="0088780C">
        <w:rPr>
          <w:rFonts w:eastAsia="MS Mincho"/>
          <w:iCs/>
          <w:snapToGrid w:val="0"/>
          <w:kern w:val="22"/>
          <w:szCs w:val="22"/>
        </w:rPr>
        <w:t>)</w:t>
      </w:r>
      <w:r w:rsidRPr="0088780C">
        <w:rPr>
          <w:snapToGrid w:val="0"/>
          <w:kern w:val="22"/>
          <w:szCs w:val="22"/>
        </w:rPr>
        <w:t xml:space="preserve"> and are the only potential candidate for Seal Special Protected Areas (SSPAs) in </w:t>
      </w:r>
      <w:r w:rsidR="00674A41" w:rsidRPr="0088780C">
        <w:rPr>
          <w:snapToGrid w:val="0"/>
          <w:kern w:val="22"/>
          <w:szCs w:val="22"/>
        </w:rPr>
        <w:t xml:space="preserve">the Islamic Republic of </w:t>
      </w:r>
      <w:r w:rsidRPr="0088780C">
        <w:rPr>
          <w:snapToGrid w:val="0"/>
          <w:kern w:val="22"/>
          <w:szCs w:val="22"/>
        </w:rPr>
        <w:t xml:space="preserve">Iran in the category of </w:t>
      </w:r>
      <w:r w:rsidRPr="0088780C">
        <w:rPr>
          <w:i/>
          <w:iCs/>
          <w:snapToGrid w:val="0"/>
          <w:kern w:val="22"/>
          <w:szCs w:val="22"/>
        </w:rPr>
        <w:t>area or access corridor –for resting (haul-out) sites throughout the year</w:t>
      </w:r>
      <w:r w:rsidRPr="0088780C">
        <w:rPr>
          <w:snapToGrid w:val="0"/>
          <w:kern w:val="22"/>
          <w:szCs w:val="22"/>
        </w:rPr>
        <w:t xml:space="preserve"> (</w:t>
      </w:r>
      <w:r w:rsidRPr="0088780C">
        <w:rPr>
          <w:rFonts w:eastAsia="MS Mincho"/>
          <w:snapToGrid w:val="0"/>
          <w:kern w:val="22"/>
          <w:szCs w:val="22"/>
        </w:rPr>
        <w:t xml:space="preserve">Behrouzi-Rad and Ghaeimi, 2015; CaspEco, 2011; </w:t>
      </w:r>
      <w:r w:rsidRPr="0088780C">
        <w:rPr>
          <w:snapToGrid w:val="0"/>
          <w:kern w:val="22"/>
          <w:szCs w:val="22"/>
        </w:rPr>
        <w:t xml:space="preserve">CEP, 2010; </w:t>
      </w:r>
      <w:r w:rsidRPr="0088780C">
        <w:rPr>
          <w:snapToGrid w:val="0"/>
          <w:kern w:val="22"/>
          <w:szCs w:val="22"/>
          <w:shd w:val="clear" w:color="auto" w:fill="FFFFFF"/>
        </w:rPr>
        <w:t xml:space="preserve">Goodman &amp; Dmitrieva, 2016; </w:t>
      </w:r>
      <w:r w:rsidRPr="0088780C">
        <w:rPr>
          <w:rFonts w:eastAsia="MS Mincho"/>
          <w:iCs/>
          <w:snapToGrid w:val="0"/>
          <w:kern w:val="22"/>
          <w:szCs w:val="22"/>
        </w:rPr>
        <w:t>Ramsar Convention Bureau, 1997; 2001;</w:t>
      </w:r>
      <w:r w:rsidRPr="0088780C">
        <w:rPr>
          <w:snapToGrid w:val="0"/>
          <w:kern w:val="22"/>
          <w:szCs w:val="22"/>
          <w:shd w:val="clear" w:color="auto" w:fill="FFFFFF"/>
        </w:rPr>
        <w:t xml:space="preserve"> Wilson &amp; Goodman, 2012; UNECE, 2011)</w:t>
      </w:r>
      <w:r w:rsidRPr="0088780C">
        <w:rPr>
          <w:snapToGrid w:val="0"/>
          <w:kern w:val="22"/>
          <w:szCs w:val="22"/>
        </w:rPr>
        <w:t>. The Caspian seals are regularly observed from this area. They  were recorded in the waters of Gorgan Bay over the winters of 2004 and 2007-2010 (CEP, 2010</w:t>
      </w:r>
      <w:r w:rsidRPr="0088780C">
        <w:rPr>
          <w:rFonts w:eastAsia="MS Mincho"/>
          <w:iCs/>
          <w:snapToGrid w:val="0"/>
          <w:kern w:val="22"/>
          <w:szCs w:val="22"/>
        </w:rPr>
        <w:t xml:space="preserve">; </w:t>
      </w:r>
      <w:r w:rsidRPr="0088780C">
        <w:rPr>
          <w:rFonts w:eastAsia="MS Mincho"/>
          <w:snapToGrid w:val="0"/>
          <w:kern w:val="22"/>
          <w:szCs w:val="22"/>
        </w:rPr>
        <w:t>van Diek</w:t>
      </w:r>
      <w:r w:rsidRPr="0088780C">
        <w:rPr>
          <w:rFonts w:eastAsia="MS Mincho"/>
          <w:iCs/>
          <w:snapToGrid w:val="0"/>
          <w:kern w:val="22"/>
          <w:szCs w:val="22"/>
        </w:rPr>
        <w:t xml:space="preserve"> et al., 2004</w:t>
      </w:r>
      <w:r w:rsidRPr="0088780C">
        <w:rPr>
          <w:snapToGrid w:val="0"/>
          <w:kern w:val="22"/>
          <w:szCs w:val="22"/>
        </w:rPr>
        <w:t>). Caspian seals flow to the east and south-east Caspian Sea towards Turkmenistan (Ogurdzhaly Island) and Iranian waters during their spring migration. They appear in Iranian waters in June (</w:t>
      </w:r>
      <w:r w:rsidRPr="0088780C">
        <w:rPr>
          <w:snapToGrid w:val="0"/>
          <w:kern w:val="22"/>
          <w:szCs w:val="22"/>
          <w:shd w:val="clear" w:color="auto" w:fill="FFFFFF"/>
        </w:rPr>
        <w:t>Eybatov, 2015</w:t>
      </w:r>
      <w:r w:rsidRPr="0088780C">
        <w:rPr>
          <w:snapToGrid w:val="0"/>
          <w:kern w:val="22"/>
          <w:szCs w:val="22"/>
        </w:rPr>
        <w:t xml:space="preserve">). Also during spring migration from the islands of the Absheron archipelago and Oil Rocks (Azerbaijan) in early to mid-May, seals migrate to the east and south-east instead of southward, to the central part of the Caspian Sea or closer to the waters of Turkmenistan, and from there most seals migrate towards </w:t>
      </w:r>
      <w:r w:rsidR="00674A41" w:rsidRPr="0088780C">
        <w:rPr>
          <w:snapToGrid w:val="0"/>
          <w:kern w:val="22"/>
          <w:szCs w:val="22"/>
        </w:rPr>
        <w:t xml:space="preserve">the Islamic Republic of </w:t>
      </w:r>
      <w:r w:rsidRPr="0088780C">
        <w:rPr>
          <w:snapToGrid w:val="0"/>
          <w:kern w:val="22"/>
          <w:szCs w:val="22"/>
        </w:rPr>
        <w:t>Iran (</w:t>
      </w:r>
      <w:r w:rsidRPr="0088780C">
        <w:rPr>
          <w:snapToGrid w:val="0"/>
          <w:kern w:val="22"/>
          <w:szCs w:val="22"/>
          <w:shd w:val="clear" w:color="auto" w:fill="FFFFFF"/>
        </w:rPr>
        <w:t>Eybatov, 2015</w:t>
      </w:r>
      <w:r w:rsidRPr="0088780C">
        <w:rPr>
          <w:snapToGrid w:val="0"/>
          <w:kern w:val="22"/>
          <w:szCs w:val="22"/>
        </w:rPr>
        <w:t>).</w:t>
      </w:r>
    </w:p>
    <w:p w14:paraId="35E6EFFB"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77913C28"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The Gorganroud (Gorgan River) is the only known spawning ground for all five sturgeon species of the south Caspian Sea (</w:t>
      </w:r>
      <w:r w:rsidRPr="0088780C">
        <w:rPr>
          <w:rFonts w:eastAsia="MS Mincho"/>
          <w:i/>
          <w:snapToGrid w:val="0"/>
          <w:kern w:val="22"/>
          <w:szCs w:val="22"/>
        </w:rPr>
        <w:t>Acipenser</w:t>
      </w:r>
      <w:r w:rsidRPr="0088780C">
        <w:rPr>
          <w:rFonts w:eastAsia="MS Mincho"/>
          <w:iCs/>
          <w:snapToGrid w:val="0"/>
          <w:kern w:val="22"/>
          <w:szCs w:val="22"/>
        </w:rPr>
        <w:t xml:space="preserve"> </w:t>
      </w:r>
      <w:r w:rsidRPr="0088780C">
        <w:rPr>
          <w:rFonts w:eastAsia="MS Mincho"/>
          <w:i/>
          <w:snapToGrid w:val="0"/>
          <w:kern w:val="22"/>
          <w:szCs w:val="22"/>
        </w:rPr>
        <w:t>persicus</w:t>
      </w:r>
      <w:r w:rsidRPr="0088780C">
        <w:rPr>
          <w:rFonts w:eastAsia="MS Mincho"/>
          <w:iCs/>
          <w:snapToGrid w:val="0"/>
          <w:kern w:val="22"/>
          <w:szCs w:val="22"/>
        </w:rPr>
        <w:t xml:space="preserve">, </w:t>
      </w:r>
      <w:r w:rsidRPr="0088780C">
        <w:rPr>
          <w:rFonts w:eastAsia="MS Mincho"/>
          <w:i/>
          <w:snapToGrid w:val="0"/>
          <w:kern w:val="22"/>
          <w:szCs w:val="22"/>
        </w:rPr>
        <w:t>A. gueldenstaedtii</w:t>
      </w:r>
      <w:r w:rsidRPr="0088780C">
        <w:rPr>
          <w:rFonts w:eastAsia="MS Mincho"/>
          <w:iCs/>
          <w:snapToGrid w:val="0"/>
          <w:kern w:val="22"/>
          <w:szCs w:val="22"/>
        </w:rPr>
        <w:t xml:space="preserve">, </w:t>
      </w:r>
      <w:r w:rsidRPr="0088780C">
        <w:rPr>
          <w:rFonts w:eastAsia="MS Mincho"/>
          <w:i/>
          <w:snapToGrid w:val="0"/>
          <w:kern w:val="22"/>
          <w:szCs w:val="22"/>
        </w:rPr>
        <w:t>A. stellatus</w:t>
      </w:r>
      <w:r w:rsidRPr="0088780C">
        <w:rPr>
          <w:rFonts w:eastAsia="MS Mincho"/>
          <w:iCs/>
          <w:snapToGrid w:val="0"/>
          <w:kern w:val="22"/>
          <w:szCs w:val="22"/>
        </w:rPr>
        <w:t xml:space="preserve">, </w:t>
      </w:r>
      <w:r w:rsidRPr="0088780C">
        <w:rPr>
          <w:rFonts w:eastAsia="MS Mincho"/>
          <w:i/>
          <w:snapToGrid w:val="0"/>
          <w:kern w:val="22"/>
          <w:szCs w:val="22"/>
        </w:rPr>
        <w:t>A. nudiventris</w:t>
      </w:r>
      <w:r w:rsidRPr="0088780C">
        <w:rPr>
          <w:rFonts w:eastAsia="MS Mincho"/>
          <w:iCs/>
          <w:snapToGrid w:val="0"/>
          <w:kern w:val="22"/>
          <w:szCs w:val="22"/>
        </w:rPr>
        <w:t xml:space="preserve"> and </w:t>
      </w:r>
      <w:r w:rsidRPr="0088780C">
        <w:rPr>
          <w:rFonts w:eastAsia="MS Mincho"/>
          <w:i/>
          <w:snapToGrid w:val="0"/>
          <w:kern w:val="22"/>
          <w:szCs w:val="22"/>
        </w:rPr>
        <w:t>Huso</w:t>
      </w:r>
      <w:r w:rsidRPr="0088780C">
        <w:rPr>
          <w:rFonts w:eastAsia="MS Mincho"/>
          <w:iCs/>
          <w:snapToGrid w:val="0"/>
          <w:kern w:val="22"/>
          <w:szCs w:val="22"/>
        </w:rPr>
        <w:t xml:space="preserve"> </w:t>
      </w:r>
      <w:r w:rsidRPr="0088780C">
        <w:rPr>
          <w:rFonts w:eastAsia="MS Mincho"/>
          <w:i/>
          <w:snapToGrid w:val="0"/>
          <w:kern w:val="22"/>
          <w:szCs w:val="22"/>
        </w:rPr>
        <w:t>huso)</w:t>
      </w:r>
      <w:r w:rsidRPr="0088780C">
        <w:rPr>
          <w:rFonts w:eastAsia="MS Mincho"/>
          <w:iCs/>
          <w:snapToGrid w:val="0"/>
          <w:kern w:val="22"/>
          <w:szCs w:val="22"/>
        </w:rPr>
        <w:t xml:space="preserve"> (</w:t>
      </w:r>
      <w:r w:rsidRPr="0088780C">
        <w:rPr>
          <w:snapToGrid w:val="0"/>
          <w:kern w:val="22"/>
          <w:szCs w:val="22"/>
          <w:shd w:val="clear" w:color="auto" w:fill="FFFFFF"/>
        </w:rPr>
        <w:t xml:space="preserve">Billard &amp; Lecointre, 2000; </w:t>
      </w:r>
      <w:r w:rsidRPr="0088780C">
        <w:rPr>
          <w:rFonts w:eastAsia="MS Mincho"/>
          <w:iCs/>
          <w:snapToGrid w:val="0"/>
          <w:kern w:val="22"/>
          <w:szCs w:val="22"/>
        </w:rPr>
        <w:t xml:space="preserve">Laluyee, 1996; Tavakoli &amp; Bahmani, 2009; UNEP-WCMC, 2010; Zonn et al., 2010). The Atrek (Atrak) River and Gorganroud support the major natural spawning grounds for </w:t>
      </w:r>
      <w:r w:rsidRPr="0088780C">
        <w:rPr>
          <w:rFonts w:eastAsia="MS Mincho"/>
          <w:i/>
          <w:snapToGrid w:val="0"/>
          <w:kern w:val="22"/>
          <w:szCs w:val="22"/>
        </w:rPr>
        <w:t>Acipenser stellatus</w:t>
      </w:r>
      <w:r w:rsidRPr="0088780C">
        <w:rPr>
          <w:rFonts w:eastAsia="MS Mincho"/>
          <w:iCs/>
          <w:snapToGrid w:val="0"/>
          <w:kern w:val="22"/>
          <w:szCs w:val="22"/>
        </w:rPr>
        <w:t xml:space="preserve"> and </w:t>
      </w:r>
      <w:r w:rsidRPr="0088780C">
        <w:rPr>
          <w:rFonts w:eastAsia="MS Mincho"/>
          <w:i/>
          <w:snapToGrid w:val="0"/>
          <w:kern w:val="22"/>
          <w:szCs w:val="22"/>
        </w:rPr>
        <w:t>Acipenser nudiventris</w:t>
      </w:r>
      <w:r w:rsidRPr="0088780C">
        <w:rPr>
          <w:rFonts w:eastAsia="MS Mincho"/>
          <w:iCs/>
          <w:snapToGrid w:val="0"/>
          <w:kern w:val="22"/>
          <w:szCs w:val="22"/>
        </w:rPr>
        <w:t xml:space="preserve"> in the south Caspian Sea (</w:t>
      </w:r>
      <w:r w:rsidRPr="0088780C">
        <w:rPr>
          <w:snapToGrid w:val="0"/>
          <w:kern w:val="22"/>
          <w:szCs w:val="22"/>
          <w:shd w:val="clear" w:color="auto" w:fill="FFFFFF"/>
        </w:rPr>
        <w:t>Abdolhay, 2004</w:t>
      </w:r>
      <w:r w:rsidRPr="0088780C">
        <w:rPr>
          <w:rFonts w:eastAsia="MS Mincho"/>
          <w:iCs/>
          <w:snapToGrid w:val="0"/>
          <w:kern w:val="22"/>
          <w:szCs w:val="22"/>
        </w:rPr>
        <w:t>). The Persian sturgeon (</w:t>
      </w:r>
      <w:r w:rsidRPr="0088780C">
        <w:rPr>
          <w:rFonts w:eastAsia="MS Mincho"/>
          <w:i/>
          <w:snapToGrid w:val="0"/>
          <w:kern w:val="22"/>
          <w:szCs w:val="22"/>
        </w:rPr>
        <w:t>Acipenser</w:t>
      </w:r>
      <w:r w:rsidRPr="0088780C">
        <w:rPr>
          <w:rFonts w:eastAsia="MS Mincho"/>
          <w:iCs/>
          <w:snapToGrid w:val="0"/>
          <w:kern w:val="22"/>
          <w:szCs w:val="22"/>
        </w:rPr>
        <w:t xml:space="preserve"> </w:t>
      </w:r>
      <w:r w:rsidRPr="0088780C">
        <w:rPr>
          <w:rFonts w:eastAsia="MS Mincho"/>
          <w:i/>
          <w:snapToGrid w:val="0"/>
          <w:kern w:val="22"/>
          <w:szCs w:val="22"/>
        </w:rPr>
        <w:t>persicus</w:t>
      </w:r>
      <w:r w:rsidRPr="0088780C">
        <w:rPr>
          <w:rFonts w:eastAsia="MS Mincho"/>
          <w:iCs/>
          <w:snapToGrid w:val="0"/>
          <w:kern w:val="22"/>
          <w:szCs w:val="22"/>
        </w:rPr>
        <w:t>)</w:t>
      </w:r>
      <w:r w:rsidRPr="0088780C">
        <w:rPr>
          <w:rFonts w:eastAsia="MS Mincho"/>
          <w:i/>
          <w:snapToGrid w:val="0"/>
          <w:kern w:val="22"/>
          <w:szCs w:val="22"/>
        </w:rPr>
        <w:t xml:space="preserve"> </w:t>
      </w:r>
      <w:r w:rsidRPr="0088780C">
        <w:rPr>
          <w:rFonts w:eastAsia="MS Mincho"/>
          <w:iCs/>
          <w:snapToGrid w:val="0"/>
          <w:kern w:val="22"/>
          <w:szCs w:val="22"/>
        </w:rPr>
        <w:t>is the most common and important sturgeon in the Iranian coastal waters of the Caspian Sea, comprising more than 60% of total catch of sturgeon (Bakhshalizadeh et al., 2011). In the southern Caspian basin, the Persian sturgeon spawns in April-September, but reproduction is interrupted from June to August when temperature rises above 25°C. Most individuals migrate upriver in April-May, but some may enter rivers at other times of the year. In the southern Caspian basin, there is a second run in September-October. Juveniles migrate to the sea during their first summer and remain there until maturity (Laluyee, 1996). The Persian sturgeon is considered to be endemic to the southern Caspian Sea basin and rarely migrates to the central and northern parts of the sea (UNEP-WCMC, 2010). The stellate sturgeon (</w:t>
      </w:r>
      <w:r w:rsidRPr="0088780C">
        <w:rPr>
          <w:rFonts w:eastAsia="MS Mincho"/>
          <w:i/>
          <w:snapToGrid w:val="0"/>
          <w:kern w:val="22"/>
          <w:szCs w:val="22"/>
        </w:rPr>
        <w:t>A. stellatus</w:t>
      </w:r>
      <w:r w:rsidRPr="0088780C">
        <w:rPr>
          <w:rFonts w:eastAsia="MS Mincho"/>
          <w:iCs/>
          <w:snapToGrid w:val="0"/>
          <w:kern w:val="22"/>
          <w:szCs w:val="22"/>
        </w:rPr>
        <w:t>) migrates to the Gorganroud during spring and autumn, the intensity of spawning being high particularly after heavy rainfall. The Beluga (</w:t>
      </w:r>
      <w:r w:rsidRPr="0088780C">
        <w:rPr>
          <w:rFonts w:eastAsia="MS Mincho"/>
          <w:i/>
          <w:snapToGrid w:val="0"/>
          <w:kern w:val="22"/>
          <w:szCs w:val="22"/>
        </w:rPr>
        <w:t>H. huso</w:t>
      </w:r>
      <w:r w:rsidRPr="0088780C">
        <w:rPr>
          <w:rFonts w:eastAsia="MS Mincho"/>
          <w:iCs/>
          <w:snapToGrid w:val="0"/>
          <w:kern w:val="22"/>
          <w:szCs w:val="22"/>
        </w:rPr>
        <w:t>) enters the Gorganroud for spawning during February to April, but sometimes is also seen in these rivers during the autumn months (UNEP-WCMC, 2010). All these sturgeon species have been included in Appendix II of CITES and listed as critically endangered species by IUCN.</w:t>
      </w:r>
    </w:p>
    <w:p w14:paraId="19BDD1C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22593E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16A74814"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r w:rsidRPr="0088780C">
        <w:rPr>
          <w:rFonts w:eastAsia="MS Mincho"/>
          <w:iCs/>
          <w:snapToGrid w:val="0"/>
          <w:kern w:val="22"/>
          <w:szCs w:val="22"/>
        </w:rPr>
        <w:t xml:space="preserve">Gorgan Bay is surrounded by urban areas and agricultural fields; hence </w:t>
      </w:r>
      <w:r w:rsidRPr="0088780C">
        <w:rPr>
          <w:rFonts w:eastAsia="MS Mincho"/>
          <w:snapToGrid w:val="0"/>
          <w:kern w:val="22"/>
          <w:szCs w:val="22"/>
        </w:rPr>
        <w:t xml:space="preserve">the semi-enclosed environment of the bay is susceptible to various anthropogenic threats (Bastami et al., 2012). </w:t>
      </w:r>
      <w:r w:rsidRPr="0088780C">
        <w:rPr>
          <w:rFonts w:eastAsia="MS Mincho"/>
          <w:iCs/>
          <w:snapToGrid w:val="0"/>
          <w:kern w:val="22"/>
          <w:szCs w:val="22"/>
        </w:rPr>
        <w:t xml:space="preserve">The semi-enclosed Gorgan Bay is not severely polluted by heavy metals of Pb, Cr, Zn, and Cu and surface sediments of the bay could be generally classified as a ‘low-enriched to non-enriched bay’ (Bastami et al., 2012). Discharge of industrial, agricultural, urban and aquaculture wastes could threaten the bay and adjacent areas in the near future (Jamshidi, 2016). In the Turkmen part, the population (the settlements of Esenguly, Chykishler, Ekerem) mainly fish, hunt and to a lesser extent, breed cattle </w:t>
      </w:r>
      <w:r w:rsidRPr="0088780C">
        <w:rPr>
          <w:rFonts w:eastAsia="MS Mincho"/>
          <w:snapToGrid w:val="0"/>
          <w:kern w:val="22"/>
          <w:szCs w:val="22"/>
        </w:rPr>
        <w:t>(Рустамов и др., 2009).</w:t>
      </w:r>
      <w:r w:rsidRPr="0088780C">
        <w:rPr>
          <w:rFonts w:eastAsia="MS Mincho"/>
          <w:iCs/>
          <w:snapToGrid w:val="0"/>
          <w:kern w:val="22"/>
          <w:szCs w:val="22"/>
        </w:rPr>
        <w:t xml:space="preserve"> The hunting of waterfowl and illegal fishing are among the most important adverse human activities in the area (UNECE, 2011).</w:t>
      </w:r>
    </w:p>
    <w:p w14:paraId="2A84EE39"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48B3DB12" w14:textId="4A2D2BBE"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shoreline between Esenguly and Ekerem is located on the migration route of water birds, which lies across the eastern coast of the Caspian Sea: there are cases of not only the migration, but also the concentrations of birds at wintering (up to 20 species; among them, the main species are </w:t>
      </w:r>
      <w:r w:rsidRPr="0088780C">
        <w:rPr>
          <w:rFonts w:eastAsia="MS Mincho"/>
          <w:i/>
          <w:snapToGrid w:val="0"/>
          <w:kern w:val="22"/>
          <w:szCs w:val="22"/>
        </w:rPr>
        <w:t>Aythya fuligula</w:t>
      </w:r>
      <w:r w:rsidRPr="0088780C">
        <w:rPr>
          <w:rFonts w:eastAsia="MS Mincho"/>
          <w:snapToGrid w:val="0"/>
          <w:kern w:val="22"/>
          <w:szCs w:val="22"/>
        </w:rPr>
        <w:t xml:space="preserve">, which can exceed 20 000 individuals); a significant number of </w:t>
      </w:r>
      <w:r w:rsidRPr="0088780C">
        <w:rPr>
          <w:rFonts w:eastAsia="MS Mincho"/>
          <w:i/>
          <w:snapToGrid w:val="0"/>
          <w:kern w:val="22"/>
          <w:szCs w:val="22"/>
        </w:rPr>
        <w:t>Anas platyrhynchos, Netta rufina, Aythya ferina</w:t>
      </w:r>
      <w:r w:rsidRPr="0088780C">
        <w:rPr>
          <w:rFonts w:eastAsia="MS Mincho"/>
          <w:snapToGrid w:val="0"/>
          <w:kern w:val="22"/>
          <w:szCs w:val="22"/>
        </w:rPr>
        <w:t xml:space="preserve"> and </w:t>
      </w:r>
      <w:r w:rsidRPr="0088780C">
        <w:rPr>
          <w:rFonts w:eastAsia="MS Mincho"/>
          <w:i/>
          <w:snapToGrid w:val="0"/>
          <w:kern w:val="22"/>
          <w:szCs w:val="22"/>
        </w:rPr>
        <w:t>Fulica atra</w:t>
      </w:r>
      <w:r w:rsidRPr="0088780C">
        <w:rPr>
          <w:rFonts w:eastAsia="MS Mincho"/>
          <w:snapToGrid w:val="0"/>
          <w:kern w:val="22"/>
          <w:szCs w:val="22"/>
        </w:rPr>
        <w:t xml:space="preserve">. </w:t>
      </w:r>
      <w:r w:rsidRPr="0088780C">
        <w:rPr>
          <w:rFonts w:eastAsia="MS Mincho"/>
          <w:iCs/>
          <w:snapToGrid w:val="0"/>
          <w:kern w:val="22"/>
          <w:szCs w:val="22"/>
        </w:rPr>
        <w:t>Its number is not stable and influenced by significant annual fluctuations. The stable ones are the flocks of flamingo (</w:t>
      </w:r>
      <w:r w:rsidRPr="0088780C">
        <w:rPr>
          <w:rFonts w:eastAsia="MS Mincho"/>
          <w:i/>
          <w:snapToGrid w:val="0"/>
          <w:kern w:val="22"/>
          <w:szCs w:val="22"/>
        </w:rPr>
        <w:t>Phoenicopterus roseus</w:t>
      </w:r>
      <w:r w:rsidRPr="0088780C">
        <w:rPr>
          <w:rFonts w:eastAsia="MS Mincho"/>
          <w:iCs/>
          <w:snapToGrid w:val="0"/>
          <w:kern w:val="22"/>
          <w:szCs w:val="22"/>
        </w:rPr>
        <w:t>). There are also numerous species of waders, gulls and terns. The spring passage of water birds takes place between mid-March and the end of April. During the fall, the migration takes longer, starting at the end of August and lasting until early to mid-November. In general, this area sees almost 290 species, including 240 passaging and wintering species, 120 of which are water birds.</w:t>
      </w:r>
    </w:p>
    <w:p w14:paraId="36E81DA0"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01C56609"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The geographical range of several exotic species has been increased by human activities, both intentionally and unintentionally. The endemic polychaetes (</w:t>
      </w:r>
      <w:r w:rsidRPr="0088780C">
        <w:rPr>
          <w:rFonts w:eastAsia="MS Mincho"/>
          <w:i/>
          <w:snapToGrid w:val="0"/>
          <w:kern w:val="22"/>
          <w:szCs w:val="22"/>
        </w:rPr>
        <w:t>Hypania</w:t>
      </w:r>
      <w:r w:rsidRPr="0088780C">
        <w:rPr>
          <w:rFonts w:eastAsia="MS Mincho"/>
          <w:iCs/>
          <w:snapToGrid w:val="0"/>
          <w:kern w:val="22"/>
          <w:szCs w:val="22"/>
        </w:rPr>
        <w:t xml:space="preserve"> </w:t>
      </w:r>
      <w:r w:rsidRPr="0088780C">
        <w:rPr>
          <w:rFonts w:eastAsia="MS Mincho"/>
          <w:i/>
          <w:snapToGrid w:val="0"/>
          <w:kern w:val="22"/>
          <w:szCs w:val="22"/>
        </w:rPr>
        <w:t>invalida</w:t>
      </w:r>
      <w:r w:rsidRPr="0088780C">
        <w:rPr>
          <w:rFonts w:eastAsia="MS Mincho"/>
          <w:iCs/>
          <w:snapToGrid w:val="0"/>
          <w:kern w:val="22"/>
          <w:szCs w:val="22"/>
        </w:rPr>
        <w:t xml:space="preserve">, </w:t>
      </w:r>
      <w:r w:rsidRPr="0088780C">
        <w:rPr>
          <w:rFonts w:eastAsia="MS Mincho"/>
          <w:i/>
          <w:snapToGrid w:val="0"/>
          <w:kern w:val="22"/>
          <w:szCs w:val="22"/>
        </w:rPr>
        <w:t>Hypniola</w:t>
      </w:r>
      <w:r w:rsidRPr="0088780C">
        <w:rPr>
          <w:rFonts w:eastAsia="MS Mincho"/>
          <w:iCs/>
          <w:snapToGrid w:val="0"/>
          <w:kern w:val="22"/>
          <w:szCs w:val="22"/>
        </w:rPr>
        <w:t xml:space="preserve"> </w:t>
      </w:r>
      <w:r w:rsidRPr="0088780C">
        <w:rPr>
          <w:rFonts w:eastAsia="MS Mincho"/>
          <w:i/>
          <w:snapToGrid w:val="0"/>
          <w:kern w:val="22"/>
          <w:szCs w:val="22"/>
        </w:rPr>
        <w:t>kowalewskii</w:t>
      </w:r>
      <w:r w:rsidRPr="0088780C">
        <w:rPr>
          <w:rFonts w:eastAsia="MS Mincho"/>
          <w:iCs/>
          <w:snapToGrid w:val="0"/>
          <w:kern w:val="22"/>
          <w:szCs w:val="22"/>
        </w:rPr>
        <w:t xml:space="preserve"> and </w:t>
      </w:r>
      <w:r w:rsidRPr="0088780C">
        <w:rPr>
          <w:rFonts w:eastAsia="MS Mincho"/>
          <w:i/>
          <w:snapToGrid w:val="0"/>
          <w:kern w:val="22"/>
          <w:szCs w:val="22"/>
        </w:rPr>
        <w:t>Manayunkia</w:t>
      </w:r>
      <w:r w:rsidRPr="0088780C">
        <w:rPr>
          <w:rFonts w:eastAsia="MS Mincho"/>
          <w:iCs/>
          <w:snapToGrid w:val="0"/>
          <w:kern w:val="22"/>
          <w:szCs w:val="22"/>
        </w:rPr>
        <w:t xml:space="preserve"> </w:t>
      </w:r>
      <w:r w:rsidRPr="0088780C">
        <w:rPr>
          <w:rFonts w:eastAsia="MS Mincho"/>
          <w:i/>
          <w:snapToGrid w:val="0"/>
          <w:kern w:val="22"/>
          <w:szCs w:val="22"/>
        </w:rPr>
        <w:t>caspica</w:t>
      </w:r>
      <w:r w:rsidRPr="0088780C">
        <w:rPr>
          <w:rFonts w:eastAsia="MS Mincho"/>
          <w:iCs/>
          <w:snapToGrid w:val="0"/>
          <w:kern w:val="22"/>
          <w:szCs w:val="22"/>
        </w:rPr>
        <w:t xml:space="preserve">), which had been previously recorded in the Gorgan Bay, are entirely replaced by exotic </w:t>
      </w:r>
      <w:r w:rsidRPr="0088780C">
        <w:rPr>
          <w:rFonts w:eastAsia="MS Mincho"/>
          <w:i/>
          <w:snapToGrid w:val="0"/>
          <w:kern w:val="22"/>
          <w:szCs w:val="22"/>
        </w:rPr>
        <w:t>Streblospio</w:t>
      </w:r>
      <w:r w:rsidRPr="0088780C">
        <w:rPr>
          <w:rFonts w:eastAsia="MS Mincho"/>
          <w:iCs/>
          <w:snapToGrid w:val="0"/>
          <w:kern w:val="22"/>
          <w:szCs w:val="22"/>
        </w:rPr>
        <w:t xml:space="preserve"> </w:t>
      </w:r>
      <w:r w:rsidRPr="0088780C">
        <w:rPr>
          <w:rFonts w:eastAsia="MS Mincho"/>
          <w:i/>
          <w:snapToGrid w:val="0"/>
          <w:kern w:val="22"/>
          <w:szCs w:val="22"/>
        </w:rPr>
        <w:t>gynobranchiata</w:t>
      </w:r>
      <w:r w:rsidRPr="0088780C">
        <w:rPr>
          <w:rFonts w:eastAsia="MS Mincho"/>
          <w:iCs/>
          <w:snapToGrid w:val="0"/>
          <w:kern w:val="22"/>
          <w:szCs w:val="22"/>
        </w:rPr>
        <w:t xml:space="preserve"> (Taheri et al., 2012). The </w:t>
      </w:r>
      <w:r w:rsidRPr="0088780C">
        <w:rPr>
          <w:rFonts w:eastAsia="MS Mincho"/>
          <w:i/>
          <w:snapToGrid w:val="0"/>
          <w:kern w:val="22"/>
          <w:szCs w:val="22"/>
        </w:rPr>
        <w:t>Hediste diversicolor</w:t>
      </w:r>
      <w:r w:rsidRPr="0088780C">
        <w:rPr>
          <w:rFonts w:eastAsia="MS Mincho"/>
          <w:iCs/>
          <w:snapToGrid w:val="0"/>
          <w:kern w:val="22"/>
          <w:szCs w:val="22"/>
        </w:rPr>
        <w:t xml:space="preserve"> has been intentionally introduced to the Caspian Sea to increase food resources for commercially exploited fish (Ghasemi et al., 2014). Although the establishment of nonindigenous polychaetes as an additional food source could facilitate the rehabilitation of commercially exploited fish stocks, benthic communities are at risk of being subjected to unforeseen negative impacts.</w:t>
      </w:r>
    </w:p>
    <w:p w14:paraId="0CE811C2"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3DFDF295" w14:textId="6D4153EC" w:rsidR="00A876F3" w:rsidRPr="0088780C" w:rsidRDefault="00A876F3" w:rsidP="00C0674C">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Numerous changes in the biodiversity of organisms have been observed in the area following the invasion of the ctenophore </w:t>
      </w:r>
      <w:r w:rsidRPr="0088780C">
        <w:rPr>
          <w:rFonts w:eastAsia="MS Mincho"/>
          <w:i/>
          <w:snapToGrid w:val="0"/>
          <w:kern w:val="22"/>
          <w:szCs w:val="22"/>
        </w:rPr>
        <w:t>Mnemiopsis leidyi</w:t>
      </w:r>
      <w:r w:rsidRPr="0088780C">
        <w:rPr>
          <w:rFonts w:eastAsia="MS Mincho"/>
          <w:iCs/>
          <w:snapToGrid w:val="0"/>
          <w:kern w:val="22"/>
          <w:szCs w:val="22"/>
        </w:rPr>
        <w:t xml:space="preserve">. A decrease in total zooplankton abundance and biodiversity and an increase in total phytoplankton abundance are among the most obvious changes recorded after the introduction of </w:t>
      </w:r>
      <w:r w:rsidRPr="0088780C">
        <w:rPr>
          <w:rFonts w:eastAsia="MS Mincho"/>
          <w:i/>
          <w:snapToGrid w:val="0"/>
          <w:kern w:val="22"/>
          <w:szCs w:val="22"/>
        </w:rPr>
        <w:t xml:space="preserve">M. leidyi. </w:t>
      </w:r>
      <w:r w:rsidRPr="0088780C">
        <w:rPr>
          <w:rFonts w:eastAsia="MS Mincho"/>
          <w:iCs/>
          <w:snapToGrid w:val="0"/>
          <w:kern w:val="22"/>
          <w:szCs w:val="22"/>
        </w:rPr>
        <w:t xml:space="preserve">Competing for food with the main zooplanktivorous fish, </w:t>
      </w:r>
      <w:r w:rsidRPr="0088780C">
        <w:rPr>
          <w:rFonts w:eastAsia="MS Mincho"/>
          <w:i/>
          <w:snapToGrid w:val="0"/>
          <w:kern w:val="22"/>
          <w:szCs w:val="22"/>
        </w:rPr>
        <w:t>M. leidyi</w:t>
      </w:r>
      <w:r w:rsidRPr="0088780C">
        <w:rPr>
          <w:rFonts w:eastAsia="MS Mincho"/>
          <w:iCs/>
          <w:snapToGrid w:val="0"/>
          <w:kern w:val="22"/>
          <w:szCs w:val="22"/>
        </w:rPr>
        <w:t xml:space="preserve"> caused a dramatic recruitment failure of kilka (</w:t>
      </w:r>
      <w:r w:rsidRPr="0088780C">
        <w:rPr>
          <w:rFonts w:eastAsia="MS Mincho"/>
          <w:i/>
          <w:snapToGrid w:val="0"/>
          <w:kern w:val="22"/>
          <w:szCs w:val="22"/>
        </w:rPr>
        <w:t>Clupeonella</w:t>
      </w:r>
      <w:r w:rsidRPr="0088780C">
        <w:rPr>
          <w:rFonts w:eastAsia="MS Mincho"/>
          <w:iCs/>
          <w:snapToGrid w:val="0"/>
          <w:kern w:val="22"/>
          <w:szCs w:val="22"/>
        </w:rPr>
        <w:t xml:space="preserve"> spp.) in the south Caspian Sea (Roohi et al., 2010). Other factors, such as overfishing, climate change and anthropogenic pollution, might also have played a role in the variations of the ecosystems, in addition to the impact of </w:t>
      </w:r>
      <w:r w:rsidRPr="0088780C">
        <w:rPr>
          <w:rFonts w:eastAsia="MS Mincho"/>
          <w:i/>
          <w:snapToGrid w:val="0"/>
          <w:kern w:val="22"/>
          <w:szCs w:val="22"/>
        </w:rPr>
        <w:t>M. leidyi</w:t>
      </w:r>
      <w:r w:rsidRPr="0088780C">
        <w:rPr>
          <w:rFonts w:eastAsia="MS Mincho"/>
          <w:iCs/>
          <w:snapToGrid w:val="0"/>
          <w:kern w:val="22"/>
          <w:szCs w:val="22"/>
        </w:rPr>
        <w:t xml:space="preserve"> (Kideys et al. 2008). There are also changes in macrobenthic fauna, including increased bivalve and annelid abundance, but decrease</w:t>
      </w:r>
      <w:r w:rsidR="00C0674C" w:rsidRPr="0088780C">
        <w:rPr>
          <w:rFonts w:eastAsia="MS Mincho"/>
          <w:iCs/>
          <w:snapToGrid w:val="0"/>
          <w:kern w:val="22"/>
          <w:szCs w:val="22"/>
        </w:rPr>
        <w:t xml:space="preserve">d benthic crustacean abundance </w:t>
      </w:r>
      <w:r w:rsidRPr="0088780C">
        <w:rPr>
          <w:rFonts w:eastAsia="MS Mincho"/>
          <w:iCs/>
          <w:snapToGrid w:val="0"/>
          <w:kern w:val="22"/>
          <w:szCs w:val="22"/>
        </w:rPr>
        <w:t xml:space="preserve">occurred after the invasion of the M. leidyi in the southern Caspian, which could be related to predation of crustacean larvae by M. leidyi, to a decrease in predators of macrobenthos and/or to an increase in their food source by settling of dead ctenophores (Roohi et al., 2010).If marine species start to penetrate actively, </w:t>
      </w:r>
      <w:r w:rsidR="00D8482D" w:rsidRPr="0088780C">
        <w:rPr>
          <w:rFonts w:eastAsia="MS Mincho"/>
          <w:iCs/>
          <w:snapToGrid w:val="0"/>
          <w:kern w:val="22"/>
          <w:szCs w:val="22"/>
        </w:rPr>
        <w:t>“</w:t>
      </w:r>
      <w:r w:rsidRPr="0088780C">
        <w:rPr>
          <w:rFonts w:eastAsia="MS Mincho"/>
          <w:iCs/>
          <w:snapToGrid w:val="0"/>
          <w:kern w:val="22"/>
          <w:szCs w:val="22"/>
        </w:rPr>
        <w:t>mediterranization</w:t>
      </w:r>
      <w:r w:rsidR="00D8482D" w:rsidRPr="0088780C">
        <w:rPr>
          <w:rFonts w:eastAsia="MS Mincho"/>
          <w:iCs/>
          <w:snapToGrid w:val="0"/>
          <w:kern w:val="22"/>
          <w:szCs w:val="22"/>
        </w:rPr>
        <w:t>”</w:t>
      </w:r>
      <w:r w:rsidRPr="0088780C">
        <w:rPr>
          <w:rFonts w:eastAsia="MS Mincho"/>
          <w:iCs/>
          <w:snapToGrid w:val="0"/>
          <w:kern w:val="22"/>
          <w:szCs w:val="22"/>
        </w:rPr>
        <w:t xml:space="preserve"> of the Caspian Sea—replacement of the native species by Mediterranean species and forcing out of the brackish water species into estuaries—as happened in the Sea of Azov and Black Sea after the discovery of the Bosporus, is possible (Kostianoy &amp; Kosarev, 2005).</w:t>
      </w:r>
    </w:p>
    <w:p w14:paraId="525003F4"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62B47D48"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At least seven invasive alien fish species have been recorded in Gorgan Bay, including </w:t>
      </w:r>
      <w:r w:rsidRPr="0088780C">
        <w:rPr>
          <w:rFonts w:eastAsia="MS Mincho"/>
          <w:i/>
          <w:snapToGrid w:val="0"/>
          <w:kern w:val="22"/>
          <w:szCs w:val="22"/>
        </w:rPr>
        <w:t>Carassius</w:t>
      </w:r>
      <w:r w:rsidRPr="0088780C">
        <w:rPr>
          <w:rFonts w:eastAsia="MS Mincho"/>
          <w:iCs/>
          <w:snapToGrid w:val="0"/>
          <w:kern w:val="22"/>
          <w:szCs w:val="22"/>
        </w:rPr>
        <w:t xml:space="preserve"> </w:t>
      </w:r>
      <w:r w:rsidRPr="0088780C">
        <w:rPr>
          <w:rFonts w:eastAsia="MS Mincho"/>
          <w:i/>
          <w:snapToGrid w:val="0"/>
          <w:kern w:val="22"/>
          <w:szCs w:val="22"/>
        </w:rPr>
        <w:t>gibelio</w:t>
      </w:r>
      <w:r w:rsidRPr="0088780C">
        <w:rPr>
          <w:rFonts w:eastAsia="MS Mincho"/>
          <w:iCs/>
          <w:snapToGrid w:val="0"/>
          <w:kern w:val="22"/>
          <w:szCs w:val="22"/>
        </w:rPr>
        <w:t xml:space="preserve">, </w:t>
      </w:r>
      <w:r w:rsidRPr="0088780C">
        <w:rPr>
          <w:rFonts w:eastAsia="MS Mincho"/>
          <w:i/>
          <w:snapToGrid w:val="0"/>
          <w:kern w:val="22"/>
          <w:szCs w:val="22"/>
        </w:rPr>
        <w:t>Cyprinus</w:t>
      </w:r>
      <w:r w:rsidRPr="0088780C">
        <w:rPr>
          <w:rFonts w:eastAsia="MS Mincho"/>
          <w:iCs/>
          <w:snapToGrid w:val="0"/>
          <w:kern w:val="22"/>
          <w:szCs w:val="22"/>
        </w:rPr>
        <w:t xml:space="preserve"> </w:t>
      </w:r>
      <w:r w:rsidRPr="0088780C">
        <w:rPr>
          <w:rFonts w:eastAsia="MS Mincho"/>
          <w:i/>
          <w:snapToGrid w:val="0"/>
          <w:kern w:val="22"/>
          <w:szCs w:val="22"/>
        </w:rPr>
        <w:t>carpio</w:t>
      </w:r>
      <w:r w:rsidRPr="0088780C">
        <w:rPr>
          <w:rFonts w:eastAsia="MS Mincho"/>
          <w:iCs/>
          <w:snapToGrid w:val="0"/>
          <w:kern w:val="22"/>
          <w:szCs w:val="22"/>
        </w:rPr>
        <w:t xml:space="preserve">, </w:t>
      </w:r>
      <w:r w:rsidRPr="0088780C">
        <w:rPr>
          <w:rFonts w:eastAsia="MS Mincho"/>
          <w:i/>
          <w:snapToGrid w:val="0"/>
          <w:kern w:val="22"/>
          <w:szCs w:val="22"/>
        </w:rPr>
        <w:t>Gambusia</w:t>
      </w:r>
      <w:r w:rsidRPr="0088780C">
        <w:rPr>
          <w:rFonts w:eastAsia="MS Mincho"/>
          <w:iCs/>
          <w:snapToGrid w:val="0"/>
          <w:kern w:val="22"/>
          <w:szCs w:val="22"/>
        </w:rPr>
        <w:t xml:space="preserve"> </w:t>
      </w:r>
      <w:r w:rsidRPr="0088780C">
        <w:rPr>
          <w:rFonts w:eastAsia="MS Mincho"/>
          <w:i/>
          <w:snapToGrid w:val="0"/>
          <w:kern w:val="22"/>
          <w:szCs w:val="22"/>
        </w:rPr>
        <w:t>holbrooki</w:t>
      </w:r>
      <w:r w:rsidRPr="0088780C">
        <w:rPr>
          <w:rFonts w:eastAsia="MS Mincho"/>
          <w:iCs/>
          <w:snapToGrid w:val="0"/>
          <w:kern w:val="22"/>
          <w:szCs w:val="22"/>
        </w:rPr>
        <w:t xml:space="preserve">, </w:t>
      </w:r>
      <w:r w:rsidRPr="0088780C">
        <w:rPr>
          <w:rFonts w:eastAsia="MS Mincho"/>
          <w:i/>
          <w:snapToGrid w:val="0"/>
          <w:kern w:val="22"/>
          <w:szCs w:val="22"/>
        </w:rPr>
        <w:t>Gasterosteus</w:t>
      </w:r>
      <w:r w:rsidRPr="0088780C">
        <w:rPr>
          <w:rFonts w:eastAsia="MS Mincho"/>
          <w:iCs/>
          <w:snapToGrid w:val="0"/>
          <w:kern w:val="22"/>
          <w:szCs w:val="22"/>
        </w:rPr>
        <w:t xml:space="preserve"> </w:t>
      </w:r>
      <w:r w:rsidRPr="0088780C">
        <w:rPr>
          <w:rFonts w:eastAsia="MS Mincho"/>
          <w:i/>
          <w:snapToGrid w:val="0"/>
          <w:kern w:val="22"/>
          <w:szCs w:val="22"/>
        </w:rPr>
        <w:t>aculeatus</w:t>
      </w:r>
      <w:r w:rsidRPr="0088780C">
        <w:rPr>
          <w:rFonts w:eastAsia="MS Mincho"/>
          <w:iCs/>
          <w:snapToGrid w:val="0"/>
          <w:kern w:val="22"/>
          <w:szCs w:val="22"/>
        </w:rPr>
        <w:t xml:space="preserve">, </w:t>
      </w:r>
      <w:r w:rsidRPr="0088780C">
        <w:rPr>
          <w:rFonts w:eastAsia="MS Mincho"/>
          <w:i/>
          <w:snapToGrid w:val="0"/>
          <w:kern w:val="22"/>
          <w:szCs w:val="22"/>
        </w:rPr>
        <w:t>Liza</w:t>
      </w:r>
      <w:r w:rsidRPr="0088780C">
        <w:rPr>
          <w:rFonts w:eastAsia="MS Mincho"/>
          <w:iCs/>
          <w:snapToGrid w:val="0"/>
          <w:kern w:val="22"/>
          <w:szCs w:val="22"/>
        </w:rPr>
        <w:t xml:space="preserve"> </w:t>
      </w:r>
      <w:r w:rsidRPr="0088780C">
        <w:rPr>
          <w:rFonts w:eastAsia="MS Mincho"/>
          <w:i/>
          <w:snapToGrid w:val="0"/>
          <w:kern w:val="22"/>
          <w:szCs w:val="22"/>
        </w:rPr>
        <w:t>aurata</w:t>
      </w:r>
      <w:r w:rsidRPr="0088780C">
        <w:rPr>
          <w:rFonts w:eastAsia="MS Mincho"/>
          <w:iCs/>
          <w:snapToGrid w:val="0"/>
          <w:kern w:val="22"/>
          <w:szCs w:val="22"/>
        </w:rPr>
        <w:t xml:space="preserve">, </w:t>
      </w:r>
      <w:r w:rsidRPr="0088780C">
        <w:rPr>
          <w:rFonts w:eastAsia="MS Mincho"/>
          <w:i/>
          <w:snapToGrid w:val="0"/>
          <w:kern w:val="22"/>
          <w:szCs w:val="22"/>
        </w:rPr>
        <w:t>Lisa</w:t>
      </w:r>
      <w:r w:rsidRPr="0088780C">
        <w:rPr>
          <w:rFonts w:eastAsia="MS Mincho"/>
          <w:iCs/>
          <w:snapToGrid w:val="0"/>
          <w:kern w:val="22"/>
          <w:szCs w:val="22"/>
        </w:rPr>
        <w:t xml:space="preserve"> </w:t>
      </w:r>
      <w:r w:rsidRPr="0088780C">
        <w:rPr>
          <w:rFonts w:eastAsia="MS Mincho"/>
          <w:i/>
          <w:snapToGrid w:val="0"/>
          <w:kern w:val="22"/>
          <w:szCs w:val="22"/>
        </w:rPr>
        <w:t>saliens</w:t>
      </w:r>
      <w:r w:rsidRPr="0088780C">
        <w:rPr>
          <w:rFonts w:eastAsia="MS Mincho"/>
          <w:iCs/>
          <w:snapToGrid w:val="0"/>
          <w:kern w:val="22"/>
          <w:szCs w:val="22"/>
        </w:rPr>
        <w:t xml:space="preserve"> and </w:t>
      </w:r>
      <w:r w:rsidRPr="0088780C">
        <w:rPr>
          <w:rFonts w:eastAsia="MS Mincho"/>
          <w:i/>
          <w:snapToGrid w:val="0"/>
          <w:kern w:val="22"/>
          <w:szCs w:val="22"/>
        </w:rPr>
        <w:t>Oncorhynchus</w:t>
      </w:r>
      <w:r w:rsidRPr="0088780C">
        <w:rPr>
          <w:rFonts w:eastAsia="MS Mincho"/>
          <w:iCs/>
          <w:snapToGrid w:val="0"/>
          <w:kern w:val="22"/>
          <w:szCs w:val="22"/>
        </w:rPr>
        <w:t xml:space="preserve"> </w:t>
      </w:r>
      <w:r w:rsidRPr="0088780C">
        <w:rPr>
          <w:rFonts w:eastAsia="MS Mincho"/>
          <w:i/>
          <w:snapToGrid w:val="0"/>
          <w:kern w:val="22"/>
          <w:szCs w:val="22"/>
        </w:rPr>
        <w:t>mykiss</w:t>
      </w:r>
      <w:r w:rsidRPr="0088780C">
        <w:rPr>
          <w:rFonts w:eastAsia="MS Mincho"/>
          <w:iCs/>
          <w:snapToGrid w:val="0"/>
          <w:kern w:val="22"/>
          <w:szCs w:val="22"/>
        </w:rPr>
        <w:t xml:space="preserve"> (Kiabi et al., 1999a). The sharpbelly (</w:t>
      </w:r>
      <w:r w:rsidRPr="0088780C">
        <w:rPr>
          <w:rFonts w:eastAsia="MS Mincho"/>
          <w:i/>
          <w:snapToGrid w:val="0"/>
          <w:kern w:val="22"/>
          <w:szCs w:val="22"/>
        </w:rPr>
        <w:t>Hemicultur leucisculus</w:t>
      </w:r>
      <w:r w:rsidRPr="0088780C">
        <w:rPr>
          <w:rFonts w:eastAsia="MS Mincho"/>
          <w:iCs/>
          <w:snapToGrid w:val="0"/>
          <w:kern w:val="22"/>
          <w:szCs w:val="22"/>
        </w:rPr>
        <w:t>) and threespined stickleback (</w:t>
      </w:r>
      <w:r w:rsidRPr="0088780C">
        <w:rPr>
          <w:rFonts w:eastAsia="MS Mincho"/>
          <w:i/>
          <w:snapToGrid w:val="0"/>
          <w:kern w:val="22"/>
          <w:szCs w:val="22"/>
        </w:rPr>
        <w:t>Gasterosteus</w:t>
      </w:r>
      <w:r w:rsidRPr="0088780C">
        <w:rPr>
          <w:rFonts w:eastAsia="MS Mincho"/>
          <w:iCs/>
          <w:snapToGrid w:val="0"/>
          <w:kern w:val="22"/>
          <w:szCs w:val="22"/>
        </w:rPr>
        <w:t xml:space="preserve"> </w:t>
      </w:r>
      <w:r w:rsidRPr="0088780C">
        <w:rPr>
          <w:rFonts w:eastAsia="MS Mincho"/>
          <w:i/>
          <w:snapToGrid w:val="0"/>
          <w:kern w:val="22"/>
          <w:szCs w:val="22"/>
        </w:rPr>
        <w:t>aculeatus</w:t>
      </w:r>
      <w:r w:rsidRPr="0088780C">
        <w:rPr>
          <w:rFonts w:eastAsia="MS Mincho"/>
          <w:iCs/>
          <w:snapToGrid w:val="0"/>
          <w:kern w:val="22"/>
          <w:szCs w:val="22"/>
        </w:rPr>
        <w:t xml:space="preserve">) have been recorded as invasive alien species in brackish waters of Gomishan Lagoon and nearby waters and </w:t>
      </w:r>
      <w:r w:rsidRPr="0088780C">
        <w:rPr>
          <w:rFonts w:eastAsia="MS Mincho"/>
          <w:i/>
          <w:snapToGrid w:val="0"/>
          <w:kern w:val="22"/>
          <w:szCs w:val="22"/>
        </w:rPr>
        <w:t>Carassisus</w:t>
      </w:r>
      <w:r w:rsidRPr="0088780C">
        <w:rPr>
          <w:rFonts w:eastAsia="MS Mincho"/>
          <w:iCs/>
          <w:snapToGrid w:val="0"/>
          <w:kern w:val="22"/>
          <w:szCs w:val="22"/>
        </w:rPr>
        <w:t xml:space="preserve"> </w:t>
      </w:r>
      <w:r w:rsidRPr="0088780C">
        <w:rPr>
          <w:rFonts w:eastAsia="MS Mincho"/>
          <w:i/>
          <w:snapToGrid w:val="0"/>
          <w:kern w:val="22"/>
          <w:szCs w:val="22"/>
        </w:rPr>
        <w:t>auratus</w:t>
      </w:r>
      <w:r w:rsidRPr="0088780C">
        <w:rPr>
          <w:rFonts w:eastAsia="MS Mincho"/>
          <w:iCs/>
          <w:snapToGrid w:val="0"/>
          <w:kern w:val="22"/>
          <w:szCs w:val="22"/>
        </w:rPr>
        <w:t xml:space="preserve"> and </w:t>
      </w:r>
      <w:r w:rsidRPr="0088780C">
        <w:rPr>
          <w:rFonts w:eastAsia="MS Mincho"/>
          <w:i/>
          <w:snapToGrid w:val="0"/>
          <w:kern w:val="22"/>
          <w:szCs w:val="22"/>
        </w:rPr>
        <w:t>Gambusia</w:t>
      </w:r>
      <w:r w:rsidRPr="0088780C">
        <w:rPr>
          <w:rFonts w:eastAsia="MS Mincho"/>
          <w:iCs/>
          <w:snapToGrid w:val="0"/>
          <w:kern w:val="22"/>
          <w:szCs w:val="22"/>
        </w:rPr>
        <w:t xml:space="preserve"> </w:t>
      </w:r>
      <w:r w:rsidRPr="0088780C">
        <w:rPr>
          <w:rFonts w:eastAsia="MS Mincho"/>
          <w:i/>
          <w:snapToGrid w:val="0"/>
          <w:kern w:val="22"/>
          <w:szCs w:val="22"/>
        </w:rPr>
        <w:t xml:space="preserve">holbrooki </w:t>
      </w:r>
      <w:r w:rsidRPr="0088780C">
        <w:rPr>
          <w:rFonts w:eastAsia="MS Mincho"/>
          <w:iCs/>
          <w:snapToGrid w:val="0"/>
          <w:kern w:val="22"/>
          <w:szCs w:val="22"/>
        </w:rPr>
        <w:t>have been recorded as invasive alien species in freshwater estuaries of the area (Patimar et al., 2009a).</w:t>
      </w:r>
    </w:p>
    <w:p w14:paraId="41372499"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7B83DB91" w14:textId="4F2392BF"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r w:rsidRPr="0088780C">
        <w:rPr>
          <w:snapToGrid w:val="0"/>
          <w:kern w:val="22"/>
          <w:szCs w:val="22"/>
        </w:rPr>
        <w:t>The extensive extraction of water for irrigation purposes has led to a drastic decrease of the water level in many rivers and other water bodies in the area, and thus to a considerably reduction in habitat size and structure for fish species (</w:t>
      </w:r>
      <w:r w:rsidRPr="0088780C">
        <w:rPr>
          <w:rFonts w:eastAsia="MS Mincho"/>
          <w:iCs/>
          <w:snapToGrid w:val="0"/>
          <w:kern w:val="22"/>
          <w:szCs w:val="22"/>
        </w:rPr>
        <w:t>Kiabi et al., 1999a)</w:t>
      </w:r>
      <w:r w:rsidRPr="0088780C">
        <w:rPr>
          <w:snapToGrid w:val="0"/>
          <w:kern w:val="22"/>
          <w:szCs w:val="22"/>
        </w:rPr>
        <w:t xml:space="preserve">. </w:t>
      </w:r>
      <w:r w:rsidRPr="0088780C">
        <w:rPr>
          <w:rFonts w:eastAsia="MS Mincho"/>
          <w:iCs/>
          <w:snapToGrid w:val="0"/>
          <w:kern w:val="22"/>
          <w:szCs w:val="22"/>
        </w:rPr>
        <w:t>There has been a progressive fall in the water levels of the Atrek (Atrak) River during the last decades as a result of withdrawal of water in the Iranian part of the river (CEP, 1998a; UNEP, 2006). This is directly responsible for the reduction of spawning grounds in the lower reaches of the Atrek, where semi-anadromous fish</w:t>
      </w:r>
      <w:r w:rsidR="004C2C39" w:rsidRPr="0088780C">
        <w:rPr>
          <w:rFonts w:eastAsia="MS Mincho"/>
          <w:iCs/>
          <w:snapToGrid w:val="0"/>
          <w:kern w:val="22"/>
          <w:szCs w:val="22"/>
        </w:rPr>
        <w:t>,</w:t>
      </w:r>
      <w:r w:rsidRPr="0088780C">
        <w:rPr>
          <w:rFonts w:eastAsia="MS Mincho"/>
          <w:iCs/>
          <w:snapToGrid w:val="0"/>
          <w:kern w:val="22"/>
          <w:szCs w:val="22"/>
        </w:rPr>
        <w:t xml:space="preserve"> such as Caspian roach (</w:t>
      </w:r>
      <w:r w:rsidRPr="0088780C">
        <w:rPr>
          <w:rFonts w:eastAsia="MS Mincho"/>
          <w:i/>
          <w:snapToGrid w:val="0"/>
          <w:kern w:val="22"/>
          <w:szCs w:val="22"/>
        </w:rPr>
        <w:t>Rutilus</w:t>
      </w:r>
      <w:r w:rsidRPr="0088780C">
        <w:rPr>
          <w:rFonts w:eastAsia="MS Mincho"/>
          <w:iCs/>
          <w:snapToGrid w:val="0"/>
          <w:kern w:val="22"/>
          <w:szCs w:val="22"/>
        </w:rPr>
        <w:t xml:space="preserve"> </w:t>
      </w:r>
      <w:r w:rsidRPr="0088780C">
        <w:rPr>
          <w:rFonts w:eastAsia="MS Mincho"/>
          <w:i/>
          <w:snapToGrid w:val="0"/>
          <w:kern w:val="22"/>
          <w:szCs w:val="22"/>
        </w:rPr>
        <w:t>rutilus</w:t>
      </w:r>
      <w:r w:rsidRPr="0088780C">
        <w:rPr>
          <w:rFonts w:eastAsia="MS Mincho"/>
          <w:iCs/>
          <w:snapToGrid w:val="0"/>
          <w:kern w:val="22"/>
          <w:szCs w:val="22"/>
        </w:rPr>
        <w:t xml:space="preserve"> </w:t>
      </w:r>
      <w:r w:rsidRPr="0088780C">
        <w:rPr>
          <w:rFonts w:eastAsia="MS Mincho"/>
          <w:i/>
          <w:snapToGrid w:val="0"/>
          <w:kern w:val="22"/>
          <w:szCs w:val="22"/>
        </w:rPr>
        <w:t>caspicus</w:t>
      </w:r>
      <w:r w:rsidRPr="0088780C">
        <w:rPr>
          <w:rFonts w:eastAsia="MS Mincho"/>
          <w:iCs/>
          <w:snapToGrid w:val="0"/>
          <w:kern w:val="22"/>
          <w:szCs w:val="22"/>
        </w:rPr>
        <w:t>) and common carp (</w:t>
      </w:r>
      <w:r w:rsidRPr="0088780C">
        <w:rPr>
          <w:rFonts w:eastAsia="MS Mincho"/>
          <w:i/>
          <w:snapToGrid w:val="0"/>
          <w:kern w:val="22"/>
          <w:szCs w:val="22"/>
        </w:rPr>
        <w:t>Cyprinus</w:t>
      </w:r>
      <w:r w:rsidRPr="0088780C">
        <w:rPr>
          <w:rFonts w:eastAsia="MS Mincho"/>
          <w:iCs/>
          <w:snapToGrid w:val="0"/>
          <w:kern w:val="22"/>
          <w:szCs w:val="22"/>
        </w:rPr>
        <w:t xml:space="preserve"> </w:t>
      </w:r>
      <w:r w:rsidRPr="0088780C">
        <w:rPr>
          <w:rFonts w:eastAsia="MS Mincho"/>
          <w:i/>
          <w:snapToGrid w:val="0"/>
          <w:kern w:val="22"/>
          <w:szCs w:val="22"/>
        </w:rPr>
        <w:t>carpio</w:t>
      </w:r>
      <w:r w:rsidRPr="0088780C">
        <w:rPr>
          <w:rFonts w:eastAsia="MS Mincho"/>
          <w:iCs/>
          <w:snapToGrid w:val="0"/>
          <w:kern w:val="22"/>
          <w:szCs w:val="22"/>
        </w:rPr>
        <w:t>), reproduce (UNEP, 2006).</w:t>
      </w:r>
    </w:p>
    <w:p w14:paraId="0C8B4FA7"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p>
    <w:p w14:paraId="577B6473"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In an attempt to prevent the continued decline in sturgeon stocks, artificial spawning grounds were created during the early 1970s at Adjib and Adjiyab in the lower reaches of the Atrek River. The decline in the abundance of sturgeon was temporarily curbed, however, during the last decade there has often been no water in the lower reaches of the Atrek River, thereby preventing the migration to and spawning of sturgeon at these grounds (CEP 1998a; UNEP, 2006). It is now estimated that between 60 and 100 km³ of water would be required during the critical spawning period between November and June to ensure the normal functioning of the Adjib spawning grounds (CEP 1998a; UNEP, 2006).</w:t>
      </w:r>
    </w:p>
    <w:p w14:paraId="33C9851E"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5504949B" w14:textId="046C2CA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high and unregulated commercial fishing, habitat loss and environmental degradation (such as accumulation of pollutants in sediments, the damming of rivers, and restriction of water flows), have negatively influenced the migration and reproduction of fish populations, including sturgeons, in this area (Bakhshalizadeh et al., 2011). The construction of Voshmgir dam has substantially impoverished Gorganroud (Gorgan River) in terms of its capacity to provide suitable grounds for sturgeon spawning and migrations (Abdolhay, 2004; Kiabi et al., 1999a; </w:t>
      </w:r>
      <w:r w:rsidRPr="0088780C">
        <w:rPr>
          <w:snapToGrid w:val="0"/>
          <w:kern w:val="22"/>
          <w:szCs w:val="22"/>
          <w:shd w:val="clear" w:color="auto" w:fill="FFFFFF"/>
        </w:rPr>
        <w:t>Pourkazemi, 2006</w:t>
      </w:r>
      <w:r w:rsidRPr="0088780C">
        <w:rPr>
          <w:rFonts w:eastAsia="MS Mincho"/>
          <w:iCs/>
          <w:snapToGrid w:val="0"/>
          <w:kern w:val="22"/>
          <w:szCs w:val="22"/>
        </w:rPr>
        <w:t>). Due to drainage regulation during the spring season, the river usually becomes very shallow followed by severe fluctuations in water temperature downstream (Abdolhay, 2004).</w:t>
      </w:r>
    </w:p>
    <w:p w14:paraId="2BC5EDCE"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6340B619" w14:textId="078F9288" w:rsidR="00A876F3" w:rsidRPr="0088780C" w:rsidRDefault="00A876F3" w:rsidP="001013AF">
      <w:pPr>
        <w:suppressLineNumbers/>
        <w:suppressAutoHyphens/>
        <w:kinsoku w:val="0"/>
        <w:overflowPunct w:val="0"/>
        <w:autoSpaceDE w:val="0"/>
        <w:autoSpaceDN w:val="0"/>
        <w:rPr>
          <w:rFonts w:eastAsia="MS Mincho"/>
          <w:iCs/>
          <w:snapToGrid w:val="0"/>
          <w:spacing w:val="-2"/>
          <w:kern w:val="22"/>
          <w:szCs w:val="22"/>
        </w:rPr>
      </w:pPr>
      <w:r w:rsidRPr="0088780C">
        <w:rPr>
          <w:rFonts w:eastAsia="MS Mincho"/>
          <w:iCs/>
          <w:snapToGrid w:val="0"/>
          <w:spacing w:val="-2"/>
          <w:kern w:val="22"/>
          <w:szCs w:val="22"/>
        </w:rPr>
        <w:t xml:space="preserve">In response to population declines of the critically endangered </w:t>
      </w:r>
      <w:r w:rsidRPr="0088780C">
        <w:rPr>
          <w:rFonts w:eastAsia="MS Mincho"/>
          <w:i/>
          <w:snapToGrid w:val="0"/>
          <w:spacing w:val="-2"/>
          <w:kern w:val="22"/>
          <w:szCs w:val="22"/>
        </w:rPr>
        <w:t>Acipenser</w:t>
      </w:r>
      <w:r w:rsidRPr="0088780C">
        <w:rPr>
          <w:rFonts w:eastAsia="MS Mincho"/>
          <w:iCs/>
          <w:snapToGrid w:val="0"/>
          <w:spacing w:val="-2"/>
          <w:kern w:val="22"/>
          <w:szCs w:val="22"/>
        </w:rPr>
        <w:t xml:space="preserve"> </w:t>
      </w:r>
      <w:r w:rsidRPr="0088780C">
        <w:rPr>
          <w:rFonts w:eastAsia="MS Mincho"/>
          <w:i/>
          <w:snapToGrid w:val="0"/>
          <w:spacing w:val="-2"/>
          <w:kern w:val="22"/>
          <w:szCs w:val="22"/>
        </w:rPr>
        <w:t>persicus</w:t>
      </w:r>
      <w:r w:rsidRPr="0088780C">
        <w:rPr>
          <w:rFonts w:eastAsia="MS Mincho"/>
          <w:iCs/>
          <w:snapToGrid w:val="0"/>
          <w:spacing w:val="-2"/>
          <w:kern w:val="22"/>
          <w:szCs w:val="22"/>
        </w:rPr>
        <w:t xml:space="preserve">, </w:t>
      </w:r>
      <w:r w:rsidR="001E516D" w:rsidRPr="0088780C">
        <w:rPr>
          <w:rFonts w:eastAsia="MS Mincho"/>
          <w:iCs/>
          <w:snapToGrid w:val="0"/>
          <w:spacing w:val="-2"/>
          <w:kern w:val="22"/>
          <w:szCs w:val="22"/>
        </w:rPr>
        <w:t xml:space="preserve">the Islamic Republic of </w:t>
      </w:r>
      <w:r w:rsidRPr="0088780C">
        <w:rPr>
          <w:rFonts w:eastAsia="MS Mincho"/>
          <w:iCs/>
          <w:snapToGrid w:val="0"/>
          <w:spacing w:val="-2"/>
          <w:kern w:val="22"/>
          <w:szCs w:val="22"/>
        </w:rPr>
        <w:t xml:space="preserve">Iran has banned netting for sturgeon along their shores of the south Caspian Sea. Furthermore, Iranian production of </w:t>
      </w:r>
      <w:r w:rsidRPr="0088780C">
        <w:rPr>
          <w:rFonts w:eastAsia="MS Mincho"/>
          <w:i/>
          <w:snapToGrid w:val="0"/>
          <w:spacing w:val="-2"/>
          <w:kern w:val="22"/>
          <w:szCs w:val="22"/>
        </w:rPr>
        <w:t>A.</w:t>
      </w:r>
      <w:r w:rsidR="002F55F2" w:rsidRPr="0088780C">
        <w:rPr>
          <w:rFonts w:eastAsia="MS Mincho"/>
          <w:i/>
          <w:snapToGrid w:val="0"/>
          <w:spacing w:val="-2"/>
          <w:kern w:val="22"/>
          <w:szCs w:val="22"/>
        </w:rPr>
        <w:t> </w:t>
      </w:r>
      <w:r w:rsidRPr="0088780C">
        <w:rPr>
          <w:rFonts w:eastAsia="MS Mincho"/>
          <w:i/>
          <w:snapToGrid w:val="0"/>
          <w:spacing w:val="-2"/>
          <w:kern w:val="22"/>
          <w:szCs w:val="22"/>
        </w:rPr>
        <w:t>persicus</w:t>
      </w:r>
      <w:r w:rsidRPr="0088780C">
        <w:rPr>
          <w:rFonts w:eastAsia="MS Mincho"/>
          <w:iCs/>
          <w:snapToGrid w:val="0"/>
          <w:spacing w:val="-2"/>
          <w:kern w:val="22"/>
          <w:szCs w:val="22"/>
        </w:rPr>
        <w:t xml:space="preserve"> has increased in recent decades (</w:t>
      </w:r>
      <w:r w:rsidRPr="0088780C">
        <w:rPr>
          <w:snapToGrid w:val="0"/>
          <w:spacing w:val="-2"/>
          <w:kern w:val="22"/>
          <w:szCs w:val="22"/>
          <w:shd w:val="clear" w:color="auto" w:fill="FFFFFF"/>
        </w:rPr>
        <w:t>Khoshkholgh et al., 2013</w:t>
      </w:r>
      <w:r w:rsidRPr="0088780C">
        <w:rPr>
          <w:rFonts w:eastAsia="MS Mincho"/>
          <w:iCs/>
          <w:snapToGrid w:val="0"/>
          <w:spacing w:val="-2"/>
          <w:kern w:val="22"/>
          <w:szCs w:val="22"/>
        </w:rPr>
        <w:t xml:space="preserve">). The </w:t>
      </w:r>
      <w:r w:rsidRPr="0088780C">
        <w:rPr>
          <w:rFonts w:eastAsia="MS Mincho"/>
          <w:i/>
          <w:snapToGrid w:val="0"/>
          <w:spacing w:val="-2"/>
          <w:kern w:val="22"/>
          <w:szCs w:val="22"/>
        </w:rPr>
        <w:t>A.</w:t>
      </w:r>
      <w:r w:rsidRPr="0088780C">
        <w:rPr>
          <w:rFonts w:eastAsia="MS Mincho"/>
          <w:iCs/>
          <w:snapToGrid w:val="0"/>
          <w:spacing w:val="-2"/>
          <w:kern w:val="22"/>
          <w:szCs w:val="22"/>
        </w:rPr>
        <w:t xml:space="preserve"> </w:t>
      </w:r>
      <w:r w:rsidRPr="0088780C">
        <w:rPr>
          <w:rFonts w:eastAsia="MS Mincho"/>
          <w:i/>
          <w:snapToGrid w:val="0"/>
          <w:spacing w:val="-2"/>
          <w:kern w:val="22"/>
          <w:szCs w:val="22"/>
        </w:rPr>
        <w:t>persicus</w:t>
      </w:r>
      <w:r w:rsidRPr="0088780C">
        <w:rPr>
          <w:rFonts w:eastAsia="MS Mincho"/>
          <w:iCs/>
          <w:snapToGrid w:val="0"/>
          <w:spacing w:val="-2"/>
          <w:kern w:val="22"/>
          <w:szCs w:val="22"/>
        </w:rPr>
        <w:t xml:space="preserve"> populations seem to be more or less in a fairly stable condition compared to the status of other sturgeon species in the Caspian Sea (Afrai et al., 2006), although their natural spawning grounds need to be restored.</w:t>
      </w:r>
    </w:p>
    <w:p w14:paraId="4496DB1D"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6A60AEF1" w14:textId="3B65D442"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r w:rsidRPr="0088780C">
        <w:rPr>
          <w:rFonts w:eastAsia="MS Mincho"/>
          <w:iCs/>
          <w:snapToGrid w:val="0"/>
          <w:kern w:val="22"/>
          <w:szCs w:val="22"/>
        </w:rPr>
        <w:t xml:space="preserve">The Caspian Sea deltas are exposed to a rapid sea level fluctuation in a range 100 times greater than that which occurs in the oceans (Kroonenberg et al., 2000). </w:t>
      </w:r>
      <w:r w:rsidRPr="0088780C">
        <w:rPr>
          <w:rFonts w:eastAsia="MS Mincho"/>
          <w:snapToGrid w:val="0"/>
          <w:kern w:val="22"/>
          <w:szCs w:val="22"/>
        </w:rPr>
        <w:t xml:space="preserve">The </w:t>
      </w:r>
      <w:r w:rsidR="00953367" w:rsidRPr="0088780C">
        <w:rPr>
          <w:rFonts w:eastAsia="MS Mincho"/>
          <w:snapToGrid w:val="0"/>
          <w:kern w:val="22"/>
          <w:szCs w:val="22"/>
        </w:rPr>
        <w:t>south-east</w:t>
      </w:r>
      <w:r w:rsidRPr="0088780C">
        <w:rPr>
          <w:rFonts w:eastAsia="MS Mincho"/>
          <w:snapToGrid w:val="0"/>
          <w:kern w:val="22"/>
          <w:szCs w:val="22"/>
        </w:rPr>
        <w:t xml:space="preserve"> corner of the Caspian Sea, including Gomishan-Esenguly area, is characterized by a very gentle slope both onshore and offshore, and is therefore vulnerable to sea-level fluctuations (Kakroodi et al., 2012). The maximum seaward and landward shifts in the sea level fluctuations of the south Caspian Sea have been occurred along the gently sloping, N-S oriented Gomishan coastal area (Kakroodi et al., 2012). </w:t>
      </w:r>
      <w:r w:rsidRPr="0088780C">
        <w:rPr>
          <w:rFonts w:eastAsia="MS Mincho"/>
          <w:iCs/>
          <w:snapToGrid w:val="0"/>
          <w:kern w:val="22"/>
          <w:szCs w:val="22"/>
        </w:rPr>
        <w:t>Low water levels in the Atrek river, a rise in sea level and a subsequent reduction in the amount of intertidal areas has caused a reduction in the waterfowl population in this area (</w:t>
      </w:r>
      <w:r w:rsidRPr="0088780C">
        <w:rPr>
          <w:snapToGrid w:val="0"/>
          <w:kern w:val="22"/>
          <w:szCs w:val="22"/>
          <w:shd w:val="clear" w:color="auto" w:fill="FFFFFF"/>
        </w:rPr>
        <w:t>Rustamov,</w:t>
      </w:r>
      <w:r w:rsidR="002F55F2" w:rsidRPr="0088780C">
        <w:rPr>
          <w:snapToGrid w:val="0"/>
          <w:kern w:val="22"/>
          <w:szCs w:val="22"/>
          <w:shd w:val="clear" w:color="auto" w:fill="FFFFFF"/>
        </w:rPr>
        <w:t xml:space="preserve"> </w:t>
      </w:r>
      <w:r w:rsidRPr="0088780C">
        <w:rPr>
          <w:snapToGrid w:val="0"/>
          <w:kern w:val="22"/>
          <w:szCs w:val="22"/>
          <w:shd w:val="clear" w:color="auto" w:fill="FFFFFF"/>
        </w:rPr>
        <w:t>1994</w:t>
      </w:r>
      <w:r w:rsidRPr="0088780C">
        <w:rPr>
          <w:rFonts w:eastAsia="MS Mincho"/>
          <w:iCs/>
          <w:snapToGrid w:val="0"/>
          <w:kern w:val="22"/>
          <w:szCs w:val="22"/>
        </w:rPr>
        <w:t>). Waterbird numbers on the lower reaches of the Atrek River and the nearby shores of the Caspian Sea decreased by 45% from 124,400 in the 1930s to 68,400 in 1977-1988 (</w:t>
      </w:r>
      <w:r w:rsidRPr="0088780C">
        <w:rPr>
          <w:snapToGrid w:val="0"/>
          <w:kern w:val="22"/>
          <w:szCs w:val="22"/>
          <w:shd w:val="clear" w:color="auto" w:fill="FFFFFF"/>
        </w:rPr>
        <w:t>Rustamov,</w:t>
      </w:r>
      <w:r w:rsidR="002F55F2" w:rsidRPr="0088780C">
        <w:rPr>
          <w:snapToGrid w:val="0"/>
          <w:kern w:val="22"/>
          <w:szCs w:val="22"/>
          <w:shd w:val="clear" w:color="auto" w:fill="FFFFFF"/>
        </w:rPr>
        <w:t xml:space="preserve"> </w:t>
      </w:r>
      <w:r w:rsidRPr="0088780C">
        <w:rPr>
          <w:snapToGrid w:val="0"/>
          <w:kern w:val="22"/>
          <w:szCs w:val="22"/>
          <w:shd w:val="clear" w:color="auto" w:fill="FFFFFF"/>
        </w:rPr>
        <w:t>1994</w:t>
      </w:r>
      <w:r w:rsidRPr="0088780C">
        <w:rPr>
          <w:rFonts w:eastAsia="MS Mincho"/>
          <w:iCs/>
          <w:snapToGrid w:val="0"/>
          <w:kern w:val="22"/>
          <w:szCs w:val="22"/>
        </w:rPr>
        <w:t>). The dabbling ducks, mainly teal, were most numerous but, since 1979, coot have become the most widespread species. Pygmy cormorant, red-breasted geese, lesser white-fronted geese, marbled duck, ferruginous duck and shelduck have become very scarce, while cormorants have increased in number.</w:t>
      </w:r>
    </w:p>
    <w:p w14:paraId="1A24315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p w14:paraId="79868024"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iCs/>
          <w:snapToGrid w:val="0"/>
          <w:kern w:val="22"/>
          <w:szCs w:val="22"/>
        </w:rPr>
        <w:t>The greater flamingo (</w:t>
      </w:r>
      <w:r w:rsidRPr="0088780C">
        <w:rPr>
          <w:rFonts w:eastAsia="MS Mincho"/>
          <w:i/>
          <w:snapToGrid w:val="0"/>
          <w:kern w:val="22"/>
          <w:szCs w:val="22"/>
        </w:rPr>
        <w:t>Phoenicopterus</w:t>
      </w:r>
      <w:r w:rsidRPr="0088780C">
        <w:rPr>
          <w:rFonts w:eastAsia="MS Mincho"/>
          <w:iCs/>
          <w:snapToGrid w:val="0"/>
          <w:kern w:val="22"/>
          <w:szCs w:val="22"/>
        </w:rPr>
        <w:t xml:space="preserve"> </w:t>
      </w:r>
      <w:r w:rsidRPr="0088780C">
        <w:rPr>
          <w:rFonts w:eastAsia="MS Mincho"/>
          <w:i/>
          <w:snapToGrid w:val="0"/>
          <w:kern w:val="22"/>
          <w:szCs w:val="22"/>
        </w:rPr>
        <w:t>ruber</w:t>
      </w:r>
      <w:r w:rsidRPr="0088780C">
        <w:rPr>
          <w:rFonts w:eastAsia="MS Mincho"/>
          <w:iCs/>
          <w:snapToGrid w:val="0"/>
          <w:kern w:val="22"/>
          <w:szCs w:val="22"/>
        </w:rPr>
        <w:t>) population, which usually consisted of around 50,000 individuals, declined from 50,000 in 1970 to 20,748 in 2007 and 14,364 in 2011 (</w:t>
      </w:r>
      <w:r w:rsidRPr="0088780C">
        <w:rPr>
          <w:rFonts w:eastAsia="MS Mincho"/>
          <w:snapToGrid w:val="0"/>
          <w:kern w:val="22"/>
          <w:szCs w:val="22"/>
        </w:rPr>
        <w:t>Behrouzi-Rad &amp; Ghaeimi, 2015</w:t>
      </w:r>
      <w:r w:rsidRPr="0088780C">
        <w:rPr>
          <w:rFonts w:eastAsia="MS Mincho"/>
          <w:iCs/>
          <w:snapToGrid w:val="0"/>
          <w:kern w:val="22"/>
          <w:szCs w:val="22"/>
        </w:rPr>
        <w:t>). Until the 1970s, Gomishan Lagoon was the most important site for waders, supporting hundreds of thousands of birds throughout the migration season (Scott 1995), but now a decline of over 20% has been noted in the wader populations. The measures show that wintering populations of waterbirds decreased significantly from the winter of 1970 (266,586 individuals) to a peak of 21.97% above the baseline in the winter of 2011 (58,583 individuals) (</w:t>
      </w:r>
      <w:r w:rsidRPr="0088780C">
        <w:rPr>
          <w:rFonts w:eastAsia="MS Mincho"/>
          <w:snapToGrid w:val="0"/>
          <w:kern w:val="22"/>
          <w:szCs w:val="22"/>
        </w:rPr>
        <w:t>Behrouzi-Rad &amp; Ghaeimi, 2015</w:t>
      </w:r>
      <w:r w:rsidRPr="0088780C">
        <w:rPr>
          <w:rFonts w:eastAsia="MS Mincho"/>
          <w:iCs/>
          <w:snapToGrid w:val="0"/>
          <w:kern w:val="22"/>
          <w:szCs w:val="22"/>
        </w:rPr>
        <w:t xml:space="preserve">). </w:t>
      </w:r>
      <w:r w:rsidRPr="0088780C">
        <w:rPr>
          <w:snapToGrid w:val="0"/>
          <w:kern w:val="22"/>
          <w:szCs w:val="22"/>
        </w:rPr>
        <w:t xml:space="preserve">In recent years, the rise in level of the Caspian Sea has flooded large areas of former </w:t>
      </w:r>
      <w:r w:rsidRPr="0088780C">
        <w:rPr>
          <w:i/>
          <w:iCs/>
          <w:snapToGrid w:val="0"/>
          <w:kern w:val="22"/>
          <w:szCs w:val="22"/>
        </w:rPr>
        <w:t>Salicornia</w:t>
      </w:r>
      <w:r w:rsidRPr="0088780C">
        <w:rPr>
          <w:snapToGrid w:val="0"/>
          <w:kern w:val="22"/>
          <w:szCs w:val="22"/>
        </w:rPr>
        <w:t xml:space="preserve"> flats in Gomishan, creating large lagoons, which have rapidly become important for wintering waterfowl of many species, notably </w:t>
      </w:r>
      <w:r w:rsidRPr="0088780C">
        <w:rPr>
          <w:i/>
          <w:iCs/>
          <w:snapToGrid w:val="0"/>
          <w:kern w:val="22"/>
          <w:szCs w:val="22"/>
        </w:rPr>
        <w:t>Pelecanus</w:t>
      </w:r>
      <w:r w:rsidRPr="0088780C">
        <w:rPr>
          <w:snapToGrid w:val="0"/>
          <w:kern w:val="22"/>
          <w:szCs w:val="22"/>
        </w:rPr>
        <w:t xml:space="preserve"> </w:t>
      </w:r>
      <w:r w:rsidRPr="0088780C">
        <w:rPr>
          <w:i/>
          <w:iCs/>
          <w:snapToGrid w:val="0"/>
          <w:kern w:val="22"/>
          <w:szCs w:val="22"/>
        </w:rPr>
        <w:t>crispus</w:t>
      </w:r>
      <w:r w:rsidRPr="0088780C">
        <w:rPr>
          <w:snapToGrid w:val="0"/>
          <w:kern w:val="22"/>
          <w:szCs w:val="22"/>
        </w:rPr>
        <w:t xml:space="preserve">, </w:t>
      </w:r>
      <w:r w:rsidRPr="0088780C">
        <w:rPr>
          <w:i/>
          <w:iCs/>
          <w:snapToGrid w:val="0"/>
          <w:kern w:val="22"/>
          <w:szCs w:val="22"/>
        </w:rPr>
        <w:t>Phoenicopterus</w:t>
      </w:r>
      <w:r w:rsidRPr="0088780C">
        <w:rPr>
          <w:snapToGrid w:val="0"/>
          <w:kern w:val="22"/>
          <w:szCs w:val="22"/>
        </w:rPr>
        <w:t xml:space="preserve"> </w:t>
      </w:r>
      <w:r w:rsidRPr="0088780C">
        <w:rPr>
          <w:i/>
          <w:iCs/>
          <w:snapToGrid w:val="0"/>
          <w:kern w:val="22"/>
          <w:szCs w:val="22"/>
        </w:rPr>
        <w:t>ruber</w:t>
      </w:r>
      <w:r w:rsidRPr="0088780C">
        <w:rPr>
          <w:snapToGrid w:val="0"/>
          <w:kern w:val="22"/>
          <w:szCs w:val="22"/>
        </w:rPr>
        <w:t xml:space="preserve">, </w:t>
      </w:r>
      <w:r w:rsidRPr="0088780C">
        <w:rPr>
          <w:i/>
          <w:iCs/>
          <w:snapToGrid w:val="0"/>
          <w:kern w:val="22"/>
          <w:szCs w:val="22"/>
        </w:rPr>
        <w:t>Anser</w:t>
      </w:r>
      <w:r w:rsidRPr="0088780C">
        <w:rPr>
          <w:snapToGrid w:val="0"/>
          <w:kern w:val="22"/>
          <w:szCs w:val="22"/>
        </w:rPr>
        <w:t xml:space="preserve"> </w:t>
      </w:r>
      <w:r w:rsidRPr="0088780C">
        <w:rPr>
          <w:i/>
          <w:iCs/>
          <w:snapToGrid w:val="0"/>
          <w:kern w:val="22"/>
          <w:szCs w:val="22"/>
        </w:rPr>
        <w:t>anser</w:t>
      </w:r>
      <w:r w:rsidRPr="0088780C">
        <w:rPr>
          <w:snapToGrid w:val="0"/>
          <w:kern w:val="22"/>
          <w:szCs w:val="22"/>
        </w:rPr>
        <w:t xml:space="preserve">, dabbling ducks (regularly over 50,000), </w:t>
      </w:r>
      <w:r w:rsidRPr="0088780C">
        <w:rPr>
          <w:i/>
          <w:iCs/>
          <w:snapToGrid w:val="0"/>
          <w:kern w:val="22"/>
          <w:szCs w:val="22"/>
        </w:rPr>
        <w:t>Fulica</w:t>
      </w:r>
      <w:r w:rsidRPr="0088780C">
        <w:rPr>
          <w:snapToGrid w:val="0"/>
          <w:kern w:val="22"/>
          <w:szCs w:val="22"/>
        </w:rPr>
        <w:t xml:space="preserve"> </w:t>
      </w:r>
      <w:r w:rsidRPr="0088780C">
        <w:rPr>
          <w:i/>
          <w:iCs/>
          <w:snapToGrid w:val="0"/>
          <w:kern w:val="22"/>
          <w:szCs w:val="22"/>
        </w:rPr>
        <w:t>atra</w:t>
      </w:r>
      <w:r w:rsidRPr="0088780C">
        <w:rPr>
          <w:snapToGrid w:val="0"/>
          <w:kern w:val="22"/>
          <w:szCs w:val="22"/>
        </w:rPr>
        <w:t xml:space="preserve"> and </w:t>
      </w:r>
      <w:r w:rsidRPr="0088780C">
        <w:rPr>
          <w:i/>
          <w:iCs/>
          <w:snapToGrid w:val="0"/>
          <w:kern w:val="22"/>
          <w:szCs w:val="22"/>
        </w:rPr>
        <w:t>Himantopus</w:t>
      </w:r>
      <w:r w:rsidRPr="0088780C">
        <w:rPr>
          <w:snapToGrid w:val="0"/>
          <w:kern w:val="22"/>
          <w:szCs w:val="22"/>
        </w:rPr>
        <w:t xml:space="preserve"> </w:t>
      </w:r>
      <w:r w:rsidRPr="0088780C">
        <w:rPr>
          <w:i/>
          <w:iCs/>
          <w:snapToGrid w:val="0"/>
          <w:kern w:val="22"/>
          <w:szCs w:val="22"/>
        </w:rPr>
        <w:t xml:space="preserve">himantopus </w:t>
      </w:r>
      <w:r w:rsidRPr="0088780C">
        <w:rPr>
          <w:snapToGrid w:val="0"/>
          <w:kern w:val="22"/>
          <w:szCs w:val="22"/>
        </w:rPr>
        <w:t>(BirdLife International).</w:t>
      </w:r>
    </w:p>
    <w:p w14:paraId="37EEF098"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6490D973"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potential threats to the features in this area include possible pollution of shoreline areas, poaching and overfishing.</w:t>
      </w:r>
    </w:p>
    <w:p w14:paraId="23F2EFA3"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9E0186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snapToGrid w:val="0"/>
          <w:kern w:val="22"/>
          <w:szCs w:val="22"/>
        </w:rPr>
        <w:t xml:space="preserve">In the past, the Turkmen side has implemented the following projects in this area: UNDP Project – Improving Management of Protected Areas in Turkmenistan (2003-2006) and UNDP/GEF (2006-2010) – Conservation and sustainable use of biological diversity of global importance in Hazar Reserve on the shore of the Caspian Sea, and the IBA/RSPB (2005-2009) Program </w:t>
      </w:r>
      <w:r w:rsidRPr="0088780C">
        <w:rPr>
          <w:rFonts w:eastAsia="MS Mincho"/>
          <w:snapToGrid w:val="0"/>
          <w:kern w:val="22"/>
          <w:szCs w:val="22"/>
        </w:rPr>
        <w:t>(Рустамов и др., 2009; BirdLife International, 2017).</w:t>
      </w:r>
    </w:p>
    <w:p w14:paraId="65151F9A"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66A3E45" w14:textId="4C8CCD21"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 area against CBD EBSA Criteria</w:t>
      </w:r>
    </w:p>
    <w:p w14:paraId="64E3C96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64591EC0" w14:textId="77777777" w:rsidTr="006972AD">
        <w:trPr>
          <w:jc w:val="center"/>
        </w:trPr>
        <w:tc>
          <w:tcPr>
            <w:tcW w:w="779" w:type="pct"/>
            <w:vMerge w:val="restart"/>
            <w:shd w:val="clear" w:color="auto" w:fill="auto"/>
          </w:tcPr>
          <w:p w14:paraId="11B2B42A"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CBD EBSA Criteria</w:t>
            </w:r>
          </w:p>
          <w:p w14:paraId="0FB65BC5"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kern w:val="22"/>
                <w:szCs w:val="22"/>
              </w:rPr>
            </w:pPr>
            <w:r w:rsidRPr="0088780C">
              <w:rPr>
                <w:rFonts w:eastAsia="MS Mincho"/>
                <w:bCs/>
                <w:snapToGrid w:val="0"/>
                <w:kern w:val="22"/>
                <w:szCs w:val="22"/>
              </w:rPr>
              <w:t>(Annex I to decision IX/20)</w:t>
            </w:r>
          </w:p>
        </w:tc>
        <w:tc>
          <w:tcPr>
            <w:tcW w:w="2280" w:type="pct"/>
            <w:vMerge w:val="restart"/>
            <w:shd w:val="clear" w:color="auto" w:fill="auto"/>
          </w:tcPr>
          <w:p w14:paraId="61EB43F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199C66A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(Annex I to decision IX/20)</w:t>
            </w:r>
          </w:p>
        </w:tc>
        <w:tc>
          <w:tcPr>
            <w:tcW w:w="1940" w:type="pct"/>
            <w:gridSpan w:val="9"/>
            <w:shd w:val="clear" w:color="auto" w:fill="auto"/>
          </w:tcPr>
          <w:p w14:paraId="201AE66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 xml:space="preserve">Ranking of criterion relevance </w:t>
            </w:r>
          </w:p>
          <w:p w14:paraId="430650D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Cs/>
                <w:snapToGrid w:val="0"/>
                <w:kern w:val="22"/>
                <w:szCs w:val="22"/>
              </w:rPr>
              <w:t>(please mark one column with an X)</w:t>
            </w:r>
          </w:p>
        </w:tc>
      </w:tr>
      <w:tr w:rsidR="00A876F3" w:rsidRPr="0088780C" w14:paraId="398420B3" w14:textId="77777777" w:rsidTr="006972AD">
        <w:trPr>
          <w:jc w:val="center"/>
        </w:trPr>
        <w:tc>
          <w:tcPr>
            <w:tcW w:w="779" w:type="pct"/>
            <w:vMerge/>
            <w:shd w:val="clear" w:color="auto" w:fill="auto"/>
          </w:tcPr>
          <w:p w14:paraId="49FD9E3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2280" w:type="pct"/>
            <w:vMerge/>
            <w:shd w:val="clear" w:color="auto" w:fill="auto"/>
          </w:tcPr>
          <w:p w14:paraId="21AC78F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70AA017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No information</w:t>
            </w:r>
          </w:p>
        </w:tc>
        <w:tc>
          <w:tcPr>
            <w:tcW w:w="547" w:type="pct"/>
            <w:gridSpan w:val="3"/>
            <w:shd w:val="clear" w:color="auto" w:fill="auto"/>
          </w:tcPr>
          <w:p w14:paraId="4506E24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Low</w:t>
            </w:r>
          </w:p>
        </w:tc>
        <w:tc>
          <w:tcPr>
            <w:tcW w:w="411" w:type="pct"/>
            <w:gridSpan w:val="2"/>
            <w:shd w:val="clear" w:color="auto" w:fill="auto"/>
          </w:tcPr>
          <w:p w14:paraId="3422E87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Medium</w:t>
            </w:r>
          </w:p>
        </w:tc>
        <w:tc>
          <w:tcPr>
            <w:tcW w:w="436" w:type="pct"/>
            <w:gridSpan w:val="2"/>
            <w:shd w:val="clear" w:color="auto" w:fill="auto"/>
          </w:tcPr>
          <w:p w14:paraId="3A3C61E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High</w:t>
            </w:r>
          </w:p>
        </w:tc>
      </w:tr>
      <w:tr w:rsidR="00A876F3" w:rsidRPr="0088780C" w14:paraId="17A1DF03" w14:textId="77777777" w:rsidTr="006972AD">
        <w:trPr>
          <w:jc w:val="center"/>
        </w:trPr>
        <w:tc>
          <w:tcPr>
            <w:tcW w:w="779" w:type="pct"/>
            <w:shd w:val="clear" w:color="auto" w:fill="auto"/>
          </w:tcPr>
          <w:p w14:paraId="1CE747B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Uniqueness or rarity</w:t>
            </w:r>
          </w:p>
        </w:tc>
        <w:tc>
          <w:tcPr>
            <w:tcW w:w="2280" w:type="pct"/>
            <w:shd w:val="clear" w:color="auto" w:fill="auto"/>
          </w:tcPr>
          <w:p w14:paraId="6FB65B3E" w14:textId="16E77C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contains either (i) unique (</w:t>
            </w:r>
            <w:r w:rsidR="00D8482D" w:rsidRPr="0088780C">
              <w:rPr>
                <w:rFonts w:eastAsia="MS Mincho"/>
                <w:bCs/>
                <w:snapToGrid w:val="0"/>
                <w:kern w:val="22"/>
                <w:szCs w:val="22"/>
              </w:rPr>
              <w:t>“</w:t>
            </w:r>
            <w:r w:rsidRPr="0088780C">
              <w:rPr>
                <w:rFonts w:eastAsia="MS Mincho"/>
                <w:bCs/>
                <w:snapToGrid w:val="0"/>
                <w:kern w:val="22"/>
                <w:szCs w:val="22"/>
              </w:rPr>
              <w:t>the only one of its kind</w:t>
            </w:r>
            <w:r w:rsidR="00D8482D" w:rsidRPr="0088780C">
              <w:rPr>
                <w:rFonts w:eastAsia="MS Mincho"/>
                <w:bCs/>
                <w:snapToGrid w:val="0"/>
                <w:kern w:val="22"/>
                <w:szCs w:val="22"/>
              </w:rPr>
              <w:t>”</w:t>
            </w:r>
            <w:r w:rsidRPr="0088780C">
              <w:rPr>
                <w:rFonts w:eastAsia="MS Mincho"/>
                <w:bCs/>
                <w:snapToGrid w:val="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41D742B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547" w:type="pct"/>
            <w:gridSpan w:val="3"/>
            <w:shd w:val="clear" w:color="auto" w:fill="auto"/>
          </w:tcPr>
          <w:p w14:paraId="7A278DF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5A7D557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15451E2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181E4317" w14:textId="77777777" w:rsidTr="006972AD">
        <w:trPr>
          <w:jc w:val="center"/>
        </w:trPr>
        <w:tc>
          <w:tcPr>
            <w:tcW w:w="5000" w:type="pct"/>
            <w:gridSpan w:val="11"/>
            <w:shd w:val="clear" w:color="auto" w:fill="auto"/>
          </w:tcPr>
          <w:p w14:paraId="37F535B4"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kern w:val="22"/>
                <w:szCs w:val="22"/>
              </w:rPr>
            </w:pPr>
            <w:r w:rsidRPr="0088780C">
              <w:rPr>
                <w:rFonts w:eastAsia="MS Mincho"/>
                <w:i/>
                <w:snapToGrid w:val="0"/>
                <w:kern w:val="22"/>
                <w:szCs w:val="22"/>
              </w:rPr>
              <w:t>Explanation for ranking</w:t>
            </w:r>
          </w:p>
          <w:p w14:paraId="551A1C65"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
                <w:snapToGrid w:val="0"/>
                <w:kern w:val="22"/>
                <w:szCs w:val="22"/>
              </w:rPr>
            </w:pPr>
            <w:r w:rsidRPr="0088780C">
              <w:rPr>
                <w:rFonts w:eastAsia="MS Mincho"/>
                <w:iCs/>
                <w:snapToGrid w:val="0"/>
                <w:kern w:val="22"/>
                <w:szCs w:val="22"/>
              </w:rPr>
              <w:t>The wetlands of the area are a unique and outstanding example of a natural sand spit/coastal lagoon system characteristic of the south Caspian Sea (Ramsar Convention Bureau 2001; 1997).</w:t>
            </w:r>
          </w:p>
          <w:p w14:paraId="65C03F02"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iCs/>
                <w:snapToGrid w:val="0"/>
                <w:kern w:val="22"/>
                <w:szCs w:val="22"/>
              </w:rPr>
              <w:t>Gorgan Bay,</w:t>
            </w:r>
            <w:r w:rsidRPr="0088780C">
              <w:rPr>
                <w:snapToGrid w:val="0"/>
                <w:kern w:val="22"/>
                <w:szCs w:val="22"/>
              </w:rPr>
              <w:t xml:space="preserve"> Miankaleh Peninsula</w:t>
            </w:r>
            <w:r w:rsidRPr="0088780C">
              <w:rPr>
                <w:rFonts w:eastAsia="MS Mincho"/>
                <w:iCs/>
                <w:snapToGrid w:val="0"/>
                <w:kern w:val="22"/>
                <w:szCs w:val="22"/>
              </w:rPr>
              <w:t xml:space="preserve">, </w:t>
            </w:r>
            <w:r w:rsidRPr="0088780C">
              <w:rPr>
                <w:snapToGrid w:val="0"/>
                <w:kern w:val="22"/>
                <w:szCs w:val="22"/>
              </w:rPr>
              <w:t xml:space="preserve">Gomishan Lagoon in Iran and Esenguly area in Turkmenistan are </w:t>
            </w:r>
            <w:r w:rsidRPr="0088780C">
              <w:rPr>
                <w:rFonts w:eastAsia="MS Mincho"/>
                <w:iCs/>
                <w:snapToGrid w:val="0"/>
                <w:kern w:val="22"/>
                <w:szCs w:val="22"/>
              </w:rPr>
              <w:t>the most important foraging grounds and hauling-out sites for the endangered Caspian seal in the south Caspian Sea.</w:t>
            </w:r>
            <w:r w:rsidRPr="0088780C">
              <w:rPr>
                <w:snapToGrid w:val="0"/>
                <w:kern w:val="22"/>
                <w:szCs w:val="22"/>
              </w:rPr>
              <w:t xml:space="preserve"> They are </w:t>
            </w:r>
            <w:r w:rsidRPr="0088780C">
              <w:rPr>
                <w:rFonts w:eastAsia="MS Mincho"/>
                <w:iCs/>
                <w:snapToGrid w:val="0"/>
                <w:kern w:val="22"/>
                <w:szCs w:val="22"/>
              </w:rPr>
              <w:t>potential candidates for Seal Special Protected Areas (SSPAs) in south-east Caspian Sea (CEP, 2010).</w:t>
            </w:r>
          </w:p>
          <w:p w14:paraId="1B3E1448"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iCs/>
                <w:snapToGrid w:val="0"/>
                <w:kern w:val="22"/>
                <w:szCs w:val="22"/>
              </w:rPr>
              <w:t>The Gorgan Bay-Gomishan Lagoon area is considered the most important area in the Iranian Caspian Sea based on several specific criteria, including uniqueness (</w:t>
            </w:r>
            <w:r w:rsidRPr="0088780C">
              <w:rPr>
                <w:rFonts w:eastAsia="MS Mincho"/>
                <w:snapToGrid w:val="0"/>
                <w:kern w:val="22"/>
                <w:szCs w:val="22"/>
              </w:rPr>
              <w:t xml:space="preserve">Danehkar, 2002; </w:t>
            </w:r>
            <w:r w:rsidRPr="0088780C">
              <w:rPr>
                <w:rFonts w:eastAsia="MS Mincho"/>
                <w:iCs/>
                <w:snapToGrid w:val="0"/>
                <w:kern w:val="22"/>
                <w:szCs w:val="22"/>
              </w:rPr>
              <w:t xml:space="preserve">Danehkar &amp; Majnoonian, 2004a; </w:t>
            </w:r>
            <w:r w:rsidRPr="0088780C">
              <w:rPr>
                <w:rFonts w:eastAsia="MS Mincho"/>
                <w:snapToGrid w:val="0"/>
                <w:kern w:val="22"/>
                <w:szCs w:val="22"/>
              </w:rPr>
              <w:t>Razmjooy et al., 2010</w:t>
            </w:r>
            <w:r w:rsidRPr="0088780C">
              <w:rPr>
                <w:rFonts w:eastAsia="MS Mincho"/>
                <w:iCs/>
                <w:snapToGrid w:val="0"/>
                <w:kern w:val="22"/>
                <w:szCs w:val="22"/>
              </w:rPr>
              <w:t>).</w:t>
            </w:r>
          </w:p>
          <w:p w14:paraId="379CDEDB" w14:textId="77777777" w:rsidR="00A876F3" w:rsidRPr="0088780C" w:rsidRDefault="00A876F3" w:rsidP="001013AF">
            <w:pPr>
              <w:pStyle w:val="ListParagraph"/>
              <w:suppressLineNumbers/>
              <w:suppressAutoHyphens/>
              <w:kinsoku w:val="0"/>
              <w:overflowPunct w:val="0"/>
              <w:autoSpaceDE w:val="0"/>
              <w:autoSpaceDN w:val="0"/>
              <w:adjustRightInd w:val="0"/>
              <w:ind w:left="880"/>
              <w:rPr>
                <w:rFonts w:eastAsia="MS Mincho"/>
                <w:iCs/>
                <w:snapToGrid w:val="0"/>
                <w:kern w:val="22"/>
                <w:szCs w:val="22"/>
              </w:rPr>
            </w:pPr>
          </w:p>
        </w:tc>
      </w:tr>
      <w:tr w:rsidR="00A876F3" w:rsidRPr="0088780C" w14:paraId="37D95BF6" w14:textId="77777777" w:rsidTr="006972AD">
        <w:trPr>
          <w:jc w:val="center"/>
        </w:trPr>
        <w:tc>
          <w:tcPr>
            <w:tcW w:w="779" w:type="pct"/>
            <w:shd w:val="clear" w:color="auto" w:fill="auto"/>
          </w:tcPr>
          <w:p w14:paraId="5C00806D"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Special importance for life-history stages of species</w:t>
            </w:r>
          </w:p>
        </w:tc>
        <w:tc>
          <w:tcPr>
            <w:tcW w:w="2280" w:type="pct"/>
            <w:shd w:val="clear" w:color="auto" w:fill="auto"/>
          </w:tcPr>
          <w:p w14:paraId="1A4BC2D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Areas that are required for a population to survive and thrive.</w:t>
            </w:r>
          </w:p>
        </w:tc>
        <w:tc>
          <w:tcPr>
            <w:tcW w:w="684" w:type="pct"/>
            <w:gridSpan w:val="3"/>
            <w:shd w:val="clear" w:color="auto" w:fill="auto"/>
          </w:tcPr>
          <w:p w14:paraId="677EABD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01941D7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2A3C4D4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666E7DB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518F3B7C" w14:textId="77777777" w:rsidTr="00D004AE">
        <w:trPr>
          <w:cantSplit/>
          <w:jc w:val="center"/>
        </w:trPr>
        <w:tc>
          <w:tcPr>
            <w:tcW w:w="5000" w:type="pct"/>
            <w:gridSpan w:val="11"/>
            <w:shd w:val="clear" w:color="auto" w:fill="auto"/>
          </w:tcPr>
          <w:p w14:paraId="28A9CE60"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155F02D5"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
                <w:snapToGrid w:val="0"/>
                <w:kern w:val="22"/>
                <w:szCs w:val="22"/>
              </w:rPr>
            </w:pPr>
            <w:r w:rsidRPr="0088780C">
              <w:rPr>
                <w:snapToGrid w:val="0"/>
                <w:kern w:val="22"/>
                <w:szCs w:val="22"/>
              </w:rPr>
              <w:t>The area is one of the most important foraging and spawning grounds for all five critically endangered species of sturgeon (</w:t>
            </w:r>
            <w:r w:rsidRPr="0088780C">
              <w:rPr>
                <w:i/>
                <w:iCs/>
                <w:snapToGrid w:val="0"/>
                <w:kern w:val="22"/>
                <w:szCs w:val="22"/>
              </w:rPr>
              <w:t>Acipenser</w:t>
            </w:r>
            <w:r w:rsidRPr="0088780C">
              <w:rPr>
                <w:snapToGrid w:val="0"/>
                <w:kern w:val="22"/>
                <w:szCs w:val="22"/>
              </w:rPr>
              <w:t xml:space="preserve"> </w:t>
            </w:r>
            <w:r w:rsidRPr="0088780C">
              <w:rPr>
                <w:i/>
                <w:iCs/>
                <w:snapToGrid w:val="0"/>
                <w:kern w:val="22"/>
                <w:szCs w:val="22"/>
              </w:rPr>
              <w:t>gueldenstaedtii</w:t>
            </w:r>
            <w:r w:rsidRPr="0088780C">
              <w:rPr>
                <w:snapToGrid w:val="0"/>
                <w:kern w:val="22"/>
                <w:szCs w:val="22"/>
              </w:rPr>
              <w:t xml:space="preserve">, </w:t>
            </w:r>
            <w:r w:rsidRPr="0088780C">
              <w:rPr>
                <w:i/>
                <w:iCs/>
                <w:snapToGrid w:val="0"/>
                <w:kern w:val="22"/>
                <w:szCs w:val="22"/>
              </w:rPr>
              <w:t>A. nudiventris</w:t>
            </w:r>
            <w:r w:rsidRPr="0088780C">
              <w:rPr>
                <w:snapToGrid w:val="0"/>
                <w:kern w:val="22"/>
                <w:szCs w:val="22"/>
              </w:rPr>
              <w:t xml:space="preserve">, </w:t>
            </w:r>
            <w:r w:rsidRPr="0088780C">
              <w:rPr>
                <w:i/>
                <w:iCs/>
                <w:snapToGrid w:val="0"/>
                <w:kern w:val="22"/>
                <w:szCs w:val="22"/>
              </w:rPr>
              <w:t>A. persicus</w:t>
            </w:r>
            <w:r w:rsidRPr="0088780C">
              <w:rPr>
                <w:snapToGrid w:val="0"/>
                <w:kern w:val="22"/>
                <w:szCs w:val="22"/>
              </w:rPr>
              <w:t xml:space="preserve">, </w:t>
            </w:r>
            <w:r w:rsidRPr="0088780C">
              <w:rPr>
                <w:i/>
                <w:iCs/>
                <w:snapToGrid w:val="0"/>
                <w:kern w:val="22"/>
                <w:szCs w:val="22"/>
              </w:rPr>
              <w:t>A. stellatus</w:t>
            </w:r>
            <w:r w:rsidRPr="0088780C">
              <w:rPr>
                <w:snapToGrid w:val="0"/>
                <w:kern w:val="22"/>
                <w:szCs w:val="22"/>
              </w:rPr>
              <w:t xml:space="preserve"> and </w:t>
            </w:r>
            <w:r w:rsidRPr="0088780C">
              <w:rPr>
                <w:i/>
                <w:iCs/>
                <w:snapToGrid w:val="0"/>
                <w:kern w:val="22"/>
                <w:szCs w:val="22"/>
              </w:rPr>
              <w:t xml:space="preserve">Huso huso) </w:t>
            </w:r>
            <w:r w:rsidRPr="0088780C">
              <w:rPr>
                <w:snapToGrid w:val="0"/>
                <w:kern w:val="22"/>
                <w:szCs w:val="22"/>
              </w:rPr>
              <w:t xml:space="preserve">(Kiabi et al., 1999a; </w:t>
            </w:r>
            <w:r w:rsidRPr="0088780C">
              <w:rPr>
                <w:rFonts w:eastAsia="MS Mincho"/>
                <w:iCs/>
                <w:snapToGrid w:val="0"/>
                <w:kern w:val="22"/>
                <w:szCs w:val="22"/>
              </w:rPr>
              <w:t>UNEP-WCMC, 2010</w:t>
            </w:r>
            <w:r w:rsidRPr="0088780C">
              <w:rPr>
                <w:snapToGrid w:val="0"/>
                <w:kern w:val="22"/>
                <w:szCs w:val="22"/>
              </w:rPr>
              <w:t>).</w:t>
            </w:r>
          </w:p>
          <w:p w14:paraId="78FC6391"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
                <w:snapToGrid w:val="0"/>
                <w:kern w:val="22"/>
                <w:szCs w:val="22"/>
              </w:rPr>
            </w:pPr>
            <w:r w:rsidRPr="0088780C">
              <w:rPr>
                <w:rFonts w:eastAsia="MS Mincho"/>
                <w:iCs/>
                <w:snapToGrid w:val="0"/>
                <w:kern w:val="22"/>
                <w:szCs w:val="22"/>
              </w:rPr>
              <w:t xml:space="preserve">The Atrek (Atrak) River (in the past) and Gorganroud (Gorgan River) now support the major natural spawning grounds for sturgeons </w:t>
            </w:r>
            <w:r w:rsidRPr="0088780C">
              <w:rPr>
                <w:rFonts w:eastAsia="MS Mincho"/>
                <w:i/>
                <w:snapToGrid w:val="0"/>
                <w:kern w:val="22"/>
                <w:szCs w:val="22"/>
              </w:rPr>
              <w:t>Acipenser stellatus</w:t>
            </w:r>
            <w:r w:rsidRPr="0088780C">
              <w:rPr>
                <w:rFonts w:eastAsia="MS Mincho"/>
                <w:iCs/>
                <w:snapToGrid w:val="0"/>
                <w:kern w:val="22"/>
                <w:szCs w:val="22"/>
              </w:rPr>
              <w:t xml:space="preserve"> and </w:t>
            </w:r>
            <w:r w:rsidRPr="0088780C">
              <w:rPr>
                <w:rFonts w:eastAsia="MS Mincho"/>
                <w:i/>
                <w:snapToGrid w:val="0"/>
                <w:kern w:val="22"/>
                <w:szCs w:val="22"/>
              </w:rPr>
              <w:t>Acipenser nudiventris</w:t>
            </w:r>
            <w:r w:rsidRPr="0088780C">
              <w:rPr>
                <w:rFonts w:eastAsia="MS Mincho"/>
                <w:iCs/>
                <w:snapToGrid w:val="0"/>
                <w:kern w:val="22"/>
                <w:szCs w:val="22"/>
              </w:rPr>
              <w:t xml:space="preserve"> in the south Caspian Sea (</w:t>
            </w:r>
            <w:r w:rsidRPr="0088780C">
              <w:rPr>
                <w:snapToGrid w:val="0"/>
                <w:kern w:val="22"/>
                <w:szCs w:val="22"/>
                <w:shd w:val="clear" w:color="auto" w:fill="FFFFFF"/>
              </w:rPr>
              <w:t>Abdolhay, 2004</w:t>
            </w:r>
            <w:r w:rsidRPr="0088780C">
              <w:rPr>
                <w:rFonts w:eastAsia="MS Mincho"/>
                <w:iCs/>
                <w:snapToGrid w:val="0"/>
                <w:kern w:val="22"/>
                <w:szCs w:val="22"/>
              </w:rPr>
              <w:t>).</w:t>
            </w:r>
          </w:p>
          <w:p w14:paraId="0584A8BE"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
                <w:snapToGrid w:val="0"/>
                <w:kern w:val="22"/>
                <w:szCs w:val="22"/>
              </w:rPr>
            </w:pPr>
            <w:r w:rsidRPr="0088780C">
              <w:rPr>
                <w:rFonts w:eastAsia="MS Mincho"/>
                <w:iCs/>
                <w:snapToGrid w:val="0"/>
                <w:kern w:val="22"/>
                <w:szCs w:val="22"/>
              </w:rPr>
              <w:t>Gorgan Bay is believed to play a major role as a spawning and nursery ground for fish populations and is a site of the highest priority for fish biodiversity conservation (Kiabi et al., 1999a; Ramsar Convention Bureau 1997).</w:t>
            </w:r>
          </w:p>
          <w:p w14:paraId="4D4A2643"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
                <w:snapToGrid w:val="0"/>
                <w:kern w:val="22"/>
                <w:szCs w:val="22"/>
              </w:rPr>
            </w:pPr>
            <w:r w:rsidRPr="0088780C">
              <w:rPr>
                <w:rFonts w:eastAsia="MS Mincho"/>
                <w:iCs/>
                <w:snapToGrid w:val="0"/>
                <w:kern w:val="22"/>
                <w:szCs w:val="22"/>
              </w:rPr>
              <w:t>Gorgan Bay is a significant habitat of commercial fish populations (Saghali et al., 2013).</w:t>
            </w:r>
          </w:p>
          <w:p w14:paraId="30AABCBF"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
                <w:snapToGrid w:val="0"/>
                <w:kern w:val="22"/>
                <w:szCs w:val="22"/>
              </w:rPr>
            </w:pPr>
            <w:r w:rsidRPr="0088780C">
              <w:rPr>
                <w:rFonts w:eastAsia="MS Mincho"/>
                <w:iCs/>
                <w:snapToGrid w:val="0"/>
                <w:kern w:val="22"/>
                <w:szCs w:val="22"/>
              </w:rPr>
              <w:t>The area is an important migratory path for Caspian roach (</w:t>
            </w:r>
            <w:r w:rsidRPr="0088780C">
              <w:rPr>
                <w:rFonts w:eastAsia="MS Mincho"/>
                <w:i/>
                <w:snapToGrid w:val="0"/>
                <w:kern w:val="22"/>
                <w:szCs w:val="22"/>
              </w:rPr>
              <w:t>Rutilus rutilus caspicus),</w:t>
            </w:r>
            <w:r w:rsidRPr="0088780C">
              <w:rPr>
                <w:rFonts w:eastAsia="MS Mincho"/>
                <w:iCs/>
                <w:snapToGrid w:val="0"/>
                <w:kern w:val="22"/>
                <w:szCs w:val="22"/>
              </w:rPr>
              <w:t xml:space="preserve"> which migrates into the lagoon from the Caspian Sea during winter and spring seasons (UNECE, 2011).</w:t>
            </w:r>
          </w:p>
          <w:p w14:paraId="2117AE26" w14:textId="499E9B4D"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iCs/>
                <w:snapToGrid w:val="0"/>
                <w:kern w:val="22"/>
                <w:szCs w:val="22"/>
              </w:rPr>
              <w:t>During the spawning season, the sand smelt (</w:t>
            </w:r>
            <w:r w:rsidRPr="0088780C">
              <w:rPr>
                <w:rFonts w:eastAsia="MS Mincho"/>
                <w:i/>
                <w:snapToGrid w:val="0"/>
                <w:kern w:val="22"/>
                <w:szCs w:val="22"/>
              </w:rPr>
              <w:t>Atherina</w:t>
            </w:r>
            <w:r w:rsidRPr="0088780C">
              <w:rPr>
                <w:rFonts w:eastAsia="MS Mincho"/>
                <w:iCs/>
                <w:snapToGrid w:val="0"/>
                <w:kern w:val="22"/>
                <w:szCs w:val="22"/>
              </w:rPr>
              <w:t xml:space="preserve"> </w:t>
            </w:r>
            <w:r w:rsidRPr="0088780C">
              <w:rPr>
                <w:rFonts w:eastAsia="MS Mincho"/>
                <w:i/>
                <w:snapToGrid w:val="0"/>
                <w:kern w:val="22"/>
                <w:szCs w:val="22"/>
              </w:rPr>
              <w:t>boyeri</w:t>
            </w:r>
            <w:r w:rsidRPr="0088780C">
              <w:rPr>
                <w:rFonts w:eastAsia="MS Mincho"/>
                <w:iCs/>
                <w:snapToGrid w:val="0"/>
                <w:kern w:val="22"/>
                <w:szCs w:val="22"/>
              </w:rPr>
              <w:t xml:space="preserve">) is found in high abundance in the Gomishan Lagoon and Gorgan Bay, which are considered the most important spawning grounds for this species in the </w:t>
            </w:r>
            <w:r w:rsidR="00953367" w:rsidRPr="0088780C">
              <w:rPr>
                <w:rFonts w:eastAsia="MS Mincho"/>
                <w:iCs/>
                <w:snapToGrid w:val="0"/>
                <w:kern w:val="22"/>
                <w:szCs w:val="22"/>
              </w:rPr>
              <w:t>south-east</w:t>
            </w:r>
            <w:r w:rsidRPr="0088780C">
              <w:rPr>
                <w:rFonts w:eastAsia="MS Mincho"/>
                <w:iCs/>
                <w:snapToGrid w:val="0"/>
                <w:kern w:val="22"/>
                <w:szCs w:val="22"/>
              </w:rPr>
              <w:t xml:space="preserve"> Caspian Sea (Kiabi et al., 1999a; Patimar et al., 2009b).</w:t>
            </w:r>
          </w:p>
          <w:p w14:paraId="2480BB94" w14:textId="4C2E2F83"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iCs/>
                <w:snapToGrid w:val="0"/>
                <w:kern w:val="22"/>
                <w:szCs w:val="22"/>
              </w:rPr>
              <w:t>The area is undoubtedly one of the most significant bird reserves in the Palearctic. It is extremely important throughout the year, regularly supporting more than 1 million waterfowl in winter (Amini &amp; Willems, 2008; Ramsar Information Sheet; van Diek et al., 2004) and large colonies of herons, egrets, pratincole</w:t>
            </w:r>
            <w:r w:rsidR="00D004AE" w:rsidRPr="0088780C">
              <w:rPr>
                <w:rFonts w:eastAsia="MS Mincho"/>
                <w:iCs/>
                <w:snapToGrid w:val="0"/>
                <w:kern w:val="22"/>
                <w:szCs w:val="22"/>
              </w:rPr>
              <w:t>s and terns during summer.</w:t>
            </w:r>
          </w:p>
          <w:p w14:paraId="79A8D316"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iCs/>
                <w:snapToGrid w:val="0"/>
                <w:kern w:val="22"/>
                <w:szCs w:val="22"/>
              </w:rPr>
              <w:t>The Miankaleh Peninsula, Gorgan Bay and Gomishan Lagoon totally supported more the 1.7 million waterbirds in 2007 including 1,289,526 waterbirds in Miankaleh/Gorgan Bay and 400,000-450,000 in Gomishan Lagoon (Amini &amp; Willems, 2008). A total of 1,041,000 wintering waterbirds was counted during in 2004 (van Diek et al., 2004).</w:t>
            </w:r>
          </w:p>
          <w:p w14:paraId="5CB6E748"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iCs/>
                <w:snapToGrid w:val="0"/>
                <w:kern w:val="22"/>
                <w:szCs w:val="22"/>
              </w:rPr>
              <w:t>This area regularly supports at least 750,000 waterfowl in winter and also large colonies of herons, egrets, terns and pratincoles in summer (Mansoori, 2009; RamsarConvention Bureau 1997). A total of 1,289,526 birds were counted in the Miankaleh-Gorgan Bay area in 2007 (Amini &amp; Willems, 2008).</w:t>
            </w:r>
          </w:p>
          <w:p w14:paraId="6FD38B65"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snapToGrid w:val="0"/>
                <w:kern w:val="22"/>
                <w:szCs w:val="22"/>
              </w:rPr>
              <w:t>The total number of waterbirds regularly exceeds the Ramsar criterion for international importance (more than 20,000 birds) in winter, and 20 species occur in number exceeding 1% of their regional flyway population (</w:t>
            </w:r>
            <w:r w:rsidRPr="0088780C">
              <w:rPr>
                <w:snapToGrid w:val="0"/>
                <w:kern w:val="22"/>
                <w:szCs w:val="22"/>
              </w:rPr>
              <w:t>Behrouzi Rad &amp; Ghaemi, 2015).</w:t>
            </w:r>
          </w:p>
          <w:p w14:paraId="2197A485"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iCs/>
                <w:snapToGrid w:val="0"/>
                <w:kern w:val="22"/>
                <w:szCs w:val="22"/>
              </w:rPr>
              <w:t xml:space="preserve">The Lapoo-Zaghmarz Ab-Bandans supports over 1% of the regional Middle East breeding populations of the waterbirds </w:t>
            </w:r>
            <w:r w:rsidRPr="0088780C">
              <w:rPr>
                <w:rFonts w:eastAsia="MS Mincho"/>
                <w:i/>
                <w:snapToGrid w:val="0"/>
                <w:kern w:val="22"/>
                <w:szCs w:val="22"/>
              </w:rPr>
              <w:t>Glareola</w:t>
            </w:r>
            <w:r w:rsidRPr="0088780C">
              <w:rPr>
                <w:rFonts w:eastAsia="MS Mincho"/>
                <w:iCs/>
                <w:snapToGrid w:val="0"/>
                <w:kern w:val="22"/>
                <w:szCs w:val="22"/>
              </w:rPr>
              <w:t xml:space="preserve"> </w:t>
            </w:r>
            <w:r w:rsidRPr="0088780C">
              <w:rPr>
                <w:rFonts w:eastAsia="MS Mincho"/>
                <w:i/>
                <w:snapToGrid w:val="0"/>
                <w:kern w:val="22"/>
                <w:szCs w:val="22"/>
              </w:rPr>
              <w:t>pratincola</w:t>
            </w:r>
            <w:r w:rsidRPr="0088780C">
              <w:rPr>
                <w:rFonts w:eastAsia="MS Mincho"/>
                <w:iCs/>
                <w:snapToGrid w:val="0"/>
                <w:kern w:val="22"/>
                <w:szCs w:val="22"/>
              </w:rPr>
              <w:t xml:space="preserve"> and </w:t>
            </w:r>
            <w:r w:rsidRPr="0088780C">
              <w:rPr>
                <w:rFonts w:eastAsia="MS Mincho"/>
                <w:i/>
                <w:snapToGrid w:val="0"/>
                <w:kern w:val="22"/>
                <w:szCs w:val="22"/>
              </w:rPr>
              <w:t>Sterna</w:t>
            </w:r>
            <w:r w:rsidRPr="0088780C">
              <w:rPr>
                <w:rFonts w:eastAsia="MS Mincho"/>
                <w:iCs/>
                <w:snapToGrid w:val="0"/>
                <w:kern w:val="22"/>
                <w:szCs w:val="22"/>
              </w:rPr>
              <w:t xml:space="preserve"> </w:t>
            </w:r>
            <w:r w:rsidRPr="0088780C">
              <w:rPr>
                <w:rFonts w:eastAsia="MS Mincho"/>
                <w:i/>
                <w:snapToGrid w:val="0"/>
                <w:kern w:val="22"/>
                <w:szCs w:val="22"/>
              </w:rPr>
              <w:t>albifrons</w:t>
            </w:r>
            <w:r w:rsidRPr="0088780C">
              <w:rPr>
                <w:rFonts w:eastAsia="MS Mincho"/>
                <w:iCs/>
                <w:snapToGrid w:val="0"/>
                <w:kern w:val="22"/>
                <w:szCs w:val="22"/>
              </w:rPr>
              <w:t>, and during the migration seasons and in winter, supports over 1% of the regional populations of at least 32 species of waterfowl (Ramsar Convention Bureau 1997).</w:t>
            </w:r>
          </w:p>
        </w:tc>
      </w:tr>
      <w:tr w:rsidR="00A876F3" w:rsidRPr="0088780C" w14:paraId="775DB9C8" w14:textId="77777777" w:rsidTr="006972AD">
        <w:trPr>
          <w:jc w:val="center"/>
        </w:trPr>
        <w:tc>
          <w:tcPr>
            <w:tcW w:w="779" w:type="pct"/>
            <w:shd w:val="clear" w:color="auto" w:fill="auto"/>
          </w:tcPr>
          <w:p w14:paraId="7EE9F496"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Importance for threatened, endangered or declining species and/or habitats</w:t>
            </w:r>
          </w:p>
        </w:tc>
        <w:tc>
          <w:tcPr>
            <w:tcW w:w="2280" w:type="pct"/>
            <w:shd w:val="clear" w:color="auto" w:fill="auto"/>
          </w:tcPr>
          <w:p w14:paraId="705917F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24F8B00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7386B66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1210FC9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30B6FEE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1739EE06" w14:textId="77777777" w:rsidTr="006972AD">
        <w:trPr>
          <w:jc w:val="center"/>
        </w:trPr>
        <w:tc>
          <w:tcPr>
            <w:tcW w:w="5000" w:type="pct"/>
            <w:gridSpan w:val="11"/>
            <w:shd w:val="clear" w:color="auto" w:fill="auto"/>
          </w:tcPr>
          <w:p w14:paraId="61AD3400"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CB0D810"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snapToGrid w:val="0"/>
                <w:kern w:val="22"/>
                <w:szCs w:val="22"/>
              </w:rPr>
              <w:t>The Gorgan Bay-Gomishan Lagoon area is considered the most important area in the Iranian Caspian Sea based on specific criteria, including number of threatened and endangered marine and bird species (BirdLife International, 2017; Danehkar, 2002; Danehkar &amp; Majnoonian, 2004a; Giesen, 2011; Razmjooy et al., 2010; UNEP-GEF, 2013).</w:t>
            </w:r>
          </w:p>
          <w:p w14:paraId="375DC584"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
                <w:snapToGrid w:val="0"/>
                <w:kern w:val="22"/>
                <w:szCs w:val="22"/>
              </w:rPr>
            </w:pPr>
            <w:r w:rsidRPr="0088780C">
              <w:rPr>
                <w:snapToGrid w:val="0"/>
                <w:kern w:val="22"/>
                <w:szCs w:val="22"/>
              </w:rPr>
              <w:t xml:space="preserve">The area is the most important foraging and spawning ground for all five critically endangered species of sturgeon, including </w:t>
            </w:r>
            <w:r w:rsidRPr="0088780C">
              <w:rPr>
                <w:i/>
                <w:iCs/>
                <w:snapToGrid w:val="0"/>
                <w:kern w:val="22"/>
                <w:szCs w:val="22"/>
              </w:rPr>
              <w:t>Acipenser</w:t>
            </w:r>
            <w:r w:rsidRPr="0088780C">
              <w:rPr>
                <w:snapToGrid w:val="0"/>
                <w:kern w:val="22"/>
                <w:szCs w:val="22"/>
              </w:rPr>
              <w:t xml:space="preserve"> </w:t>
            </w:r>
            <w:r w:rsidRPr="0088780C">
              <w:rPr>
                <w:i/>
                <w:iCs/>
                <w:snapToGrid w:val="0"/>
                <w:kern w:val="22"/>
                <w:szCs w:val="22"/>
              </w:rPr>
              <w:t>gueldenstaedtii</w:t>
            </w:r>
            <w:r w:rsidRPr="0088780C">
              <w:rPr>
                <w:snapToGrid w:val="0"/>
                <w:kern w:val="22"/>
                <w:szCs w:val="22"/>
              </w:rPr>
              <w:t xml:space="preserve">, </w:t>
            </w:r>
            <w:r w:rsidRPr="0088780C">
              <w:rPr>
                <w:i/>
                <w:iCs/>
                <w:snapToGrid w:val="0"/>
                <w:kern w:val="22"/>
                <w:szCs w:val="22"/>
              </w:rPr>
              <w:t>A. nudiventris</w:t>
            </w:r>
            <w:r w:rsidRPr="0088780C">
              <w:rPr>
                <w:snapToGrid w:val="0"/>
                <w:kern w:val="22"/>
                <w:szCs w:val="22"/>
              </w:rPr>
              <w:t xml:space="preserve">, </w:t>
            </w:r>
            <w:r w:rsidRPr="0088780C">
              <w:rPr>
                <w:i/>
                <w:iCs/>
                <w:snapToGrid w:val="0"/>
                <w:kern w:val="22"/>
                <w:szCs w:val="22"/>
              </w:rPr>
              <w:t>A. persicus</w:t>
            </w:r>
            <w:r w:rsidRPr="0088780C">
              <w:rPr>
                <w:snapToGrid w:val="0"/>
                <w:kern w:val="22"/>
                <w:szCs w:val="22"/>
              </w:rPr>
              <w:t xml:space="preserve">, </w:t>
            </w:r>
            <w:r w:rsidRPr="0088780C">
              <w:rPr>
                <w:i/>
                <w:iCs/>
                <w:snapToGrid w:val="0"/>
                <w:kern w:val="22"/>
                <w:szCs w:val="22"/>
              </w:rPr>
              <w:t>A. stellatus</w:t>
            </w:r>
            <w:r w:rsidRPr="0088780C">
              <w:rPr>
                <w:snapToGrid w:val="0"/>
                <w:kern w:val="22"/>
                <w:szCs w:val="22"/>
              </w:rPr>
              <w:t xml:space="preserve"> and </w:t>
            </w:r>
            <w:r w:rsidRPr="0088780C">
              <w:rPr>
                <w:i/>
                <w:iCs/>
                <w:snapToGrid w:val="0"/>
                <w:kern w:val="22"/>
                <w:szCs w:val="22"/>
              </w:rPr>
              <w:t>Huso huso</w:t>
            </w:r>
            <w:r w:rsidRPr="0088780C">
              <w:rPr>
                <w:snapToGrid w:val="0"/>
                <w:kern w:val="22"/>
                <w:szCs w:val="22"/>
              </w:rPr>
              <w:t xml:space="preserve"> (</w:t>
            </w:r>
            <w:r w:rsidRPr="0088780C">
              <w:rPr>
                <w:snapToGrid w:val="0"/>
                <w:kern w:val="22"/>
                <w:szCs w:val="22"/>
                <w:shd w:val="clear" w:color="auto" w:fill="FFFFFF"/>
              </w:rPr>
              <w:t xml:space="preserve">Abdolhay, 2004; </w:t>
            </w:r>
            <w:r w:rsidRPr="0088780C">
              <w:rPr>
                <w:snapToGrid w:val="0"/>
                <w:kern w:val="22"/>
                <w:szCs w:val="22"/>
              </w:rPr>
              <w:t xml:space="preserve">Kiabi et al., 1999a; </w:t>
            </w:r>
            <w:r w:rsidRPr="0088780C">
              <w:rPr>
                <w:rFonts w:eastAsia="MS Mincho"/>
                <w:iCs/>
                <w:snapToGrid w:val="0"/>
                <w:kern w:val="22"/>
                <w:szCs w:val="22"/>
              </w:rPr>
              <w:t>UNEP-WCMC, 2010</w:t>
            </w:r>
            <w:r w:rsidRPr="0088780C">
              <w:rPr>
                <w:snapToGrid w:val="0"/>
                <w:kern w:val="22"/>
                <w:szCs w:val="22"/>
              </w:rPr>
              <w:t>).</w:t>
            </w:r>
          </w:p>
          <w:p w14:paraId="236F1B6B"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
                <w:snapToGrid w:val="0"/>
                <w:kern w:val="22"/>
                <w:szCs w:val="22"/>
              </w:rPr>
            </w:pPr>
            <w:r w:rsidRPr="0088780C">
              <w:rPr>
                <w:snapToGrid w:val="0"/>
                <w:kern w:val="22"/>
                <w:szCs w:val="22"/>
              </w:rPr>
              <w:t xml:space="preserve">The </w:t>
            </w:r>
            <w:r w:rsidRPr="0088780C">
              <w:rPr>
                <w:rFonts w:eastAsia="MS Mincho"/>
                <w:iCs/>
                <w:snapToGrid w:val="0"/>
                <w:kern w:val="22"/>
                <w:szCs w:val="22"/>
              </w:rPr>
              <w:t>Gorgan Bay,</w:t>
            </w:r>
            <w:r w:rsidRPr="0088780C">
              <w:rPr>
                <w:snapToGrid w:val="0"/>
                <w:kern w:val="22"/>
                <w:szCs w:val="22"/>
              </w:rPr>
              <w:t xml:space="preserve"> Miankaleh Peninsula</w:t>
            </w:r>
            <w:r w:rsidRPr="0088780C">
              <w:rPr>
                <w:rFonts w:eastAsia="MS Mincho"/>
                <w:iCs/>
                <w:snapToGrid w:val="0"/>
                <w:kern w:val="22"/>
                <w:szCs w:val="22"/>
              </w:rPr>
              <w:t xml:space="preserve">, </w:t>
            </w:r>
            <w:r w:rsidRPr="0088780C">
              <w:rPr>
                <w:snapToGrid w:val="0"/>
                <w:kern w:val="22"/>
                <w:szCs w:val="22"/>
              </w:rPr>
              <w:t xml:space="preserve">Gomishan Lagoon in Iran and Esenguly area in Turkmenistan are </w:t>
            </w:r>
            <w:r w:rsidRPr="0088780C">
              <w:rPr>
                <w:rFonts w:eastAsia="MS Mincho"/>
                <w:iCs/>
                <w:snapToGrid w:val="0"/>
                <w:kern w:val="22"/>
                <w:szCs w:val="22"/>
              </w:rPr>
              <w:t>the most important foraging grounds and hauling-out sites for the endangered Caspian seal (</w:t>
            </w:r>
            <w:r w:rsidRPr="0088780C">
              <w:rPr>
                <w:rFonts w:eastAsia="MS Mincho"/>
                <w:i/>
                <w:snapToGrid w:val="0"/>
                <w:kern w:val="22"/>
                <w:szCs w:val="22"/>
              </w:rPr>
              <w:t>Pusa caspica</w:t>
            </w:r>
            <w:r w:rsidRPr="0088780C">
              <w:rPr>
                <w:rFonts w:eastAsia="MS Mincho"/>
                <w:iCs/>
                <w:snapToGrid w:val="0"/>
                <w:kern w:val="22"/>
                <w:szCs w:val="22"/>
              </w:rPr>
              <w:t>) in the south Caspian Sea.</w:t>
            </w:r>
            <w:r w:rsidRPr="0088780C">
              <w:rPr>
                <w:snapToGrid w:val="0"/>
                <w:kern w:val="22"/>
                <w:szCs w:val="22"/>
              </w:rPr>
              <w:t xml:space="preserve"> They are potential candidates for Seal Special Protected Areas (SSPAs) in south Caspian Sea (CEP, 2010).</w:t>
            </w:r>
          </w:p>
          <w:p w14:paraId="787B8FC4" w14:textId="64B8AA0B"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iCs/>
                <w:snapToGrid w:val="0"/>
                <w:kern w:val="22"/>
                <w:szCs w:val="22"/>
              </w:rPr>
              <w:t xml:space="preserve">At least 15 bird species of the area are currently listed in the IUCN Red List of Threatened Species (BirdLife International </w:t>
            </w:r>
            <w:r w:rsidRPr="0088780C">
              <w:rPr>
                <w:snapToGrid w:val="0"/>
                <w:kern w:val="22"/>
                <w:szCs w:val="22"/>
              </w:rPr>
              <w:t>2017g</w:t>
            </w:r>
            <w:r w:rsidRPr="0088780C">
              <w:rPr>
                <w:rFonts w:eastAsia="MS Mincho"/>
                <w:iCs/>
                <w:snapToGrid w:val="0"/>
                <w:kern w:val="22"/>
                <w:szCs w:val="22"/>
              </w:rPr>
              <w:t>).</w:t>
            </w:r>
          </w:p>
          <w:p w14:paraId="37473F60"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snapToGrid w:val="0"/>
                <w:color w:val="000000"/>
                <w:kern w:val="22"/>
                <w:szCs w:val="22"/>
              </w:rPr>
              <w:t xml:space="preserve">Several globally threatened bird species are known to occur in the area (BirdLife International 2017g), such as </w:t>
            </w:r>
            <w:r w:rsidRPr="0088780C">
              <w:rPr>
                <w:rFonts w:eastAsia="MS Mincho"/>
                <w:i/>
                <w:snapToGrid w:val="0"/>
                <w:kern w:val="22"/>
                <w:szCs w:val="22"/>
              </w:rPr>
              <w:t xml:space="preserve">Vanellus gregarius, Oxyura leucocephala, Anser erythropus </w:t>
            </w:r>
            <w:r w:rsidRPr="0088780C">
              <w:rPr>
                <w:rFonts w:eastAsia="MS Mincho"/>
                <w:snapToGrid w:val="0"/>
                <w:kern w:val="22"/>
                <w:szCs w:val="22"/>
              </w:rPr>
              <w:t>and</w:t>
            </w:r>
            <w:r w:rsidRPr="0088780C">
              <w:rPr>
                <w:rFonts w:eastAsia="MS Mincho"/>
                <w:i/>
                <w:snapToGrid w:val="0"/>
                <w:kern w:val="22"/>
                <w:szCs w:val="22"/>
              </w:rPr>
              <w:t xml:space="preserve"> Marmaronetta angustirostris </w:t>
            </w:r>
            <w:r w:rsidRPr="0088780C">
              <w:rPr>
                <w:rFonts w:eastAsia="MS Mincho"/>
                <w:iCs/>
                <w:snapToGrid w:val="0"/>
                <w:kern w:val="22"/>
                <w:szCs w:val="22"/>
              </w:rPr>
              <w:t>and</w:t>
            </w:r>
            <w:r w:rsidRPr="0088780C">
              <w:rPr>
                <w:rFonts w:eastAsia="MS Mincho"/>
                <w:i/>
                <w:snapToGrid w:val="0"/>
                <w:kern w:val="22"/>
                <w:szCs w:val="22"/>
              </w:rPr>
              <w:t xml:space="preserve"> Pelecanus crispus.</w:t>
            </w:r>
          </w:p>
          <w:p w14:paraId="43571260"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snapToGrid w:val="0"/>
                <w:kern w:val="22"/>
                <w:szCs w:val="22"/>
              </w:rPr>
              <w:t>The white-headed duck (</w:t>
            </w:r>
            <w:r w:rsidRPr="0088780C">
              <w:rPr>
                <w:rFonts w:eastAsia="MS Mincho"/>
                <w:i/>
                <w:iCs/>
                <w:snapToGrid w:val="0"/>
                <w:kern w:val="22"/>
                <w:szCs w:val="22"/>
              </w:rPr>
              <w:t>Oxyura</w:t>
            </w:r>
            <w:r w:rsidRPr="0088780C">
              <w:rPr>
                <w:rFonts w:eastAsia="MS Mincho"/>
                <w:snapToGrid w:val="0"/>
                <w:kern w:val="22"/>
                <w:szCs w:val="22"/>
              </w:rPr>
              <w:t xml:space="preserve"> </w:t>
            </w:r>
            <w:r w:rsidRPr="0088780C">
              <w:rPr>
                <w:rFonts w:eastAsia="MS Mincho"/>
                <w:i/>
                <w:iCs/>
                <w:snapToGrid w:val="0"/>
                <w:kern w:val="22"/>
                <w:szCs w:val="22"/>
              </w:rPr>
              <w:t>leucocephala</w:t>
            </w:r>
            <w:r w:rsidRPr="0088780C">
              <w:rPr>
                <w:rFonts w:eastAsia="MS Mincho"/>
                <w:snapToGrid w:val="0"/>
                <w:kern w:val="22"/>
                <w:szCs w:val="22"/>
              </w:rPr>
              <w:t>), five species of Ardeidae and Greater Flamingo,</w:t>
            </w:r>
            <w:r w:rsidRPr="0088780C">
              <w:rPr>
                <w:rFonts w:eastAsia="MS Mincho"/>
                <w:iCs/>
                <w:snapToGrid w:val="0"/>
                <w:kern w:val="22"/>
                <w:szCs w:val="22"/>
              </w:rPr>
              <w:t xml:space="preserve"> the critically endangered sociable lapwing (</w:t>
            </w:r>
            <w:r w:rsidRPr="0088780C">
              <w:rPr>
                <w:rFonts w:eastAsia="MS Mincho"/>
                <w:i/>
                <w:snapToGrid w:val="0"/>
                <w:kern w:val="22"/>
                <w:szCs w:val="22"/>
              </w:rPr>
              <w:t>Vanellus</w:t>
            </w:r>
            <w:r w:rsidRPr="0088780C">
              <w:rPr>
                <w:rFonts w:eastAsia="MS Mincho"/>
                <w:iCs/>
                <w:snapToGrid w:val="0"/>
                <w:kern w:val="22"/>
                <w:szCs w:val="22"/>
              </w:rPr>
              <w:t xml:space="preserve"> </w:t>
            </w:r>
            <w:r w:rsidRPr="0088780C">
              <w:rPr>
                <w:rFonts w:eastAsia="MS Mincho"/>
                <w:i/>
                <w:snapToGrid w:val="0"/>
                <w:kern w:val="22"/>
                <w:szCs w:val="22"/>
              </w:rPr>
              <w:t>gregarius</w:t>
            </w:r>
            <w:r w:rsidRPr="0088780C">
              <w:rPr>
                <w:rFonts w:eastAsia="MS Mincho"/>
                <w:iCs/>
                <w:snapToGrid w:val="0"/>
                <w:kern w:val="22"/>
                <w:szCs w:val="22"/>
              </w:rPr>
              <w:t>) and the near threatened ferruginous duck (</w:t>
            </w:r>
            <w:r w:rsidRPr="0088780C">
              <w:rPr>
                <w:rFonts w:eastAsia="MS Mincho"/>
                <w:i/>
                <w:snapToGrid w:val="0"/>
                <w:kern w:val="22"/>
                <w:szCs w:val="22"/>
              </w:rPr>
              <w:t>Aythya</w:t>
            </w:r>
            <w:r w:rsidRPr="0088780C">
              <w:rPr>
                <w:rFonts w:eastAsia="MS Mincho"/>
                <w:iCs/>
                <w:snapToGrid w:val="0"/>
                <w:kern w:val="22"/>
                <w:szCs w:val="22"/>
              </w:rPr>
              <w:t xml:space="preserve"> </w:t>
            </w:r>
            <w:r w:rsidRPr="0088780C">
              <w:rPr>
                <w:rFonts w:eastAsia="MS Mincho"/>
                <w:i/>
                <w:snapToGrid w:val="0"/>
                <w:kern w:val="22"/>
                <w:szCs w:val="22"/>
              </w:rPr>
              <w:t>nyroca</w:t>
            </w:r>
            <w:r w:rsidRPr="0088780C">
              <w:rPr>
                <w:rFonts w:eastAsia="MS Mincho"/>
                <w:iCs/>
                <w:snapToGrid w:val="0"/>
                <w:kern w:val="22"/>
                <w:szCs w:val="22"/>
              </w:rPr>
              <w:t xml:space="preserve">) </w:t>
            </w:r>
            <w:r w:rsidRPr="0088780C">
              <w:rPr>
                <w:rFonts w:eastAsia="MS Mincho"/>
                <w:snapToGrid w:val="0"/>
                <w:kern w:val="22"/>
                <w:szCs w:val="22"/>
              </w:rPr>
              <w:t xml:space="preserve">are of particular note in Gomishan Lagoon (Behrouzi-Rad and Ghaeimi, 2015; </w:t>
            </w:r>
            <w:r w:rsidRPr="0088780C">
              <w:rPr>
                <w:snapToGrid w:val="0"/>
                <w:kern w:val="22"/>
                <w:szCs w:val="22"/>
              </w:rPr>
              <w:t>BirdLife International 2017f</w:t>
            </w:r>
            <w:r w:rsidRPr="0088780C">
              <w:rPr>
                <w:rFonts w:eastAsia="MS Mincho"/>
                <w:snapToGrid w:val="0"/>
                <w:kern w:val="22"/>
                <w:szCs w:val="22"/>
              </w:rPr>
              <w:t>; UNECE, 2011).</w:t>
            </w:r>
          </w:p>
          <w:p w14:paraId="7E68D82B"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snapToGrid w:val="0"/>
                <w:kern w:val="22"/>
                <w:szCs w:val="22"/>
              </w:rPr>
            </w:pPr>
            <w:r w:rsidRPr="0088780C">
              <w:rPr>
                <w:rFonts w:eastAsia="MS Mincho"/>
                <w:iCs/>
                <w:snapToGrid w:val="0"/>
                <w:kern w:val="22"/>
                <w:szCs w:val="22"/>
              </w:rPr>
              <w:t xml:space="preserve">The following species listed in the Red Data Book of Turkmenistan (1999) have been recorded in the Esenguli area: </w:t>
            </w:r>
            <w:r w:rsidRPr="0088780C">
              <w:rPr>
                <w:rFonts w:eastAsia="MS Mincho"/>
                <w:i/>
                <w:snapToGrid w:val="0"/>
                <w:kern w:val="22"/>
                <w:szCs w:val="22"/>
              </w:rPr>
              <w:t>Platalea</w:t>
            </w:r>
            <w:r w:rsidRPr="0088780C">
              <w:rPr>
                <w:rFonts w:eastAsia="MS Mincho"/>
                <w:iCs/>
                <w:snapToGrid w:val="0"/>
                <w:kern w:val="22"/>
                <w:szCs w:val="22"/>
              </w:rPr>
              <w:t xml:space="preserve"> </w:t>
            </w:r>
            <w:r w:rsidRPr="0088780C">
              <w:rPr>
                <w:rFonts w:eastAsia="MS Mincho"/>
                <w:i/>
                <w:snapToGrid w:val="0"/>
                <w:kern w:val="22"/>
                <w:szCs w:val="22"/>
              </w:rPr>
              <w:t>leucorodia</w:t>
            </w:r>
            <w:r w:rsidRPr="0088780C">
              <w:rPr>
                <w:rFonts w:eastAsia="MS Mincho"/>
                <w:iCs/>
                <w:snapToGrid w:val="0"/>
                <w:kern w:val="22"/>
                <w:szCs w:val="22"/>
              </w:rPr>
              <w:t xml:space="preserve">, </w:t>
            </w:r>
            <w:r w:rsidRPr="0088780C">
              <w:rPr>
                <w:rFonts w:eastAsia="MS Mincho"/>
                <w:i/>
                <w:snapToGrid w:val="0"/>
                <w:kern w:val="22"/>
                <w:szCs w:val="22"/>
              </w:rPr>
              <w:t>Phoenicopterus</w:t>
            </w:r>
            <w:r w:rsidRPr="0088780C">
              <w:rPr>
                <w:rFonts w:eastAsia="MS Mincho"/>
                <w:iCs/>
                <w:snapToGrid w:val="0"/>
                <w:kern w:val="22"/>
                <w:szCs w:val="22"/>
              </w:rPr>
              <w:t xml:space="preserve"> </w:t>
            </w:r>
            <w:r w:rsidRPr="0088780C">
              <w:rPr>
                <w:rFonts w:eastAsia="MS Mincho"/>
                <w:i/>
                <w:snapToGrid w:val="0"/>
                <w:kern w:val="22"/>
                <w:szCs w:val="22"/>
              </w:rPr>
              <w:t>ruber</w:t>
            </w:r>
            <w:r w:rsidRPr="0088780C">
              <w:rPr>
                <w:rFonts w:eastAsia="MS Mincho"/>
                <w:iCs/>
                <w:snapToGrid w:val="0"/>
                <w:kern w:val="22"/>
                <w:szCs w:val="22"/>
              </w:rPr>
              <w:t xml:space="preserve">, </w:t>
            </w:r>
            <w:r w:rsidRPr="0088780C">
              <w:rPr>
                <w:rFonts w:eastAsia="MS Mincho"/>
                <w:i/>
                <w:snapToGrid w:val="0"/>
                <w:kern w:val="22"/>
                <w:szCs w:val="22"/>
              </w:rPr>
              <w:t>Anthropoides</w:t>
            </w:r>
            <w:r w:rsidRPr="0088780C">
              <w:rPr>
                <w:rFonts w:eastAsia="MS Mincho"/>
                <w:iCs/>
                <w:snapToGrid w:val="0"/>
                <w:kern w:val="22"/>
                <w:szCs w:val="22"/>
              </w:rPr>
              <w:t xml:space="preserve"> </w:t>
            </w:r>
            <w:r w:rsidRPr="0088780C">
              <w:rPr>
                <w:rFonts w:eastAsia="MS Mincho"/>
                <w:i/>
                <w:snapToGrid w:val="0"/>
                <w:kern w:val="22"/>
                <w:szCs w:val="22"/>
              </w:rPr>
              <w:t>virgo</w:t>
            </w:r>
            <w:r w:rsidRPr="0088780C">
              <w:rPr>
                <w:rFonts w:eastAsia="MS Mincho"/>
                <w:iCs/>
                <w:snapToGrid w:val="0"/>
                <w:kern w:val="22"/>
                <w:szCs w:val="22"/>
              </w:rPr>
              <w:t xml:space="preserve">, </w:t>
            </w:r>
            <w:r w:rsidRPr="0088780C">
              <w:rPr>
                <w:rFonts w:eastAsia="MS Mincho"/>
                <w:i/>
                <w:snapToGrid w:val="0"/>
                <w:kern w:val="22"/>
                <w:szCs w:val="22"/>
              </w:rPr>
              <w:t>Buteo</w:t>
            </w:r>
            <w:r w:rsidRPr="0088780C">
              <w:rPr>
                <w:rFonts w:eastAsia="MS Mincho"/>
                <w:iCs/>
                <w:snapToGrid w:val="0"/>
                <w:kern w:val="22"/>
                <w:szCs w:val="22"/>
              </w:rPr>
              <w:t xml:space="preserve"> </w:t>
            </w:r>
            <w:r w:rsidRPr="0088780C">
              <w:rPr>
                <w:rFonts w:eastAsia="MS Mincho"/>
                <w:i/>
                <w:snapToGrid w:val="0"/>
                <w:kern w:val="22"/>
                <w:szCs w:val="22"/>
              </w:rPr>
              <w:t>buteo</w:t>
            </w:r>
            <w:r w:rsidRPr="0088780C">
              <w:rPr>
                <w:rFonts w:eastAsia="MS Mincho"/>
                <w:iCs/>
                <w:snapToGrid w:val="0"/>
                <w:kern w:val="22"/>
                <w:szCs w:val="22"/>
              </w:rPr>
              <w:t xml:space="preserve">, </w:t>
            </w:r>
            <w:r w:rsidRPr="0088780C">
              <w:rPr>
                <w:rFonts w:eastAsia="MS Mincho"/>
                <w:i/>
                <w:snapToGrid w:val="0"/>
                <w:kern w:val="22"/>
                <w:szCs w:val="22"/>
              </w:rPr>
              <w:t>Pandion</w:t>
            </w:r>
            <w:r w:rsidRPr="0088780C">
              <w:rPr>
                <w:rFonts w:eastAsia="MS Mincho"/>
                <w:iCs/>
                <w:snapToGrid w:val="0"/>
                <w:kern w:val="22"/>
                <w:szCs w:val="22"/>
              </w:rPr>
              <w:t xml:space="preserve"> </w:t>
            </w:r>
            <w:r w:rsidRPr="0088780C">
              <w:rPr>
                <w:rFonts w:eastAsia="MS Mincho"/>
                <w:i/>
                <w:snapToGrid w:val="0"/>
                <w:kern w:val="22"/>
                <w:szCs w:val="22"/>
              </w:rPr>
              <w:t>haliaetus</w:t>
            </w:r>
            <w:r w:rsidRPr="0088780C">
              <w:rPr>
                <w:rFonts w:eastAsia="MS Mincho"/>
                <w:iCs/>
                <w:snapToGrid w:val="0"/>
                <w:kern w:val="22"/>
                <w:szCs w:val="22"/>
              </w:rPr>
              <w:t xml:space="preserve">, </w:t>
            </w:r>
            <w:r w:rsidRPr="0088780C">
              <w:rPr>
                <w:rFonts w:eastAsia="MS Mincho"/>
                <w:i/>
                <w:snapToGrid w:val="0"/>
                <w:kern w:val="22"/>
                <w:szCs w:val="22"/>
              </w:rPr>
              <w:t>Haliaeetus</w:t>
            </w:r>
            <w:r w:rsidRPr="0088780C">
              <w:rPr>
                <w:rFonts w:eastAsia="MS Mincho"/>
                <w:iCs/>
                <w:snapToGrid w:val="0"/>
                <w:kern w:val="22"/>
                <w:szCs w:val="22"/>
              </w:rPr>
              <w:t xml:space="preserve"> </w:t>
            </w:r>
            <w:r w:rsidRPr="0088780C">
              <w:rPr>
                <w:rFonts w:eastAsia="MS Mincho"/>
                <w:i/>
                <w:snapToGrid w:val="0"/>
                <w:kern w:val="22"/>
                <w:szCs w:val="22"/>
              </w:rPr>
              <w:t>leucoryphus</w:t>
            </w:r>
            <w:r w:rsidRPr="0088780C">
              <w:rPr>
                <w:rFonts w:eastAsia="MS Mincho"/>
                <w:iCs/>
                <w:snapToGrid w:val="0"/>
                <w:kern w:val="22"/>
                <w:szCs w:val="22"/>
              </w:rPr>
              <w:t xml:space="preserve">, </w:t>
            </w:r>
            <w:r w:rsidRPr="0088780C">
              <w:rPr>
                <w:rFonts w:eastAsia="MS Mincho"/>
                <w:i/>
                <w:snapToGrid w:val="0"/>
                <w:kern w:val="22"/>
                <w:szCs w:val="22"/>
              </w:rPr>
              <w:t>Falco</w:t>
            </w:r>
            <w:r w:rsidRPr="0088780C">
              <w:rPr>
                <w:rFonts w:eastAsia="MS Mincho"/>
                <w:iCs/>
                <w:snapToGrid w:val="0"/>
                <w:kern w:val="22"/>
                <w:szCs w:val="22"/>
              </w:rPr>
              <w:t xml:space="preserve"> </w:t>
            </w:r>
            <w:r w:rsidRPr="0088780C">
              <w:rPr>
                <w:rFonts w:eastAsia="MS Mincho"/>
                <w:i/>
                <w:snapToGrid w:val="0"/>
                <w:kern w:val="22"/>
                <w:szCs w:val="22"/>
              </w:rPr>
              <w:t>peregrinus</w:t>
            </w:r>
            <w:r w:rsidRPr="0088780C">
              <w:rPr>
                <w:rFonts w:eastAsia="MS Mincho"/>
                <w:iCs/>
                <w:snapToGrid w:val="0"/>
                <w:kern w:val="22"/>
                <w:szCs w:val="22"/>
              </w:rPr>
              <w:t xml:space="preserve">, </w:t>
            </w:r>
            <w:r w:rsidRPr="0088780C">
              <w:rPr>
                <w:rFonts w:eastAsia="MS Mincho"/>
                <w:i/>
                <w:snapToGrid w:val="0"/>
                <w:kern w:val="22"/>
                <w:szCs w:val="22"/>
              </w:rPr>
              <w:t>Circaetus</w:t>
            </w:r>
            <w:r w:rsidRPr="0088780C">
              <w:rPr>
                <w:rFonts w:eastAsia="MS Mincho"/>
                <w:iCs/>
                <w:snapToGrid w:val="0"/>
                <w:kern w:val="22"/>
                <w:szCs w:val="22"/>
              </w:rPr>
              <w:t xml:space="preserve"> </w:t>
            </w:r>
            <w:r w:rsidRPr="0088780C">
              <w:rPr>
                <w:rFonts w:eastAsia="MS Mincho"/>
                <w:i/>
                <w:snapToGrid w:val="0"/>
                <w:kern w:val="22"/>
                <w:szCs w:val="22"/>
              </w:rPr>
              <w:t>gallicus</w:t>
            </w:r>
            <w:r w:rsidRPr="0088780C">
              <w:rPr>
                <w:rFonts w:eastAsia="MS Mincho"/>
                <w:iCs/>
                <w:snapToGrid w:val="0"/>
                <w:kern w:val="22"/>
                <w:szCs w:val="22"/>
              </w:rPr>
              <w:t xml:space="preserve">, </w:t>
            </w:r>
            <w:r w:rsidRPr="0088780C">
              <w:rPr>
                <w:rFonts w:eastAsia="MS Mincho"/>
                <w:i/>
                <w:snapToGrid w:val="0"/>
                <w:kern w:val="22"/>
                <w:szCs w:val="22"/>
              </w:rPr>
              <w:t>Burhinus</w:t>
            </w:r>
            <w:r w:rsidRPr="0088780C">
              <w:rPr>
                <w:rFonts w:eastAsia="MS Mincho"/>
                <w:iCs/>
                <w:snapToGrid w:val="0"/>
                <w:kern w:val="22"/>
                <w:szCs w:val="22"/>
              </w:rPr>
              <w:t xml:space="preserve"> </w:t>
            </w:r>
            <w:r w:rsidRPr="0088780C">
              <w:rPr>
                <w:rFonts w:eastAsia="MS Mincho"/>
                <w:i/>
                <w:snapToGrid w:val="0"/>
                <w:kern w:val="22"/>
                <w:szCs w:val="22"/>
              </w:rPr>
              <w:t>oedicnemus</w:t>
            </w:r>
            <w:r w:rsidRPr="0088780C">
              <w:rPr>
                <w:rFonts w:eastAsia="MS Mincho"/>
                <w:iCs/>
                <w:snapToGrid w:val="0"/>
                <w:kern w:val="22"/>
                <w:szCs w:val="22"/>
              </w:rPr>
              <w:t xml:space="preserve">, and also the non-migratory </w:t>
            </w:r>
            <w:r w:rsidRPr="0088780C">
              <w:rPr>
                <w:rFonts w:eastAsia="MS Mincho"/>
                <w:i/>
                <w:snapToGrid w:val="0"/>
                <w:kern w:val="22"/>
                <w:szCs w:val="22"/>
              </w:rPr>
              <w:t>Aquila</w:t>
            </w:r>
            <w:r w:rsidRPr="0088780C">
              <w:rPr>
                <w:rFonts w:eastAsia="MS Mincho"/>
                <w:iCs/>
                <w:snapToGrid w:val="0"/>
                <w:kern w:val="22"/>
                <w:szCs w:val="22"/>
              </w:rPr>
              <w:t xml:space="preserve"> </w:t>
            </w:r>
            <w:r w:rsidRPr="0088780C">
              <w:rPr>
                <w:rFonts w:eastAsia="MS Mincho"/>
                <w:i/>
                <w:snapToGrid w:val="0"/>
                <w:kern w:val="22"/>
                <w:szCs w:val="22"/>
              </w:rPr>
              <w:t>chrysaetos</w:t>
            </w:r>
            <w:r w:rsidRPr="0088780C">
              <w:rPr>
                <w:rFonts w:eastAsia="MS Mincho"/>
                <w:iCs/>
                <w:snapToGrid w:val="0"/>
                <w:kern w:val="22"/>
                <w:szCs w:val="22"/>
              </w:rPr>
              <w:t xml:space="preserve">, </w:t>
            </w:r>
            <w:r w:rsidRPr="0088780C">
              <w:rPr>
                <w:rFonts w:eastAsia="MS Mincho"/>
                <w:i/>
                <w:snapToGrid w:val="0"/>
                <w:kern w:val="22"/>
                <w:szCs w:val="22"/>
              </w:rPr>
              <w:t>Falco</w:t>
            </w:r>
            <w:r w:rsidRPr="0088780C">
              <w:rPr>
                <w:rFonts w:eastAsia="MS Mincho"/>
                <w:iCs/>
                <w:snapToGrid w:val="0"/>
                <w:kern w:val="22"/>
                <w:szCs w:val="22"/>
              </w:rPr>
              <w:t xml:space="preserve"> </w:t>
            </w:r>
            <w:r w:rsidRPr="0088780C">
              <w:rPr>
                <w:rFonts w:eastAsia="MS Mincho"/>
                <w:i/>
                <w:snapToGrid w:val="0"/>
                <w:kern w:val="22"/>
                <w:szCs w:val="22"/>
              </w:rPr>
              <w:t>cherrug</w:t>
            </w:r>
            <w:r w:rsidRPr="0088780C">
              <w:rPr>
                <w:rFonts w:eastAsia="MS Mincho"/>
                <w:iCs/>
                <w:snapToGrid w:val="0"/>
                <w:kern w:val="22"/>
                <w:szCs w:val="22"/>
              </w:rPr>
              <w:t xml:space="preserve"> and </w:t>
            </w:r>
            <w:r w:rsidRPr="0088780C">
              <w:rPr>
                <w:rFonts w:eastAsia="MS Mincho"/>
                <w:i/>
                <w:snapToGrid w:val="0"/>
                <w:kern w:val="22"/>
                <w:szCs w:val="22"/>
              </w:rPr>
              <w:t>Bubo</w:t>
            </w:r>
            <w:r w:rsidRPr="0088780C">
              <w:rPr>
                <w:rFonts w:eastAsia="MS Mincho"/>
                <w:iCs/>
                <w:snapToGrid w:val="0"/>
                <w:kern w:val="22"/>
                <w:szCs w:val="22"/>
              </w:rPr>
              <w:t xml:space="preserve"> </w:t>
            </w:r>
            <w:r w:rsidRPr="0088780C">
              <w:rPr>
                <w:rFonts w:eastAsia="MS Mincho"/>
                <w:i/>
                <w:snapToGrid w:val="0"/>
                <w:kern w:val="22"/>
                <w:szCs w:val="22"/>
              </w:rPr>
              <w:t>bubo</w:t>
            </w:r>
            <w:r w:rsidRPr="0088780C">
              <w:rPr>
                <w:rFonts w:eastAsia="MS Mincho"/>
                <w:iCs/>
                <w:snapToGrid w:val="0"/>
                <w:kern w:val="22"/>
                <w:szCs w:val="22"/>
              </w:rPr>
              <w:t xml:space="preserve">. The globally threatened </w:t>
            </w:r>
            <w:r w:rsidRPr="0088780C">
              <w:rPr>
                <w:rFonts w:eastAsia="MS Mincho"/>
                <w:i/>
                <w:snapToGrid w:val="0"/>
                <w:kern w:val="22"/>
                <w:szCs w:val="22"/>
              </w:rPr>
              <w:t>Vanellus</w:t>
            </w:r>
            <w:r w:rsidRPr="0088780C">
              <w:rPr>
                <w:rFonts w:eastAsia="MS Mincho"/>
                <w:iCs/>
                <w:snapToGrid w:val="0"/>
                <w:kern w:val="22"/>
                <w:szCs w:val="22"/>
              </w:rPr>
              <w:t xml:space="preserve"> </w:t>
            </w:r>
            <w:r w:rsidRPr="0088780C">
              <w:rPr>
                <w:rFonts w:eastAsia="MS Mincho"/>
                <w:i/>
                <w:snapToGrid w:val="0"/>
                <w:kern w:val="22"/>
                <w:szCs w:val="22"/>
              </w:rPr>
              <w:t>gregarius</w:t>
            </w:r>
            <w:r w:rsidRPr="0088780C">
              <w:rPr>
                <w:rFonts w:eastAsia="MS Mincho"/>
                <w:iCs/>
                <w:snapToGrid w:val="0"/>
                <w:kern w:val="22"/>
                <w:szCs w:val="22"/>
              </w:rPr>
              <w:t xml:space="preserve"> (critically endangered) and </w:t>
            </w:r>
            <w:r w:rsidRPr="0088780C">
              <w:rPr>
                <w:rFonts w:eastAsia="MS Mincho"/>
                <w:i/>
                <w:snapToGrid w:val="0"/>
                <w:kern w:val="22"/>
                <w:szCs w:val="22"/>
              </w:rPr>
              <w:t>Aquila</w:t>
            </w:r>
            <w:r w:rsidRPr="0088780C">
              <w:rPr>
                <w:rFonts w:eastAsia="MS Mincho"/>
                <w:iCs/>
                <w:snapToGrid w:val="0"/>
                <w:kern w:val="22"/>
                <w:szCs w:val="22"/>
              </w:rPr>
              <w:t xml:space="preserve"> </w:t>
            </w:r>
            <w:r w:rsidRPr="0088780C">
              <w:rPr>
                <w:rFonts w:eastAsia="MS Mincho"/>
                <w:i/>
                <w:snapToGrid w:val="0"/>
                <w:kern w:val="22"/>
                <w:szCs w:val="22"/>
              </w:rPr>
              <w:t>heliaca</w:t>
            </w:r>
            <w:r w:rsidRPr="0088780C">
              <w:rPr>
                <w:rFonts w:eastAsia="MS Mincho"/>
                <w:iCs/>
                <w:snapToGrid w:val="0"/>
                <w:kern w:val="22"/>
                <w:szCs w:val="22"/>
              </w:rPr>
              <w:t xml:space="preserve"> (vulnerable) have also been recorded in this area (BirdLife International 2017a).</w:t>
            </w:r>
          </w:p>
        </w:tc>
      </w:tr>
      <w:tr w:rsidR="00A876F3" w:rsidRPr="0088780C" w14:paraId="3BDB0C90" w14:textId="77777777" w:rsidTr="006972AD">
        <w:trPr>
          <w:jc w:val="center"/>
        </w:trPr>
        <w:tc>
          <w:tcPr>
            <w:tcW w:w="779" w:type="pct"/>
            <w:shd w:val="clear" w:color="auto" w:fill="auto"/>
          </w:tcPr>
          <w:p w14:paraId="246D0E29"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Vulnerability, fragility, sensitivity, or slow recovery</w:t>
            </w:r>
          </w:p>
        </w:tc>
        <w:tc>
          <w:tcPr>
            <w:tcW w:w="2280" w:type="pct"/>
            <w:shd w:val="clear" w:color="auto" w:fill="auto"/>
          </w:tcPr>
          <w:p w14:paraId="06C4F44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4CDC99F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460B85D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vAlign w:val="center"/>
          </w:tcPr>
          <w:p w14:paraId="4319DB7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5205996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092A3C26" w14:textId="77777777" w:rsidTr="006972AD">
        <w:trPr>
          <w:jc w:val="center"/>
        </w:trPr>
        <w:tc>
          <w:tcPr>
            <w:tcW w:w="5000" w:type="pct"/>
            <w:gridSpan w:val="11"/>
            <w:shd w:val="clear" w:color="auto" w:fill="auto"/>
          </w:tcPr>
          <w:p w14:paraId="5D7DCBB9"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3DFD6920"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snapToGrid w:val="0"/>
                <w:kern w:val="22"/>
                <w:szCs w:val="22"/>
              </w:rPr>
            </w:pPr>
            <w:r w:rsidRPr="0088780C">
              <w:rPr>
                <w:snapToGrid w:val="0"/>
                <w:kern w:val="22"/>
                <w:szCs w:val="22"/>
              </w:rPr>
              <w:t xml:space="preserve">The only known foraging and spawning ground for all five critically endangered species of sturgeon, including </w:t>
            </w:r>
            <w:r w:rsidRPr="0088780C">
              <w:rPr>
                <w:i/>
                <w:iCs/>
                <w:snapToGrid w:val="0"/>
                <w:kern w:val="22"/>
                <w:szCs w:val="22"/>
              </w:rPr>
              <w:t>Acipenser</w:t>
            </w:r>
            <w:r w:rsidRPr="0088780C">
              <w:rPr>
                <w:snapToGrid w:val="0"/>
                <w:kern w:val="22"/>
                <w:szCs w:val="22"/>
              </w:rPr>
              <w:t xml:space="preserve"> </w:t>
            </w:r>
            <w:r w:rsidRPr="0088780C">
              <w:rPr>
                <w:i/>
                <w:iCs/>
                <w:snapToGrid w:val="0"/>
                <w:kern w:val="22"/>
                <w:szCs w:val="22"/>
              </w:rPr>
              <w:t>gueldenstaedtii</w:t>
            </w:r>
            <w:r w:rsidRPr="0088780C">
              <w:rPr>
                <w:snapToGrid w:val="0"/>
                <w:kern w:val="22"/>
                <w:szCs w:val="22"/>
              </w:rPr>
              <w:t xml:space="preserve">, </w:t>
            </w:r>
            <w:r w:rsidRPr="0088780C">
              <w:rPr>
                <w:i/>
                <w:iCs/>
                <w:snapToGrid w:val="0"/>
                <w:kern w:val="22"/>
                <w:szCs w:val="22"/>
              </w:rPr>
              <w:t>A. nudiventris</w:t>
            </w:r>
            <w:r w:rsidRPr="0088780C">
              <w:rPr>
                <w:snapToGrid w:val="0"/>
                <w:kern w:val="22"/>
                <w:szCs w:val="22"/>
              </w:rPr>
              <w:t xml:space="preserve">, </w:t>
            </w:r>
            <w:r w:rsidRPr="0088780C">
              <w:rPr>
                <w:i/>
                <w:iCs/>
                <w:snapToGrid w:val="0"/>
                <w:kern w:val="22"/>
                <w:szCs w:val="22"/>
              </w:rPr>
              <w:t>A. persicus</w:t>
            </w:r>
            <w:r w:rsidRPr="0088780C">
              <w:rPr>
                <w:snapToGrid w:val="0"/>
                <w:kern w:val="22"/>
                <w:szCs w:val="22"/>
              </w:rPr>
              <w:t xml:space="preserve">, </w:t>
            </w:r>
            <w:r w:rsidRPr="0088780C">
              <w:rPr>
                <w:i/>
                <w:iCs/>
                <w:snapToGrid w:val="0"/>
                <w:kern w:val="22"/>
                <w:szCs w:val="22"/>
              </w:rPr>
              <w:t>A. stellatus</w:t>
            </w:r>
            <w:r w:rsidRPr="0088780C">
              <w:rPr>
                <w:snapToGrid w:val="0"/>
                <w:kern w:val="22"/>
                <w:szCs w:val="22"/>
              </w:rPr>
              <w:t xml:space="preserve"> and </w:t>
            </w:r>
            <w:r w:rsidRPr="0088780C">
              <w:rPr>
                <w:i/>
                <w:iCs/>
                <w:snapToGrid w:val="0"/>
                <w:kern w:val="22"/>
                <w:szCs w:val="22"/>
              </w:rPr>
              <w:t>Huso huso,</w:t>
            </w:r>
            <w:r w:rsidRPr="0088780C">
              <w:rPr>
                <w:snapToGrid w:val="0"/>
                <w:kern w:val="22"/>
                <w:szCs w:val="22"/>
              </w:rPr>
              <w:t xml:space="preserve"> in the south Caspian Sea (Kiabi et al., 1999a; </w:t>
            </w:r>
            <w:r w:rsidRPr="0088780C">
              <w:rPr>
                <w:rFonts w:eastAsia="MS Mincho"/>
                <w:iCs/>
                <w:snapToGrid w:val="0"/>
                <w:kern w:val="22"/>
                <w:szCs w:val="22"/>
              </w:rPr>
              <w:t>UNEP-WCMC, 2010</w:t>
            </w:r>
            <w:r w:rsidRPr="0088780C">
              <w:rPr>
                <w:snapToGrid w:val="0"/>
                <w:kern w:val="22"/>
                <w:szCs w:val="22"/>
              </w:rPr>
              <w:t xml:space="preserve">). </w:t>
            </w:r>
            <w:r w:rsidRPr="0088780C">
              <w:rPr>
                <w:rFonts w:eastAsia="MS Mincho"/>
                <w:snapToGrid w:val="0"/>
                <w:kern w:val="22"/>
                <w:szCs w:val="22"/>
              </w:rPr>
              <w:t>Low productivity and dependence on riverine ecosystems for reproduction make them vulnerable to human activity or natural events.</w:t>
            </w:r>
          </w:p>
          <w:p w14:paraId="3DB6C033"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snapToGrid w:val="0"/>
                <w:kern w:val="22"/>
                <w:szCs w:val="22"/>
              </w:rPr>
            </w:pPr>
            <w:r w:rsidRPr="0088780C">
              <w:rPr>
                <w:rFonts w:eastAsia="MS Mincho"/>
                <w:snapToGrid w:val="0"/>
                <w:kern w:val="22"/>
                <w:szCs w:val="22"/>
              </w:rPr>
              <w:t xml:space="preserve">The area is important to the vulnerable Dalmatian pelican </w:t>
            </w:r>
            <w:r w:rsidRPr="0088780C">
              <w:rPr>
                <w:rFonts w:eastAsia="MS Mincho"/>
                <w:i/>
                <w:iCs/>
                <w:snapToGrid w:val="0"/>
                <w:kern w:val="22"/>
                <w:szCs w:val="22"/>
              </w:rPr>
              <w:t>Pelecanus</w:t>
            </w:r>
            <w:r w:rsidRPr="0088780C">
              <w:rPr>
                <w:rFonts w:eastAsia="MS Mincho"/>
                <w:snapToGrid w:val="0"/>
                <w:kern w:val="22"/>
                <w:szCs w:val="22"/>
              </w:rPr>
              <w:t xml:space="preserve"> </w:t>
            </w:r>
            <w:r w:rsidRPr="0088780C">
              <w:rPr>
                <w:rFonts w:eastAsia="MS Mincho"/>
                <w:i/>
                <w:iCs/>
                <w:snapToGrid w:val="0"/>
                <w:kern w:val="22"/>
                <w:szCs w:val="22"/>
              </w:rPr>
              <w:t>crispus</w:t>
            </w:r>
            <w:r w:rsidRPr="0088780C">
              <w:rPr>
                <w:rFonts w:eastAsia="MS Mincho"/>
                <w:snapToGrid w:val="0"/>
                <w:kern w:val="22"/>
                <w:szCs w:val="22"/>
              </w:rPr>
              <w:t>, a long-lived species with late sexual maturity (BirdLife International, 2017)</w:t>
            </w:r>
          </w:p>
          <w:p w14:paraId="26F83A9F" w14:textId="1B60565E"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snapToGrid w:val="0"/>
                <w:kern w:val="22"/>
                <w:szCs w:val="22"/>
              </w:rPr>
            </w:pPr>
            <w:r w:rsidRPr="0088780C">
              <w:rPr>
                <w:rFonts w:eastAsia="MS Mincho"/>
                <w:snapToGrid w:val="0"/>
                <w:kern w:val="22"/>
                <w:szCs w:val="22"/>
              </w:rPr>
              <w:t xml:space="preserve">The </w:t>
            </w:r>
            <w:r w:rsidR="00953367" w:rsidRPr="0088780C">
              <w:rPr>
                <w:rFonts w:eastAsia="MS Mincho"/>
                <w:snapToGrid w:val="0"/>
                <w:kern w:val="22"/>
                <w:szCs w:val="22"/>
              </w:rPr>
              <w:t>south-east</w:t>
            </w:r>
            <w:r w:rsidRPr="0088780C">
              <w:rPr>
                <w:rFonts w:eastAsia="MS Mincho"/>
                <w:snapToGrid w:val="0"/>
                <w:kern w:val="22"/>
                <w:szCs w:val="22"/>
              </w:rPr>
              <w:t xml:space="preserve"> corner of the Caspian Sea, including Gomishan-Esenguly area, is characterized by a very gentle slope both onshore and offshore, and is vulnerable to sea-level fluctuations at the ecosystem scale (Kakroodi et al., 2012). The maximum seaward and landward shifts in the sea- level fluctuations of the south Caspian Sea have been occurred along the gently sloping, N-S oriented Gomishan coastal area (Kakroodi et al., 2012).</w:t>
            </w:r>
          </w:p>
          <w:p w14:paraId="1BEDB44A"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snapToGrid w:val="0"/>
                <w:kern w:val="22"/>
                <w:szCs w:val="22"/>
              </w:rPr>
            </w:pPr>
            <w:r w:rsidRPr="0088780C">
              <w:rPr>
                <w:rFonts w:eastAsia="MS Mincho"/>
                <w:snapToGrid w:val="0"/>
                <w:kern w:val="22"/>
                <w:szCs w:val="22"/>
              </w:rPr>
              <w:t>Regarding semi-enclosed environment, the Gorgan Bay is functionally susceptible to various anthropogenic threats in the near future (Bastami et al., 2012).</w:t>
            </w:r>
          </w:p>
        </w:tc>
      </w:tr>
      <w:tr w:rsidR="00A876F3" w:rsidRPr="0088780C" w14:paraId="7BFE688B" w14:textId="77777777" w:rsidTr="006972AD">
        <w:trPr>
          <w:jc w:val="center"/>
        </w:trPr>
        <w:tc>
          <w:tcPr>
            <w:tcW w:w="779" w:type="pct"/>
            <w:shd w:val="clear" w:color="auto" w:fill="auto"/>
          </w:tcPr>
          <w:p w14:paraId="3452394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Biological productivity</w:t>
            </w:r>
          </w:p>
        </w:tc>
        <w:tc>
          <w:tcPr>
            <w:tcW w:w="2280" w:type="pct"/>
            <w:shd w:val="clear" w:color="auto" w:fill="auto"/>
          </w:tcPr>
          <w:p w14:paraId="516CFAF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containing species, populations or communities with comparatively higher natural biological productivity.</w:t>
            </w:r>
          </w:p>
        </w:tc>
        <w:tc>
          <w:tcPr>
            <w:tcW w:w="684" w:type="pct"/>
            <w:gridSpan w:val="3"/>
            <w:shd w:val="clear" w:color="auto" w:fill="auto"/>
            <w:vAlign w:val="center"/>
          </w:tcPr>
          <w:p w14:paraId="5CE5A8B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c>
          <w:tcPr>
            <w:tcW w:w="410" w:type="pct"/>
            <w:gridSpan w:val="2"/>
            <w:shd w:val="clear" w:color="auto" w:fill="auto"/>
          </w:tcPr>
          <w:p w14:paraId="7185F7B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vAlign w:val="center"/>
          </w:tcPr>
          <w:p w14:paraId="3B7C86F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tcPr>
          <w:p w14:paraId="33526BC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r>
      <w:tr w:rsidR="00A876F3" w:rsidRPr="0088780C" w14:paraId="3EC52F8E" w14:textId="77777777" w:rsidTr="006972AD">
        <w:trPr>
          <w:jc w:val="center"/>
        </w:trPr>
        <w:tc>
          <w:tcPr>
            <w:tcW w:w="5000" w:type="pct"/>
            <w:gridSpan w:val="11"/>
            <w:shd w:val="clear" w:color="auto" w:fill="auto"/>
          </w:tcPr>
          <w:p w14:paraId="69FD8AD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r>
      <w:tr w:rsidR="00A876F3" w:rsidRPr="0088780C" w14:paraId="65470284" w14:textId="77777777" w:rsidTr="006972AD">
        <w:trPr>
          <w:jc w:val="center"/>
        </w:trPr>
        <w:tc>
          <w:tcPr>
            <w:tcW w:w="779" w:type="pct"/>
            <w:shd w:val="clear" w:color="auto" w:fill="auto"/>
          </w:tcPr>
          <w:p w14:paraId="2DBE2A5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Biological diversity</w:t>
            </w:r>
          </w:p>
        </w:tc>
        <w:tc>
          <w:tcPr>
            <w:tcW w:w="2280" w:type="pct"/>
            <w:shd w:val="clear" w:color="auto" w:fill="auto"/>
          </w:tcPr>
          <w:p w14:paraId="7369FCB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contains comparatively higher diversity of ecosystems, habitats, communities, or species, or has higher genetic diversity.</w:t>
            </w:r>
          </w:p>
        </w:tc>
        <w:tc>
          <w:tcPr>
            <w:tcW w:w="684" w:type="pct"/>
            <w:gridSpan w:val="3"/>
            <w:shd w:val="clear" w:color="auto" w:fill="auto"/>
          </w:tcPr>
          <w:p w14:paraId="4411583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68721E8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7D09239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62A8155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26EE84AB" w14:textId="77777777" w:rsidTr="006972AD">
        <w:trPr>
          <w:jc w:val="center"/>
        </w:trPr>
        <w:tc>
          <w:tcPr>
            <w:tcW w:w="5000" w:type="pct"/>
            <w:gridSpan w:val="11"/>
            <w:shd w:val="clear" w:color="auto" w:fill="auto"/>
          </w:tcPr>
          <w:p w14:paraId="70387B5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1E075F9"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snapToGrid w:val="0"/>
                <w:kern w:val="22"/>
                <w:szCs w:val="22"/>
              </w:rPr>
            </w:pPr>
            <w:r w:rsidRPr="0088780C">
              <w:rPr>
                <w:rFonts w:eastAsia="MS Mincho"/>
                <w:iCs/>
                <w:snapToGrid w:val="0"/>
                <w:kern w:val="22"/>
                <w:szCs w:val="22"/>
              </w:rPr>
              <w:t>The area supports 44 fish species in the southern Caspian Sea marine area. At least 21 fish species has also been recorded in Gorgan Bay (Abdoli &amp; Naderi, 2009; Kiabi et al., 1999a).</w:t>
            </w:r>
          </w:p>
          <w:p w14:paraId="5B1AA24E"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snapToGrid w:val="0"/>
                <w:kern w:val="22"/>
                <w:szCs w:val="22"/>
              </w:rPr>
            </w:pPr>
            <w:r w:rsidRPr="0088780C">
              <w:rPr>
                <w:rFonts w:eastAsia="MS Mincho"/>
                <w:iCs/>
                <w:snapToGrid w:val="0"/>
                <w:kern w:val="22"/>
                <w:szCs w:val="22"/>
              </w:rPr>
              <w:t>The avifauna includes more than 280 species, of which 240 (86%) are passing wintering birds, including 120 (43%) species of waterbirds (BirdLife International 2017a, Zonn et al., 2010).</w:t>
            </w:r>
          </w:p>
          <w:p w14:paraId="27D163CD"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snapToGrid w:val="0"/>
                <w:kern w:val="22"/>
                <w:szCs w:val="22"/>
              </w:rPr>
            </w:pPr>
            <w:r w:rsidRPr="0088780C">
              <w:rPr>
                <w:rFonts w:eastAsia="MS Mincho"/>
                <w:iCs/>
                <w:snapToGrid w:val="0"/>
                <w:kern w:val="22"/>
                <w:szCs w:val="22"/>
              </w:rPr>
              <w:t xml:space="preserve">The area </w:t>
            </w:r>
            <w:r w:rsidRPr="0088780C">
              <w:rPr>
                <w:rFonts w:eastAsia="MS Mincho"/>
                <w:snapToGrid w:val="0"/>
                <w:kern w:val="22"/>
                <w:szCs w:val="22"/>
              </w:rPr>
              <w:t xml:space="preserve">supports a unique and diverse range of ecosystems and habitats, including shallow marine waters, intertidal muddy and sandy shores, brackish coastal lagoons, </w:t>
            </w:r>
            <w:r w:rsidRPr="0088780C">
              <w:rPr>
                <w:rFonts w:eastAsia="MS Mincho"/>
                <w:iCs/>
                <w:snapToGrid w:val="0"/>
                <w:kern w:val="22"/>
                <w:szCs w:val="22"/>
              </w:rPr>
              <w:t>extensive coastal reedbeds and</w:t>
            </w:r>
            <w:r w:rsidRPr="0088780C">
              <w:rPr>
                <w:rFonts w:eastAsia="MS Mincho"/>
                <w:snapToGrid w:val="0"/>
                <w:kern w:val="22"/>
                <w:szCs w:val="22"/>
              </w:rPr>
              <w:t xml:space="preserve"> coastal freshwater marshes and lagoons (Ramsar Convention Bureau 1997; 2001; BirdLife International 2017c)</w:t>
            </w:r>
            <w:r w:rsidRPr="0088780C">
              <w:rPr>
                <w:rFonts w:eastAsia="MS Mincho"/>
                <w:iCs/>
                <w:snapToGrid w:val="0"/>
                <w:kern w:val="22"/>
                <w:szCs w:val="22"/>
              </w:rPr>
              <w:t>.</w:t>
            </w:r>
          </w:p>
        </w:tc>
      </w:tr>
      <w:tr w:rsidR="00A876F3" w:rsidRPr="0088780C" w14:paraId="72153FBC" w14:textId="77777777" w:rsidTr="001013AF">
        <w:trPr>
          <w:cantSplit/>
          <w:jc w:val="center"/>
        </w:trPr>
        <w:tc>
          <w:tcPr>
            <w:tcW w:w="783" w:type="pct"/>
            <w:shd w:val="clear" w:color="auto" w:fill="auto"/>
          </w:tcPr>
          <w:p w14:paraId="27645BC1"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kern w:val="22"/>
                <w:szCs w:val="22"/>
              </w:rPr>
            </w:pPr>
            <w:r w:rsidRPr="0088780C">
              <w:rPr>
                <w:rFonts w:eastAsia="MS Mincho"/>
                <w:b/>
                <w:snapToGrid w:val="0"/>
                <w:kern w:val="22"/>
                <w:szCs w:val="22"/>
              </w:rPr>
              <w:t>Naturalness</w:t>
            </w:r>
          </w:p>
        </w:tc>
        <w:tc>
          <w:tcPr>
            <w:tcW w:w="2295" w:type="pct"/>
            <w:gridSpan w:val="2"/>
            <w:shd w:val="clear" w:color="auto" w:fill="auto"/>
          </w:tcPr>
          <w:p w14:paraId="5020C777"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1490FD9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c>
        <w:tc>
          <w:tcPr>
            <w:tcW w:w="453" w:type="pct"/>
            <w:gridSpan w:val="2"/>
            <w:shd w:val="clear" w:color="auto" w:fill="auto"/>
          </w:tcPr>
          <w:p w14:paraId="195D7023"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c>
        <w:tc>
          <w:tcPr>
            <w:tcW w:w="400" w:type="pct"/>
            <w:gridSpan w:val="2"/>
            <w:shd w:val="clear" w:color="auto" w:fill="auto"/>
            <w:vAlign w:val="center"/>
          </w:tcPr>
          <w:p w14:paraId="30A39FD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c>
        <w:tc>
          <w:tcPr>
            <w:tcW w:w="385" w:type="pct"/>
            <w:shd w:val="clear" w:color="auto" w:fill="auto"/>
            <w:vAlign w:val="center"/>
          </w:tcPr>
          <w:p w14:paraId="1038E77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r w:rsidRPr="0088780C">
              <w:rPr>
                <w:rFonts w:eastAsia="MS Mincho"/>
                <w:bCs/>
                <w:snapToGrid w:val="0"/>
                <w:kern w:val="22"/>
                <w:szCs w:val="22"/>
              </w:rPr>
              <w:t>X</w:t>
            </w:r>
          </w:p>
        </w:tc>
      </w:tr>
      <w:tr w:rsidR="00A876F3" w:rsidRPr="0088780C" w14:paraId="344FFA17" w14:textId="77777777" w:rsidTr="006972AD">
        <w:trPr>
          <w:jc w:val="center"/>
        </w:trPr>
        <w:tc>
          <w:tcPr>
            <w:tcW w:w="5000" w:type="pct"/>
            <w:gridSpan w:val="11"/>
            <w:shd w:val="clear" w:color="auto" w:fill="auto"/>
          </w:tcPr>
          <w:p w14:paraId="343AF84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55535B56"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iCs/>
                <w:snapToGrid w:val="0"/>
                <w:kern w:val="22"/>
                <w:szCs w:val="22"/>
              </w:rPr>
              <w:t>The area has a pristine to semi-pristine environment with comparatively lower levels of disturbance and limited human activities and the lowest population density in the whole south Caspian Sea (</w:t>
            </w:r>
            <w:hyperlink r:id="rId274" w:history="1">
              <w:r w:rsidRPr="0088780C">
                <w:rPr>
                  <w:rStyle w:val="Hyperlink"/>
                  <w:rFonts w:eastAsia="MS Mincho"/>
                  <w:iCs/>
                  <w:snapToGrid w:val="0"/>
                  <w:kern w:val="22"/>
                  <w:szCs w:val="22"/>
                </w:rPr>
                <w:t>https://populationexplorer.com</w:t>
              </w:r>
            </w:hyperlink>
            <w:r w:rsidRPr="0088780C">
              <w:rPr>
                <w:rFonts w:eastAsia="MS Mincho"/>
                <w:iCs/>
                <w:snapToGrid w:val="0"/>
                <w:kern w:val="22"/>
                <w:szCs w:val="22"/>
              </w:rPr>
              <w:t>).</w:t>
            </w:r>
          </w:p>
          <w:p w14:paraId="79E3DE23"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snapToGrid w:val="0"/>
                <w:kern w:val="22"/>
                <w:szCs w:val="22"/>
              </w:rPr>
              <w:t xml:space="preserve">The </w:t>
            </w:r>
            <w:r w:rsidRPr="0088780C">
              <w:rPr>
                <w:rFonts w:eastAsia="MS Mincho"/>
                <w:bCs/>
                <w:snapToGrid w:val="0"/>
                <w:kern w:val="22"/>
                <w:szCs w:val="22"/>
              </w:rPr>
              <w:t>Gorgan Bay-Gomishan</w:t>
            </w:r>
            <w:r w:rsidRPr="0088780C">
              <w:rPr>
                <w:rFonts w:eastAsia="MS Mincho"/>
                <w:snapToGrid w:val="0"/>
                <w:kern w:val="22"/>
                <w:szCs w:val="22"/>
              </w:rPr>
              <w:t xml:space="preserve"> Lagoon area is considered as the most important area in the Iranian Caspian Sea based on several specific criteria, including naturalness (Danehkar, 2002; Danehkar &amp; Majnoonian, 2004a; Razmjooy et al., 2010).</w:t>
            </w:r>
          </w:p>
          <w:p w14:paraId="35CDD422"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rPr>
                <w:rFonts w:eastAsia="MS Mincho"/>
                <w:iCs/>
                <w:snapToGrid w:val="0"/>
                <w:kern w:val="22"/>
                <w:szCs w:val="22"/>
              </w:rPr>
            </w:pPr>
            <w:r w:rsidRPr="0088780C">
              <w:rPr>
                <w:rFonts w:eastAsia="MS Mincho"/>
                <w:iCs/>
                <w:snapToGrid w:val="0"/>
                <w:kern w:val="22"/>
                <w:szCs w:val="22"/>
              </w:rPr>
              <w:t>The semi-enclosed Gorgan Bay is not severely polluted by heavy metals of Pb, Cr, Zn, and Cu and the surface sediments of the bay could be generally classified as ‘low-enriched to non-enriched bay’ (Bastami et al., 2012).</w:t>
            </w:r>
          </w:p>
        </w:tc>
      </w:tr>
    </w:tbl>
    <w:p w14:paraId="7B3A00BF"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kern w:val="22"/>
          <w:szCs w:val="22"/>
        </w:rPr>
      </w:pPr>
    </w:p>
    <w:p w14:paraId="35F69D2D" w14:textId="77777777" w:rsidR="00A876F3" w:rsidRPr="0088780C" w:rsidRDefault="00A876F3" w:rsidP="00E91FAE">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50F8A2D6"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Abdolhay, H. (2004). Sturgeon Stocking Programme in the Caspian Sea with Emphasis on Iran.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FAO Fisheries Technical Paper</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429</w:t>
      </w:r>
      <w:r w:rsidRPr="0088780C">
        <w:rPr>
          <w:snapToGrid w:val="0"/>
          <w:kern w:val="22"/>
          <w:szCs w:val="22"/>
          <w:shd w:val="clear" w:color="auto" w:fill="FFFFFF"/>
        </w:rPr>
        <w:t>, 133.</w:t>
      </w:r>
    </w:p>
    <w:p w14:paraId="6D8BBD43"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 xml:space="preserve">Abdoli, A. and Naderi, M. (2009). Biodiversity of Fishes of the Southern Basin of the Caspian Sea. Abzian Scientific Publications, Tehran. 243 pp. [In Farsi </w:t>
      </w:r>
      <w:r w:rsidRPr="0088780C">
        <w:rPr>
          <w:rFonts w:eastAsia="MS Mincho"/>
          <w:snapToGrid w:val="0"/>
          <w:kern w:val="22"/>
          <w:szCs w:val="22"/>
        </w:rPr>
        <w:t>language</w:t>
      </w:r>
      <w:r w:rsidRPr="0088780C">
        <w:rPr>
          <w:snapToGrid w:val="0"/>
          <w:kern w:val="22"/>
          <w:szCs w:val="22"/>
          <w:shd w:val="clear" w:color="auto" w:fill="FFFFFF"/>
        </w:rPr>
        <w:t>].</w:t>
      </w:r>
    </w:p>
    <w:p w14:paraId="24E8A528"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 xml:space="preserve">Afraei, M. A., Safari, R., &amp; Salmani, A. (2006). Distribution and density of juvenile Acipenser persicus at the lower 10 meter depth of the southern Caspian Sea. </w:t>
      </w:r>
      <w:r w:rsidRPr="0088780C">
        <w:rPr>
          <w:rFonts w:eastAsia="MS Mincho"/>
          <w:i/>
          <w:iCs/>
          <w:snapToGrid w:val="0"/>
          <w:kern w:val="22"/>
          <w:szCs w:val="22"/>
        </w:rPr>
        <w:t>Journal of Applied Ichthyology</w:t>
      </w:r>
      <w:r w:rsidRPr="0088780C">
        <w:rPr>
          <w:rFonts w:eastAsia="MS Mincho"/>
          <w:snapToGrid w:val="0"/>
          <w:kern w:val="22"/>
          <w:szCs w:val="22"/>
        </w:rPr>
        <w:t>, 22(s1), 108-110.</w:t>
      </w:r>
    </w:p>
    <w:p w14:paraId="0C14C614"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rPr>
      </w:pPr>
      <w:r w:rsidRPr="0088780C">
        <w:rPr>
          <w:snapToGrid w:val="0"/>
          <w:kern w:val="22"/>
          <w:szCs w:val="22"/>
        </w:rPr>
        <w:t>Amini H. &amp; Willems, F. J. (2008). Waterbirds in Iran. Results of a mid-winter count in the provinces of West Azarbayjan, Gilan, Mazanderan, Golestan, Sistan-Baluchistan, Hormozgan, Fars, Bushehr &amp; Khuzestan of the Islamic Republic of Iran, January 2007. Department of Environment, Islamic Republic of Iran.</w:t>
      </w:r>
    </w:p>
    <w:p w14:paraId="13FF98E0"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Bakhshalizadeh, S., Bani, A., Abdolmalaki, S., Nahrevar, R., &amp; Rastin, R. (2011). Age, growth and mortality of the Persian Sturgeon, Acipenser persicus, in the Iranian waters of the Caspian Sea.</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Caspian Journal of Environmental Sciences</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9</w:t>
      </w:r>
      <w:r w:rsidRPr="0088780C">
        <w:rPr>
          <w:snapToGrid w:val="0"/>
          <w:kern w:val="22"/>
          <w:szCs w:val="22"/>
          <w:shd w:val="clear" w:color="auto" w:fill="FFFFFF"/>
        </w:rPr>
        <w:t>(2), 159-167.</w:t>
      </w:r>
    </w:p>
    <w:p w14:paraId="4F989846"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Basatnia, N., Hosseini, S. A., &amp; Khaledian, Y. (No Date). Spatial changes in organic matter content in benthic sediment of Gomishan wetland, northern Iran.</w:t>
      </w:r>
    </w:p>
    <w:p w14:paraId="2C169989"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Bastami, K. D., Bagheri, H., Haghparast, S., Soltani, F., Hamzehpoor, A., &amp; Bastami, M. D. (2012). Geochemical and geo-statistical assessment of selected heavy metals in the surface sediments of the Gorgan Bay, Iran.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Marine pollution bulletin</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64</w:t>
      </w:r>
      <w:r w:rsidRPr="0088780C">
        <w:rPr>
          <w:snapToGrid w:val="0"/>
          <w:kern w:val="22"/>
          <w:szCs w:val="22"/>
          <w:shd w:val="clear" w:color="auto" w:fill="FFFFFF"/>
        </w:rPr>
        <w:t>(12), 2877-2884.</w:t>
      </w:r>
    </w:p>
    <w:p w14:paraId="7A0CEA04"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Behrouzi-Rad, B. &amp; Ghaeimi, R. (2015). Changes in the Population of Wintering Waterbirds in Gomishan Wetland at Caspian Sea Coast, Iran, International Journal of Marine Science, Vol.5, No.13 1-7.</w:t>
      </w:r>
    </w:p>
    <w:p w14:paraId="5C7AA612"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rPr>
      </w:pPr>
      <w:r w:rsidRPr="0088780C">
        <w:rPr>
          <w:snapToGrid w:val="0"/>
          <w:kern w:val="22"/>
          <w:szCs w:val="22"/>
        </w:rPr>
        <w:t xml:space="preserve">BirdLife International (2017a). Important Bird Areas factsheet: Ekerem - Esenguly. Downloaded from </w:t>
      </w:r>
      <w:hyperlink r:id="rId275" w:history="1">
        <w:r w:rsidRPr="0088780C">
          <w:rPr>
            <w:rStyle w:val="Hyperlink"/>
            <w:snapToGrid w:val="0"/>
            <w:kern w:val="22"/>
            <w:szCs w:val="22"/>
          </w:rPr>
          <w:t>http://datazone.birdlife.org/site/factsheet/ekerem-esenguly-iba-turkmenistan/details</w:t>
        </w:r>
      </w:hyperlink>
      <w:r w:rsidRPr="0088780C">
        <w:rPr>
          <w:snapToGrid w:val="0"/>
          <w:kern w:val="22"/>
          <w:szCs w:val="22"/>
        </w:rPr>
        <w:t xml:space="preserve"> on 27/04/2017.</w:t>
      </w:r>
    </w:p>
    <w:p w14:paraId="6841DBE0"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 xml:space="preserve">BirdLife International (2017b). Important Bird Areas factsheet: Garadashly - Ekerem. Downloaded from </w:t>
      </w:r>
      <w:hyperlink r:id="rId276" w:history="1">
        <w:r w:rsidRPr="0088780C">
          <w:rPr>
            <w:rStyle w:val="Hyperlink"/>
            <w:rFonts w:eastAsia="MS Mincho"/>
            <w:snapToGrid w:val="0"/>
            <w:kern w:val="22"/>
            <w:szCs w:val="22"/>
          </w:rPr>
          <w:t>http://datazone.birdlife.org/site/factsheet/garadashly-ekerem-iba-turkmenistan/details</w:t>
        </w:r>
      </w:hyperlink>
      <w:r w:rsidRPr="0088780C">
        <w:rPr>
          <w:rFonts w:eastAsia="MS Mincho"/>
          <w:snapToGrid w:val="0"/>
          <w:kern w:val="22"/>
          <w:szCs w:val="22"/>
        </w:rPr>
        <w:t xml:space="preserve"> on 27/04/2017.</w:t>
      </w:r>
    </w:p>
    <w:p w14:paraId="419D0A53"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rPr>
      </w:pPr>
      <w:r w:rsidRPr="0088780C">
        <w:rPr>
          <w:snapToGrid w:val="0"/>
          <w:kern w:val="22"/>
          <w:szCs w:val="22"/>
        </w:rPr>
        <w:t xml:space="preserve">BirdLife International (2017c). Important Bird Areas factsheet: Gomishan marshes and Turkoman steppes. Downloaded from </w:t>
      </w:r>
      <w:hyperlink r:id="rId277" w:history="1">
        <w:r w:rsidRPr="0088780C">
          <w:rPr>
            <w:rStyle w:val="Hyperlink"/>
            <w:snapToGrid w:val="0"/>
            <w:kern w:val="22"/>
            <w:szCs w:val="22"/>
          </w:rPr>
          <w:t>http://datazone.birdlife.org/site/factsheet/gomishan-marshes-and-turkoman-steppes-iba-iran-islamic-republic-of/details</w:t>
        </w:r>
      </w:hyperlink>
      <w:r w:rsidRPr="0088780C">
        <w:rPr>
          <w:snapToGrid w:val="0"/>
          <w:kern w:val="22"/>
          <w:szCs w:val="22"/>
        </w:rPr>
        <w:t xml:space="preserve"> on 27/04/2017.</w:t>
      </w:r>
    </w:p>
    <w:p w14:paraId="1DFB8B8D" w14:textId="5F0BF8B2"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rPr>
      </w:pPr>
      <w:r w:rsidRPr="0088780C">
        <w:rPr>
          <w:snapToGrid w:val="0"/>
          <w:kern w:val="22"/>
          <w:szCs w:val="22"/>
        </w:rPr>
        <w:t xml:space="preserve">BirdLife International (2017d). Important Bird Areas factsheet: Miankaleh Peninsula and Gorgan Bay. Downloaded from </w:t>
      </w:r>
      <w:hyperlink r:id="rId278" w:history="1">
        <w:r w:rsidRPr="0088780C">
          <w:rPr>
            <w:rStyle w:val="Hyperlink"/>
            <w:snapToGrid w:val="0"/>
            <w:kern w:val="22"/>
            <w:szCs w:val="22"/>
          </w:rPr>
          <w:t>http://datazone.birdlife.org/site/factsheet/miankaleh-peninsula-and-gorgan-bay-iba-iran-islamic-republic-of/details</w:t>
        </w:r>
      </w:hyperlink>
      <w:r w:rsidRPr="0088780C">
        <w:rPr>
          <w:snapToGrid w:val="0"/>
          <w:kern w:val="22"/>
          <w:szCs w:val="22"/>
        </w:rPr>
        <w:t xml:space="preserve"> on 27/04/2017.</w:t>
      </w:r>
      <w:hyperlink w:history="1"/>
    </w:p>
    <w:p w14:paraId="56257245"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rPr>
      </w:pPr>
      <w:r w:rsidRPr="0088780C">
        <w:rPr>
          <w:snapToGrid w:val="0"/>
          <w:kern w:val="22"/>
          <w:szCs w:val="22"/>
        </w:rPr>
        <w:t>BirdLife International (2017e). http://datazone.birdlife.org/site/factsheet/lapoo--zargmarz-ab-bandans-iba-iran-islamic-republic-of/text</w:t>
      </w:r>
    </w:p>
    <w:p w14:paraId="759D96EE"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rPr>
      </w:pPr>
      <w:r w:rsidRPr="0088780C">
        <w:rPr>
          <w:snapToGrid w:val="0"/>
          <w:kern w:val="22"/>
          <w:szCs w:val="22"/>
        </w:rPr>
        <w:t xml:space="preserve">BirdLife International (2017f). Important Bird Areas factsheet: South Caspian shore, from Astara to Gomishan. Downloaded from </w:t>
      </w:r>
      <w:hyperlink r:id="rId279" w:history="1">
        <w:r w:rsidRPr="0088780C">
          <w:rPr>
            <w:rStyle w:val="Hyperlink"/>
            <w:snapToGrid w:val="0"/>
            <w:kern w:val="22"/>
            <w:szCs w:val="22"/>
          </w:rPr>
          <w:t>http://datazone.birdlife.org/site/factsheet/south-caspian-shore-from-astara-to-gomishan-iba-iran-islamic-republic-of/details</w:t>
        </w:r>
      </w:hyperlink>
      <w:r w:rsidRPr="0088780C">
        <w:rPr>
          <w:snapToGrid w:val="0"/>
          <w:kern w:val="22"/>
          <w:szCs w:val="22"/>
        </w:rPr>
        <w:t xml:space="preserve"> on 27/04/2017.</w:t>
      </w:r>
    </w:p>
    <w:p w14:paraId="39B42ECF"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rPr>
      </w:pPr>
      <w:r w:rsidRPr="0088780C">
        <w:rPr>
          <w:snapToGrid w:val="0"/>
          <w:kern w:val="22"/>
          <w:szCs w:val="22"/>
        </w:rPr>
        <w:t xml:space="preserve">BirdLife International (2017g). IUCN Red List for birds. Downloaded from </w:t>
      </w:r>
      <w:hyperlink r:id="rId280" w:history="1">
        <w:r w:rsidRPr="0088780C">
          <w:rPr>
            <w:rStyle w:val="Hyperlink"/>
            <w:snapToGrid w:val="0"/>
            <w:kern w:val="22"/>
            <w:szCs w:val="22"/>
          </w:rPr>
          <w:t>http://www.birdlife.org</w:t>
        </w:r>
      </w:hyperlink>
      <w:r w:rsidRPr="0088780C">
        <w:rPr>
          <w:snapToGrid w:val="0"/>
          <w:kern w:val="22"/>
          <w:szCs w:val="22"/>
        </w:rPr>
        <w:t xml:space="preserve"> on 27/04/2017.</w:t>
      </w:r>
    </w:p>
    <w:p w14:paraId="507488E6"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snapToGrid w:val="0"/>
          <w:kern w:val="22"/>
          <w:szCs w:val="22"/>
          <w:shd w:val="clear" w:color="auto" w:fill="FFFFFF"/>
        </w:rPr>
        <w:t>Billard, R., &amp; Lecointre, G. (2000). Biology and conservation of sturgeon and paddlefish.</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Reviews in Fish Biology and Fisheries</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10</w:t>
      </w:r>
      <w:r w:rsidRPr="0088780C">
        <w:rPr>
          <w:snapToGrid w:val="0"/>
          <w:kern w:val="22"/>
          <w:szCs w:val="22"/>
          <w:shd w:val="clear" w:color="auto" w:fill="FFFFFF"/>
        </w:rPr>
        <w:t>(4), 355-392.</w:t>
      </w:r>
    </w:p>
    <w:p w14:paraId="21B4C742"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Carp, E. (Ed.). (1980). Directory of Wetlands of International Importance in the Western Palearctic. IUCN.</w:t>
      </w:r>
    </w:p>
    <w:p w14:paraId="2F4CF170"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CaspEco (2011). CaspEco Project. Seal Special Protected Network (SSPA). Final Report. University of Leeds.</w:t>
      </w:r>
    </w:p>
    <w:p w14:paraId="35D733F3"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CEP (1998a). Regional Action Plan for Protection of Caspian Habitats. Caspian Environment Programme, Baku, Azerbaijan.</w:t>
      </w:r>
    </w:p>
    <w:p w14:paraId="1BF0B816"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CEP (1998b). National Report, Iran. Caspian Environment Programme, Baku, Azerbaijan.</w:t>
      </w:r>
    </w:p>
    <w:p w14:paraId="7CD2F06A"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rPr>
      </w:pPr>
      <w:r w:rsidRPr="0088780C">
        <w:rPr>
          <w:snapToGrid w:val="0"/>
          <w:kern w:val="22"/>
          <w:szCs w:val="22"/>
        </w:rPr>
        <w:t>CEP (2010). Caspeco Project Component I –Creation of Special Protected Areas for the Caspian Seal.</w:t>
      </w:r>
    </w:p>
    <w:p w14:paraId="435E1D33"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Danehkar A., Majnoonian, H. (2004a). Conservation ranking of coastal areas in Iran Case study: Ranking of critical habitats in the southern part of the Caspian Sea. 6th International Conference on Coasts, Ports and Marine Structures (ICOPMAS 2004). 29-3 Dec 2004 [in Persian language with English abstract].</w:t>
      </w:r>
    </w:p>
    <w:p w14:paraId="0C930FC3"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Danehkar A., Majnoonian, H. (2004b). Protective Ranking of Coastal Regions Case Study: Gradation of Coastal Habitats in Caspian Sea. 6th International Conference on Coasts, Ports and Marine Structures (ICOPMAS 2004). 29-3 Dec 2004 [in Farsi language with English abstract].</w:t>
      </w:r>
    </w:p>
    <w:p w14:paraId="00D06457"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Danehkar, A. (2002). Sea sensitive areas of Iran and View of Development. 5</w:t>
      </w:r>
      <w:r w:rsidRPr="0088780C">
        <w:rPr>
          <w:rFonts w:eastAsia="MS Mincho"/>
          <w:snapToGrid w:val="0"/>
          <w:kern w:val="22"/>
          <w:szCs w:val="22"/>
          <w:vertAlign w:val="superscript"/>
        </w:rPr>
        <w:t>th</w:t>
      </w:r>
      <w:r w:rsidRPr="0088780C">
        <w:rPr>
          <w:rFonts w:eastAsia="MS Mincho"/>
          <w:snapToGrid w:val="0"/>
          <w:kern w:val="22"/>
          <w:szCs w:val="22"/>
        </w:rPr>
        <w:t xml:space="preserve"> International Conference on Coasts, Ports and Marine Structures (ICOPMAS 2002). 14-17 October 2002 [in Farsi language].</w:t>
      </w:r>
    </w:p>
    <w:p w14:paraId="55A60F6F"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van Diek H., Felix R., Hornman M., Meininger P., Willems F. &amp; Zekhuis M. (2004). Bird counting in Iran in January 2004. Dutch Birding 26: 287–296.</w:t>
      </w:r>
    </w:p>
    <w:p w14:paraId="5EAAE725"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Evans, M.I. (ed). (1994). Important Bird Areas in the Middle East. Cambridge, UK: BirdLife International.</w:t>
      </w:r>
    </w:p>
    <w:p w14:paraId="5D72693B"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Eybatov, T. M. (2015). Status Report for Seismic Project SWAP. Appendix 5A. Caspian Seals Report. Zardabi Natural History Museum.</w:t>
      </w:r>
    </w:p>
    <w:p w14:paraId="093BE0C4"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Fet, V., &amp; Atamuradov, K. (Eds.) (2012). Biogeography and ecology of Turkmenistan (Vol. 72). Springer.</w:t>
      </w:r>
    </w:p>
    <w:p w14:paraId="4DBD6087"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Gandomi, Y., Shadi, A., &amp; Savari, A. (2011). Classification of Gomishan Lagoon (Caspian Sea, Iran) by using the coastal and marine ecological classification standard (CMECS).</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Middle-East J. Sci. Res</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8</w:t>
      </w:r>
      <w:r w:rsidRPr="0088780C">
        <w:rPr>
          <w:snapToGrid w:val="0"/>
          <w:kern w:val="22"/>
          <w:szCs w:val="22"/>
          <w:shd w:val="clear" w:color="auto" w:fill="FFFFFF"/>
        </w:rPr>
        <w:t>(3), 611-615.</w:t>
      </w:r>
    </w:p>
    <w:p w14:paraId="752CF75A"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Gharib M. (2006). Studies of Miankaleh Peninsula Water Resources, Geology and Geomorphology. Ministry of Energy [in Farsi language].</w:t>
      </w:r>
    </w:p>
    <w:p w14:paraId="591A2F81"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Ghorbanzadeh Zaferani, S. Gh., Machinchian Moradi, A., Mousavi Nadushan, R., Sari, A. R., &amp; Fatemi, S. M. R. (2017). Spatial and temporal patterns of benthic macrofauna in Gorgan Bay, south Caspian Sea, Iran.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Iranian Journal of Fisheries Sciences</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16</w:t>
      </w:r>
      <w:r w:rsidRPr="0088780C">
        <w:rPr>
          <w:snapToGrid w:val="0"/>
          <w:kern w:val="22"/>
          <w:szCs w:val="22"/>
          <w:shd w:val="clear" w:color="auto" w:fill="FFFFFF"/>
        </w:rPr>
        <w:t>(1), 252-274.</w:t>
      </w:r>
    </w:p>
    <w:p w14:paraId="5C9D52C9"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Ghasemi, A. F., Clements, J. C., Taheri, M., &amp; Rostami, A. (2014). Changes in the quantitative distribution of Caspian Sea polychaetes: Prolific fauna formed by non-indigenous species.</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Journal of Great Lakes Research</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40</w:t>
      </w:r>
      <w:r w:rsidRPr="0088780C">
        <w:rPr>
          <w:snapToGrid w:val="0"/>
          <w:kern w:val="22"/>
          <w:szCs w:val="22"/>
          <w:shd w:val="clear" w:color="auto" w:fill="FFFFFF"/>
        </w:rPr>
        <w:t>(3), 692-698.</w:t>
      </w:r>
    </w:p>
    <w:p w14:paraId="1A7DCA94" w14:textId="77777777" w:rsidR="00A876F3" w:rsidRPr="0088780C" w:rsidRDefault="00A876F3" w:rsidP="00E91FAE">
      <w:pPr>
        <w:keepLines/>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Giesen W. (2011). Management Guidelines for Implementation Biodiversity Management of Wetlands. From the publication series of Conservation of Iranian Wetlands Project (CIWP). IRI Department of Environment, United Nations Development Porgramme, Global Environment Facilities [in Farsi language].</w:t>
      </w:r>
    </w:p>
    <w:p w14:paraId="66D15645"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 xml:space="preserve">Goodman, S. &amp; Dmitrieva, L. (2016) </w:t>
      </w:r>
      <w:r w:rsidRPr="0088780C">
        <w:rPr>
          <w:i/>
          <w:iCs/>
          <w:snapToGrid w:val="0"/>
          <w:kern w:val="22"/>
          <w:szCs w:val="22"/>
          <w:shd w:val="clear" w:color="auto" w:fill="FFFFFF"/>
        </w:rPr>
        <w:t>Pusa caspica</w:t>
      </w:r>
      <w:r w:rsidRPr="0088780C">
        <w:rPr>
          <w:snapToGrid w:val="0"/>
          <w:kern w:val="22"/>
          <w:szCs w:val="22"/>
          <w:shd w:val="clear" w:color="auto" w:fill="FFFFFF"/>
        </w:rPr>
        <w:t>. The IUCN Red List of Threatened Species 2016: e.T41669A45230700. http://dx.doi.org/10.2305/IUCN.UK.2016-1.RLTS.T41669A45230700.en. Downloaded on 21 April 2017.</w:t>
      </w:r>
    </w:p>
    <w:p w14:paraId="07E7925A"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Jamshidi, S. (2016). Study on Physical and Chemical Characteristics of Seawater of Gorgan Bay in The Eastern Part of Southern Coast of the Caspian Sea. Proceedings of Academics World 44</w:t>
      </w:r>
      <w:r w:rsidRPr="0088780C">
        <w:rPr>
          <w:rFonts w:eastAsia="MS Mincho"/>
          <w:snapToGrid w:val="0"/>
          <w:kern w:val="22"/>
          <w:szCs w:val="22"/>
          <w:vertAlign w:val="superscript"/>
        </w:rPr>
        <w:t>th</w:t>
      </w:r>
      <w:r w:rsidRPr="0088780C">
        <w:rPr>
          <w:rFonts w:eastAsia="MS Mincho"/>
          <w:snapToGrid w:val="0"/>
          <w:kern w:val="22"/>
          <w:szCs w:val="22"/>
        </w:rPr>
        <w:t xml:space="preserve"> International Conference, Bangkok, Thailand, 13th -14th September 2016.</w:t>
      </w:r>
    </w:p>
    <w:p w14:paraId="59E62EC8"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Kakroodi, A.A., Kroonenberg, S.B., Hoogendoorn, R.M., Mohammadkhani, H., Yamani, M., Ghasssemi, M.R., Lahijani, H.A.K. (2012). Rapid Holocene sea-level changes along the Iranian Caspian coast. Quaternary International. 263, 93–103.</w:t>
      </w:r>
    </w:p>
    <w:p w14:paraId="6E9D8F50"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snapToGrid w:val="0"/>
          <w:kern w:val="22"/>
          <w:szCs w:val="22"/>
          <w:shd w:val="clear" w:color="auto" w:fill="FFFFFF"/>
        </w:rPr>
        <w:t>Khoshkholgh, M. R., Nazari, S., &amp; Pourkazemi, M. (2013). Population Structure of Persian Sturgeon (Acipenser persicus Borodin, 1897) in the southern part of Caspian Sea.</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Iranian Journal of Animal Biosystematics (IJAB)</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9</w:t>
      </w:r>
      <w:r w:rsidRPr="0088780C">
        <w:rPr>
          <w:snapToGrid w:val="0"/>
          <w:kern w:val="22"/>
          <w:szCs w:val="22"/>
          <w:shd w:val="clear" w:color="auto" w:fill="FFFFFF"/>
        </w:rPr>
        <w:t>(1), 29-39.</w:t>
      </w:r>
    </w:p>
    <w:p w14:paraId="2D8FD60B"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Kiabi, B. H., Abdoli, A., Naderi, M. (1999a). Status of the fish fauna in the south Caspian Basin of Iran. J. Zool. Mid. East. 18, 57–65.</w:t>
      </w:r>
    </w:p>
    <w:p w14:paraId="02131FB8"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Kiabi, B. H., Ghaemi, R., Abdoli, A. (1999b). Wetland and riverain ecosystems of Golestan Province. Department of the Environment Golestan Province Office of D.O.E.</w:t>
      </w:r>
    </w:p>
    <w:p w14:paraId="32B48067"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Kideys A. E., Roohi, A., Eker-Develi, E., Me´lin, F., Beare, D. (2008). Increased chlorophyll levels in the Southern Caspian Sea following an invasion of jellyfish, research letters in ecology, 2008, Article ID 185642, 4 pages. (doi: 10.1155/ 2008/185642)</w:t>
      </w:r>
    </w:p>
    <w:p w14:paraId="51AECFDA"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Kostianoy, A. G., &amp; Kosarev, A. N. (2005). The Caspian Sea Environment (Vol. 5). Springer Science &amp; Business Media.</w:t>
      </w:r>
    </w:p>
    <w:p w14:paraId="3A68C645"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Kroonenberg, S.B., Badyukova, E.N., Storms, J.E.A., Ignatov, E.I., Kasimov, N.S., (2000). A full sea level cycle in sixty-five years: barrier dynamics along Caspian shores. Sedimentary Geology 134, 257–274.</w:t>
      </w:r>
    </w:p>
    <w:p w14:paraId="608B2A5E"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Laluyee (1996). Migration studies of sturgeons in Sefidrud, Tajen and Gorganrud River. Iranian Fisheries Research and Training Organisation Publications.</w:t>
      </w:r>
    </w:p>
    <w:p w14:paraId="55E5482A"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Mansoori, J. (2009). The Avian Community of Five Iranian Wetlands, Miankaleh, Fereidoonkenar, Bujagh, Anzali and Lavandevil, in the South Caspian Lowlands. Podoces, 4(1), 44-59.</w:t>
      </w:r>
    </w:p>
    <w:p w14:paraId="580E624D"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Masoudi, M., Ramezannejad Ghadi, R. &amp; Riahi, H. (2012). Phytoplankton Flora of Miankaleh Wetland. -Iran. J. Bot. 18 (1): 141-148. Tehran.</w:t>
      </w:r>
    </w:p>
    <w:p w14:paraId="3ADE0528"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snapToGrid w:val="0"/>
          <w:kern w:val="22"/>
          <w:szCs w:val="22"/>
          <w:shd w:val="clear" w:color="auto" w:fill="FFFFFF"/>
        </w:rPr>
        <w:t>Naddafi, R., Abdoli, A., Hassanzadeh Kiabi, B., Mojazi Amiri, B., &amp; Karami, M. (2005). Age, growth and reproduction of the Caspian roach (</w:t>
      </w:r>
      <w:r w:rsidRPr="0088780C">
        <w:rPr>
          <w:i/>
          <w:iCs/>
          <w:snapToGrid w:val="0"/>
          <w:kern w:val="22"/>
          <w:szCs w:val="22"/>
          <w:shd w:val="clear" w:color="auto" w:fill="FFFFFF"/>
        </w:rPr>
        <w:t>Rutilus rutilus caspicus</w:t>
      </w:r>
      <w:r w:rsidRPr="0088780C">
        <w:rPr>
          <w:snapToGrid w:val="0"/>
          <w:kern w:val="22"/>
          <w:szCs w:val="22"/>
          <w:shd w:val="clear" w:color="auto" w:fill="FFFFFF"/>
        </w:rPr>
        <w:t>) in the Anzali and Gomishan wetlands, North Iran.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Journal of Applied Ichthyology</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21</w:t>
      </w:r>
      <w:r w:rsidRPr="0088780C">
        <w:rPr>
          <w:snapToGrid w:val="0"/>
          <w:kern w:val="22"/>
          <w:szCs w:val="22"/>
          <w:shd w:val="clear" w:color="auto" w:fill="FFFFFF"/>
        </w:rPr>
        <w:t xml:space="preserve">(6), 492-497. </w:t>
      </w:r>
    </w:p>
    <w:p w14:paraId="7278998F"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Nezakati, R., Malmasi, S., Behrouzirad, B., Esmaeeli, F. &amp; Majd, F. F. (2011). Classification of Miankale Wetland Shore Line Based on Environmental Sensitivity Index (ESI), Iran. In </w:t>
      </w:r>
      <w:r w:rsidRPr="0088780C">
        <w:rPr>
          <w:rFonts w:eastAsia="MS Mincho"/>
          <w:i/>
          <w:iCs/>
          <w:snapToGrid w:val="0"/>
          <w:kern w:val="22"/>
          <w:szCs w:val="22"/>
        </w:rPr>
        <w:t>Proceedings of International Conference on Environmental Science and Technology</w:t>
      </w:r>
      <w:r w:rsidRPr="0088780C">
        <w:rPr>
          <w:rFonts w:eastAsia="MS Mincho"/>
          <w:snapToGrid w:val="0"/>
          <w:kern w:val="22"/>
          <w:szCs w:val="22"/>
        </w:rPr>
        <w:t xml:space="preserve"> (ICEST 2011).</w:t>
      </w:r>
    </w:p>
    <w:p w14:paraId="17A7EE79" w14:textId="59DE1CFA"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 xml:space="preserve">Patimar, R. (2008). Some biological aspects of the Sharpnose mullet Liza saliens (Risso, 1810) in Gorgan Bay-Miankaleh Wildlife Refuge (the </w:t>
      </w:r>
      <w:r w:rsidR="00953367" w:rsidRPr="0088780C">
        <w:rPr>
          <w:snapToGrid w:val="0"/>
          <w:kern w:val="22"/>
          <w:szCs w:val="22"/>
          <w:shd w:val="clear" w:color="auto" w:fill="FFFFFF"/>
        </w:rPr>
        <w:t>south-east</w:t>
      </w:r>
      <w:r w:rsidRPr="0088780C">
        <w:rPr>
          <w:snapToGrid w:val="0"/>
          <w:kern w:val="22"/>
          <w:szCs w:val="22"/>
          <w:shd w:val="clear" w:color="auto" w:fill="FFFFFF"/>
        </w:rPr>
        <w:t xml:space="preserve"> Caspian Sea).</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Turkish Journal of Fisheries and Aquatic Sciences</w:t>
      </w:r>
      <w:r w:rsidRPr="0088780C">
        <w:rPr>
          <w:snapToGrid w:val="0"/>
          <w:kern w:val="22"/>
          <w:szCs w:val="22"/>
          <w:shd w:val="clear" w:color="auto" w:fill="FFFFFF"/>
        </w:rPr>
        <w:t>.</w:t>
      </w:r>
    </w:p>
    <w:p w14:paraId="2074649C"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Patimar, R., R., Abdoli, A., Hasanzade Kiabi, B., Allahyari, S. and Naderi Jelowdar, M. (2009a). Fish species diversity of the coastal areas in Gomishan wetland. J. Agric. Sci. Natur. Resour., Vol. 16 (Special issue 1-a).</w:t>
      </w:r>
    </w:p>
    <w:p w14:paraId="2C44878B" w14:textId="390A91F1"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Patimar, R., Yousefi, M., &amp; Hosieni, S. M. (2009b). Age, growth and reproduction of the sand smelt Atherina boyeri Risso, 1810 in the Gomishan wetland–</w:t>
      </w:r>
      <w:r w:rsidR="00953367" w:rsidRPr="0088780C">
        <w:rPr>
          <w:snapToGrid w:val="0"/>
          <w:kern w:val="22"/>
          <w:szCs w:val="22"/>
          <w:shd w:val="clear" w:color="auto" w:fill="FFFFFF"/>
        </w:rPr>
        <w:t>south-east</w:t>
      </w:r>
      <w:r w:rsidRPr="0088780C">
        <w:rPr>
          <w:snapToGrid w:val="0"/>
          <w:kern w:val="22"/>
          <w:szCs w:val="22"/>
          <w:shd w:val="clear" w:color="auto" w:fill="FFFFFF"/>
        </w:rPr>
        <w:t xml:space="preserve"> Caspian Sea.</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Estuarine, Coastal and Shelf Science</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81</w:t>
      </w:r>
      <w:r w:rsidRPr="0088780C">
        <w:rPr>
          <w:snapToGrid w:val="0"/>
          <w:kern w:val="22"/>
          <w:szCs w:val="22"/>
          <w:shd w:val="clear" w:color="auto" w:fill="FFFFFF"/>
        </w:rPr>
        <w:t>(4), 457-462.</w:t>
      </w:r>
    </w:p>
    <w:p w14:paraId="5C10B54A"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snapToGrid w:val="0"/>
          <w:kern w:val="22"/>
          <w:szCs w:val="22"/>
          <w:shd w:val="clear" w:color="auto" w:fill="FFFFFF"/>
        </w:rPr>
        <w:t>Pourkazemi, M. (2006). Caspian Sea sturgeon conservation and fisheries: past present and future.</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Journal of Applied Ichthyology</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22</w:t>
      </w:r>
      <w:r w:rsidRPr="0088780C">
        <w:rPr>
          <w:snapToGrid w:val="0"/>
          <w:kern w:val="22"/>
          <w:szCs w:val="22"/>
          <w:shd w:val="clear" w:color="auto" w:fill="FFFFFF"/>
        </w:rPr>
        <w:t>(s1), 12-16.</w:t>
      </w:r>
    </w:p>
    <w:p w14:paraId="0807B0E7"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Ramsar Convention Bureau (1997). Information Sheet on Ramsar Wetlands (RIS). Miankaleh Peninsula, Gorgan Bay and Lapoo-Zaghmarz Ab-bandan (</w:t>
      </w:r>
      <w:hyperlink r:id="rId281" w:history="1">
        <w:r w:rsidRPr="0088780C">
          <w:rPr>
            <w:rStyle w:val="Hyperlink"/>
            <w:rFonts w:eastAsia="MS Mincho"/>
            <w:snapToGrid w:val="0"/>
            <w:kern w:val="22"/>
            <w:szCs w:val="22"/>
          </w:rPr>
          <w:t>https://rsis.ramsar.org/ris/36</w:t>
        </w:r>
      </w:hyperlink>
      <w:r w:rsidRPr="0088780C">
        <w:rPr>
          <w:rFonts w:eastAsia="MS Mincho"/>
          <w:snapToGrid w:val="0"/>
          <w:kern w:val="22"/>
          <w:szCs w:val="22"/>
        </w:rPr>
        <w:t>).</w:t>
      </w:r>
    </w:p>
    <w:p w14:paraId="2A1A394E"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Ramsar Convention Bureau (2001). Information Sheet on Ramsar Wetlands (RIS). Gomishan Lagoon (</w:t>
      </w:r>
      <w:hyperlink r:id="rId282" w:history="1">
        <w:r w:rsidRPr="0088780C">
          <w:rPr>
            <w:rStyle w:val="Hyperlink"/>
            <w:rFonts w:eastAsia="MS Mincho"/>
            <w:snapToGrid w:val="0"/>
            <w:kern w:val="22"/>
            <w:szCs w:val="22"/>
          </w:rPr>
          <w:t>https://rsis.ramsar.org/ris/1109</w:t>
        </w:r>
      </w:hyperlink>
      <w:r w:rsidRPr="0088780C">
        <w:rPr>
          <w:rFonts w:eastAsia="MS Mincho"/>
          <w:snapToGrid w:val="0"/>
          <w:kern w:val="22"/>
          <w:szCs w:val="22"/>
        </w:rPr>
        <w:t>).</w:t>
      </w:r>
    </w:p>
    <w:p w14:paraId="4B151F55"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Razmjooy, S., Danehkar, A., Sharifipour, R. &amp; Nabavi, S. M. B. (2010). Evaluation of sensitiveness of Mazandaran coastline using IMO Method. 9</w:t>
      </w:r>
      <w:r w:rsidRPr="0088780C">
        <w:rPr>
          <w:rFonts w:eastAsia="MS Mincho"/>
          <w:snapToGrid w:val="0"/>
          <w:kern w:val="22"/>
          <w:szCs w:val="22"/>
          <w:vertAlign w:val="superscript"/>
        </w:rPr>
        <w:t>th</w:t>
      </w:r>
      <w:r w:rsidRPr="0088780C">
        <w:rPr>
          <w:rFonts w:eastAsia="MS Mincho"/>
          <w:snapToGrid w:val="0"/>
          <w:kern w:val="22"/>
          <w:szCs w:val="22"/>
        </w:rPr>
        <w:t xml:space="preserve"> International Conference on Coasts, Ports and Marine Structures (ICOMPAS 2010).</w:t>
      </w:r>
    </w:p>
    <w:p w14:paraId="045FC9FD"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Roohi, A., Kideys, A., Sajjadi, A., Hashemian, A., Pourgholam, R., Fazli, H., Ganjian Khanari, A. and Eker-Develi, E. (2010). Changes in biodiversity of phytoplankton, zooplankton, fishes and macrobenthos in the southern Caspian Sea after the invasion of the ctenophore Mnemiopsis leidyi. Biol. Invas., 12:2343-2361.</w:t>
      </w:r>
    </w:p>
    <w:p w14:paraId="69D494AC"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Rowshan Tabari, M. (2013). The zooplankton population structure and their trend of variations in the southern of Caspian Sea (Iranian waters) (Doctoral dissertation, Islamic Azad University, Science and Research Branch, Tehran).</w:t>
      </w:r>
    </w:p>
    <w:p w14:paraId="1B58794E"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Rustamov, E. A. (1994). The wintering waterfowl of Turkmenistan.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Wildfowl</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45</w:t>
      </w:r>
      <w:r w:rsidRPr="0088780C">
        <w:rPr>
          <w:snapToGrid w:val="0"/>
          <w:kern w:val="22"/>
          <w:szCs w:val="22"/>
          <w:shd w:val="clear" w:color="auto" w:fill="FFFFFF"/>
        </w:rPr>
        <w:t>(45), 242-247.</w:t>
      </w:r>
    </w:p>
    <w:p w14:paraId="2C32719D"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Saghali, M., Baqraf, R., Hosseini, S. A., &amp; Patimar, R. (2013). Benthic community structure in the Gorgan Bay (Southeast of the Caspian Sea, Iran): Correlation to water physiochemical factors and heavy metal concentration of sediment.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International Journal of Aquatic Biology</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1</w:t>
      </w:r>
      <w:r w:rsidRPr="0088780C">
        <w:rPr>
          <w:snapToGrid w:val="0"/>
          <w:kern w:val="22"/>
          <w:szCs w:val="22"/>
          <w:shd w:val="clear" w:color="auto" w:fill="FFFFFF"/>
        </w:rPr>
        <w:t>(5), 245-253.</w:t>
      </w:r>
    </w:p>
    <w:p w14:paraId="263D6A6E"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Scott, D.A. (ed.) (1995). A Directory of Wetlands in the Middle East. IUCN, Gland, Switzerland and IWRB, Slimbridge, United Kingdom.</w:t>
      </w:r>
    </w:p>
    <w:p w14:paraId="1D28C200"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Sharbaty, S. (2011). Two dimensional simulation of flow pattern in Gorgan Bay by using Mike21 software. Journal of Water and Soil Conservation, Vol. 18(4), 241-246.</w:t>
      </w:r>
    </w:p>
    <w:p w14:paraId="3FA72AC7"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Sharbaty, S. (2012). 3-D simulation flow pattern in the Gorgan Bay during summer. International Journal of Engineering Research and Applications (IJERA), 2(3)700-707.</w:t>
      </w:r>
    </w:p>
    <w:p w14:paraId="0B20F7A7" w14:textId="658D8C56"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 xml:space="preserve">Taheri, M., Foshtomi, M. Y., Noranian, M., &amp; Mira, S. S. (2012). Spatial distribution and biodiversity of macrofauna in the </w:t>
      </w:r>
      <w:r w:rsidR="00953367" w:rsidRPr="0088780C">
        <w:rPr>
          <w:snapToGrid w:val="0"/>
          <w:kern w:val="22"/>
          <w:szCs w:val="22"/>
          <w:shd w:val="clear" w:color="auto" w:fill="FFFFFF"/>
        </w:rPr>
        <w:t>south-east</w:t>
      </w:r>
      <w:r w:rsidRPr="0088780C">
        <w:rPr>
          <w:snapToGrid w:val="0"/>
          <w:kern w:val="22"/>
          <w:szCs w:val="22"/>
          <w:shd w:val="clear" w:color="auto" w:fill="FFFFFF"/>
        </w:rPr>
        <w:t xml:space="preserve"> of the Caspian Sea, Gorgan Bay in relation to environmental conditions.</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Ocean Science Journal</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47</w:t>
      </w:r>
      <w:r w:rsidRPr="0088780C">
        <w:rPr>
          <w:snapToGrid w:val="0"/>
          <w:kern w:val="22"/>
          <w:szCs w:val="22"/>
          <w:shd w:val="clear" w:color="auto" w:fill="FFFFFF"/>
        </w:rPr>
        <w:t>(2), 113-122.</w:t>
      </w:r>
    </w:p>
    <w:p w14:paraId="0AC96F9A"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 xml:space="preserve">Tavakoli, M., Bahmani, M. (2009). Stock Assessment of </w:t>
      </w:r>
      <w:r w:rsidRPr="0088780C">
        <w:rPr>
          <w:rFonts w:eastAsia="MS Mincho"/>
          <w:i/>
          <w:iCs/>
          <w:snapToGrid w:val="0"/>
          <w:kern w:val="22"/>
          <w:szCs w:val="22"/>
        </w:rPr>
        <w:t>Acipenser</w:t>
      </w:r>
      <w:r w:rsidRPr="0088780C">
        <w:rPr>
          <w:rFonts w:eastAsia="MS Mincho"/>
          <w:snapToGrid w:val="0"/>
          <w:kern w:val="22"/>
          <w:szCs w:val="22"/>
        </w:rPr>
        <w:t xml:space="preserve"> </w:t>
      </w:r>
      <w:r w:rsidRPr="0088780C">
        <w:rPr>
          <w:rFonts w:eastAsia="MS Mincho"/>
          <w:i/>
          <w:iCs/>
          <w:snapToGrid w:val="0"/>
          <w:kern w:val="22"/>
          <w:szCs w:val="22"/>
        </w:rPr>
        <w:t>persicus</w:t>
      </w:r>
      <w:r w:rsidRPr="0088780C">
        <w:rPr>
          <w:rFonts w:eastAsia="MS Mincho"/>
          <w:snapToGrid w:val="0"/>
          <w:kern w:val="22"/>
          <w:szCs w:val="22"/>
        </w:rPr>
        <w:t xml:space="preserve"> in the Iranian coastline of The southern Caspian Sea. Journal of Wetland Ecobiology (JWEB). I.A.U. Ahvaz/ Winter 2012/ Vol. 10 [in Persian language with English abstract].</w:t>
      </w:r>
    </w:p>
    <w:p w14:paraId="6CCB27AE"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UNECE (2011). Second Assessment of Transboundary Rivers, Lakes and Groundwaters, UNECE, Geneva, Switzerland.</w:t>
      </w:r>
    </w:p>
    <w:p w14:paraId="48BE3C04"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World Conservation Monitoring Centre (Eds.) (1990). Directory of Wetlands of International Importance. Sites Designated for the List of Wetlands of International Importance. Ramsar Convention Bureau, Gland, Switzerland. 782 pp.</w:t>
      </w:r>
    </w:p>
    <w:p w14:paraId="45113E65"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UNDP-GEF (2013). Conservation of Iranian Wetlands, Brief (June 2003).</w:t>
      </w:r>
    </w:p>
    <w:p w14:paraId="41937378"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UNEP (2006). Stolberg, F., Borysova, O., Mitrofanov, I., Barannik, V. and Eghtesadi, P. Caspian Sea, GIWA Regional assessment 23. University of Kalmar, Kalmar, Sweden.</w:t>
      </w:r>
    </w:p>
    <w:p w14:paraId="50C1A712"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UNEP-WCMC (2010). Review of four sturgeon species from the Caspian Sea basin. A Report to the European Commission. UNEP-WCMC, Cambridge.</w:t>
      </w:r>
    </w:p>
    <w:p w14:paraId="30334DA2"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 xml:space="preserve">UNESCO (2009). Hazar State Nature Reserve, UNESCO World Heritage Centre, Tentative Lists, </w:t>
      </w:r>
    </w:p>
    <w:p w14:paraId="3B360F80"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 xml:space="preserve">(Accessed at: </w:t>
      </w:r>
      <w:hyperlink r:id="rId283" w:history="1">
        <w:r w:rsidRPr="0088780C">
          <w:rPr>
            <w:rStyle w:val="Hyperlink"/>
            <w:rFonts w:eastAsia="MS Mincho"/>
            <w:snapToGrid w:val="0"/>
            <w:kern w:val="22"/>
            <w:szCs w:val="22"/>
          </w:rPr>
          <w:t>http://whc.unesco.org/en/tentativelists/5437/</w:t>
        </w:r>
      </w:hyperlink>
      <w:r w:rsidRPr="0088780C">
        <w:rPr>
          <w:rFonts w:eastAsia="MS Mincho"/>
          <w:snapToGrid w:val="0"/>
          <w:kern w:val="22"/>
          <w:szCs w:val="22"/>
        </w:rPr>
        <w:t xml:space="preserve"> on 14/04/2017).</w:t>
      </w:r>
    </w:p>
    <w:p w14:paraId="23FD7E90"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rPr>
      </w:pPr>
      <w:r w:rsidRPr="0088780C">
        <w:rPr>
          <w:snapToGrid w:val="0"/>
          <w:kern w:val="22"/>
          <w:szCs w:val="22"/>
        </w:rPr>
        <w:t>Vinarski, M. (2012) Turricaspia caspia. The IUCN Red List of Threatened Species 2012: e.T189493A1927211.</w:t>
      </w:r>
    </w:p>
    <w:p w14:paraId="4EED24B7"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Wilson S. &amp; Goodman, S.J. (2012). CaspEco project Component 1 - Seal Special Protected Area Scoping and Inception Plan, Final Report, May 2012. Caspian Environment Programme.</w:t>
      </w:r>
    </w:p>
    <w:p w14:paraId="7AA6687A"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Yazdandad, H. (2000). A study of interspecies changes of Coot, Fulica atra, with different ecological conditions in north Iran wetlands. M.Sc. Thesis, University of Tehran, p. 150.</w:t>
      </w:r>
    </w:p>
    <w:p w14:paraId="5D031504"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Zonn, I. S. &amp; Kostianoy, A. G. (Eds.). (2013). The Turkmen Lake Altyn Asyr and Water Resources in Turkmenistan (Vol. 28). Springer.</w:t>
      </w:r>
    </w:p>
    <w:p w14:paraId="5A4A2EAA"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Zonn, I. S., Kosarev, A. N., Glantz, M. H., &amp; Kostianoy, A. G. (2010).</w:t>
      </w:r>
      <w:r w:rsidRPr="0088780C">
        <w:rPr>
          <w:rStyle w:val="apple-converted-space"/>
          <w:snapToGrid w:val="0"/>
          <w:kern w:val="22"/>
          <w:szCs w:val="22"/>
          <w:shd w:val="clear" w:color="auto" w:fill="FFFFFF"/>
        </w:rPr>
        <w:t> </w:t>
      </w:r>
      <w:r w:rsidRPr="0088780C">
        <w:rPr>
          <w:snapToGrid w:val="0"/>
          <w:kern w:val="22"/>
          <w:szCs w:val="22"/>
          <w:shd w:val="clear" w:color="auto" w:fill="FFFFFF"/>
        </w:rPr>
        <w:t>The Caspian Sea Encyclopedia. Springer.</w:t>
      </w:r>
    </w:p>
    <w:p w14:paraId="6AED2565" w14:textId="77777777" w:rsidR="00A876F3" w:rsidRPr="0088780C" w:rsidRDefault="00A876F3" w:rsidP="00E91FAE">
      <w:pPr>
        <w:suppressLineNumbers/>
        <w:tabs>
          <w:tab w:val="left" w:pos="2127"/>
        </w:tabs>
        <w:suppressAutoHyphens/>
        <w:kinsoku w:val="0"/>
        <w:overflowPunct w:val="0"/>
        <w:autoSpaceDN w:val="0"/>
        <w:adjustRightInd w:val="0"/>
        <w:snapToGrid w:val="0"/>
        <w:spacing w:after="60"/>
        <w:ind w:left="720" w:hanging="720"/>
        <w:rPr>
          <w:rFonts w:eastAsia="MyriadPro-BoldCond"/>
          <w:snapToGrid w:val="0"/>
          <w:kern w:val="22"/>
          <w:szCs w:val="22"/>
          <w:lang w:val="ru-RU"/>
        </w:rPr>
      </w:pPr>
      <w:r w:rsidRPr="0088780C">
        <w:rPr>
          <w:rFonts w:eastAsia="MyriadPro-BoldCond"/>
          <w:snapToGrid w:val="0"/>
          <w:kern w:val="22"/>
          <w:szCs w:val="22"/>
          <w:lang w:val="ru-RU"/>
        </w:rPr>
        <w:t>Васильев В. И., Рустамов Э. А., Караваев А. А., Гаузер М. Е., Белоусова А. В., Милютина М. Л. (2008). Динамка численности водоплавающих птиц в Хазарском (Красноводском) заповеднике и на сопредельных участках Восточного Каспия (по учетам 1971-2005 гг.). // Актуальные вопр. в области охр. природной среды. Инф. сборник ФГУ ВНИИ Природы. М. С.80-93.</w:t>
      </w:r>
    </w:p>
    <w:p w14:paraId="26C07447"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yriadPro-BoldCond"/>
          <w:snapToGrid w:val="0"/>
          <w:kern w:val="22"/>
          <w:szCs w:val="22"/>
          <w:lang w:val="ru-RU"/>
        </w:rPr>
      </w:pPr>
      <w:r w:rsidRPr="0088780C">
        <w:rPr>
          <w:rFonts w:eastAsia="MyriadPro-BoldCond"/>
          <w:snapToGrid w:val="0"/>
          <w:kern w:val="22"/>
          <w:szCs w:val="22"/>
          <w:lang w:val="ru-RU"/>
        </w:rPr>
        <w:t>Васильев В. И., Рустамов Э. А., Гаузер М. Е. (2009). Мониторинг численности водоплавающих птиц на туркменском побережье Каспийского моря в осенне-зимний период (1971-2005 гг.) Мониторинг численности водоплавающих птиц на туркменском побережье Каспийского моря в осенне-зимний период (1971-2005 гг.). М., 69 с.</w:t>
      </w:r>
    </w:p>
    <w:p w14:paraId="40398084"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yriadPro-Cond"/>
          <w:snapToGrid w:val="0"/>
          <w:kern w:val="22"/>
          <w:szCs w:val="22"/>
          <w:lang w:val="ru-RU"/>
        </w:rPr>
      </w:pPr>
      <w:r w:rsidRPr="0088780C">
        <w:rPr>
          <w:rFonts w:eastAsia="MyriadPro-BoldCond"/>
          <w:snapToGrid w:val="0"/>
          <w:kern w:val="22"/>
          <w:szCs w:val="22"/>
          <w:lang w:val="ru-RU"/>
        </w:rPr>
        <w:t>Караваев А. А. (1988)</w:t>
      </w:r>
      <w:r w:rsidRPr="0088780C">
        <w:rPr>
          <w:rFonts w:eastAsia="MyriadPro-Cond"/>
          <w:snapToGrid w:val="0"/>
          <w:kern w:val="22"/>
          <w:szCs w:val="22"/>
          <w:lang w:val="ru-RU"/>
        </w:rPr>
        <w:t>. Многолетние изменения в населении водоплавающих птиц низовьев реки Атрек и мелководий Юго-Восточного Каспия // Бюлл. МОИП., отд. биол. – Т.93. – №1. – С.52-61.</w:t>
      </w:r>
    </w:p>
    <w:p w14:paraId="79040EAF"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yriadPro-Cond"/>
          <w:snapToGrid w:val="0"/>
          <w:kern w:val="22"/>
          <w:szCs w:val="22"/>
          <w:lang w:val="ru-RU"/>
        </w:rPr>
      </w:pPr>
      <w:r w:rsidRPr="0088780C">
        <w:rPr>
          <w:rFonts w:eastAsia="MyriadPro-BoldCond"/>
          <w:snapToGrid w:val="0"/>
          <w:kern w:val="22"/>
          <w:szCs w:val="22"/>
          <w:lang w:val="ru-RU"/>
        </w:rPr>
        <w:t>Караваев А. А. (1991а)</w:t>
      </w:r>
      <w:r w:rsidRPr="0088780C">
        <w:rPr>
          <w:rFonts w:eastAsia="MyriadPro-Cond"/>
          <w:snapToGrid w:val="0"/>
          <w:kern w:val="22"/>
          <w:szCs w:val="22"/>
          <w:lang w:val="ru-RU"/>
        </w:rPr>
        <w:t>. Условия обитания водно-болотных птиц в Юго-Восточном Прикаспии // Природная среда и животный мир Юго- Восточного Прикаспия / Тр. Красноводского гос. зап. – Вып.2. – М. – С.4- 36.</w:t>
      </w:r>
    </w:p>
    <w:p w14:paraId="2BB43B66"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yriadPro-Cond"/>
          <w:snapToGrid w:val="0"/>
          <w:kern w:val="22"/>
          <w:szCs w:val="22"/>
          <w:lang w:val="ru-RU"/>
        </w:rPr>
      </w:pPr>
      <w:r w:rsidRPr="0088780C">
        <w:rPr>
          <w:rFonts w:eastAsia="MyriadPro-BoldCond"/>
          <w:snapToGrid w:val="0"/>
          <w:kern w:val="22"/>
          <w:szCs w:val="22"/>
          <w:lang w:val="ru-RU"/>
        </w:rPr>
        <w:t>Караваев А. А. (1991b)</w:t>
      </w:r>
      <w:r w:rsidRPr="0088780C">
        <w:rPr>
          <w:rFonts w:eastAsia="MyriadPro-Cond"/>
          <w:snapToGrid w:val="0"/>
          <w:kern w:val="22"/>
          <w:szCs w:val="22"/>
          <w:lang w:val="ru-RU"/>
        </w:rPr>
        <w:t>. Численность и размещение водно-болотных птиц в Юго-Восточном Прикаспии (поганки, веслоногие, голенастые,</w:t>
      </w:r>
    </w:p>
    <w:p w14:paraId="3C577A38"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yriadPro-Cond"/>
          <w:snapToGrid w:val="0"/>
          <w:kern w:val="22"/>
          <w:szCs w:val="22"/>
          <w:lang w:val="ru-RU"/>
        </w:rPr>
      </w:pPr>
      <w:r w:rsidRPr="0088780C">
        <w:rPr>
          <w:rFonts w:eastAsia="MyriadPro-Cond"/>
          <w:snapToGrid w:val="0"/>
          <w:kern w:val="22"/>
          <w:szCs w:val="22"/>
          <w:lang w:val="ru-RU"/>
        </w:rPr>
        <w:t>пластинчатоклювые) // Природная среда и животный мир Юго- Восточного Прикаспия. / Тр. Красноводского гос. зап. – Вып.2. – М. – С.37-143.</w:t>
      </w:r>
    </w:p>
    <w:p w14:paraId="02F878BC"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rFonts w:eastAsia="MyriadPro-Cond"/>
          <w:snapToGrid w:val="0"/>
          <w:kern w:val="22"/>
          <w:szCs w:val="22"/>
          <w:lang w:val="ru-RU"/>
        </w:rPr>
      </w:pPr>
      <w:r w:rsidRPr="0088780C">
        <w:rPr>
          <w:rFonts w:eastAsia="MyriadPro-BoldCond"/>
          <w:snapToGrid w:val="0"/>
          <w:kern w:val="22"/>
          <w:szCs w:val="22"/>
          <w:lang w:val="ru-RU"/>
        </w:rPr>
        <w:t>Рустамов Э. А., Уэлш Дж., Бромбахер М. (ред.). (2009)</w:t>
      </w:r>
      <w:r w:rsidRPr="0088780C">
        <w:rPr>
          <w:rFonts w:eastAsia="MyriadPro-Cond"/>
          <w:snapToGrid w:val="0"/>
          <w:kern w:val="22"/>
          <w:szCs w:val="22"/>
          <w:lang w:val="ru-RU"/>
        </w:rPr>
        <w:t>. Ключевые орнитологические территории Туркменистана. – Ашхабад: МОП. – 198 с.</w:t>
      </w:r>
    </w:p>
    <w:p w14:paraId="113C753A" w14:textId="77777777" w:rsidR="00A876F3" w:rsidRPr="0088780C" w:rsidRDefault="00A876F3" w:rsidP="00E91FAE">
      <w:pPr>
        <w:suppressLineNumbers/>
        <w:suppressAutoHyphens/>
        <w:kinsoku w:val="0"/>
        <w:overflowPunct w:val="0"/>
        <w:autoSpaceDN w:val="0"/>
        <w:adjustRightInd w:val="0"/>
        <w:snapToGrid w:val="0"/>
        <w:spacing w:after="60"/>
        <w:ind w:left="720" w:hanging="720"/>
        <w:rPr>
          <w:snapToGrid w:val="0"/>
          <w:kern w:val="22"/>
          <w:szCs w:val="22"/>
          <w:shd w:val="clear" w:color="auto" w:fill="FFFFFF"/>
        </w:rPr>
      </w:pPr>
    </w:p>
    <w:p w14:paraId="5769FD00" w14:textId="77777777" w:rsidR="00A876F3" w:rsidRPr="0088780C" w:rsidRDefault="00E7219D" w:rsidP="00E91FAE">
      <w:pPr>
        <w:suppressLineNumbers/>
        <w:suppressAutoHyphens/>
        <w:kinsoku w:val="0"/>
        <w:overflowPunct w:val="0"/>
        <w:autoSpaceDN w:val="0"/>
        <w:adjustRightInd w:val="0"/>
        <w:snapToGrid w:val="0"/>
        <w:spacing w:after="60"/>
        <w:ind w:left="720" w:hanging="720"/>
        <w:rPr>
          <w:rStyle w:val="Hyperlink"/>
          <w:rFonts w:eastAsia="MS Mincho"/>
          <w:iCs/>
          <w:snapToGrid w:val="0"/>
          <w:kern w:val="22"/>
          <w:szCs w:val="22"/>
        </w:rPr>
      </w:pPr>
      <w:hyperlink r:id="rId284" w:history="1">
        <w:r w:rsidR="00A876F3" w:rsidRPr="0088780C">
          <w:rPr>
            <w:rStyle w:val="Hyperlink"/>
            <w:rFonts w:eastAsia="MS Mincho"/>
            <w:iCs/>
            <w:snapToGrid w:val="0"/>
            <w:kern w:val="22"/>
            <w:szCs w:val="22"/>
          </w:rPr>
          <w:t>https://populationexplorer.com</w:t>
        </w:r>
      </w:hyperlink>
    </w:p>
    <w:p w14:paraId="181BCC0F" w14:textId="77777777" w:rsidR="00A876F3" w:rsidRPr="0088780C" w:rsidRDefault="00A876F3" w:rsidP="001013AF">
      <w:pPr>
        <w:suppressLineNumbers/>
        <w:suppressAutoHyphens/>
        <w:kinsoku w:val="0"/>
        <w:overflowPunct w:val="0"/>
        <w:autoSpaceDE w:val="0"/>
        <w:autoSpaceDN w:val="0"/>
        <w:rPr>
          <w:rStyle w:val="Hyperlink"/>
          <w:rFonts w:eastAsia="MS Mincho"/>
          <w:iCs/>
          <w:snapToGrid w:val="0"/>
          <w:color w:val="auto"/>
          <w:kern w:val="22"/>
          <w:szCs w:val="22"/>
          <w:u w:val="none"/>
        </w:rPr>
      </w:pPr>
    </w:p>
    <w:p w14:paraId="7D7013DE" w14:textId="77777777" w:rsidR="00A876F3" w:rsidRPr="0088780C" w:rsidRDefault="00A876F3" w:rsidP="001013AF">
      <w:pPr>
        <w:suppressLineNumbers/>
        <w:suppressAutoHyphens/>
        <w:kinsoku w:val="0"/>
        <w:overflowPunct w:val="0"/>
        <w:autoSpaceDE w:val="0"/>
        <w:autoSpaceDN w:val="0"/>
        <w:rPr>
          <w:rStyle w:val="Hyperlink"/>
          <w:rFonts w:eastAsia="MS Mincho"/>
          <w:iCs/>
          <w:snapToGrid w:val="0"/>
          <w:color w:val="auto"/>
          <w:kern w:val="22"/>
          <w:szCs w:val="22"/>
          <w:u w:val="none"/>
        </w:rPr>
      </w:pPr>
      <w:r w:rsidRPr="0088780C">
        <w:rPr>
          <w:rStyle w:val="Hyperlink"/>
          <w:rFonts w:eastAsia="MS Mincho"/>
          <w:iCs/>
          <w:snapToGrid w:val="0"/>
          <w:color w:val="auto"/>
          <w:kern w:val="22"/>
          <w:szCs w:val="22"/>
          <w:u w:val="none"/>
        </w:rPr>
        <w:br w:type="page"/>
      </w:r>
    </w:p>
    <w:p w14:paraId="4FB7233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3FCF8AB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80A5B9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0695F8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6E01EAB4" wp14:editId="5A95DDC5">
            <wp:extent cx="5486400" cy="4572000"/>
            <wp:effectExtent l="0" t="0" r="0" b="0"/>
            <wp:docPr id="13315" name="Picture 13315" descr="C:\Users\grekin\AppData\Local\Microsoft\Windows\Temporary Internet Files\Content.Word\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grekin\AppData\Local\Microsoft\Windows\Temporary Internet Files\Content.Word\25.png"/>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4583123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p>
    <w:p w14:paraId="7E471EC5"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9745E23" w14:textId="683DC1FB" w:rsidR="00EB7F74" w:rsidRPr="0088780C" w:rsidRDefault="00EB7F74">
      <w:pPr>
        <w:jc w:val="left"/>
        <w:rPr>
          <w:rFonts w:eastAsia="MS Mincho"/>
          <w:bCs/>
          <w:snapToGrid w:val="0"/>
          <w:kern w:val="22"/>
          <w:szCs w:val="22"/>
        </w:rPr>
      </w:pPr>
      <w:r w:rsidRPr="0088780C">
        <w:rPr>
          <w:rFonts w:eastAsia="MS Mincho"/>
          <w:bCs/>
          <w:snapToGrid w:val="0"/>
          <w:kern w:val="22"/>
          <w:szCs w:val="22"/>
        </w:rPr>
        <w:br w:type="page"/>
      </w:r>
    </w:p>
    <w:p w14:paraId="2447AC27"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504C0DDA"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noProof/>
          <w:snapToGrid w:val="0"/>
          <w:kern w:val="22"/>
          <w:szCs w:val="22"/>
          <w:lang w:eastAsia="zh-CN"/>
        </w:rPr>
        <w:drawing>
          <wp:inline distT="0" distB="0" distL="0" distR="0" wp14:anchorId="4269BB70" wp14:editId="6D488E9A">
            <wp:extent cx="5514975" cy="3676650"/>
            <wp:effectExtent l="0" t="0" r="9525" b="0"/>
            <wp:docPr id="15" name="Picture 16"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5514975" cy="3676650"/>
                    </a:xfrm>
                    <a:prstGeom prst="rect">
                      <a:avLst/>
                    </a:prstGeom>
                    <a:noFill/>
                    <a:ln>
                      <a:noFill/>
                    </a:ln>
                  </pic:spPr>
                </pic:pic>
              </a:graphicData>
            </a:graphic>
          </wp:inline>
        </w:drawing>
      </w:r>
    </w:p>
    <w:p w14:paraId="10BC3353" w14:textId="77777777" w:rsidR="00A876F3" w:rsidRPr="0088780C" w:rsidRDefault="00A876F3" w:rsidP="001013AF">
      <w:pPr>
        <w:suppressLineNumbers/>
        <w:suppressAutoHyphens/>
        <w:kinsoku w:val="0"/>
        <w:overflowPunct w:val="0"/>
        <w:autoSpaceDE w:val="0"/>
        <w:autoSpaceDN w:val="0"/>
        <w:rPr>
          <w:rFonts w:eastAsia="MS Mincho"/>
          <w:b/>
          <w:bCs/>
          <w:snapToGrid w:val="0"/>
          <w:kern w:val="22"/>
          <w:szCs w:val="22"/>
        </w:rPr>
      </w:pPr>
      <w:r w:rsidRPr="0088780C">
        <w:rPr>
          <w:rFonts w:eastAsia="MS Mincho"/>
          <w:b/>
          <w:bCs/>
          <w:snapToGrid w:val="0"/>
          <w:kern w:val="22"/>
          <w:szCs w:val="22"/>
        </w:rPr>
        <w:t>Figure 2. Shallow coastal waters near Esenguly; with Mount Alborz (Elburz) in the background (Photo: Eldar Rustamov)</w:t>
      </w:r>
    </w:p>
    <w:p w14:paraId="1F09A370"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FCFC093"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noProof/>
          <w:snapToGrid w:val="0"/>
          <w:kern w:val="22"/>
          <w:szCs w:val="22"/>
          <w:lang w:eastAsia="zh-CN"/>
        </w:rPr>
        <w:drawing>
          <wp:inline distT="0" distB="0" distL="0" distR="0" wp14:anchorId="13939EC3" wp14:editId="213E5936">
            <wp:extent cx="5743575" cy="3267075"/>
            <wp:effectExtent l="0" t="0" r="9525" b="9525"/>
            <wp:docPr id="12" name="Picture 17" descr="IMG_253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2531b"/>
                    <pic:cNvPicPr>
                      <a:picLocks noChangeAspect="1" noChangeArrowheads="1"/>
                    </pic:cNvPicPr>
                  </pic:nvPicPr>
                  <pic:blipFill>
                    <a:blip r:embed="rId287">
                      <a:extLst>
                        <a:ext uri="{28A0092B-C50C-407E-A947-70E740481C1C}">
                          <a14:useLocalDpi xmlns:a14="http://schemas.microsoft.com/office/drawing/2010/main" val="0"/>
                        </a:ext>
                      </a:extLst>
                    </a:blip>
                    <a:srcRect t="3084"/>
                    <a:stretch>
                      <a:fillRect/>
                    </a:stretch>
                  </pic:blipFill>
                  <pic:spPr bwMode="auto">
                    <a:xfrm>
                      <a:off x="0" y="0"/>
                      <a:ext cx="5743575" cy="3267075"/>
                    </a:xfrm>
                    <a:prstGeom prst="rect">
                      <a:avLst/>
                    </a:prstGeom>
                    <a:noFill/>
                    <a:ln>
                      <a:noFill/>
                    </a:ln>
                  </pic:spPr>
                </pic:pic>
              </a:graphicData>
            </a:graphic>
          </wp:inline>
        </w:drawing>
      </w:r>
    </w:p>
    <w:p w14:paraId="701BACC7" w14:textId="77777777" w:rsidR="00A876F3" w:rsidRPr="0088780C" w:rsidRDefault="00A876F3" w:rsidP="001013AF">
      <w:pPr>
        <w:suppressLineNumbers/>
        <w:suppressAutoHyphens/>
        <w:kinsoku w:val="0"/>
        <w:overflowPunct w:val="0"/>
        <w:autoSpaceDE w:val="0"/>
        <w:autoSpaceDN w:val="0"/>
        <w:rPr>
          <w:rFonts w:eastAsia="MS Mincho"/>
          <w:b/>
          <w:bCs/>
          <w:snapToGrid w:val="0"/>
          <w:kern w:val="22"/>
          <w:szCs w:val="22"/>
        </w:rPr>
      </w:pPr>
      <w:r w:rsidRPr="0088780C">
        <w:rPr>
          <w:rFonts w:eastAsia="MS Mincho"/>
          <w:b/>
          <w:bCs/>
          <w:snapToGrid w:val="0"/>
          <w:kern w:val="22"/>
          <w:szCs w:val="22"/>
        </w:rPr>
        <w:t>Figure 3. Extensive muddy flats of the northern Gomishan Lagoon (Photo: Koosha Dab)</w:t>
      </w:r>
    </w:p>
    <w:p w14:paraId="70C04547"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1B2E9FB8" w14:textId="6CA41235" w:rsidR="00EB7F74" w:rsidRPr="0088780C" w:rsidRDefault="00EB7F74">
      <w:pPr>
        <w:jc w:val="left"/>
        <w:rPr>
          <w:rFonts w:eastAsia="MS Mincho"/>
          <w:bCs/>
          <w:snapToGrid w:val="0"/>
          <w:kern w:val="22"/>
          <w:szCs w:val="22"/>
        </w:rPr>
      </w:pPr>
      <w:r w:rsidRPr="0088780C">
        <w:rPr>
          <w:rFonts w:eastAsia="MS Mincho"/>
          <w:bCs/>
          <w:snapToGrid w:val="0"/>
          <w:kern w:val="22"/>
          <w:szCs w:val="22"/>
        </w:rPr>
        <w:br w:type="page"/>
      </w:r>
    </w:p>
    <w:p w14:paraId="6D5B6460"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66B2111C"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noProof/>
          <w:snapToGrid w:val="0"/>
          <w:kern w:val="22"/>
          <w:szCs w:val="22"/>
          <w:lang w:eastAsia="zh-CN"/>
        </w:rPr>
        <w:drawing>
          <wp:inline distT="0" distB="0" distL="0" distR="0" wp14:anchorId="6FF13332" wp14:editId="1346096A">
            <wp:extent cx="5753735" cy="3260725"/>
            <wp:effectExtent l="0" t="0" r="0" b="0"/>
            <wp:docPr id="64520" name="Picture 64520" descr="20170313_123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170313_123139"/>
                    <pic:cNvPicPr>
                      <a:picLocks noChangeAspect="1" noChangeArrowheads="1"/>
                    </pic:cNvPicPr>
                  </pic:nvPicPr>
                  <pic:blipFill>
                    <a:blip r:embed="rId288">
                      <a:extLst>
                        <a:ext uri="{28A0092B-C50C-407E-A947-70E740481C1C}">
                          <a14:useLocalDpi xmlns:a14="http://schemas.microsoft.com/office/drawing/2010/main" val="0"/>
                        </a:ext>
                      </a:extLst>
                    </a:blip>
                    <a:srcRect t="-1064"/>
                    <a:stretch>
                      <a:fillRect/>
                    </a:stretch>
                  </pic:blipFill>
                  <pic:spPr bwMode="auto">
                    <a:xfrm>
                      <a:off x="0" y="0"/>
                      <a:ext cx="5753735" cy="3260725"/>
                    </a:xfrm>
                    <a:prstGeom prst="rect">
                      <a:avLst/>
                    </a:prstGeom>
                    <a:noFill/>
                    <a:ln>
                      <a:noFill/>
                    </a:ln>
                  </pic:spPr>
                </pic:pic>
              </a:graphicData>
            </a:graphic>
          </wp:inline>
        </w:drawing>
      </w:r>
    </w:p>
    <w:p w14:paraId="58475303" w14:textId="77777777" w:rsidR="00A876F3" w:rsidRPr="0088780C" w:rsidRDefault="00A876F3" w:rsidP="001013AF">
      <w:pPr>
        <w:suppressLineNumbers/>
        <w:suppressAutoHyphens/>
        <w:kinsoku w:val="0"/>
        <w:overflowPunct w:val="0"/>
        <w:autoSpaceDE w:val="0"/>
        <w:autoSpaceDN w:val="0"/>
        <w:rPr>
          <w:rFonts w:eastAsia="MS Mincho"/>
          <w:b/>
          <w:bCs/>
          <w:snapToGrid w:val="0"/>
          <w:kern w:val="22"/>
          <w:szCs w:val="22"/>
        </w:rPr>
      </w:pPr>
      <w:r w:rsidRPr="0088780C">
        <w:rPr>
          <w:rFonts w:eastAsia="MS Mincho"/>
          <w:b/>
          <w:bCs/>
          <w:snapToGrid w:val="0"/>
          <w:kern w:val="22"/>
          <w:szCs w:val="22"/>
        </w:rPr>
        <w:t>Figure 4. Extensive marshy beds of Gomishan Lagoon (Photo: Koosha Dab)</w:t>
      </w:r>
    </w:p>
    <w:p w14:paraId="43486CE3"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C860F4A"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noProof/>
          <w:snapToGrid w:val="0"/>
          <w:kern w:val="22"/>
          <w:szCs w:val="22"/>
          <w:lang w:eastAsia="zh-CN"/>
        </w:rPr>
        <w:drawing>
          <wp:inline distT="0" distB="0" distL="0" distR="0" wp14:anchorId="00E3F1EA" wp14:editId="43C45FA5">
            <wp:extent cx="5750410" cy="4349606"/>
            <wp:effectExtent l="0" t="0" r="3175" b="0"/>
            <wp:docPr id="64521" name="Picture 64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643b.JPG"/>
                    <pic:cNvPicPr/>
                  </pic:nvPicPr>
                  <pic:blipFill rotWithShape="1">
                    <a:blip r:embed="rId289">
                      <a:extLst>
                        <a:ext uri="{28A0092B-C50C-407E-A947-70E740481C1C}">
                          <a14:useLocalDpi xmlns:a14="http://schemas.microsoft.com/office/drawing/2010/main" val="0"/>
                        </a:ext>
                      </a:extLst>
                    </a:blip>
                    <a:srcRect t="-800"/>
                    <a:stretch/>
                  </pic:blipFill>
                  <pic:spPr bwMode="auto">
                    <a:xfrm>
                      <a:off x="0" y="0"/>
                      <a:ext cx="5750410" cy="4349606"/>
                    </a:xfrm>
                    <a:prstGeom prst="rect">
                      <a:avLst/>
                    </a:prstGeom>
                    <a:ln>
                      <a:noFill/>
                    </a:ln>
                    <a:extLst>
                      <a:ext uri="{53640926-AAD7-44D8-BBD7-CCE9431645EC}">
                        <a14:shadowObscured xmlns:a14="http://schemas.microsoft.com/office/drawing/2010/main"/>
                      </a:ext>
                    </a:extLst>
                  </pic:spPr>
                </pic:pic>
              </a:graphicData>
            </a:graphic>
          </wp:inline>
        </w:drawing>
      </w:r>
    </w:p>
    <w:p w14:paraId="4E056705" w14:textId="77777777" w:rsidR="00A876F3" w:rsidRPr="0088780C" w:rsidRDefault="00A876F3" w:rsidP="001013AF">
      <w:pPr>
        <w:suppressLineNumbers/>
        <w:suppressAutoHyphens/>
        <w:kinsoku w:val="0"/>
        <w:overflowPunct w:val="0"/>
        <w:autoSpaceDE w:val="0"/>
        <w:autoSpaceDN w:val="0"/>
        <w:rPr>
          <w:rFonts w:eastAsia="MS Mincho"/>
          <w:b/>
          <w:bCs/>
          <w:snapToGrid w:val="0"/>
          <w:kern w:val="22"/>
          <w:szCs w:val="22"/>
        </w:rPr>
      </w:pPr>
      <w:r w:rsidRPr="0088780C">
        <w:rPr>
          <w:rFonts w:eastAsia="MS Mincho"/>
          <w:b/>
          <w:bCs/>
          <w:snapToGrid w:val="0"/>
          <w:kern w:val="22"/>
          <w:szCs w:val="22"/>
        </w:rPr>
        <w:t>Figure 5. Inundated reedbeds of Gomishan lagoons (Photo: Koosha Dab)</w:t>
      </w:r>
    </w:p>
    <w:p w14:paraId="404DFC30" w14:textId="6626B115" w:rsidR="00EB7F74" w:rsidRPr="0088780C" w:rsidRDefault="00EB7F74">
      <w:pPr>
        <w:jc w:val="left"/>
        <w:rPr>
          <w:rFonts w:eastAsia="MS Mincho"/>
          <w:bCs/>
          <w:snapToGrid w:val="0"/>
          <w:kern w:val="22"/>
          <w:szCs w:val="22"/>
        </w:rPr>
      </w:pPr>
      <w:r w:rsidRPr="0088780C">
        <w:rPr>
          <w:rFonts w:eastAsia="MS Mincho"/>
          <w:bCs/>
          <w:snapToGrid w:val="0"/>
          <w:kern w:val="22"/>
          <w:szCs w:val="22"/>
        </w:rPr>
        <w:br w:type="page"/>
      </w:r>
    </w:p>
    <w:p w14:paraId="7564565B"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AD0A15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0C97F24"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noProof/>
          <w:snapToGrid w:val="0"/>
          <w:kern w:val="22"/>
          <w:szCs w:val="22"/>
          <w:lang w:eastAsia="zh-CN"/>
        </w:rPr>
        <w:drawing>
          <wp:inline distT="0" distB="0" distL="0" distR="0" wp14:anchorId="5F961B47" wp14:editId="1CA14C09">
            <wp:extent cx="5753735" cy="3001777"/>
            <wp:effectExtent l="0" t="0" r="0" b="8255"/>
            <wp:docPr id="64522" name="Picture 64522" descr="C:\Users\Koosha\AppData\Local\Microsoft\Windows\INetCache\Content.Word\20170313_16265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oosha\AppData\Local\Microsoft\Windows\INetCache\Content.Word\20170313_162654c.jpg"/>
                    <pic:cNvPicPr>
                      <a:picLocks noChangeAspect="1" noChangeArrowheads="1"/>
                    </pic:cNvPicPr>
                  </pic:nvPicPr>
                  <pic:blipFill rotWithShape="1">
                    <a:blip r:embed="rId290">
                      <a:extLst>
                        <a:ext uri="{28A0092B-C50C-407E-A947-70E740481C1C}">
                          <a14:useLocalDpi xmlns:a14="http://schemas.microsoft.com/office/drawing/2010/main" val="0"/>
                        </a:ext>
                      </a:extLst>
                    </a:blip>
                    <a:srcRect t="7201"/>
                    <a:stretch/>
                  </pic:blipFill>
                  <pic:spPr bwMode="auto">
                    <a:xfrm>
                      <a:off x="0" y="0"/>
                      <a:ext cx="5753735" cy="3001777"/>
                    </a:xfrm>
                    <a:prstGeom prst="rect">
                      <a:avLst/>
                    </a:prstGeom>
                    <a:noFill/>
                    <a:ln>
                      <a:noFill/>
                    </a:ln>
                    <a:extLst>
                      <a:ext uri="{53640926-AAD7-44D8-BBD7-CCE9431645EC}">
                        <a14:shadowObscured xmlns:a14="http://schemas.microsoft.com/office/drawing/2010/main"/>
                      </a:ext>
                    </a:extLst>
                  </pic:spPr>
                </pic:pic>
              </a:graphicData>
            </a:graphic>
          </wp:inline>
        </w:drawing>
      </w:r>
    </w:p>
    <w:p w14:paraId="4D1F2BF8" w14:textId="77777777" w:rsidR="00A876F3" w:rsidRPr="0088780C" w:rsidRDefault="00A876F3" w:rsidP="001013AF">
      <w:pPr>
        <w:suppressLineNumbers/>
        <w:suppressAutoHyphens/>
        <w:kinsoku w:val="0"/>
        <w:overflowPunct w:val="0"/>
        <w:autoSpaceDE w:val="0"/>
        <w:autoSpaceDN w:val="0"/>
        <w:rPr>
          <w:rFonts w:eastAsia="MS Mincho"/>
          <w:b/>
          <w:bCs/>
          <w:snapToGrid w:val="0"/>
          <w:kern w:val="22"/>
          <w:szCs w:val="22"/>
        </w:rPr>
      </w:pPr>
      <w:r w:rsidRPr="0088780C">
        <w:rPr>
          <w:rFonts w:eastAsia="MS Mincho"/>
          <w:b/>
          <w:bCs/>
          <w:snapToGrid w:val="0"/>
          <w:kern w:val="22"/>
          <w:szCs w:val="22"/>
        </w:rPr>
        <w:t>Figure 6. Shallow muddy shores of Gomishan wetland with very gentle slope (Photo: Koosha Dab)</w:t>
      </w:r>
    </w:p>
    <w:p w14:paraId="3FE6A329"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E0E2793"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5010F769"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noProof/>
          <w:snapToGrid w:val="0"/>
          <w:kern w:val="22"/>
          <w:szCs w:val="22"/>
          <w:lang w:eastAsia="zh-CN"/>
        </w:rPr>
        <w:drawing>
          <wp:inline distT="0" distB="0" distL="0" distR="0" wp14:anchorId="72EEB58E" wp14:editId="4AB802F2">
            <wp:extent cx="5751576" cy="3358920"/>
            <wp:effectExtent l="0" t="0" r="1905" b="0"/>
            <wp:docPr id="64524" name="Picture 64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823b.JPG"/>
                    <pic:cNvPicPr/>
                  </pic:nvPicPr>
                  <pic:blipFill>
                    <a:blip r:embed="rId291">
                      <a:extLst>
                        <a:ext uri="{28A0092B-C50C-407E-A947-70E740481C1C}">
                          <a14:useLocalDpi xmlns:a14="http://schemas.microsoft.com/office/drawing/2010/main" val="0"/>
                        </a:ext>
                      </a:extLst>
                    </a:blip>
                    <a:stretch>
                      <a:fillRect/>
                    </a:stretch>
                  </pic:blipFill>
                  <pic:spPr>
                    <a:xfrm>
                      <a:off x="0" y="0"/>
                      <a:ext cx="5751576" cy="3358920"/>
                    </a:xfrm>
                    <a:prstGeom prst="rect">
                      <a:avLst/>
                    </a:prstGeom>
                  </pic:spPr>
                </pic:pic>
              </a:graphicData>
            </a:graphic>
          </wp:inline>
        </w:drawing>
      </w:r>
    </w:p>
    <w:p w14:paraId="35F05C26" w14:textId="77777777" w:rsidR="00A876F3" w:rsidRPr="0088780C" w:rsidRDefault="00A876F3" w:rsidP="001013AF">
      <w:pPr>
        <w:suppressLineNumbers/>
        <w:suppressAutoHyphens/>
        <w:kinsoku w:val="0"/>
        <w:overflowPunct w:val="0"/>
        <w:autoSpaceDE w:val="0"/>
        <w:autoSpaceDN w:val="0"/>
        <w:rPr>
          <w:rFonts w:eastAsia="MS Mincho"/>
          <w:b/>
          <w:bCs/>
          <w:snapToGrid w:val="0"/>
          <w:kern w:val="22"/>
          <w:szCs w:val="22"/>
        </w:rPr>
      </w:pPr>
      <w:r w:rsidRPr="0088780C">
        <w:rPr>
          <w:rFonts w:eastAsia="MS Mincho"/>
          <w:b/>
          <w:bCs/>
          <w:snapToGrid w:val="0"/>
          <w:kern w:val="22"/>
          <w:szCs w:val="22"/>
        </w:rPr>
        <w:t>Figure 7. The globally threatened Dalmatian pelicans (</w:t>
      </w:r>
      <w:r w:rsidRPr="0088780C">
        <w:rPr>
          <w:rFonts w:eastAsia="MS Mincho"/>
          <w:b/>
          <w:bCs/>
          <w:i/>
          <w:iCs/>
          <w:snapToGrid w:val="0"/>
          <w:kern w:val="22"/>
          <w:szCs w:val="22"/>
        </w:rPr>
        <w:t>Pelecanus</w:t>
      </w:r>
      <w:r w:rsidRPr="0088780C">
        <w:rPr>
          <w:rFonts w:eastAsia="MS Mincho"/>
          <w:b/>
          <w:bCs/>
          <w:snapToGrid w:val="0"/>
          <w:kern w:val="22"/>
          <w:szCs w:val="22"/>
        </w:rPr>
        <w:t xml:space="preserve"> </w:t>
      </w:r>
      <w:r w:rsidRPr="0088780C">
        <w:rPr>
          <w:rFonts w:eastAsia="MS Mincho"/>
          <w:b/>
          <w:bCs/>
          <w:i/>
          <w:iCs/>
          <w:snapToGrid w:val="0"/>
          <w:kern w:val="22"/>
          <w:szCs w:val="22"/>
        </w:rPr>
        <w:t>crispus</w:t>
      </w:r>
      <w:r w:rsidRPr="0088780C">
        <w:rPr>
          <w:rFonts w:eastAsia="MS Mincho"/>
          <w:b/>
          <w:bCs/>
          <w:snapToGrid w:val="0"/>
          <w:kern w:val="22"/>
          <w:szCs w:val="22"/>
        </w:rPr>
        <w:t>) in shallow marine waters of Gomishan area (Photo: Koosha Dab)</w:t>
      </w:r>
    </w:p>
    <w:p w14:paraId="2551D832" w14:textId="4FDFC8A9" w:rsidR="00EB7F74" w:rsidRPr="0088780C" w:rsidRDefault="00EB7F74">
      <w:pPr>
        <w:jc w:val="left"/>
        <w:rPr>
          <w:rFonts w:eastAsia="MS Mincho"/>
          <w:snapToGrid w:val="0"/>
          <w:kern w:val="22"/>
          <w:szCs w:val="22"/>
        </w:rPr>
      </w:pPr>
      <w:r w:rsidRPr="0088780C">
        <w:rPr>
          <w:rFonts w:eastAsia="MS Mincho"/>
          <w:snapToGrid w:val="0"/>
          <w:kern w:val="22"/>
          <w:szCs w:val="22"/>
        </w:rPr>
        <w:br w:type="page"/>
      </w:r>
    </w:p>
    <w:p w14:paraId="5721D4B5" w14:textId="77777777" w:rsidR="00EB7F74" w:rsidRPr="0088780C" w:rsidRDefault="00EB7F74" w:rsidP="001013AF">
      <w:pPr>
        <w:suppressLineNumbers/>
        <w:suppressAutoHyphens/>
        <w:kinsoku w:val="0"/>
        <w:overflowPunct w:val="0"/>
        <w:autoSpaceDE w:val="0"/>
        <w:autoSpaceDN w:val="0"/>
        <w:rPr>
          <w:rFonts w:eastAsia="MS Mincho"/>
          <w:snapToGrid w:val="0"/>
          <w:kern w:val="22"/>
          <w:szCs w:val="22"/>
        </w:rPr>
      </w:pPr>
    </w:p>
    <w:p w14:paraId="610BF1F3"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noProof/>
          <w:snapToGrid w:val="0"/>
          <w:kern w:val="22"/>
          <w:szCs w:val="22"/>
          <w:lang w:eastAsia="zh-CN"/>
        </w:rPr>
        <w:drawing>
          <wp:inline distT="0" distB="0" distL="0" distR="0" wp14:anchorId="1055C938" wp14:editId="461531E0">
            <wp:extent cx="5753735" cy="2148205"/>
            <wp:effectExtent l="0" t="0" r="0" b="4445"/>
            <wp:docPr id="64526" name="Picture 64526" descr="C:\Users\Koosha\AppData\Local\Microsoft\Windows\INetCache\Content.Word\20170316_121106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oosha\AppData\Local\Microsoft\Windows\INetCache\Content.Word\20170316_121106cd.jpg"/>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753735" cy="2148205"/>
                    </a:xfrm>
                    <a:prstGeom prst="rect">
                      <a:avLst/>
                    </a:prstGeom>
                    <a:noFill/>
                    <a:ln>
                      <a:noFill/>
                    </a:ln>
                  </pic:spPr>
                </pic:pic>
              </a:graphicData>
            </a:graphic>
          </wp:inline>
        </w:drawing>
      </w:r>
    </w:p>
    <w:p w14:paraId="224DD072" w14:textId="77777777" w:rsidR="00A876F3" w:rsidRPr="0088780C" w:rsidRDefault="00A876F3" w:rsidP="001013AF">
      <w:pPr>
        <w:suppressLineNumbers/>
        <w:suppressAutoHyphens/>
        <w:kinsoku w:val="0"/>
        <w:overflowPunct w:val="0"/>
        <w:autoSpaceDE w:val="0"/>
        <w:autoSpaceDN w:val="0"/>
        <w:rPr>
          <w:rFonts w:eastAsia="MS Mincho"/>
          <w:b/>
          <w:bCs/>
          <w:iCs/>
          <w:snapToGrid w:val="0"/>
          <w:kern w:val="22"/>
          <w:szCs w:val="22"/>
        </w:rPr>
      </w:pPr>
      <w:r w:rsidRPr="0088780C">
        <w:rPr>
          <w:rFonts w:eastAsia="MS Mincho"/>
          <w:b/>
          <w:bCs/>
          <w:snapToGrid w:val="0"/>
          <w:kern w:val="22"/>
          <w:szCs w:val="22"/>
        </w:rPr>
        <w:t xml:space="preserve">Figure 8. </w:t>
      </w:r>
      <w:r w:rsidRPr="0088780C">
        <w:rPr>
          <w:rFonts w:eastAsia="MS Mincho"/>
          <w:b/>
          <w:bCs/>
          <w:iCs/>
          <w:snapToGrid w:val="0"/>
          <w:kern w:val="22"/>
          <w:szCs w:val="22"/>
        </w:rPr>
        <w:t>The sand spit/coastal lagoon system in Gorgan Bay (Photo: Koosha Dab)</w:t>
      </w:r>
    </w:p>
    <w:p w14:paraId="1E425EBD"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73392A69"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noProof/>
          <w:snapToGrid w:val="0"/>
          <w:kern w:val="22"/>
          <w:szCs w:val="22"/>
          <w:lang w:eastAsia="zh-CN"/>
        </w:rPr>
        <w:drawing>
          <wp:inline distT="0" distB="0" distL="0" distR="0" wp14:anchorId="3627319F" wp14:editId="18A77309">
            <wp:extent cx="5753100" cy="2905125"/>
            <wp:effectExtent l="0" t="0" r="0" b="9525"/>
            <wp:docPr id="6" name="Picture 18" descr="20170316_1444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170316_144408b"/>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753100" cy="2905125"/>
                    </a:xfrm>
                    <a:prstGeom prst="rect">
                      <a:avLst/>
                    </a:prstGeom>
                    <a:noFill/>
                    <a:ln>
                      <a:noFill/>
                    </a:ln>
                  </pic:spPr>
                </pic:pic>
              </a:graphicData>
            </a:graphic>
          </wp:inline>
        </w:drawing>
      </w:r>
    </w:p>
    <w:p w14:paraId="731CEF5C" w14:textId="77777777" w:rsidR="00A876F3" w:rsidRPr="0088780C" w:rsidRDefault="00A876F3" w:rsidP="001013AF">
      <w:pPr>
        <w:suppressLineNumbers/>
        <w:suppressAutoHyphens/>
        <w:kinsoku w:val="0"/>
        <w:overflowPunct w:val="0"/>
        <w:autoSpaceDE w:val="0"/>
        <w:autoSpaceDN w:val="0"/>
        <w:rPr>
          <w:rFonts w:eastAsia="MS Mincho"/>
          <w:b/>
          <w:bCs/>
          <w:snapToGrid w:val="0"/>
          <w:kern w:val="22"/>
          <w:szCs w:val="22"/>
        </w:rPr>
      </w:pPr>
      <w:r w:rsidRPr="0088780C">
        <w:rPr>
          <w:rFonts w:eastAsia="MS Mincho"/>
          <w:b/>
          <w:bCs/>
          <w:snapToGrid w:val="0"/>
          <w:kern w:val="22"/>
          <w:szCs w:val="22"/>
        </w:rPr>
        <w:t>Figure 9. Muddy shores and reedbeds of north Miankaleh Peninsula (Photo: Koosha Dab)</w:t>
      </w:r>
    </w:p>
    <w:p w14:paraId="47EA1160" w14:textId="79A95FBF" w:rsidR="00EB7F74" w:rsidRPr="0088780C" w:rsidRDefault="00EB7F74">
      <w:pPr>
        <w:jc w:val="left"/>
        <w:rPr>
          <w:rFonts w:eastAsia="MS Mincho"/>
          <w:bCs/>
          <w:snapToGrid w:val="0"/>
          <w:kern w:val="22"/>
          <w:szCs w:val="22"/>
        </w:rPr>
      </w:pPr>
      <w:r w:rsidRPr="0088780C">
        <w:rPr>
          <w:rFonts w:eastAsia="MS Mincho"/>
          <w:bCs/>
          <w:snapToGrid w:val="0"/>
          <w:kern w:val="22"/>
          <w:szCs w:val="22"/>
        </w:rPr>
        <w:br w:type="page"/>
      </w:r>
    </w:p>
    <w:p w14:paraId="71CB145A" w14:textId="77777777" w:rsidR="00EB7F74" w:rsidRPr="0088780C" w:rsidRDefault="00EB7F74" w:rsidP="001013AF">
      <w:pPr>
        <w:suppressLineNumbers/>
        <w:suppressAutoHyphens/>
        <w:kinsoku w:val="0"/>
        <w:overflowPunct w:val="0"/>
        <w:autoSpaceDE w:val="0"/>
        <w:autoSpaceDN w:val="0"/>
        <w:rPr>
          <w:rFonts w:eastAsia="MS Mincho"/>
          <w:bCs/>
          <w:snapToGrid w:val="0"/>
          <w:kern w:val="22"/>
          <w:szCs w:val="22"/>
        </w:rPr>
      </w:pPr>
    </w:p>
    <w:p w14:paraId="381787F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noProof/>
          <w:snapToGrid w:val="0"/>
          <w:kern w:val="22"/>
          <w:szCs w:val="22"/>
          <w:lang w:eastAsia="zh-CN"/>
        </w:rPr>
        <w:drawing>
          <wp:inline distT="0" distB="0" distL="0" distR="0" wp14:anchorId="6AF4E4AD" wp14:editId="4FF5BAD5">
            <wp:extent cx="5753100" cy="3324225"/>
            <wp:effectExtent l="0" t="0" r="0" b="9525"/>
            <wp:docPr id="64543" name="Picture 19" descr="18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85b"/>
                    <pic:cNvPicPr>
                      <a:picLocks noChangeAspect="1" noChangeArrowheads="1"/>
                    </pic:cNvPicPr>
                  </pic:nvPicPr>
                  <pic:blipFill>
                    <a:blip r:embed="rId294">
                      <a:extLst>
                        <a:ext uri="{28A0092B-C50C-407E-A947-70E740481C1C}">
                          <a14:useLocalDpi xmlns:a14="http://schemas.microsoft.com/office/drawing/2010/main" val="0"/>
                        </a:ext>
                      </a:extLst>
                    </a:blip>
                    <a:srcRect t="13065"/>
                    <a:stretch>
                      <a:fillRect/>
                    </a:stretch>
                  </pic:blipFill>
                  <pic:spPr bwMode="auto">
                    <a:xfrm>
                      <a:off x="0" y="0"/>
                      <a:ext cx="5753100" cy="3324225"/>
                    </a:xfrm>
                    <a:prstGeom prst="rect">
                      <a:avLst/>
                    </a:prstGeom>
                    <a:noFill/>
                    <a:ln>
                      <a:noFill/>
                    </a:ln>
                  </pic:spPr>
                </pic:pic>
              </a:graphicData>
            </a:graphic>
          </wp:inline>
        </w:drawing>
      </w:r>
    </w:p>
    <w:p w14:paraId="79C71B90" w14:textId="77777777" w:rsidR="00A876F3" w:rsidRPr="0088780C" w:rsidRDefault="00A876F3" w:rsidP="001013AF">
      <w:pPr>
        <w:suppressLineNumbers/>
        <w:suppressAutoHyphens/>
        <w:kinsoku w:val="0"/>
        <w:overflowPunct w:val="0"/>
        <w:autoSpaceDE w:val="0"/>
        <w:autoSpaceDN w:val="0"/>
        <w:rPr>
          <w:rFonts w:eastAsia="MS Mincho"/>
          <w:b/>
          <w:bCs/>
          <w:snapToGrid w:val="0"/>
          <w:kern w:val="22"/>
          <w:szCs w:val="22"/>
        </w:rPr>
      </w:pPr>
      <w:r w:rsidRPr="0088780C">
        <w:rPr>
          <w:rFonts w:eastAsia="MS Mincho"/>
          <w:b/>
          <w:bCs/>
          <w:snapToGrid w:val="0"/>
          <w:kern w:val="22"/>
          <w:szCs w:val="22"/>
        </w:rPr>
        <w:t>Figure 10. Sandy shores of north Gorgan Bay (Photo: Koosha Dab)</w:t>
      </w:r>
    </w:p>
    <w:p w14:paraId="66795C8B"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58E03CCD"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2D896B6D"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noProof/>
          <w:snapToGrid w:val="0"/>
          <w:kern w:val="22"/>
          <w:szCs w:val="22"/>
          <w:lang w:eastAsia="zh-CN"/>
        </w:rPr>
        <w:drawing>
          <wp:inline distT="0" distB="0" distL="0" distR="0" wp14:anchorId="210D4C21" wp14:editId="162E6429">
            <wp:extent cx="5753735" cy="3838575"/>
            <wp:effectExtent l="0" t="0" r="0" b="9525"/>
            <wp:docPr id="64527" name="Picture 64527" descr="C:\Users\Koosha\AppData\Local\Microsoft\Windows\INetCache\Content.Word\21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oosha\AppData\Local\Microsoft\Windows\INetCache\Content.Word\219b.jpg"/>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5753735" cy="3838575"/>
                    </a:xfrm>
                    <a:prstGeom prst="rect">
                      <a:avLst/>
                    </a:prstGeom>
                    <a:noFill/>
                    <a:ln>
                      <a:noFill/>
                    </a:ln>
                  </pic:spPr>
                </pic:pic>
              </a:graphicData>
            </a:graphic>
          </wp:inline>
        </w:drawing>
      </w:r>
    </w:p>
    <w:p w14:paraId="0BEAFE1B" w14:textId="77777777" w:rsidR="00A876F3" w:rsidRPr="0088780C" w:rsidRDefault="00A876F3" w:rsidP="001013AF">
      <w:pPr>
        <w:suppressLineNumbers/>
        <w:suppressAutoHyphens/>
        <w:kinsoku w:val="0"/>
        <w:overflowPunct w:val="0"/>
        <w:autoSpaceDE w:val="0"/>
        <w:autoSpaceDN w:val="0"/>
        <w:rPr>
          <w:rFonts w:eastAsia="MS Mincho"/>
          <w:b/>
          <w:bCs/>
          <w:iCs/>
          <w:snapToGrid w:val="0"/>
          <w:kern w:val="22"/>
          <w:szCs w:val="22"/>
        </w:rPr>
      </w:pPr>
      <w:r w:rsidRPr="0088780C">
        <w:rPr>
          <w:rFonts w:eastAsia="MS Mincho"/>
          <w:b/>
          <w:bCs/>
          <w:snapToGrid w:val="0"/>
          <w:kern w:val="22"/>
          <w:szCs w:val="22"/>
        </w:rPr>
        <w:t xml:space="preserve">Figure 11. The </w:t>
      </w:r>
      <w:r w:rsidRPr="0088780C">
        <w:rPr>
          <w:rFonts w:eastAsia="MS Mincho"/>
          <w:b/>
          <w:bCs/>
          <w:iCs/>
          <w:snapToGrid w:val="0"/>
          <w:kern w:val="22"/>
          <w:szCs w:val="22"/>
        </w:rPr>
        <w:t>greater flamingo (</w:t>
      </w:r>
      <w:r w:rsidRPr="0088780C">
        <w:rPr>
          <w:rFonts w:eastAsia="MS Mincho"/>
          <w:b/>
          <w:bCs/>
          <w:i/>
          <w:snapToGrid w:val="0"/>
          <w:kern w:val="22"/>
          <w:szCs w:val="22"/>
        </w:rPr>
        <w:t>Phoenicopterus</w:t>
      </w:r>
      <w:r w:rsidRPr="0088780C">
        <w:rPr>
          <w:rFonts w:eastAsia="MS Mincho"/>
          <w:b/>
          <w:bCs/>
          <w:iCs/>
          <w:snapToGrid w:val="0"/>
          <w:kern w:val="22"/>
          <w:szCs w:val="22"/>
        </w:rPr>
        <w:t xml:space="preserve"> </w:t>
      </w:r>
      <w:r w:rsidRPr="0088780C">
        <w:rPr>
          <w:rFonts w:eastAsia="MS Mincho"/>
          <w:b/>
          <w:bCs/>
          <w:i/>
          <w:snapToGrid w:val="0"/>
          <w:kern w:val="22"/>
          <w:szCs w:val="22"/>
        </w:rPr>
        <w:t>ruber</w:t>
      </w:r>
      <w:r w:rsidRPr="0088780C">
        <w:rPr>
          <w:rFonts w:eastAsia="MS Mincho"/>
          <w:b/>
          <w:bCs/>
          <w:iCs/>
          <w:snapToGrid w:val="0"/>
          <w:kern w:val="22"/>
          <w:szCs w:val="22"/>
        </w:rPr>
        <w:t>) in the extensive coastal reedbeds of Ashouradeh Island, Gorgan Bay (Photo: Koosha Dab)</w:t>
      </w:r>
    </w:p>
    <w:p w14:paraId="51230C8D"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0C5FB79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4F12C1B2" w14:textId="024DAB85"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26: </w:t>
      </w:r>
      <w:r w:rsidRPr="0088780C">
        <w:rPr>
          <w:rFonts w:eastAsia="MS Mincho"/>
          <w:b/>
          <w:bCs/>
          <w:snapToGrid w:val="0"/>
          <w:kern w:val="22"/>
          <w:szCs w:val="22"/>
        </w:rPr>
        <w:t>Sefidroud Delta</w:t>
      </w:r>
    </w:p>
    <w:p w14:paraId="1D9D991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206CF83"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Abstract</w:t>
      </w:r>
    </w:p>
    <w:p w14:paraId="1A53AB5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Sefidroud Delta is located in the south Caspian lowlands and encompasses the largest river delta in the south Caspian region. This area is a significant foraging and spawning ground for a wide variety of fish species, including five critically endangered sturgeon species: </w:t>
      </w:r>
      <w:r w:rsidRPr="0088780C">
        <w:rPr>
          <w:rFonts w:eastAsia="MS Mincho"/>
          <w:i/>
          <w:iCs/>
          <w:snapToGrid w:val="0"/>
          <w:kern w:val="22"/>
          <w:szCs w:val="22"/>
        </w:rPr>
        <w:t>Acipenser</w:t>
      </w:r>
      <w:r w:rsidRPr="0088780C">
        <w:rPr>
          <w:rFonts w:eastAsia="MS Mincho"/>
          <w:snapToGrid w:val="0"/>
          <w:kern w:val="22"/>
          <w:szCs w:val="22"/>
        </w:rPr>
        <w:t xml:space="preserve"> </w:t>
      </w:r>
      <w:r w:rsidRPr="0088780C">
        <w:rPr>
          <w:rFonts w:eastAsia="MS Mincho"/>
          <w:i/>
          <w:iCs/>
          <w:snapToGrid w:val="0"/>
          <w:kern w:val="22"/>
          <w:szCs w:val="22"/>
        </w:rPr>
        <w:t>gueldenstaedtii</w:t>
      </w:r>
      <w:r w:rsidRPr="0088780C">
        <w:rPr>
          <w:rFonts w:eastAsia="MS Mincho"/>
          <w:snapToGrid w:val="0"/>
          <w:kern w:val="22"/>
          <w:szCs w:val="22"/>
        </w:rPr>
        <w:t xml:space="preserve">, </w:t>
      </w:r>
      <w:r w:rsidRPr="0088780C">
        <w:rPr>
          <w:rFonts w:eastAsia="MS Mincho"/>
          <w:i/>
          <w:iCs/>
          <w:snapToGrid w:val="0"/>
          <w:kern w:val="22"/>
          <w:szCs w:val="22"/>
        </w:rPr>
        <w:t>A. stellatus</w:t>
      </w:r>
      <w:r w:rsidRPr="0088780C">
        <w:rPr>
          <w:rFonts w:eastAsia="MS Mincho"/>
          <w:snapToGrid w:val="0"/>
          <w:kern w:val="22"/>
          <w:szCs w:val="22"/>
        </w:rPr>
        <w:t xml:space="preserve">, </w:t>
      </w:r>
      <w:r w:rsidRPr="0088780C">
        <w:rPr>
          <w:rFonts w:eastAsia="MS Mincho"/>
          <w:i/>
          <w:snapToGrid w:val="0"/>
          <w:kern w:val="22"/>
          <w:szCs w:val="22"/>
        </w:rPr>
        <w:t>A. nudiventris</w:t>
      </w:r>
      <w:r w:rsidRPr="0088780C">
        <w:rPr>
          <w:rFonts w:eastAsia="MS Mincho"/>
          <w:iCs/>
          <w:snapToGrid w:val="0"/>
          <w:kern w:val="22"/>
          <w:szCs w:val="22"/>
        </w:rPr>
        <w:t xml:space="preserve">, </w:t>
      </w:r>
      <w:r w:rsidRPr="0088780C">
        <w:rPr>
          <w:rFonts w:eastAsia="MS Mincho"/>
          <w:i/>
          <w:snapToGrid w:val="0"/>
          <w:kern w:val="22"/>
          <w:szCs w:val="22"/>
        </w:rPr>
        <w:t>A.</w:t>
      </w:r>
      <w:r w:rsidRPr="0088780C">
        <w:rPr>
          <w:rFonts w:eastAsia="MS Mincho"/>
          <w:iCs/>
          <w:snapToGrid w:val="0"/>
          <w:kern w:val="22"/>
          <w:szCs w:val="22"/>
        </w:rPr>
        <w:t xml:space="preserve"> </w:t>
      </w:r>
      <w:r w:rsidRPr="0088780C">
        <w:rPr>
          <w:rFonts w:eastAsia="MS Mincho"/>
          <w:i/>
          <w:snapToGrid w:val="0"/>
          <w:kern w:val="22"/>
          <w:szCs w:val="22"/>
        </w:rPr>
        <w:t>persicus</w:t>
      </w:r>
      <w:r w:rsidRPr="0088780C">
        <w:rPr>
          <w:rFonts w:eastAsia="MS Mincho"/>
          <w:snapToGrid w:val="0"/>
          <w:kern w:val="22"/>
          <w:szCs w:val="22"/>
        </w:rPr>
        <w:t xml:space="preserve"> and </w:t>
      </w:r>
      <w:r w:rsidRPr="0088780C">
        <w:rPr>
          <w:rFonts w:eastAsia="MS Mincho"/>
          <w:i/>
          <w:iCs/>
          <w:snapToGrid w:val="0"/>
          <w:kern w:val="22"/>
          <w:szCs w:val="22"/>
        </w:rPr>
        <w:t>Huso</w:t>
      </w:r>
      <w:r w:rsidRPr="0088780C">
        <w:rPr>
          <w:rFonts w:eastAsia="MS Mincho"/>
          <w:snapToGrid w:val="0"/>
          <w:kern w:val="22"/>
          <w:szCs w:val="22"/>
        </w:rPr>
        <w:t xml:space="preserve"> </w:t>
      </w:r>
      <w:r w:rsidRPr="0088780C">
        <w:rPr>
          <w:rFonts w:eastAsia="MS Mincho"/>
          <w:i/>
          <w:iCs/>
          <w:snapToGrid w:val="0"/>
          <w:kern w:val="22"/>
          <w:szCs w:val="22"/>
        </w:rPr>
        <w:t>huso</w:t>
      </w:r>
      <w:r w:rsidRPr="0088780C">
        <w:rPr>
          <w:rFonts w:eastAsia="MS Mincho"/>
          <w:snapToGrid w:val="0"/>
          <w:kern w:val="22"/>
          <w:szCs w:val="22"/>
        </w:rPr>
        <w:t>. The Sefidroud Delta is an important migratory and wintering ground for a wide variety of migratory waterfowl, regularly supporting more than 100,000 waterbirds and more than 1% of the regional populations of several waterbird species.</w:t>
      </w:r>
    </w:p>
    <w:p w14:paraId="16E1A8F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A1AC1B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1F86BB70" w14:textId="78B9AC7C"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Sefidroud Delta is located in the south Caspian lowlands and encompasses the largest river delta in the south Caspian region. The area comprises a diverse range of ecosystems and habitats. The riverine, deltaic and coastal ecosystems of the Sefidroud delta includes shallow marine waters, coastal lagoons, river channels and streams, freshwater and brackish marshes, sand dunes and grasslands.</w:t>
      </w:r>
    </w:p>
    <w:p w14:paraId="0ED17A6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55081A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particularly important for staging and wintering waterbirds, a range of globally threatened species, and as a breeding and nursery ground for a high variety of fish species. The Sefidroud Delta is located at the crossroads of the western, central, and eastern Palearctic, which brings phenomenal numbers of migratory birds from three regions, making it one of the truly great overwintering areas in the region. The Sefidroud Delta is also an important breeding ground for migratory fish species, including the critically endangered stellate sturgeon (</w:t>
      </w:r>
      <w:r w:rsidRPr="0088780C">
        <w:rPr>
          <w:rFonts w:eastAsia="MS Mincho"/>
          <w:i/>
          <w:iCs/>
          <w:snapToGrid w:val="0"/>
          <w:kern w:val="22"/>
          <w:szCs w:val="22"/>
        </w:rPr>
        <w:t>Acipenser</w:t>
      </w:r>
      <w:r w:rsidRPr="0088780C">
        <w:rPr>
          <w:rFonts w:eastAsia="MS Mincho"/>
          <w:snapToGrid w:val="0"/>
          <w:kern w:val="22"/>
          <w:szCs w:val="22"/>
        </w:rPr>
        <w:t xml:space="preserve"> </w:t>
      </w:r>
      <w:r w:rsidRPr="0088780C">
        <w:rPr>
          <w:rFonts w:eastAsia="MS Mincho"/>
          <w:i/>
          <w:iCs/>
          <w:snapToGrid w:val="0"/>
          <w:kern w:val="22"/>
          <w:szCs w:val="22"/>
        </w:rPr>
        <w:t>stellatus</w:t>
      </w:r>
      <w:r w:rsidRPr="0088780C">
        <w:rPr>
          <w:rFonts w:eastAsia="MS Mincho"/>
          <w:snapToGrid w:val="0"/>
          <w:kern w:val="22"/>
          <w:szCs w:val="22"/>
        </w:rPr>
        <w:t>), the southern Caspian kutum (</w:t>
      </w:r>
      <w:r w:rsidRPr="0088780C">
        <w:rPr>
          <w:rFonts w:eastAsia="MS Mincho"/>
          <w:i/>
          <w:iCs/>
          <w:snapToGrid w:val="0"/>
          <w:kern w:val="22"/>
          <w:szCs w:val="22"/>
        </w:rPr>
        <w:t>Rutilus</w:t>
      </w:r>
      <w:r w:rsidRPr="0088780C">
        <w:rPr>
          <w:rFonts w:eastAsia="MS Mincho"/>
          <w:snapToGrid w:val="0"/>
          <w:kern w:val="22"/>
          <w:szCs w:val="22"/>
        </w:rPr>
        <w:t xml:space="preserve"> </w:t>
      </w:r>
      <w:r w:rsidRPr="0088780C">
        <w:rPr>
          <w:rFonts w:eastAsia="MS Mincho"/>
          <w:i/>
          <w:iCs/>
          <w:snapToGrid w:val="0"/>
          <w:kern w:val="22"/>
          <w:szCs w:val="22"/>
        </w:rPr>
        <w:t>frisii</w:t>
      </w:r>
      <w:r w:rsidRPr="0088780C">
        <w:rPr>
          <w:rFonts w:eastAsia="MS Mincho"/>
          <w:snapToGrid w:val="0"/>
          <w:kern w:val="22"/>
          <w:szCs w:val="22"/>
        </w:rPr>
        <w:t xml:space="preserve"> </w:t>
      </w:r>
      <w:r w:rsidRPr="0088780C">
        <w:rPr>
          <w:rFonts w:eastAsia="MS Mincho"/>
          <w:i/>
          <w:iCs/>
          <w:snapToGrid w:val="0"/>
          <w:kern w:val="22"/>
          <w:szCs w:val="22"/>
        </w:rPr>
        <w:t>kutum</w:t>
      </w:r>
      <w:r w:rsidRPr="0088780C">
        <w:rPr>
          <w:rFonts w:eastAsia="MS Mincho"/>
          <w:snapToGrid w:val="0"/>
          <w:kern w:val="22"/>
          <w:szCs w:val="22"/>
        </w:rPr>
        <w:t>) and vimba (</w:t>
      </w:r>
      <w:r w:rsidRPr="0088780C">
        <w:rPr>
          <w:rFonts w:eastAsia="MS Mincho"/>
          <w:i/>
          <w:iCs/>
          <w:snapToGrid w:val="0"/>
          <w:kern w:val="22"/>
          <w:szCs w:val="22"/>
        </w:rPr>
        <w:t>Vimba</w:t>
      </w:r>
      <w:r w:rsidRPr="0088780C">
        <w:rPr>
          <w:rFonts w:eastAsia="MS Mincho"/>
          <w:snapToGrid w:val="0"/>
          <w:kern w:val="22"/>
          <w:szCs w:val="22"/>
        </w:rPr>
        <w:t xml:space="preserve"> </w:t>
      </w:r>
      <w:r w:rsidRPr="0088780C">
        <w:rPr>
          <w:rFonts w:eastAsia="MS Mincho"/>
          <w:i/>
          <w:iCs/>
          <w:snapToGrid w:val="0"/>
          <w:kern w:val="22"/>
          <w:szCs w:val="22"/>
        </w:rPr>
        <w:t>vimba</w:t>
      </w:r>
      <w:r w:rsidRPr="0088780C">
        <w:rPr>
          <w:rFonts w:eastAsia="MS Mincho"/>
          <w:snapToGrid w:val="0"/>
          <w:kern w:val="22"/>
          <w:szCs w:val="22"/>
        </w:rPr>
        <w:t>). These migratory species enter the freshwaters of Sefidroud by the end of winter and beginning of spring for breeding (Sadeghi-Zadegan, 2016).</w:t>
      </w:r>
    </w:p>
    <w:p w14:paraId="4C8BAAA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51EBC96"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Bandar Kiashahr Lagoon and the mouth of Sefidroud Delta were designated as a Ramsar Site in 1975. The area is also located between two other Ramsar Sites: Anzali and Amirkelayeh wetlands, to the west and east, respectively. The existing Ramsar Site (500 ha) included the whole lagoon area, its associated marshes, and the marshes and sand flats at the mouth of the Sefidroud to the west. It was subsequently extended to share the same boundaries as Bujagh National Park in 2002. The site has been listed as an Important Bird and Biodiversity Area (IBA) by BirdLife International (BirdLife International, 2017; Evans, 1994). Based on its potential as a secure release and wintering site for the Siberian crane, it was also included in the Western/Central Asian Site Network for the Siberian Crane and Other Waterbirds at the launch of this network (Sadeghi-Zadegan and Fazeli 2007; UNEP/CMS 2008, 2011; Ilyashenko 2010). The Sefidroud Delta is also suggested as a possible Seal Special Protected Area (SSPA) in the south Caspian Sea (Caspeco, 2011; CEP, 2010; Wilson and Goodman, 2012).</w:t>
      </w:r>
    </w:p>
    <w:p w14:paraId="273579E5"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499210E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039EFEB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located in the South Caspian lowlands and encompasses the largest delta in the South Caspian region (about 1,350 ha) and Bandar Kiashahr Lagoon, one of the oldest lagoons in the south Caspian Sea (Sadeghi-Zadegan, 2016).</w:t>
      </w:r>
    </w:p>
    <w:p w14:paraId="059E0D3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B6ED2C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0599BCB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The Sefidroud is the second-largest river in Iran; it has a catchment area of over 54,000 sq.km in the western Alborz Mountains, and a natural flood discharge of 3,400 to 4,200 cubic metres per second (Scott, 1995). This diminishes to a minimum flow of less than 20 cubic metres per second during late summer. The river divides into several tributary channels on the plains, the main channel entering the Caspian Sea at Bandar Kiashahr (Scott, 1995). The Bandar Kiashahr Lagoon is situated in an area of coastal sand dunes and grassland about 1.5 km east of the mouth of the Sefidroud.</w:t>
      </w:r>
      <w:r w:rsidRPr="0088780C">
        <w:rPr>
          <w:rFonts w:eastAsia="MS Mincho"/>
          <w:snapToGrid w:val="0"/>
          <w:kern w:val="22"/>
          <w:szCs w:val="22"/>
        </w:rPr>
        <w:t xml:space="preserve"> The area comprises a shallow bay (formerly an enclosed lagoon), the inlet of the main estuary of the Sefidroud River and its riverine marshes, extensive open grasslands, and dunes near the mouth of the river, and the associated fresh to brackish marshes of the Bandar Kiashahr Lagoon, located adjacent to the shallow bay of the Caspian Sea (Sadeghi-Zadegan, 2016). Bandar Kiashahr Lagoon is a shallow, brackish coastal lagoon with fringing </w:t>
      </w:r>
      <w:r w:rsidRPr="0088780C">
        <w:rPr>
          <w:rFonts w:eastAsia="MS Mincho"/>
          <w:i/>
          <w:iCs/>
          <w:snapToGrid w:val="0"/>
          <w:kern w:val="22"/>
          <w:szCs w:val="22"/>
        </w:rPr>
        <w:t>Juncus</w:t>
      </w:r>
      <w:r w:rsidRPr="0088780C">
        <w:rPr>
          <w:rFonts w:eastAsia="MS Mincho"/>
          <w:snapToGrid w:val="0"/>
          <w:kern w:val="22"/>
          <w:szCs w:val="22"/>
        </w:rPr>
        <w:t xml:space="preserve"> marshes in an area of coastal sand dunes and grassland; it was fed by local runoff, and drained northeast through a narrow channel into the Caspian Sea, having formed in 1960 as a result of the falling level of the Caspian and development of coastal sand spits. The bottom of the lagoon is a mixture of sand and mud, and</w:t>
      </w:r>
      <w:r w:rsidRPr="0088780C">
        <w:rPr>
          <w:snapToGrid w:val="0"/>
          <w:kern w:val="22"/>
          <w:szCs w:val="22"/>
        </w:rPr>
        <w:t xml:space="preserve"> t</w:t>
      </w:r>
      <w:r w:rsidRPr="0088780C">
        <w:rPr>
          <w:rFonts w:eastAsia="MS Mincho"/>
          <w:snapToGrid w:val="0"/>
          <w:kern w:val="22"/>
          <w:szCs w:val="22"/>
        </w:rPr>
        <w:t>he waters are predominantly oligotrophic, except toward the marshy western extremity (Carp, 1980; Sadeghi-Zadegan, 2016). The 1.8 m rise in the level of the Caspian since 1978 has converted the wetland into a bay with broad entrance to the sea, similar to the situation in the 1950s. The marshy grassland and sand dune areas at the mouth of the Sefidroud have, however, remained more or less unchanged, while new wetland habitats have been created to the west of the river mouth (BirdLife International, 2017).</w:t>
      </w:r>
    </w:p>
    <w:p w14:paraId="75E8B14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AE709D3" w14:textId="061B0079"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average depth of the main lagoon is 70 cm, and the average volume of water within the lagoon is 381,000 m</w:t>
      </w:r>
      <w:r w:rsidRPr="0088780C">
        <w:rPr>
          <w:rFonts w:eastAsia="MS Mincho"/>
          <w:snapToGrid w:val="0"/>
          <w:kern w:val="22"/>
          <w:szCs w:val="22"/>
          <w:vertAlign w:val="superscript"/>
        </w:rPr>
        <w:t xml:space="preserve">3 </w:t>
      </w:r>
      <w:r w:rsidRPr="0088780C">
        <w:rPr>
          <w:rFonts w:eastAsia="MS Mincho"/>
          <w:snapToGrid w:val="0"/>
          <w:kern w:val="22"/>
          <w:szCs w:val="22"/>
        </w:rPr>
        <w:t xml:space="preserve">(Sadeghi-Zadegan, 2016). Dependent upon a freshwater supply from the Sefidroud, the depth and area of the wetland change during the wet and dry seasons. During wet season, freshwater enters the wetland from the deltaic system. When the wetland’s water level is high, the wetland is connected to the sea by streams (Sadeghi-Zadegan, 2016). Freshwater marshes at the extreme west end of the lagoon support some beds of </w:t>
      </w:r>
      <w:r w:rsidRPr="0088780C">
        <w:rPr>
          <w:rFonts w:eastAsia="MS Mincho"/>
          <w:i/>
          <w:iCs/>
          <w:snapToGrid w:val="0"/>
          <w:kern w:val="22"/>
          <w:szCs w:val="22"/>
        </w:rPr>
        <w:t>Phragmites</w:t>
      </w:r>
      <w:r w:rsidRPr="0088780C">
        <w:rPr>
          <w:rFonts w:eastAsia="MS Mincho"/>
          <w:snapToGrid w:val="0"/>
          <w:kern w:val="22"/>
          <w:szCs w:val="22"/>
        </w:rPr>
        <w:t xml:space="preserve"> and </w:t>
      </w:r>
      <w:r w:rsidRPr="0088780C">
        <w:rPr>
          <w:rFonts w:eastAsia="MS Mincho"/>
          <w:i/>
          <w:iCs/>
          <w:snapToGrid w:val="0"/>
          <w:kern w:val="22"/>
          <w:szCs w:val="22"/>
        </w:rPr>
        <w:t>Typha</w:t>
      </w:r>
      <w:r w:rsidRPr="0088780C">
        <w:rPr>
          <w:rFonts w:eastAsia="MS Mincho"/>
          <w:snapToGrid w:val="0"/>
          <w:kern w:val="22"/>
          <w:szCs w:val="22"/>
        </w:rPr>
        <w:t xml:space="preserve">, while the southern and eastern shores are dominated by Juncus and grasses. Sandy areas to the west and </w:t>
      </w:r>
      <w:r w:rsidR="00C656A2" w:rsidRPr="0088780C">
        <w:rPr>
          <w:rFonts w:eastAsia="MS Mincho"/>
          <w:snapToGrid w:val="0"/>
          <w:kern w:val="22"/>
          <w:szCs w:val="22"/>
        </w:rPr>
        <w:t>north-west</w:t>
      </w:r>
      <w:r w:rsidRPr="0088780C">
        <w:rPr>
          <w:rFonts w:eastAsia="MS Mincho"/>
          <w:snapToGrid w:val="0"/>
          <w:kern w:val="22"/>
          <w:szCs w:val="22"/>
        </w:rPr>
        <w:t xml:space="preserve"> are covered in scrub and grassland, which give way to sand dune vegetation near the Caspian shore (Sadeghi-Zadegan, 2016).</w:t>
      </w:r>
    </w:p>
    <w:p w14:paraId="0C70D3A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F75363D" w14:textId="416728EA"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Sefidroud Delta comprises a diverse range of ecosystems and habitats. The riverine, deltaic, and coastal ecosystems of the Sefidroud Delta include shallow marine waters, coastal lagoons, river channels and streams, freshwater and brackish marshes, sand dunes and grasslands. Sandy areas to the west and </w:t>
      </w:r>
      <w:r w:rsidR="00C656A2" w:rsidRPr="0088780C">
        <w:rPr>
          <w:rFonts w:eastAsia="MS Mincho"/>
          <w:snapToGrid w:val="0"/>
          <w:kern w:val="22"/>
          <w:szCs w:val="22"/>
        </w:rPr>
        <w:t>north-west</w:t>
      </w:r>
      <w:r w:rsidRPr="0088780C">
        <w:rPr>
          <w:rFonts w:eastAsia="MS Mincho"/>
          <w:snapToGrid w:val="0"/>
          <w:kern w:val="22"/>
          <w:szCs w:val="22"/>
        </w:rPr>
        <w:t xml:space="preserve"> are covered in shrub and grassland, which give way to sand dune vegetation near the Caspian shore. The grasslands along the banks of the Sefidroud floods seasonally.</w:t>
      </w:r>
    </w:p>
    <w:p w14:paraId="2EAEAA5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DC884F8" w14:textId="7025DF8A"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located at the crossroads of the western, central, and eastern Palearctic, which brings phenomenal numbers of migratory birds from three regions, making it one of the truly great overwintering areas in the region. The area is an important passaging and wintering ground for a wide variety of migratory waterfowl, regularly supporting more than 100,000 waterbirds and more than 1% of the regional populations of several waterbird species, including wintering greater white-fronted goose (</w:t>
      </w:r>
      <w:r w:rsidRPr="0088780C">
        <w:rPr>
          <w:rFonts w:eastAsia="MS Mincho"/>
          <w:i/>
          <w:iCs/>
          <w:snapToGrid w:val="0"/>
          <w:kern w:val="22"/>
          <w:szCs w:val="22"/>
        </w:rPr>
        <w:t>Anser</w:t>
      </w:r>
      <w:r w:rsidRPr="0088780C">
        <w:rPr>
          <w:rFonts w:eastAsia="MS Mincho"/>
          <w:snapToGrid w:val="0"/>
          <w:kern w:val="22"/>
          <w:szCs w:val="22"/>
        </w:rPr>
        <w:t xml:space="preserve"> </w:t>
      </w:r>
      <w:r w:rsidRPr="0088780C">
        <w:rPr>
          <w:rFonts w:eastAsia="MS Mincho"/>
          <w:i/>
          <w:iCs/>
          <w:snapToGrid w:val="0"/>
          <w:kern w:val="22"/>
          <w:szCs w:val="22"/>
        </w:rPr>
        <w:t>albifrons</w:t>
      </w:r>
      <w:r w:rsidRPr="0088780C">
        <w:rPr>
          <w:rFonts w:eastAsia="MS Mincho"/>
          <w:snapToGrid w:val="0"/>
          <w:kern w:val="22"/>
          <w:szCs w:val="22"/>
        </w:rPr>
        <w:t>), whooper swan (</w:t>
      </w:r>
      <w:r w:rsidRPr="0088780C">
        <w:rPr>
          <w:rFonts w:eastAsia="MS Mincho"/>
          <w:i/>
          <w:iCs/>
          <w:snapToGrid w:val="0"/>
          <w:kern w:val="22"/>
          <w:szCs w:val="22"/>
        </w:rPr>
        <w:t>Cygnus</w:t>
      </w:r>
      <w:r w:rsidRPr="0088780C">
        <w:rPr>
          <w:rFonts w:eastAsia="MS Mincho"/>
          <w:snapToGrid w:val="0"/>
          <w:kern w:val="22"/>
          <w:szCs w:val="22"/>
        </w:rPr>
        <w:t xml:space="preserve"> </w:t>
      </w:r>
      <w:r w:rsidRPr="0088780C">
        <w:rPr>
          <w:rFonts w:eastAsia="MS Mincho"/>
          <w:i/>
          <w:iCs/>
          <w:snapToGrid w:val="0"/>
          <w:kern w:val="22"/>
          <w:szCs w:val="22"/>
        </w:rPr>
        <w:t>cygnus</w:t>
      </w:r>
      <w:r w:rsidRPr="0088780C">
        <w:rPr>
          <w:rFonts w:eastAsia="MS Mincho"/>
          <w:snapToGrid w:val="0"/>
          <w:kern w:val="22"/>
          <w:szCs w:val="22"/>
        </w:rPr>
        <w:t>), gadwall (</w:t>
      </w:r>
      <w:r w:rsidRPr="0088780C">
        <w:rPr>
          <w:rFonts w:eastAsia="MS Mincho"/>
          <w:i/>
          <w:iCs/>
          <w:snapToGrid w:val="0"/>
          <w:kern w:val="22"/>
          <w:szCs w:val="22"/>
        </w:rPr>
        <w:t>Anas</w:t>
      </w:r>
      <w:r w:rsidRPr="0088780C">
        <w:rPr>
          <w:rFonts w:eastAsia="MS Mincho"/>
          <w:snapToGrid w:val="0"/>
          <w:kern w:val="22"/>
          <w:szCs w:val="22"/>
        </w:rPr>
        <w:t xml:space="preserve"> </w:t>
      </w:r>
      <w:r w:rsidRPr="0088780C">
        <w:rPr>
          <w:rFonts w:eastAsia="MS Mincho"/>
          <w:i/>
          <w:iCs/>
          <w:snapToGrid w:val="0"/>
          <w:kern w:val="22"/>
          <w:szCs w:val="22"/>
        </w:rPr>
        <w:t>strepera</w:t>
      </w:r>
      <w:r w:rsidRPr="0088780C">
        <w:rPr>
          <w:rFonts w:eastAsia="MS Mincho"/>
          <w:snapToGrid w:val="0"/>
          <w:kern w:val="22"/>
          <w:szCs w:val="22"/>
        </w:rPr>
        <w:t>), mallard (</w:t>
      </w:r>
      <w:r w:rsidRPr="0088780C">
        <w:rPr>
          <w:rFonts w:eastAsia="MS Mincho"/>
          <w:i/>
          <w:iCs/>
          <w:snapToGrid w:val="0"/>
          <w:kern w:val="22"/>
          <w:szCs w:val="22"/>
        </w:rPr>
        <w:t>A</w:t>
      </w:r>
      <w:r w:rsidRPr="0088780C">
        <w:rPr>
          <w:rFonts w:eastAsia="MS Mincho"/>
          <w:snapToGrid w:val="0"/>
          <w:kern w:val="22"/>
          <w:szCs w:val="22"/>
        </w:rPr>
        <w:t xml:space="preserve">. </w:t>
      </w:r>
      <w:r w:rsidRPr="0088780C">
        <w:rPr>
          <w:rFonts w:eastAsia="MS Mincho"/>
          <w:i/>
          <w:iCs/>
          <w:snapToGrid w:val="0"/>
          <w:kern w:val="22"/>
          <w:szCs w:val="22"/>
        </w:rPr>
        <w:t>platyrhynchos</w:t>
      </w:r>
      <w:r w:rsidRPr="0088780C">
        <w:rPr>
          <w:rFonts w:eastAsia="MS Mincho"/>
          <w:snapToGrid w:val="0"/>
          <w:kern w:val="22"/>
          <w:szCs w:val="22"/>
        </w:rPr>
        <w:t>), black-necked grebe (</w:t>
      </w:r>
      <w:r w:rsidRPr="0088780C">
        <w:rPr>
          <w:rFonts w:eastAsia="MS Mincho"/>
          <w:i/>
          <w:iCs/>
          <w:snapToGrid w:val="0"/>
          <w:kern w:val="22"/>
          <w:szCs w:val="22"/>
        </w:rPr>
        <w:t>Podiceps</w:t>
      </w:r>
      <w:r w:rsidRPr="0088780C">
        <w:rPr>
          <w:rFonts w:eastAsia="MS Mincho"/>
          <w:snapToGrid w:val="0"/>
          <w:kern w:val="22"/>
          <w:szCs w:val="22"/>
        </w:rPr>
        <w:t xml:space="preserve"> </w:t>
      </w:r>
      <w:r w:rsidRPr="0088780C">
        <w:rPr>
          <w:rFonts w:eastAsia="MS Mincho"/>
          <w:i/>
          <w:iCs/>
          <w:snapToGrid w:val="0"/>
          <w:kern w:val="22"/>
          <w:szCs w:val="22"/>
        </w:rPr>
        <w:t>nigricollis</w:t>
      </w:r>
      <w:r w:rsidRPr="0088780C">
        <w:rPr>
          <w:rFonts w:eastAsia="MS Mincho"/>
          <w:snapToGrid w:val="0"/>
          <w:kern w:val="22"/>
          <w:szCs w:val="22"/>
        </w:rPr>
        <w:t>) and black-headed gull (</w:t>
      </w:r>
      <w:r w:rsidRPr="0088780C">
        <w:rPr>
          <w:rFonts w:eastAsia="MS Mincho"/>
          <w:i/>
          <w:iCs/>
          <w:snapToGrid w:val="0"/>
          <w:kern w:val="22"/>
          <w:szCs w:val="22"/>
        </w:rPr>
        <w:t>Larus</w:t>
      </w:r>
      <w:r w:rsidRPr="0088780C">
        <w:rPr>
          <w:rFonts w:eastAsia="MS Mincho"/>
          <w:snapToGrid w:val="0"/>
          <w:kern w:val="22"/>
          <w:szCs w:val="22"/>
        </w:rPr>
        <w:t xml:space="preserve"> </w:t>
      </w:r>
      <w:r w:rsidRPr="0088780C">
        <w:rPr>
          <w:rFonts w:eastAsia="MS Mincho"/>
          <w:i/>
          <w:iCs/>
          <w:snapToGrid w:val="0"/>
          <w:kern w:val="22"/>
          <w:szCs w:val="22"/>
        </w:rPr>
        <w:t>ridibundus</w:t>
      </w:r>
      <w:r w:rsidRPr="0088780C">
        <w:rPr>
          <w:rFonts w:eastAsia="MS Mincho"/>
          <w:snapToGrid w:val="0"/>
          <w:kern w:val="22"/>
          <w:szCs w:val="22"/>
        </w:rPr>
        <w:t>), and breeding greater cormorant (</w:t>
      </w:r>
      <w:r w:rsidRPr="0088780C">
        <w:rPr>
          <w:rFonts w:eastAsia="MS Mincho"/>
          <w:i/>
          <w:iCs/>
          <w:snapToGrid w:val="0"/>
          <w:kern w:val="22"/>
          <w:szCs w:val="22"/>
        </w:rPr>
        <w:t>Phalacrocorax</w:t>
      </w:r>
      <w:r w:rsidRPr="0088780C">
        <w:rPr>
          <w:rFonts w:eastAsia="MS Mincho"/>
          <w:snapToGrid w:val="0"/>
          <w:kern w:val="22"/>
          <w:szCs w:val="22"/>
        </w:rPr>
        <w:t xml:space="preserve"> </w:t>
      </w:r>
      <w:r w:rsidRPr="0088780C">
        <w:rPr>
          <w:rFonts w:eastAsia="MS Mincho"/>
          <w:i/>
          <w:iCs/>
          <w:snapToGrid w:val="0"/>
          <w:kern w:val="22"/>
          <w:szCs w:val="22"/>
        </w:rPr>
        <w:t>carbo</w:t>
      </w:r>
      <w:r w:rsidRPr="0088780C">
        <w:rPr>
          <w:rFonts w:eastAsia="MS Mincho"/>
          <w:snapToGrid w:val="0"/>
          <w:kern w:val="22"/>
          <w:szCs w:val="22"/>
        </w:rPr>
        <w:t>) (BirdLife International, 2017; Ramsar Information sheet; Sadeghi-Zadeghan, 2016). Other breeding waterbirds include black-winged stilt, garganey (</w:t>
      </w:r>
      <w:r w:rsidRPr="0088780C">
        <w:rPr>
          <w:rFonts w:eastAsia="MS Mincho"/>
          <w:i/>
          <w:iCs/>
          <w:snapToGrid w:val="0"/>
          <w:kern w:val="22"/>
          <w:szCs w:val="22"/>
        </w:rPr>
        <w:t>Anas</w:t>
      </w:r>
      <w:r w:rsidRPr="0088780C">
        <w:rPr>
          <w:rFonts w:eastAsia="MS Mincho"/>
          <w:snapToGrid w:val="0"/>
          <w:kern w:val="22"/>
          <w:szCs w:val="22"/>
        </w:rPr>
        <w:t xml:space="preserve"> </w:t>
      </w:r>
      <w:r w:rsidRPr="0088780C">
        <w:rPr>
          <w:rFonts w:eastAsia="MS Mincho"/>
          <w:i/>
          <w:iCs/>
          <w:snapToGrid w:val="0"/>
          <w:kern w:val="22"/>
          <w:szCs w:val="22"/>
        </w:rPr>
        <w:t>querquedula)</w:t>
      </w:r>
      <w:r w:rsidRPr="0088780C">
        <w:rPr>
          <w:rFonts w:eastAsia="MS Mincho"/>
          <w:snapToGrid w:val="0"/>
          <w:kern w:val="22"/>
          <w:szCs w:val="22"/>
        </w:rPr>
        <w:t>, collared pratincole (</w:t>
      </w:r>
      <w:r w:rsidRPr="0088780C">
        <w:rPr>
          <w:rFonts w:eastAsia="MS Mincho"/>
          <w:i/>
          <w:iCs/>
          <w:snapToGrid w:val="0"/>
          <w:kern w:val="22"/>
          <w:szCs w:val="22"/>
        </w:rPr>
        <w:t>Glareola</w:t>
      </w:r>
      <w:r w:rsidRPr="0088780C">
        <w:rPr>
          <w:rFonts w:eastAsia="MS Mincho"/>
          <w:snapToGrid w:val="0"/>
          <w:kern w:val="22"/>
          <w:szCs w:val="22"/>
        </w:rPr>
        <w:t xml:space="preserve"> </w:t>
      </w:r>
      <w:r w:rsidRPr="0088780C">
        <w:rPr>
          <w:rFonts w:eastAsia="MS Mincho"/>
          <w:i/>
          <w:iCs/>
          <w:snapToGrid w:val="0"/>
          <w:kern w:val="22"/>
          <w:szCs w:val="22"/>
        </w:rPr>
        <w:t>pratincola)</w:t>
      </w:r>
      <w:r w:rsidRPr="0088780C">
        <w:rPr>
          <w:rFonts w:eastAsia="MS Mincho"/>
          <w:snapToGrid w:val="0"/>
          <w:kern w:val="22"/>
          <w:szCs w:val="22"/>
        </w:rPr>
        <w:t>, little ringed plover (</w:t>
      </w:r>
      <w:r w:rsidRPr="0088780C">
        <w:rPr>
          <w:rFonts w:eastAsia="MS Mincho"/>
          <w:i/>
          <w:iCs/>
          <w:snapToGrid w:val="0"/>
          <w:kern w:val="22"/>
          <w:szCs w:val="22"/>
        </w:rPr>
        <w:t>Charadrius</w:t>
      </w:r>
      <w:r w:rsidRPr="0088780C">
        <w:rPr>
          <w:rFonts w:eastAsia="MS Mincho"/>
          <w:snapToGrid w:val="0"/>
          <w:kern w:val="22"/>
          <w:szCs w:val="22"/>
        </w:rPr>
        <w:t xml:space="preserve"> </w:t>
      </w:r>
      <w:r w:rsidRPr="0088780C">
        <w:rPr>
          <w:rFonts w:eastAsia="MS Mincho"/>
          <w:i/>
          <w:iCs/>
          <w:snapToGrid w:val="0"/>
          <w:kern w:val="22"/>
          <w:szCs w:val="22"/>
        </w:rPr>
        <w:t>dubius)</w:t>
      </w:r>
      <w:r w:rsidRPr="0088780C">
        <w:rPr>
          <w:rFonts w:eastAsia="MS Mincho"/>
          <w:snapToGrid w:val="0"/>
          <w:kern w:val="22"/>
          <w:szCs w:val="22"/>
        </w:rPr>
        <w:t xml:space="preserve"> and the near threatened northern lapwing (</w:t>
      </w:r>
      <w:r w:rsidRPr="0088780C">
        <w:rPr>
          <w:rFonts w:eastAsia="MS Mincho"/>
          <w:i/>
          <w:iCs/>
          <w:snapToGrid w:val="0"/>
          <w:kern w:val="22"/>
          <w:szCs w:val="22"/>
        </w:rPr>
        <w:t>Vanellus</w:t>
      </w:r>
      <w:r w:rsidRPr="0088780C">
        <w:rPr>
          <w:rFonts w:eastAsia="MS Mincho"/>
          <w:snapToGrid w:val="0"/>
          <w:kern w:val="22"/>
          <w:szCs w:val="22"/>
        </w:rPr>
        <w:t xml:space="preserve"> </w:t>
      </w:r>
      <w:r w:rsidRPr="0088780C">
        <w:rPr>
          <w:rFonts w:eastAsia="MS Mincho"/>
          <w:i/>
          <w:iCs/>
          <w:snapToGrid w:val="0"/>
          <w:kern w:val="22"/>
          <w:szCs w:val="22"/>
        </w:rPr>
        <w:t>vanellus)</w:t>
      </w:r>
      <w:r w:rsidRPr="0088780C">
        <w:rPr>
          <w:rFonts w:eastAsia="MS Mincho"/>
          <w:snapToGrid w:val="0"/>
          <w:kern w:val="22"/>
          <w:szCs w:val="22"/>
        </w:rPr>
        <w:t xml:space="preserve"> (Ashoori et al. 2008). At least 60 waterfowl species have been recorded in this area (</w:t>
      </w:r>
      <w:r w:rsidRPr="0088780C">
        <w:rPr>
          <w:snapToGrid w:val="0"/>
          <w:color w:val="222222"/>
          <w:kern w:val="22"/>
          <w:szCs w:val="22"/>
          <w:shd w:val="clear" w:color="auto" w:fill="FFFFFF"/>
        </w:rPr>
        <w:t>Ashouri &amp; Zolfinezhad, 2006</w:t>
      </w:r>
      <w:r w:rsidRPr="0088780C">
        <w:rPr>
          <w:rFonts w:eastAsia="MS Mincho"/>
          <w:snapToGrid w:val="0"/>
          <w:kern w:val="22"/>
          <w:szCs w:val="22"/>
        </w:rPr>
        <w:t>). This area also supports ferruginous duck (</w:t>
      </w:r>
      <w:r w:rsidRPr="0088780C">
        <w:rPr>
          <w:rFonts w:eastAsia="MS Mincho"/>
          <w:i/>
          <w:iCs/>
          <w:snapToGrid w:val="0"/>
          <w:kern w:val="22"/>
          <w:szCs w:val="22"/>
        </w:rPr>
        <w:t>Aythya</w:t>
      </w:r>
      <w:r w:rsidRPr="0088780C">
        <w:rPr>
          <w:rFonts w:eastAsia="MS Mincho"/>
          <w:snapToGrid w:val="0"/>
          <w:kern w:val="22"/>
          <w:szCs w:val="22"/>
        </w:rPr>
        <w:t xml:space="preserve"> </w:t>
      </w:r>
      <w:r w:rsidRPr="0088780C">
        <w:rPr>
          <w:rFonts w:eastAsia="MS Mincho"/>
          <w:i/>
          <w:iCs/>
          <w:snapToGrid w:val="0"/>
          <w:kern w:val="22"/>
          <w:szCs w:val="22"/>
        </w:rPr>
        <w:t>nyroca</w:t>
      </w:r>
      <w:r w:rsidRPr="0088780C">
        <w:rPr>
          <w:rFonts w:eastAsia="MS Mincho"/>
          <w:snapToGrid w:val="0"/>
          <w:kern w:val="22"/>
          <w:szCs w:val="22"/>
        </w:rPr>
        <w:t>), little bustard (</w:t>
      </w:r>
      <w:r w:rsidRPr="0088780C">
        <w:rPr>
          <w:rFonts w:eastAsia="MS Mincho"/>
          <w:i/>
          <w:iCs/>
          <w:snapToGrid w:val="0"/>
          <w:kern w:val="22"/>
          <w:szCs w:val="22"/>
        </w:rPr>
        <w:t>Tetrax</w:t>
      </w:r>
      <w:r w:rsidRPr="0088780C">
        <w:rPr>
          <w:rFonts w:eastAsia="MS Mincho"/>
          <w:snapToGrid w:val="0"/>
          <w:kern w:val="22"/>
          <w:szCs w:val="22"/>
        </w:rPr>
        <w:t xml:space="preserve"> </w:t>
      </w:r>
      <w:r w:rsidRPr="0088780C">
        <w:rPr>
          <w:rFonts w:eastAsia="MS Mincho"/>
          <w:i/>
          <w:iCs/>
          <w:snapToGrid w:val="0"/>
          <w:kern w:val="22"/>
          <w:szCs w:val="22"/>
        </w:rPr>
        <w:t>tetrax</w:t>
      </w:r>
      <w:r w:rsidRPr="0088780C">
        <w:rPr>
          <w:rFonts w:eastAsia="MS Mincho"/>
          <w:snapToGrid w:val="0"/>
          <w:kern w:val="22"/>
          <w:szCs w:val="22"/>
        </w:rPr>
        <w:t>) and corncrake (</w:t>
      </w:r>
      <w:r w:rsidRPr="0088780C">
        <w:rPr>
          <w:rFonts w:eastAsia="MS Mincho"/>
          <w:i/>
          <w:iCs/>
          <w:snapToGrid w:val="0"/>
          <w:kern w:val="22"/>
          <w:szCs w:val="22"/>
        </w:rPr>
        <w:t>Crex</w:t>
      </w:r>
      <w:r w:rsidRPr="0088780C">
        <w:rPr>
          <w:rFonts w:eastAsia="MS Mincho"/>
          <w:snapToGrid w:val="0"/>
          <w:kern w:val="22"/>
          <w:szCs w:val="22"/>
        </w:rPr>
        <w:t xml:space="preserve"> </w:t>
      </w:r>
      <w:r w:rsidRPr="0088780C">
        <w:rPr>
          <w:rFonts w:eastAsia="MS Mincho"/>
          <w:i/>
          <w:iCs/>
          <w:snapToGrid w:val="0"/>
          <w:kern w:val="22"/>
          <w:szCs w:val="22"/>
        </w:rPr>
        <w:t>crex</w:t>
      </w:r>
      <w:r w:rsidRPr="0088780C">
        <w:rPr>
          <w:rFonts w:eastAsia="MS Mincho"/>
          <w:snapToGrid w:val="0"/>
          <w:kern w:val="22"/>
          <w:szCs w:val="22"/>
        </w:rPr>
        <w:t>), pygmy cormorant (</w:t>
      </w:r>
      <w:r w:rsidRPr="0088780C">
        <w:rPr>
          <w:rFonts w:eastAsia="MS Mincho"/>
          <w:i/>
          <w:iCs/>
          <w:snapToGrid w:val="0"/>
          <w:kern w:val="22"/>
          <w:szCs w:val="22"/>
        </w:rPr>
        <w:t>Microcarbo</w:t>
      </w:r>
      <w:r w:rsidRPr="0088780C">
        <w:rPr>
          <w:rFonts w:eastAsia="MS Mincho"/>
          <w:snapToGrid w:val="0"/>
          <w:kern w:val="22"/>
          <w:szCs w:val="22"/>
        </w:rPr>
        <w:t xml:space="preserve"> </w:t>
      </w:r>
      <w:r w:rsidRPr="0088780C">
        <w:rPr>
          <w:rFonts w:eastAsia="MS Mincho"/>
          <w:i/>
          <w:iCs/>
          <w:snapToGrid w:val="0"/>
          <w:kern w:val="22"/>
          <w:szCs w:val="22"/>
        </w:rPr>
        <w:t>pygmaeus</w:t>
      </w:r>
      <w:r w:rsidRPr="0088780C">
        <w:rPr>
          <w:rFonts w:eastAsia="MS Mincho"/>
          <w:snapToGrid w:val="0"/>
          <w:kern w:val="22"/>
          <w:szCs w:val="22"/>
        </w:rPr>
        <w:t>) (up to 300), ducks, shorebirds, gulls and terns, and the raptors marsh harrier (</w:t>
      </w:r>
      <w:r w:rsidRPr="0088780C">
        <w:rPr>
          <w:rFonts w:eastAsia="MS Mincho"/>
          <w:i/>
          <w:iCs/>
          <w:snapToGrid w:val="0"/>
          <w:kern w:val="22"/>
          <w:szCs w:val="22"/>
        </w:rPr>
        <w:t>Circus</w:t>
      </w:r>
      <w:r w:rsidRPr="0088780C">
        <w:rPr>
          <w:rFonts w:eastAsia="MS Mincho"/>
          <w:snapToGrid w:val="0"/>
          <w:kern w:val="22"/>
          <w:szCs w:val="22"/>
        </w:rPr>
        <w:t xml:space="preserve"> </w:t>
      </w:r>
      <w:r w:rsidRPr="0088780C">
        <w:rPr>
          <w:rFonts w:eastAsia="MS Mincho"/>
          <w:i/>
          <w:iCs/>
          <w:snapToGrid w:val="0"/>
          <w:kern w:val="22"/>
          <w:szCs w:val="22"/>
        </w:rPr>
        <w:t>aeruginosus</w:t>
      </w:r>
      <w:r w:rsidRPr="0088780C">
        <w:rPr>
          <w:rFonts w:eastAsia="MS Mincho"/>
          <w:snapToGrid w:val="0"/>
          <w:kern w:val="22"/>
          <w:szCs w:val="22"/>
        </w:rPr>
        <w:t>) and merlin (</w:t>
      </w:r>
      <w:r w:rsidRPr="0088780C">
        <w:rPr>
          <w:rFonts w:eastAsia="MS Mincho"/>
          <w:i/>
          <w:iCs/>
          <w:snapToGrid w:val="0"/>
          <w:kern w:val="22"/>
          <w:szCs w:val="22"/>
        </w:rPr>
        <w:t>Falco</w:t>
      </w:r>
      <w:r w:rsidRPr="0088780C">
        <w:rPr>
          <w:rFonts w:eastAsia="MS Mincho"/>
          <w:snapToGrid w:val="0"/>
          <w:kern w:val="22"/>
          <w:szCs w:val="22"/>
        </w:rPr>
        <w:t xml:space="preserve"> </w:t>
      </w:r>
      <w:r w:rsidRPr="0088780C">
        <w:rPr>
          <w:rFonts w:eastAsia="MS Mincho"/>
          <w:i/>
          <w:iCs/>
          <w:snapToGrid w:val="0"/>
          <w:kern w:val="22"/>
          <w:szCs w:val="22"/>
        </w:rPr>
        <w:t>columbarius</w:t>
      </w:r>
      <w:r w:rsidRPr="0088780C">
        <w:rPr>
          <w:rFonts w:eastAsia="MS Mincho"/>
          <w:snapToGrid w:val="0"/>
          <w:kern w:val="22"/>
          <w:szCs w:val="22"/>
        </w:rPr>
        <w:t>). A flock of Dalmatian pelican (</w:t>
      </w:r>
      <w:r w:rsidRPr="0088780C">
        <w:rPr>
          <w:rFonts w:eastAsia="MS Mincho"/>
          <w:i/>
          <w:iCs/>
          <w:snapToGrid w:val="0"/>
          <w:kern w:val="22"/>
          <w:szCs w:val="22"/>
        </w:rPr>
        <w:t>Pelecanus</w:t>
      </w:r>
      <w:r w:rsidRPr="0088780C">
        <w:rPr>
          <w:rFonts w:eastAsia="MS Mincho"/>
          <w:snapToGrid w:val="0"/>
          <w:kern w:val="22"/>
          <w:szCs w:val="22"/>
        </w:rPr>
        <w:t xml:space="preserve"> </w:t>
      </w:r>
      <w:r w:rsidRPr="0088780C">
        <w:rPr>
          <w:rFonts w:eastAsia="MS Mincho"/>
          <w:i/>
          <w:iCs/>
          <w:snapToGrid w:val="0"/>
          <w:kern w:val="22"/>
          <w:szCs w:val="22"/>
        </w:rPr>
        <w:t>crispus</w:t>
      </w:r>
      <w:r w:rsidRPr="0088780C">
        <w:rPr>
          <w:rFonts w:eastAsia="MS Mincho"/>
          <w:snapToGrid w:val="0"/>
          <w:kern w:val="22"/>
          <w:szCs w:val="22"/>
        </w:rPr>
        <w:t>) (usually 30–40 birds) wintered at the mouth of the Sefidroud Delta in the 1970s. The lesser white-fronted goose (</w:t>
      </w:r>
      <w:r w:rsidRPr="0088780C">
        <w:rPr>
          <w:rFonts w:eastAsia="MS Mincho"/>
          <w:i/>
          <w:iCs/>
          <w:snapToGrid w:val="0"/>
          <w:kern w:val="22"/>
          <w:szCs w:val="22"/>
        </w:rPr>
        <w:t>Anser</w:t>
      </w:r>
      <w:r w:rsidRPr="0088780C">
        <w:rPr>
          <w:rFonts w:eastAsia="MS Mincho"/>
          <w:snapToGrid w:val="0"/>
          <w:kern w:val="22"/>
          <w:szCs w:val="22"/>
        </w:rPr>
        <w:t xml:space="preserve"> </w:t>
      </w:r>
      <w:r w:rsidRPr="0088780C">
        <w:rPr>
          <w:rFonts w:eastAsia="MS Mincho"/>
          <w:i/>
          <w:iCs/>
          <w:snapToGrid w:val="0"/>
          <w:kern w:val="22"/>
          <w:szCs w:val="22"/>
        </w:rPr>
        <w:t>erythropus</w:t>
      </w:r>
      <w:r w:rsidRPr="0088780C">
        <w:rPr>
          <w:rFonts w:eastAsia="MS Mincho"/>
          <w:snapToGrid w:val="0"/>
          <w:kern w:val="22"/>
          <w:szCs w:val="22"/>
        </w:rPr>
        <w:t>) was also an occasional winter visitor to the area in the 1970s. The open grassy areas and dunes near the estuary provide breeding habitat for 20–30 pairs of common pratincole (</w:t>
      </w:r>
      <w:r w:rsidRPr="0088780C">
        <w:rPr>
          <w:rFonts w:eastAsia="MS Mincho"/>
          <w:i/>
          <w:iCs/>
          <w:snapToGrid w:val="0"/>
          <w:kern w:val="22"/>
          <w:szCs w:val="22"/>
        </w:rPr>
        <w:t>Glareola</w:t>
      </w:r>
      <w:r w:rsidRPr="0088780C">
        <w:rPr>
          <w:rFonts w:eastAsia="MS Mincho"/>
          <w:snapToGrid w:val="0"/>
          <w:kern w:val="22"/>
          <w:szCs w:val="22"/>
        </w:rPr>
        <w:t xml:space="preserve"> </w:t>
      </w:r>
      <w:r w:rsidRPr="0088780C">
        <w:rPr>
          <w:rFonts w:eastAsia="MS Mincho"/>
          <w:i/>
          <w:iCs/>
          <w:snapToGrid w:val="0"/>
          <w:kern w:val="22"/>
          <w:szCs w:val="22"/>
        </w:rPr>
        <w:t>pratincola</w:t>
      </w:r>
      <w:r w:rsidRPr="0088780C">
        <w:rPr>
          <w:rFonts w:eastAsia="MS Mincho"/>
          <w:snapToGrid w:val="0"/>
          <w:kern w:val="22"/>
          <w:szCs w:val="22"/>
        </w:rPr>
        <w:t>), black-winged stilt (</w:t>
      </w:r>
      <w:r w:rsidRPr="0088780C">
        <w:rPr>
          <w:rFonts w:eastAsia="MS Mincho"/>
          <w:i/>
          <w:iCs/>
          <w:snapToGrid w:val="0"/>
          <w:kern w:val="22"/>
          <w:szCs w:val="22"/>
        </w:rPr>
        <w:t>Himantopus</w:t>
      </w:r>
      <w:r w:rsidRPr="0088780C">
        <w:rPr>
          <w:rFonts w:eastAsia="MS Mincho"/>
          <w:snapToGrid w:val="0"/>
          <w:kern w:val="22"/>
          <w:szCs w:val="22"/>
        </w:rPr>
        <w:t xml:space="preserve"> </w:t>
      </w:r>
      <w:r w:rsidRPr="0088780C">
        <w:rPr>
          <w:rFonts w:eastAsia="MS Mincho"/>
          <w:i/>
          <w:iCs/>
          <w:snapToGrid w:val="0"/>
          <w:kern w:val="22"/>
          <w:szCs w:val="22"/>
        </w:rPr>
        <w:t>himantopus</w:t>
      </w:r>
      <w:r w:rsidRPr="0088780C">
        <w:rPr>
          <w:rFonts w:eastAsia="MS Mincho"/>
          <w:snapToGrid w:val="0"/>
          <w:kern w:val="22"/>
          <w:szCs w:val="22"/>
        </w:rPr>
        <w:t>), and little ringed plover (</w:t>
      </w:r>
      <w:r w:rsidRPr="0088780C">
        <w:rPr>
          <w:rFonts w:eastAsia="MS Mincho"/>
          <w:i/>
          <w:iCs/>
          <w:snapToGrid w:val="0"/>
          <w:kern w:val="22"/>
          <w:szCs w:val="22"/>
        </w:rPr>
        <w:t>Charadrius</w:t>
      </w:r>
      <w:r w:rsidRPr="0088780C">
        <w:rPr>
          <w:rFonts w:eastAsia="MS Mincho"/>
          <w:snapToGrid w:val="0"/>
          <w:kern w:val="22"/>
          <w:szCs w:val="22"/>
        </w:rPr>
        <w:t xml:space="preserve"> </w:t>
      </w:r>
      <w:r w:rsidRPr="0088780C">
        <w:rPr>
          <w:rFonts w:eastAsia="MS Mincho"/>
          <w:i/>
          <w:iCs/>
          <w:snapToGrid w:val="0"/>
          <w:kern w:val="22"/>
          <w:szCs w:val="22"/>
        </w:rPr>
        <w:t>dubius</w:t>
      </w:r>
      <w:r w:rsidRPr="0088780C">
        <w:rPr>
          <w:rFonts w:eastAsia="MS Mincho"/>
          <w:snapToGrid w:val="0"/>
          <w:kern w:val="22"/>
          <w:szCs w:val="22"/>
        </w:rPr>
        <w:t>), while a small patch of woodland to the south of the lagoon supports a large breeding colony of herons and egrets (Carp, 1980; Evans 1994).</w:t>
      </w:r>
    </w:p>
    <w:p w14:paraId="10A209F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33661E5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Sefidroud estuary can be considered as a potential wintering site of the critically endangered Siberian crane </w:t>
      </w:r>
      <w:r w:rsidRPr="0088780C">
        <w:rPr>
          <w:rFonts w:eastAsia="MS Mincho"/>
          <w:i/>
          <w:iCs/>
          <w:snapToGrid w:val="0"/>
          <w:kern w:val="22"/>
          <w:szCs w:val="22"/>
        </w:rPr>
        <w:t>Leucogeranus</w:t>
      </w:r>
      <w:r w:rsidRPr="0088780C">
        <w:rPr>
          <w:rFonts w:eastAsia="MS Mincho"/>
          <w:snapToGrid w:val="0"/>
          <w:kern w:val="22"/>
          <w:szCs w:val="22"/>
        </w:rPr>
        <w:t xml:space="preserve"> </w:t>
      </w:r>
      <w:r w:rsidRPr="0088780C">
        <w:rPr>
          <w:rFonts w:eastAsia="MS Mincho"/>
          <w:i/>
          <w:iCs/>
          <w:snapToGrid w:val="0"/>
          <w:kern w:val="22"/>
          <w:szCs w:val="22"/>
        </w:rPr>
        <w:t>leucogeranus</w:t>
      </w:r>
      <w:r w:rsidRPr="0088780C">
        <w:rPr>
          <w:rFonts w:eastAsia="MS Mincho"/>
          <w:snapToGrid w:val="0"/>
          <w:kern w:val="22"/>
          <w:szCs w:val="22"/>
        </w:rPr>
        <w:t>. It was also included in the Western/Central Asian Site Network for the Siberian Crane and Other Waterbirds when this network was launched in May 2007 (Sadeghi-Zadegan, 2016; Sadeghi-Zadegan &amp; Fazeli 2007; UNEP/CMS 2008, 2011; Ilyashenko 2010).</w:t>
      </w:r>
    </w:p>
    <w:p w14:paraId="6FA65A2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A1BA1D2" w14:textId="24CF8D04" w:rsidR="00A876F3" w:rsidRPr="0088780C" w:rsidRDefault="00A876F3" w:rsidP="0097376A">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Sefidroud Delta is important for its role in supporting fish diversity. At least 36 fish species (85% of south Caspian fish fauna) have been recorded in Sefidroud River (Abdoli &amp; Naderi, 2009; Kiabi et a</w:t>
      </w:r>
      <w:r w:rsidR="008D68D9" w:rsidRPr="0088780C">
        <w:rPr>
          <w:rFonts w:eastAsia="MS Mincho"/>
          <w:snapToGrid w:val="0"/>
          <w:kern w:val="22"/>
          <w:szCs w:val="22"/>
        </w:rPr>
        <w:t>l</w:t>
      </w:r>
      <w:r w:rsidRPr="0088780C">
        <w:rPr>
          <w:rFonts w:eastAsia="MS Mincho"/>
          <w:snapToGrid w:val="0"/>
          <w:kern w:val="22"/>
          <w:szCs w:val="22"/>
        </w:rPr>
        <w:t xml:space="preserve">., 1999a) including: </w:t>
      </w:r>
      <w:r w:rsidRPr="0088780C">
        <w:rPr>
          <w:rFonts w:eastAsia="MS Mincho"/>
          <w:i/>
          <w:iCs/>
          <w:snapToGrid w:val="0"/>
          <w:kern w:val="22"/>
          <w:szCs w:val="22"/>
        </w:rPr>
        <w:t>Acanthalburnus microlepis, Acipenser gueldenstaedtii, A. stellatus, A. nudiventris, A. persicus, Alburnoides bipunctatus, Alburnus alburnus, A. chalcoides, A. filippi, Aspius aspius, Barbatula bergiana, B. angorae, Barbus lacerta, B. mursa, Blicca bjoerkna, Capoeta capoeta gracilis, Caspiomyzon wagneri, Cobitis taenia, Cyprinus carpio, Esox lucius, Huso huso, Leuciscus cephalus, Luciobarbus capio, Neogobius fluviatilis, N. gorlap, N. melanostomus, Pelecus cultratus, Rutilus rutilus caspicus natio kurensis, Rhodeus amarus, Rutilus frisii kutum, Sabanejewia aurata, S. caspia, Salmo trutta fario, Silurus glanis, Tinca tinca and Vimba vimba persa</w:t>
      </w:r>
      <w:r w:rsidRPr="0088780C">
        <w:rPr>
          <w:rFonts w:eastAsia="MS Mincho"/>
          <w:iCs/>
          <w:snapToGrid w:val="0"/>
          <w:kern w:val="22"/>
          <w:szCs w:val="22"/>
        </w:rPr>
        <w:t>.</w:t>
      </w:r>
    </w:p>
    <w:p w14:paraId="111BDD9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510BDB3" w14:textId="77FDA87E"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Five Critically endangered sturgeon, Russian sturgeon (</w:t>
      </w:r>
      <w:r w:rsidRPr="0088780C">
        <w:rPr>
          <w:rFonts w:eastAsia="MS Mincho"/>
          <w:i/>
          <w:iCs/>
          <w:snapToGrid w:val="0"/>
          <w:kern w:val="22"/>
          <w:szCs w:val="22"/>
        </w:rPr>
        <w:t>Acipenser</w:t>
      </w:r>
      <w:r w:rsidRPr="0088780C">
        <w:rPr>
          <w:rFonts w:eastAsia="MS Mincho"/>
          <w:snapToGrid w:val="0"/>
          <w:kern w:val="22"/>
          <w:szCs w:val="22"/>
        </w:rPr>
        <w:t xml:space="preserve"> </w:t>
      </w:r>
      <w:r w:rsidRPr="0088780C">
        <w:rPr>
          <w:rFonts w:eastAsia="MS Mincho"/>
          <w:i/>
          <w:iCs/>
          <w:snapToGrid w:val="0"/>
          <w:kern w:val="22"/>
          <w:szCs w:val="22"/>
        </w:rPr>
        <w:t>gueldenstaedtii</w:t>
      </w:r>
      <w:r w:rsidRPr="0088780C">
        <w:rPr>
          <w:rFonts w:eastAsia="MS Mincho"/>
          <w:snapToGrid w:val="0"/>
          <w:kern w:val="22"/>
          <w:szCs w:val="22"/>
        </w:rPr>
        <w:t>), stellate sturgeon (</w:t>
      </w:r>
      <w:r w:rsidRPr="0088780C">
        <w:rPr>
          <w:rFonts w:eastAsia="MS Mincho"/>
          <w:i/>
          <w:iCs/>
          <w:snapToGrid w:val="0"/>
          <w:kern w:val="22"/>
          <w:szCs w:val="22"/>
        </w:rPr>
        <w:t>A. stellatus</w:t>
      </w:r>
      <w:r w:rsidRPr="0088780C">
        <w:rPr>
          <w:rFonts w:eastAsia="MS Mincho"/>
          <w:snapToGrid w:val="0"/>
          <w:kern w:val="22"/>
          <w:szCs w:val="22"/>
        </w:rPr>
        <w:t>), bastard sturgeon (</w:t>
      </w:r>
      <w:r w:rsidRPr="0088780C">
        <w:rPr>
          <w:rFonts w:eastAsia="MS Mincho"/>
          <w:i/>
          <w:snapToGrid w:val="0"/>
          <w:kern w:val="22"/>
          <w:szCs w:val="22"/>
        </w:rPr>
        <w:t>A. nudiventris</w:t>
      </w:r>
      <w:r w:rsidRPr="0088780C">
        <w:rPr>
          <w:rFonts w:eastAsia="MS Mincho"/>
          <w:iCs/>
          <w:snapToGrid w:val="0"/>
          <w:kern w:val="22"/>
          <w:szCs w:val="22"/>
        </w:rPr>
        <w:t>), Persian sturgeon (</w:t>
      </w:r>
      <w:r w:rsidRPr="0088780C">
        <w:rPr>
          <w:rFonts w:eastAsia="MS Mincho"/>
          <w:i/>
          <w:snapToGrid w:val="0"/>
          <w:kern w:val="22"/>
          <w:szCs w:val="22"/>
        </w:rPr>
        <w:t>A.</w:t>
      </w:r>
      <w:r w:rsidRPr="0088780C">
        <w:rPr>
          <w:rFonts w:eastAsia="MS Mincho"/>
          <w:iCs/>
          <w:snapToGrid w:val="0"/>
          <w:kern w:val="22"/>
          <w:szCs w:val="22"/>
        </w:rPr>
        <w:t xml:space="preserve"> </w:t>
      </w:r>
      <w:r w:rsidRPr="0088780C">
        <w:rPr>
          <w:rFonts w:eastAsia="MS Mincho"/>
          <w:i/>
          <w:snapToGrid w:val="0"/>
          <w:kern w:val="22"/>
          <w:szCs w:val="22"/>
        </w:rPr>
        <w:t>persicus</w:t>
      </w:r>
      <w:r w:rsidRPr="0088780C">
        <w:rPr>
          <w:rFonts w:eastAsia="MS Mincho"/>
          <w:iCs/>
          <w:snapToGrid w:val="0"/>
          <w:kern w:val="22"/>
          <w:szCs w:val="22"/>
        </w:rPr>
        <w:t>),</w:t>
      </w:r>
      <w:r w:rsidRPr="0088780C">
        <w:rPr>
          <w:rFonts w:eastAsia="MS Mincho"/>
          <w:snapToGrid w:val="0"/>
          <w:kern w:val="22"/>
          <w:szCs w:val="22"/>
        </w:rPr>
        <w:t xml:space="preserve"> and beluga sturgeon (</w:t>
      </w:r>
      <w:r w:rsidRPr="0088780C">
        <w:rPr>
          <w:rFonts w:eastAsia="MS Mincho"/>
          <w:i/>
          <w:iCs/>
          <w:snapToGrid w:val="0"/>
          <w:kern w:val="22"/>
          <w:szCs w:val="22"/>
        </w:rPr>
        <w:t>Huso</w:t>
      </w:r>
      <w:r w:rsidRPr="0088780C">
        <w:rPr>
          <w:rFonts w:eastAsia="MS Mincho"/>
          <w:snapToGrid w:val="0"/>
          <w:kern w:val="22"/>
          <w:szCs w:val="22"/>
        </w:rPr>
        <w:t xml:space="preserve"> </w:t>
      </w:r>
      <w:r w:rsidRPr="0088780C">
        <w:rPr>
          <w:rFonts w:eastAsia="MS Mincho"/>
          <w:i/>
          <w:iCs/>
          <w:snapToGrid w:val="0"/>
          <w:kern w:val="22"/>
          <w:szCs w:val="22"/>
        </w:rPr>
        <w:t>huso</w:t>
      </w:r>
      <w:r w:rsidRPr="0088780C">
        <w:rPr>
          <w:rFonts w:eastAsia="MS Mincho"/>
          <w:snapToGrid w:val="0"/>
          <w:kern w:val="22"/>
          <w:szCs w:val="22"/>
        </w:rPr>
        <w:t xml:space="preserve">), migrate to the estuary of Sefidroud Delta (Abdolhay, 2004; </w:t>
      </w:r>
      <w:r w:rsidRPr="0088780C">
        <w:rPr>
          <w:snapToGrid w:val="0"/>
          <w:kern w:val="22"/>
          <w:szCs w:val="22"/>
          <w:shd w:val="clear" w:color="auto" w:fill="FFFFFF"/>
        </w:rPr>
        <w:t xml:space="preserve">Abdoli, &amp; Naderi, 2009; </w:t>
      </w:r>
      <w:r w:rsidRPr="0088780C">
        <w:rPr>
          <w:rFonts w:eastAsia="MS Mincho"/>
          <w:snapToGrid w:val="0"/>
          <w:kern w:val="22"/>
          <w:szCs w:val="22"/>
        </w:rPr>
        <w:t xml:space="preserve">Lulayee, 1996; Ramin, 1998). </w:t>
      </w:r>
      <w:r w:rsidRPr="0088780C">
        <w:rPr>
          <w:rFonts w:eastAsia="MS Mincho"/>
          <w:iCs/>
          <w:snapToGrid w:val="0"/>
          <w:kern w:val="22"/>
          <w:szCs w:val="22"/>
        </w:rPr>
        <w:t xml:space="preserve">Beluga sturgeon migrate to the Sefidroud River in early spring. They feed on gobies, shads and carp, and, during their first month of life in the sea, on Mysidaca. The Persian sturgeon and </w:t>
      </w:r>
      <w:r w:rsidRPr="0088780C">
        <w:rPr>
          <w:rFonts w:eastAsia="MS Mincho"/>
          <w:snapToGrid w:val="0"/>
          <w:kern w:val="22"/>
          <w:szCs w:val="22"/>
        </w:rPr>
        <w:t xml:space="preserve">stellate sturgeon </w:t>
      </w:r>
      <w:r w:rsidRPr="0088780C">
        <w:rPr>
          <w:rFonts w:eastAsia="MS Mincho"/>
          <w:iCs/>
          <w:snapToGrid w:val="0"/>
          <w:kern w:val="22"/>
          <w:szCs w:val="22"/>
        </w:rPr>
        <w:t xml:space="preserve">spawn in late spring, and their fingerlings are stocked in May. </w:t>
      </w:r>
      <w:r w:rsidRPr="0088780C">
        <w:rPr>
          <w:rFonts w:eastAsia="MS Mincho"/>
          <w:snapToGrid w:val="0"/>
          <w:kern w:val="22"/>
          <w:szCs w:val="22"/>
        </w:rPr>
        <w:t>Also, southern Caspian kutum (</w:t>
      </w:r>
      <w:r w:rsidRPr="0088780C">
        <w:rPr>
          <w:rFonts w:eastAsia="MS Mincho"/>
          <w:i/>
          <w:iCs/>
          <w:snapToGrid w:val="0"/>
          <w:kern w:val="22"/>
          <w:szCs w:val="22"/>
        </w:rPr>
        <w:t>Rutilus</w:t>
      </w:r>
      <w:r w:rsidRPr="0088780C">
        <w:rPr>
          <w:rFonts w:eastAsia="MS Mincho"/>
          <w:snapToGrid w:val="0"/>
          <w:kern w:val="22"/>
          <w:szCs w:val="22"/>
        </w:rPr>
        <w:t xml:space="preserve"> </w:t>
      </w:r>
      <w:r w:rsidRPr="0088780C">
        <w:rPr>
          <w:rFonts w:eastAsia="MS Mincho"/>
          <w:i/>
          <w:iCs/>
          <w:snapToGrid w:val="0"/>
          <w:kern w:val="22"/>
          <w:szCs w:val="22"/>
        </w:rPr>
        <w:t>frisii</w:t>
      </w:r>
      <w:r w:rsidRPr="0088780C">
        <w:rPr>
          <w:rFonts w:eastAsia="MS Mincho"/>
          <w:snapToGrid w:val="0"/>
          <w:kern w:val="22"/>
          <w:szCs w:val="22"/>
        </w:rPr>
        <w:t xml:space="preserve"> </w:t>
      </w:r>
      <w:r w:rsidRPr="0088780C">
        <w:rPr>
          <w:rFonts w:eastAsia="MS Mincho"/>
          <w:i/>
          <w:iCs/>
          <w:snapToGrid w:val="0"/>
          <w:kern w:val="22"/>
          <w:szCs w:val="22"/>
        </w:rPr>
        <w:t>kutum</w:t>
      </w:r>
      <w:r w:rsidRPr="0088780C">
        <w:rPr>
          <w:rFonts w:eastAsia="MS Mincho"/>
          <w:snapToGrid w:val="0"/>
          <w:kern w:val="22"/>
          <w:szCs w:val="22"/>
        </w:rPr>
        <w:t>) and vimba (</w:t>
      </w:r>
      <w:r w:rsidRPr="0088780C">
        <w:rPr>
          <w:rFonts w:eastAsia="MS Mincho"/>
          <w:i/>
          <w:iCs/>
          <w:snapToGrid w:val="0"/>
          <w:kern w:val="22"/>
          <w:szCs w:val="22"/>
        </w:rPr>
        <w:t>Vimba</w:t>
      </w:r>
      <w:r w:rsidRPr="0088780C">
        <w:rPr>
          <w:rFonts w:eastAsia="MS Mincho"/>
          <w:snapToGrid w:val="0"/>
          <w:kern w:val="22"/>
          <w:szCs w:val="22"/>
        </w:rPr>
        <w:t xml:space="preserve"> </w:t>
      </w:r>
      <w:r w:rsidRPr="0088780C">
        <w:rPr>
          <w:rFonts w:eastAsia="MS Mincho"/>
          <w:i/>
          <w:iCs/>
          <w:snapToGrid w:val="0"/>
          <w:kern w:val="22"/>
          <w:szCs w:val="22"/>
        </w:rPr>
        <w:t>vimba</w:t>
      </w:r>
      <w:r w:rsidRPr="0088780C">
        <w:rPr>
          <w:rFonts w:eastAsia="MS Mincho"/>
          <w:snapToGrid w:val="0"/>
          <w:kern w:val="22"/>
          <w:szCs w:val="22"/>
        </w:rPr>
        <w:t>) are important migratory fish species in this area. These species enter the freshwater of the Sefidroud by the end of winter and beginning of spring for breeding and spawning (Abdolhay, 2004; Sadeghi-Zadegan, 2016).</w:t>
      </w:r>
    </w:p>
    <w:p w14:paraId="1E4A5FA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645868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Sefidroud Delta is also suggested as a possible Seal Special Protected Area (SSPA) in the south Caspian Sea (Caspeco, 2011; CEP, 2010; Wilson &amp; Goodman, 2012).</w:t>
      </w:r>
    </w:p>
    <w:p w14:paraId="5446CD99"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3B4A3748"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w:t>
      </w:r>
      <w:r w:rsidRPr="0088780C">
        <w:rPr>
          <w:rFonts w:eastAsia="MS Mincho"/>
          <w:i/>
          <w:snapToGrid w:val="0"/>
          <w:kern w:val="22"/>
          <w:szCs w:val="22"/>
        </w:rPr>
        <w:t>Bacillariophytes</w:t>
      </w:r>
      <w:r w:rsidRPr="0088780C">
        <w:rPr>
          <w:rFonts w:eastAsia="MS Mincho"/>
          <w:iCs/>
          <w:snapToGrid w:val="0"/>
          <w:kern w:val="22"/>
          <w:szCs w:val="22"/>
        </w:rPr>
        <w:t xml:space="preserve">, </w:t>
      </w:r>
      <w:r w:rsidRPr="0088780C">
        <w:rPr>
          <w:rFonts w:eastAsia="MS Mincho"/>
          <w:i/>
          <w:snapToGrid w:val="0"/>
          <w:kern w:val="22"/>
          <w:szCs w:val="22"/>
        </w:rPr>
        <w:t>Cyanophytes</w:t>
      </w:r>
      <w:r w:rsidRPr="0088780C">
        <w:rPr>
          <w:rFonts w:eastAsia="MS Mincho"/>
          <w:iCs/>
          <w:snapToGrid w:val="0"/>
          <w:kern w:val="22"/>
          <w:szCs w:val="22"/>
        </w:rPr>
        <w:t xml:space="preserve">, </w:t>
      </w:r>
      <w:r w:rsidRPr="0088780C">
        <w:rPr>
          <w:rFonts w:eastAsia="MS Mincho"/>
          <w:i/>
          <w:snapToGrid w:val="0"/>
          <w:kern w:val="22"/>
          <w:szCs w:val="22"/>
        </w:rPr>
        <w:t>Chlorophytes</w:t>
      </w:r>
      <w:r w:rsidRPr="0088780C">
        <w:rPr>
          <w:rFonts w:eastAsia="MS Mincho"/>
          <w:iCs/>
          <w:snapToGrid w:val="0"/>
          <w:kern w:val="22"/>
          <w:szCs w:val="22"/>
        </w:rPr>
        <w:t xml:space="preserve">, </w:t>
      </w:r>
      <w:r w:rsidRPr="0088780C">
        <w:rPr>
          <w:rFonts w:eastAsia="MS Mincho"/>
          <w:i/>
          <w:snapToGrid w:val="0"/>
          <w:kern w:val="22"/>
          <w:szCs w:val="22"/>
        </w:rPr>
        <w:t>Pyrophytes</w:t>
      </w:r>
      <w:r w:rsidRPr="0088780C">
        <w:rPr>
          <w:rFonts w:eastAsia="MS Mincho"/>
          <w:iCs/>
          <w:snapToGrid w:val="0"/>
          <w:kern w:val="22"/>
          <w:szCs w:val="22"/>
        </w:rPr>
        <w:t xml:space="preserve"> and </w:t>
      </w:r>
      <w:r w:rsidRPr="0088780C">
        <w:rPr>
          <w:rFonts w:eastAsia="MS Mincho"/>
          <w:i/>
          <w:snapToGrid w:val="0"/>
          <w:kern w:val="22"/>
          <w:szCs w:val="22"/>
        </w:rPr>
        <w:t>Euglenophytes</w:t>
      </w:r>
      <w:r w:rsidRPr="0088780C">
        <w:rPr>
          <w:rFonts w:eastAsia="MS Mincho"/>
          <w:iCs/>
          <w:snapToGrid w:val="0"/>
          <w:kern w:val="22"/>
          <w:szCs w:val="22"/>
        </w:rPr>
        <w:t xml:space="preserve"> are the dominant phytoplankton groups in this shallow and turbid estuary of </w:t>
      </w:r>
      <w:r w:rsidRPr="0088780C">
        <w:rPr>
          <w:rFonts w:eastAsia="MS Mincho"/>
          <w:snapToGrid w:val="0"/>
          <w:kern w:val="22"/>
          <w:szCs w:val="22"/>
        </w:rPr>
        <w:t>Sefidroud Delta (Rahimibashr et al., 2009)</w:t>
      </w:r>
      <w:r w:rsidRPr="0088780C">
        <w:rPr>
          <w:rFonts w:eastAsia="MS Mincho"/>
          <w:iCs/>
          <w:snapToGrid w:val="0"/>
          <w:kern w:val="22"/>
          <w:szCs w:val="22"/>
        </w:rPr>
        <w:t xml:space="preserve">. The diversity and abundance of phytoplankton has a seasonal pattern, while </w:t>
      </w:r>
      <w:r w:rsidRPr="0088780C">
        <w:rPr>
          <w:rFonts w:eastAsia="MS Mincho"/>
          <w:i/>
          <w:snapToGrid w:val="0"/>
          <w:kern w:val="22"/>
          <w:szCs w:val="22"/>
        </w:rPr>
        <w:t>Diatomas</w:t>
      </w:r>
      <w:r w:rsidRPr="0088780C">
        <w:rPr>
          <w:rFonts w:eastAsia="MS Mincho"/>
          <w:iCs/>
          <w:snapToGrid w:val="0"/>
          <w:kern w:val="22"/>
          <w:szCs w:val="22"/>
        </w:rPr>
        <w:t xml:space="preserve"> and </w:t>
      </w:r>
      <w:r w:rsidRPr="0088780C">
        <w:rPr>
          <w:rFonts w:eastAsia="MS Mincho"/>
          <w:i/>
          <w:snapToGrid w:val="0"/>
          <w:kern w:val="22"/>
          <w:szCs w:val="22"/>
        </w:rPr>
        <w:t>Chrysophytes</w:t>
      </w:r>
      <w:r w:rsidRPr="0088780C">
        <w:rPr>
          <w:rFonts w:eastAsia="MS Mincho"/>
          <w:iCs/>
          <w:snapToGrid w:val="0"/>
          <w:kern w:val="22"/>
          <w:szCs w:val="22"/>
        </w:rPr>
        <w:t xml:space="preserve"> are dominant throughout the year; </w:t>
      </w:r>
      <w:r w:rsidRPr="0088780C">
        <w:rPr>
          <w:rFonts w:eastAsia="MS Mincho"/>
          <w:i/>
          <w:snapToGrid w:val="0"/>
          <w:kern w:val="22"/>
          <w:szCs w:val="22"/>
        </w:rPr>
        <w:t>Cyanophytes</w:t>
      </w:r>
      <w:r w:rsidRPr="0088780C">
        <w:rPr>
          <w:rFonts w:eastAsia="MS Mincho"/>
          <w:iCs/>
          <w:snapToGrid w:val="0"/>
          <w:kern w:val="22"/>
          <w:szCs w:val="22"/>
        </w:rPr>
        <w:t xml:space="preserve"> occurs during the summer. The zooplankton community structure of the area is dominated by copepods, which comprise 68% of the total zooplankton </w:t>
      </w:r>
      <w:r w:rsidRPr="0088780C">
        <w:rPr>
          <w:rFonts w:eastAsia="MS Mincho"/>
          <w:snapToGrid w:val="0"/>
          <w:kern w:val="22"/>
          <w:szCs w:val="22"/>
        </w:rPr>
        <w:t>(Rahimibashr et al., 2009)</w:t>
      </w:r>
      <w:r w:rsidRPr="0088780C">
        <w:rPr>
          <w:rFonts w:eastAsia="MS Mincho"/>
          <w:iCs/>
          <w:snapToGrid w:val="0"/>
          <w:kern w:val="22"/>
          <w:szCs w:val="22"/>
        </w:rPr>
        <w:t>.</w:t>
      </w:r>
    </w:p>
    <w:p w14:paraId="293790B0"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53B6670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179AA4F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The construction of Manjil and Tarik dams has had adverse impacts on the natural flow regime of Sefidroud River and on migratory species, especially sturgeon. The number of wintering waterfowl has decreased considerably since the 1970s due to increased disturbance from human activities (BirdLife International, 2017, Evans, 1994). The area is close to the city of Kiashahr, and human activities, including hunting, fishing and agricultural and urban runoff, have adverse impacts on the ecosystems of Sefidroud Delta.</w:t>
      </w:r>
    </w:p>
    <w:p w14:paraId="22B7B7D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p w14:paraId="2AA37FF3" w14:textId="5935D140"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 area against CBD EBSA Criteria</w:t>
      </w:r>
    </w:p>
    <w:p w14:paraId="5D7061B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62D8AC4B" w14:textId="77777777" w:rsidTr="006972AD">
        <w:trPr>
          <w:jc w:val="center"/>
        </w:trPr>
        <w:tc>
          <w:tcPr>
            <w:tcW w:w="779" w:type="pct"/>
            <w:vMerge w:val="restart"/>
            <w:shd w:val="clear" w:color="auto" w:fill="auto"/>
          </w:tcPr>
          <w:p w14:paraId="3B61C4E2"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CBD EBSA Criteria</w:t>
            </w:r>
          </w:p>
          <w:p w14:paraId="30CAE14D"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kern w:val="22"/>
                <w:szCs w:val="22"/>
              </w:rPr>
            </w:pPr>
            <w:r w:rsidRPr="0088780C">
              <w:rPr>
                <w:rFonts w:eastAsia="MS Mincho"/>
                <w:bCs/>
                <w:snapToGrid w:val="0"/>
                <w:kern w:val="22"/>
                <w:szCs w:val="22"/>
              </w:rPr>
              <w:t>(Annex I to decision IX/20)</w:t>
            </w:r>
          </w:p>
        </w:tc>
        <w:tc>
          <w:tcPr>
            <w:tcW w:w="2280" w:type="pct"/>
            <w:vMerge w:val="restart"/>
            <w:shd w:val="clear" w:color="auto" w:fill="auto"/>
          </w:tcPr>
          <w:p w14:paraId="7232209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0818FDA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(Annex I to decision IX/20)</w:t>
            </w:r>
          </w:p>
        </w:tc>
        <w:tc>
          <w:tcPr>
            <w:tcW w:w="1940" w:type="pct"/>
            <w:gridSpan w:val="9"/>
            <w:shd w:val="clear" w:color="auto" w:fill="auto"/>
          </w:tcPr>
          <w:p w14:paraId="41C6A297" w14:textId="00A95840"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Ranking of criterion relevance</w:t>
            </w:r>
          </w:p>
          <w:p w14:paraId="7C584EE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Cs/>
                <w:snapToGrid w:val="0"/>
                <w:kern w:val="22"/>
                <w:szCs w:val="22"/>
              </w:rPr>
              <w:t>(please mark one column with an X)</w:t>
            </w:r>
          </w:p>
        </w:tc>
      </w:tr>
      <w:tr w:rsidR="00A876F3" w:rsidRPr="0088780C" w14:paraId="53602A5E" w14:textId="77777777" w:rsidTr="006972AD">
        <w:trPr>
          <w:jc w:val="center"/>
        </w:trPr>
        <w:tc>
          <w:tcPr>
            <w:tcW w:w="779" w:type="pct"/>
            <w:vMerge/>
            <w:shd w:val="clear" w:color="auto" w:fill="auto"/>
          </w:tcPr>
          <w:p w14:paraId="2D569D2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2280" w:type="pct"/>
            <w:vMerge/>
            <w:shd w:val="clear" w:color="auto" w:fill="auto"/>
          </w:tcPr>
          <w:p w14:paraId="6ED6B35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3DAAB47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No information</w:t>
            </w:r>
          </w:p>
        </w:tc>
        <w:tc>
          <w:tcPr>
            <w:tcW w:w="547" w:type="pct"/>
            <w:gridSpan w:val="3"/>
            <w:shd w:val="clear" w:color="auto" w:fill="auto"/>
          </w:tcPr>
          <w:p w14:paraId="58DB464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Low</w:t>
            </w:r>
          </w:p>
        </w:tc>
        <w:tc>
          <w:tcPr>
            <w:tcW w:w="411" w:type="pct"/>
            <w:gridSpan w:val="2"/>
            <w:shd w:val="clear" w:color="auto" w:fill="auto"/>
          </w:tcPr>
          <w:p w14:paraId="6F23D8F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Medium</w:t>
            </w:r>
          </w:p>
        </w:tc>
        <w:tc>
          <w:tcPr>
            <w:tcW w:w="436" w:type="pct"/>
            <w:gridSpan w:val="2"/>
            <w:shd w:val="clear" w:color="auto" w:fill="auto"/>
          </w:tcPr>
          <w:p w14:paraId="4D47B7B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High</w:t>
            </w:r>
          </w:p>
        </w:tc>
      </w:tr>
      <w:tr w:rsidR="00A876F3" w:rsidRPr="0088780C" w14:paraId="1C4C5D53" w14:textId="77777777" w:rsidTr="001013AF">
        <w:trPr>
          <w:cantSplit/>
          <w:jc w:val="center"/>
        </w:trPr>
        <w:tc>
          <w:tcPr>
            <w:tcW w:w="779" w:type="pct"/>
            <w:shd w:val="clear" w:color="auto" w:fill="auto"/>
          </w:tcPr>
          <w:p w14:paraId="2B46432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Uniqueness or rarity</w:t>
            </w:r>
          </w:p>
        </w:tc>
        <w:tc>
          <w:tcPr>
            <w:tcW w:w="2280" w:type="pct"/>
            <w:shd w:val="clear" w:color="auto" w:fill="auto"/>
          </w:tcPr>
          <w:p w14:paraId="418ACAF7" w14:textId="71FB2476"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contains either (i) unique (</w:t>
            </w:r>
            <w:r w:rsidR="00D8482D" w:rsidRPr="0088780C">
              <w:rPr>
                <w:rFonts w:eastAsia="MS Mincho"/>
                <w:bCs/>
                <w:snapToGrid w:val="0"/>
                <w:kern w:val="22"/>
                <w:szCs w:val="22"/>
              </w:rPr>
              <w:t>“</w:t>
            </w:r>
            <w:r w:rsidRPr="0088780C">
              <w:rPr>
                <w:rFonts w:eastAsia="MS Mincho"/>
                <w:bCs/>
                <w:snapToGrid w:val="0"/>
                <w:kern w:val="22"/>
                <w:szCs w:val="22"/>
              </w:rPr>
              <w:t>the only one of its kind</w:t>
            </w:r>
            <w:r w:rsidR="00D8482D" w:rsidRPr="0088780C">
              <w:rPr>
                <w:rFonts w:eastAsia="MS Mincho"/>
                <w:bCs/>
                <w:snapToGrid w:val="0"/>
                <w:kern w:val="22"/>
                <w:szCs w:val="22"/>
              </w:rPr>
              <w:t>”</w:t>
            </w:r>
            <w:r w:rsidRPr="0088780C">
              <w:rPr>
                <w:rFonts w:eastAsia="MS Mincho"/>
                <w:bCs/>
                <w:snapToGrid w:val="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04994E7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547" w:type="pct"/>
            <w:gridSpan w:val="3"/>
            <w:shd w:val="clear" w:color="auto" w:fill="auto"/>
          </w:tcPr>
          <w:p w14:paraId="08649BF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16C090C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747DE1C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5EA0316B" w14:textId="77777777" w:rsidTr="002C503E">
        <w:trPr>
          <w:cantSplit/>
          <w:jc w:val="center"/>
        </w:trPr>
        <w:tc>
          <w:tcPr>
            <w:tcW w:w="5000" w:type="pct"/>
            <w:gridSpan w:val="11"/>
            <w:shd w:val="clear" w:color="auto" w:fill="auto"/>
          </w:tcPr>
          <w:p w14:paraId="38A509B3"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2E71FBFC"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jc w:val="left"/>
              <w:rPr>
                <w:rFonts w:eastAsia="MS Mincho"/>
                <w:iCs/>
                <w:snapToGrid w:val="0"/>
                <w:kern w:val="22"/>
                <w:szCs w:val="22"/>
              </w:rPr>
            </w:pPr>
            <w:r w:rsidRPr="0088780C">
              <w:rPr>
                <w:rFonts w:eastAsia="MS Mincho"/>
                <w:snapToGrid w:val="0"/>
                <w:kern w:val="22"/>
                <w:szCs w:val="22"/>
              </w:rPr>
              <w:t xml:space="preserve">Sefidroud Delta is the largest river delta in the south Caspian region (Sadeghi-Zadegan, 2016). </w:t>
            </w:r>
          </w:p>
          <w:p w14:paraId="65DCB1DC"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jc w:val="left"/>
              <w:rPr>
                <w:iCs/>
                <w:snapToGrid w:val="0"/>
                <w:kern w:val="22"/>
                <w:szCs w:val="22"/>
              </w:rPr>
            </w:pPr>
            <w:r w:rsidRPr="0088780C">
              <w:rPr>
                <w:rFonts w:eastAsia="MS Mincho"/>
                <w:snapToGrid w:val="0"/>
                <w:kern w:val="22"/>
                <w:szCs w:val="22"/>
              </w:rPr>
              <w:t xml:space="preserve">This area is a significant foraging and spawning ground for a wide variety of fish species, including five critically endangered sturgeon: </w:t>
            </w:r>
            <w:r w:rsidRPr="0088780C">
              <w:rPr>
                <w:rFonts w:eastAsia="MS Mincho"/>
                <w:i/>
                <w:iCs/>
                <w:snapToGrid w:val="0"/>
                <w:kern w:val="22"/>
                <w:szCs w:val="22"/>
              </w:rPr>
              <w:t>Acipenser</w:t>
            </w:r>
            <w:r w:rsidRPr="0088780C">
              <w:rPr>
                <w:rFonts w:eastAsia="MS Mincho"/>
                <w:snapToGrid w:val="0"/>
                <w:kern w:val="22"/>
                <w:szCs w:val="22"/>
              </w:rPr>
              <w:t xml:space="preserve"> </w:t>
            </w:r>
            <w:r w:rsidRPr="0088780C">
              <w:rPr>
                <w:rFonts w:eastAsia="MS Mincho"/>
                <w:i/>
                <w:iCs/>
                <w:snapToGrid w:val="0"/>
                <w:kern w:val="22"/>
                <w:szCs w:val="22"/>
              </w:rPr>
              <w:t>gueldenstaedtii</w:t>
            </w:r>
            <w:r w:rsidRPr="0088780C">
              <w:rPr>
                <w:rFonts w:eastAsia="MS Mincho"/>
                <w:snapToGrid w:val="0"/>
                <w:kern w:val="22"/>
                <w:szCs w:val="22"/>
              </w:rPr>
              <w:t xml:space="preserve">, </w:t>
            </w:r>
            <w:r w:rsidRPr="0088780C">
              <w:rPr>
                <w:rFonts w:eastAsia="MS Mincho"/>
                <w:i/>
                <w:iCs/>
                <w:snapToGrid w:val="0"/>
                <w:kern w:val="22"/>
                <w:szCs w:val="22"/>
              </w:rPr>
              <w:t>A. stellatus</w:t>
            </w:r>
            <w:r w:rsidRPr="0088780C">
              <w:rPr>
                <w:rFonts w:eastAsia="MS Mincho"/>
                <w:snapToGrid w:val="0"/>
                <w:kern w:val="22"/>
                <w:szCs w:val="22"/>
              </w:rPr>
              <w:t xml:space="preserve">, </w:t>
            </w:r>
            <w:r w:rsidRPr="0088780C">
              <w:rPr>
                <w:rFonts w:eastAsia="MS Mincho"/>
                <w:i/>
                <w:snapToGrid w:val="0"/>
                <w:kern w:val="22"/>
                <w:szCs w:val="22"/>
              </w:rPr>
              <w:t>A. nudiventris</w:t>
            </w:r>
            <w:r w:rsidRPr="0088780C">
              <w:rPr>
                <w:rFonts w:eastAsia="MS Mincho"/>
                <w:iCs/>
                <w:snapToGrid w:val="0"/>
                <w:kern w:val="22"/>
                <w:szCs w:val="22"/>
              </w:rPr>
              <w:t xml:space="preserve">, </w:t>
            </w:r>
            <w:r w:rsidRPr="0088780C">
              <w:rPr>
                <w:rFonts w:eastAsia="MS Mincho"/>
                <w:i/>
                <w:snapToGrid w:val="0"/>
                <w:kern w:val="22"/>
                <w:szCs w:val="22"/>
              </w:rPr>
              <w:t>A.</w:t>
            </w:r>
            <w:r w:rsidRPr="0088780C">
              <w:rPr>
                <w:rFonts w:eastAsia="MS Mincho"/>
                <w:iCs/>
                <w:snapToGrid w:val="0"/>
                <w:kern w:val="22"/>
                <w:szCs w:val="22"/>
              </w:rPr>
              <w:t xml:space="preserve"> </w:t>
            </w:r>
            <w:r w:rsidRPr="0088780C">
              <w:rPr>
                <w:rFonts w:eastAsia="MS Mincho"/>
                <w:i/>
                <w:snapToGrid w:val="0"/>
                <w:kern w:val="22"/>
                <w:szCs w:val="22"/>
              </w:rPr>
              <w:t>persicus</w:t>
            </w:r>
            <w:r w:rsidRPr="0088780C">
              <w:rPr>
                <w:rFonts w:eastAsia="MS Mincho"/>
                <w:snapToGrid w:val="0"/>
                <w:kern w:val="22"/>
                <w:szCs w:val="22"/>
              </w:rPr>
              <w:t xml:space="preserve"> and </w:t>
            </w:r>
            <w:r w:rsidRPr="0088780C">
              <w:rPr>
                <w:rFonts w:eastAsia="MS Mincho"/>
                <w:i/>
                <w:iCs/>
                <w:snapToGrid w:val="0"/>
                <w:kern w:val="22"/>
                <w:szCs w:val="22"/>
              </w:rPr>
              <w:t>Huso</w:t>
            </w:r>
            <w:r w:rsidRPr="0088780C">
              <w:rPr>
                <w:rFonts w:eastAsia="MS Mincho"/>
                <w:snapToGrid w:val="0"/>
                <w:kern w:val="22"/>
                <w:szCs w:val="22"/>
              </w:rPr>
              <w:t xml:space="preserve"> </w:t>
            </w:r>
            <w:r w:rsidRPr="0088780C">
              <w:rPr>
                <w:rFonts w:eastAsia="MS Mincho"/>
                <w:i/>
                <w:iCs/>
                <w:snapToGrid w:val="0"/>
                <w:kern w:val="22"/>
                <w:szCs w:val="22"/>
              </w:rPr>
              <w:t>huso</w:t>
            </w:r>
            <w:r w:rsidRPr="0088780C">
              <w:rPr>
                <w:rFonts w:eastAsia="MS Mincho"/>
                <w:snapToGrid w:val="0"/>
                <w:kern w:val="22"/>
                <w:szCs w:val="22"/>
              </w:rPr>
              <w:t xml:space="preserve"> (Abdolhay, 2004; </w:t>
            </w:r>
            <w:r w:rsidRPr="0088780C">
              <w:rPr>
                <w:snapToGrid w:val="0"/>
                <w:kern w:val="22"/>
                <w:szCs w:val="22"/>
                <w:shd w:val="clear" w:color="auto" w:fill="FFFFFF"/>
              </w:rPr>
              <w:t xml:space="preserve">Abdoli, &amp; Naderi, 2009; </w:t>
            </w:r>
            <w:r w:rsidRPr="0088780C">
              <w:rPr>
                <w:rFonts w:eastAsia="MS Mincho"/>
                <w:snapToGrid w:val="0"/>
                <w:kern w:val="22"/>
                <w:szCs w:val="22"/>
              </w:rPr>
              <w:t>Lulayee, 1996; Ramin, 1998).</w:t>
            </w:r>
          </w:p>
        </w:tc>
      </w:tr>
      <w:tr w:rsidR="00A876F3" w:rsidRPr="0088780C" w14:paraId="25501242" w14:textId="77777777" w:rsidTr="006972AD">
        <w:trPr>
          <w:jc w:val="center"/>
        </w:trPr>
        <w:tc>
          <w:tcPr>
            <w:tcW w:w="779" w:type="pct"/>
            <w:shd w:val="clear" w:color="auto" w:fill="auto"/>
          </w:tcPr>
          <w:p w14:paraId="4294B04F"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Special importance for life-history stages of species</w:t>
            </w:r>
          </w:p>
        </w:tc>
        <w:tc>
          <w:tcPr>
            <w:tcW w:w="2280" w:type="pct"/>
            <w:shd w:val="clear" w:color="auto" w:fill="auto"/>
          </w:tcPr>
          <w:p w14:paraId="5D3CA9C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Areas that are required for a population to survive and thrive.</w:t>
            </w:r>
          </w:p>
        </w:tc>
        <w:tc>
          <w:tcPr>
            <w:tcW w:w="684" w:type="pct"/>
            <w:gridSpan w:val="3"/>
            <w:shd w:val="clear" w:color="auto" w:fill="auto"/>
          </w:tcPr>
          <w:p w14:paraId="7B492FE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41BF5BC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6530B73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18F25FC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698B5743" w14:textId="77777777" w:rsidTr="006972AD">
        <w:trPr>
          <w:jc w:val="center"/>
        </w:trPr>
        <w:tc>
          <w:tcPr>
            <w:tcW w:w="5000" w:type="pct"/>
            <w:gridSpan w:val="11"/>
            <w:shd w:val="clear" w:color="auto" w:fill="auto"/>
          </w:tcPr>
          <w:p w14:paraId="0BD928B9"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24FC0445" w14:textId="77777777" w:rsidR="00A876F3" w:rsidRPr="0088780C" w:rsidRDefault="00A876F3" w:rsidP="001013AF">
            <w:pPr>
              <w:pStyle w:val="ListParagraph"/>
              <w:numPr>
                <w:ilvl w:val="0"/>
                <w:numId w:val="22"/>
              </w:numPr>
              <w:suppressLineNumbers/>
              <w:suppressAutoHyphens/>
              <w:kinsoku w:val="0"/>
              <w:overflowPunct w:val="0"/>
              <w:autoSpaceDE w:val="0"/>
              <w:autoSpaceDN w:val="0"/>
              <w:ind w:leftChars="0" w:left="341"/>
              <w:contextualSpacing/>
              <w:jc w:val="left"/>
              <w:rPr>
                <w:rFonts w:eastAsia="MS Mincho"/>
                <w:snapToGrid w:val="0"/>
                <w:kern w:val="22"/>
                <w:szCs w:val="22"/>
              </w:rPr>
            </w:pPr>
            <w:r w:rsidRPr="0088780C">
              <w:rPr>
                <w:rFonts w:eastAsia="MS Mincho"/>
                <w:snapToGrid w:val="0"/>
                <w:kern w:val="22"/>
                <w:szCs w:val="22"/>
              </w:rPr>
              <w:t>Five critically endangered sturgeon, Russian sturgeon (</w:t>
            </w:r>
            <w:r w:rsidRPr="0088780C">
              <w:rPr>
                <w:rFonts w:eastAsia="MS Mincho"/>
                <w:i/>
                <w:iCs/>
                <w:snapToGrid w:val="0"/>
                <w:kern w:val="22"/>
                <w:szCs w:val="22"/>
              </w:rPr>
              <w:t>Acipenser</w:t>
            </w:r>
            <w:r w:rsidRPr="0088780C">
              <w:rPr>
                <w:rFonts w:eastAsia="MS Mincho"/>
                <w:snapToGrid w:val="0"/>
                <w:kern w:val="22"/>
                <w:szCs w:val="22"/>
              </w:rPr>
              <w:t xml:space="preserve"> </w:t>
            </w:r>
            <w:r w:rsidRPr="0088780C">
              <w:rPr>
                <w:rFonts w:eastAsia="MS Mincho"/>
                <w:i/>
                <w:iCs/>
                <w:snapToGrid w:val="0"/>
                <w:kern w:val="22"/>
                <w:szCs w:val="22"/>
              </w:rPr>
              <w:t>gueldenstaedtii</w:t>
            </w:r>
            <w:r w:rsidRPr="0088780C">
              <w:rPr>
                <w:rFonts w:eastAsia="MS Mincho"/>
                <w:snapToGrid w:val="0"/>
                <w:kern w:val="22"/>
                <w:szCs w:val="22"/>
              </w:rPr>
              <w:t>), stellate sturgeon (</w:t>
            </w:r>
            <w:r w:rsidRPr="0088780C">
              <w:rPr>
                <w:rFonts w:eastAsia="MS Mincho"/>
                <w:i/>
                <w:iCs/>
                <w:snapToGrid w:val="0"/>
                <w:kern w:val="22"/>
                <w:szCs w:val="22"/>
              </w:rPr>
              <w:t>A. stellatus</w:t>
            </w:r>
            <w:r w:rsidRPr="0088780C">
              <w:rPr>
                <w:rFonts w:eastAsia="MS Mincho"/>
                <w:snapToGrid w:val="0"/>
                <w:kern w:val="22"/>
                <w:szCs w:val="22"/>
              </w:rPr>
              <w:t>), bastard sturgeon (</w:t>
            </w:r>
            <w:r w:rsidRPr="0088780C">
              <w:rPr>
                <w:rFonts w:eastAsia="MS Mincho"/>
                <w:i/>
                <w:snapToGrid w:val="0"/>
                <w:kern w:val="22"/>
                <w:szCs w:val="22"/>
              </w:rPr>
              <w:t>A. nudiventris</w:t>
            </w:r>
            <w:r w:rsidRPr="0088780C">
              <w:rPr>
                <w:rFonts w:eastAsia="MS Mincho"/>
                <w:iCs/>
                <w:snapToGrid w:val="0"/>
                <w:kern w:val="22"/>
                <w:szCs w:val="22"/>
              </w:rPr>
              <w:t>), Persian sturgeon (</w:t>
            </w:r>
            <w:r w:rsidRPr="0088780C">
              <w:rPr>
                <w:rFonts w:eastAsia="MS Mincho"/>
                <w:i/>
                <w:snapToGrid w:val="0"/>
                <w:kern w:val="22"/>
                <w:szCs w:val="22"/>
              </w:rPr>
              <w:t>A.</w:t>
            </w:r>
            <w:r w:rsidRPr="0088780C">
              <w:rPr>
                <w:rFonts w:eastAsia="MS Mincho"/>
                <w:iCs/>
                <w:snapToGrid w:val="0"/>
                <w:kern w:val="22"/>
                <w:szCs w:val="22"/>
              </w:rPr>
              <w:t xml:space="preserve"> </w:t>
            </w:r>
            <w:r w:rsidRPr="0088780C">
              <w:rPr>
                <w:rFonts w:eastAsia="MS Mincho"/>
                <w:i/>
                <w:snapToGrid w:val="0"/>
                <w:kern w:val="22"/>
                <w:szCs w:val="22"/>
              </w:rPr>
              <w:t>persicus</w:t>
            </w:r>
            <w:r w:rsidRPr="0088780C">
              <w:rPr>
                <w:rFonts w:eastAsia="MS Mincho"/>
                <w:iCs/>
                <w:snapToGrid w:val="0"/>
                <w:kern w:val="22"/>
                <w:szCs w:val="22"/>
              </w:rPr>
              <w:t>)</w:t>
            </w:r>
            <w:r w:rsidRPr="0088780C">
              <w:rPr>
                <w:rFonts w:eastAsia="MS Mincho"/>
                <w:snapToGrid w:val="0"/>
                <w:kern w:val="22"/>
                <w:szCs w:val="22"/>
              </w:rPr>
              <w:t xml:space="preserve"> and beluga (</w:t>
            </w:r>
            <w:r w:rsidRPr="0088780C">
              <w:rPr>
                <w:rFonts w:eastAsia="MS Mincho"/>
                <w:i/>
                <w:iCs/>
                <w:snapToGrid w:val="0"/>
                <w:kern w:val="22"/>
                <w:szCs w:val="22"/>
              </w:rPr>
              <w:t>Huso</w:t>
            </w:r>
            <w:r w:rsidRPr="0088780C">
              <w:rPr>
                <w:rFonts w:eastAsia="MS Mincho"/>
                <w:snapToGrid w:val="0"/>
                <w:kern w:val="22"/>
                <w:szCs w:val="22"/>
              </w:rPr>
              <w:t xml:space="preserve"> </w:t>
            </w:r>
            <w:r w:rsidRPr="0088780C">
              <w:rPr>
                <w:rFonts w:eastAsia="MS Mincho"/>
                <w:i/>
                <w:iCs/>
                <w:snapToGrid w:val="0"/>
                <w:kern w:val="22"/>
                <w:szCs w:val="22"/>
              </w:rPr>
              <w:t>huso</w:t>
            </w:r>
            <w:r w:rsidRPr="0088780C">
              <w:rPr>
                <w:rFonts w:eastAsia="MS Mincho"/>
                <w:snapToGrid w:val="0"/>
                <w:kern w:val="22"/>
                <w:szCs w:val="22"/>
              </w:rPr>
              <w:t xml:space="preserve">), migrate to the estuary of Sefidroud Delta (Abdolhay, 2004; </w:t>
            </w:r>
            <w:r w:rsidRPr="0088780C">
              <w:rPr>
                <w:snapToGrid w:val="0"/>
                <w:kern w:val="22"/>
                <w:szCs w:val="22"/>
                <w:shd w:val="clear" w:color="auto" w:fill="FFFFFF"/>
              </w:rPr>
              <w:t xml:space="preserve">Abdoli, &amp; Naderi, 2009; </w:t>
            </w:r>
            <w:r w:rsidRPr="0088780C">
              <w:rPr>
                <w:rFonts w:eastAsia="MS Mincho"/>
                <w:snapToGrid w:val="0"/>
                <w:kern w:val="22"/>
                <w:szCs w:val="22"/>
              </w:rPr>
              <w:t>Lulayee, 1996; Ramin, 1998).</w:t>
            </w:r>
          </w:p>
          <w:p w14:paraId="733C9458" w14:textId="77777777" w:rsidR="00A876F3" w:rsidRPr="0088780C" w:rsidRDefault="00A876F3" w:rsidP="001013AF">
            <w:pPr>
              <w:pStyle w:val="ListParagraph"/>
              <w:numPr>
                <w:ilvl w:val="0"/>
                <w:numId w:val="22"/>
              </w:numPr>
              <w:suppressLineNumbers/>
              <w:suppressAutoHyphens/>
              <w:kinsoku w:val="0"/>
              <w:overflowPunct w:val="0"/>
              <w:autoSpaceDE w:val="0"/>
              <w:autoSpaceDN w:val="0"/>
              <w:ind w:leftChars="0" w:left="341"/>
              <w:contextualSpacing/>
              <w:jc w:val="left"/>
              <w:rPr>
                <w:rFonts w:eastAsia="MS Mincho"/>
                <w:snapToGrid w:val="0"/>
                <w:kern w:val="22"/>
                <w:szCs w:val="22"/>
              </w:rPr>
            </w:pPr>
            <w:r w:rsidRPr="0088780C">
              <w:rPr>
                <w:rFonts w:eastAsia="MS Mincho"/>
                <w:snapToGrid w:val="0"/>
                <w:kern w:val="22"/>
                <w:szCs w:val="22"/>
              </w:rPr>
              <w:t>The area is an important passaging and wintering ground for a wide variety of migratory waterfowl, regularly supporting more than 100,000 waterbirds and more than 1 % of the regional populations of several waterbird species, including wintering greater white-fronted goose (</w:t>
            </w:r>
            <w:r w:rsidRPr="0088780C">
              <w:rPr>
                <w:rFonts w:eastAsia="MS Mincho"/>
                <w:i/>
                <w:iCs/>
                <w:snapToGrid w:val="0"/>
                <w:kern w:val="22"/>
                <w:szCs w:val="22"/>
              </w:rPr>
              <w:t>Anser</w:t>
            </w:r>
            <w:r w:rsidRPr="0088780C">
              <w:rPr>
                <w:rFonts w:eastAsia="MS Mincho"/>
                <w:snapToGrid w:val="0"/>
                <w:kern w:val="22"/>
                <w:szCs w:val="22"/>
              </w:rPr>
              <w:t xml:space="preserve"> </w:t>
            </w:r>
            <w:r w:rsidRPr="0088780C">
              <w:rPr>
                <w:rFonts w:eastAsia="MS Mincho"/>
                <w:i/>
                <w:iCs/>
                <w:snapToGrid w:val="0"/>
                <w:kern w:val="22"/>
                <w:szCs w:val="22"/>
              </w:rPr>
              <w:t>albifrons</w:t>
            </w:r>
            <w:r w:rsidRPr="0088780C">
              <w:rPr>
                <w:rFonts w:eastAsia="MS Mincho"/>
                <w:snapToGrid w:val="0"/>
                <w:kern w:val="22"/>
                <w:szCs w:val="22"/>
              </w:rPr>
              <w:t>), whooper swan (</w:t>
            </w:r>
            <w:r w:rsidRPr="0088780C">
              <w:rPr>
                <w:rFonts w:eastAsia="MS Mincho"/>
                <w:i/>
                <w:iCs/>
                <w:snapToGrid w:val="0"/>
                <w:kern w:val="22"/>
                <w:szCs w:val="22"/>
              </w:rPr>
              <w:t>Cygnus</w:t>
            </w:r>
            <w:r w:rsidRPr="0088780C">
              <w:rPr>
                <w:rFonts w:eastAsia="MS Mincho"/>
                <w:snapToGrid w:val="0"/>
                <w:kern w:val="22"/>
                <w:szCs w:val="22"/>
              </w:rPr>
              <w:t xml:space="preserve"> </w:t>
            </w:r>
            <w:r w:rsidRPr="0088780C">
              <w:rPr>
                <w:rFonts w:eastAsia="MS Mincho"/>
                <w:i/>
                <w:iCs/>
                <w:snapToGrid w:val="0"/>
                <w:kern w:val="22"/>
                <w:szCs w:val="22"/>
              </w:rPr>
              <w:t>cygnus</w:t>
            </w:r>
            <w:r w:rsidRPr="0088780C">
              <w:rPr>
                <w:rFonts w:eastAsia="MS Mincho"/>
                <w:snapToGrid w:val="0"/>
                <w:kern w:val="22"/>
                <w:szCs w:val="22"/>
              </w:rPr>
              <w:t>), gadwall (</w:t>
            </w:r>
            <w:r w:rsidRPr="0088780C">
              <w:rPr>
                <w:rFonts w:eastAsia="MS Mincho"/>
                <w:i/>
                <w:iCs/>
                <w:snapToGrid w:val="0"/>
                <w:kern w:val="22"/>
                <w:szCs w:val="22"/>
              </w:rPr>
              <w:t>Anas</w:t>
            </w:r>
            <w:r w:rsidRPr="0088780C">
              <w:rPr>
                <w:rFonts w:eastAsia="MS Mincho"/>
                <w:snapToGrid w:val="0"/>
                <w:kern w:val="22"/>
                <w:szCs w:val="22"/>
              </w:rPr>
              <w:t xml:space="preserve"> </w:t>
            </w:r>
            <w:r w:rsidRPr="0088780C">
              <w:rPr>
                <w:rFonts w:eastAsia="MS Mincho"/>
                <w:i/>
                <w:iCs/>
                <w:snapToGrid w:val="0"/>
                <w:kern w:val="22"/>
                <w:szCs w:val="22"/>
              </w:rPr>
              <w:t>strepera</w:t>
            </w:r>
            <w:r w:rsidRPr="0088780C">
              <w:rPr>
                <w:rFonts w:eastAsia="MS Mincho"/>
                <w:snapToGrid w:val="0"/>
                <w:kern w:val="22"/>
                <w:szCs w:val="22"/>
              </w:rPr>
              <w:t>), mallard (</w:t>
            </w:r>
            <w:r w:rsidRPr="0088780C">
              <w:rPr>
                <w:rFonts w:eastAsia="MS Mincho"/>
                <w:i/>
                <w:iCs/>
                <w:snapToGrid w:val="0"/>
                <w:kern w:val="22"/>
                <w:szCs w:val="22"/>
              </w:rPr>
              <w:t>A</w:t>
            </w:r>
            <w:r w:rsidRPr="0088780C">
              <w:rPr>
                <w:rFonts w:eastAsia="MS Mincho"/>
                <w:snapToGrid w:val="0"/>
                <w:kern w:val="22"/>
                <w:szCs w:val="22"/>
              </w:rPr>
              <w:t xml:space="preserve">. </w:t>
            </w:r>
            <w:r w:rsidRPr="0088780C">
              <w:rPr>
                <w:rFonts w:eastAsia="MS Mincho"/>
                <w:i/>
                <w:iCs/>
                <w:snapToGrid w:val="0"/>
                <w:kern w:val="22"/>
                <w:szCs w:val="22"/>
              </w:rPr>
              <w:t>platyrhynchos</w:t>
            </w:r>
            <w:r w:rsidRPr="0088780C">
              <w:rPr>
                <w:rFonts w:eastAsia="MS Mincho"/>
                <w:snapToGrid w:val="0"/>
                <w:kern w:val="22"/>
                <w:szCs w:val="22"/>
              </w:rPr>
              <w:t>), black-necked grebe (</w:t>
            </w:r>
            <w:r w:rsidRPr="0088780C">
              <w:rPr>
                <w:rFonts w:eastAsia="MS Mincho"/>
                <w:i/>
                <w:iCs/>
                <w:snapToGrid w:val="0"/>
                <w:kern w:val="22"/>
                <w:szCs w:val="22"/>
              </w:rPr>
              <w:t>Podiceps</w:t>
            </w:r>
            <w:r w:rsidRPr="0088780C">
              <w:rPr>
                <w:rFonts w:eastAsia="MS Mincho"/>
                <w:snapToGrid w:val="0"/>
                <w:kern w:val="22"/>
                <w:szCs w:val="22"/>
              </w:rPr>
              <w:t xml:space="preserve"> </w:t>
            </w:r>
            <w:r w:rsidRPr="0088780C">
              <w:rPr>
                <w:rFonts w:eastAsia="MS Mincho"/>
                <w:i/>
                <w:iCs/>
                <w:snapToGrid w:val="0"/>
                <w:kern w:val="22"/>
                <w:szCs w:val="22"/>
              </w:rPr>
              <w:t>nigricollis</w:t>
            </w:r>
            <w:r w:rsidRPr="0088780C">
              <w:rPr>
                <w:rFonts w:eastAsia="MS Mincho"/>
                <w:snapToGrid w:val="0"/>
                <w:kern w:val="22"/>
                <w:szCs w:val="22"/>
              </w:rPr>
              <w:t>) and black-headed gull (</w:t>
            </w:r>
            <w:r w:rsidRPr="0088780C">
              <w:rPr>
                <w:rFonts w:eastAsia="MS Mincho"/>
                <w:i/>
                <w:iCs/>
                <w:snapToGrid w:val="0"/>
                <w:kern w:val="22"/>
                <w:szCs w:val="22"/>
              </w:rPr>
              <w:t>Larus</w:t>
            </w:r>
            <w:r w:rsidRPr="0088780C">
              <w:rPr>
                <w:rFonts w:eastAsia="MS Mincho"/>
                <w:snapToGrid w:val="0"/>
                <w:kern w:val="22"/>
                <w:szCs w:val="22"/>
              </w:rPr>
              <w:t xml:space="preserve"> </w:t>
            </w:r>
            <w:r w:rsidRPr="0088780C">
              <w:rPr>
                <w:rFonts w:eastAsia="MS Mincho"/>
                <w:i/>
                <w:iCs/>
                <w:snapToGrid w:val="0"/>
                <w:kern w:val="22"/>
                <w:szCs w:val="22"/>
              </w:rPr>
              <w:t>ridibundus</w:t>
            </w:r>
            <w:r w:rsidRPr="0088780C">
              <w:rPr>
                <w:rFonts w:eastAsia="MS Mincho"/>
                <w:snapToGrid w:val="0"/>
                <w:kern w:val="22"/>
                <w:szCs w:val="22"/>
              </w:rPr>
              <w:t>), and breeding greater cormorant (</w:t>
            </w:r>
            <w:r w:rsidRPr="0088780C">
              <w:rPr>
                <w:rFonts w:eastAsia="MS Mincho"/>
                <w:i/>
                <w:iCs/>
                <w:snapToGrid w:val="0"/>
                <w:kern w:val="22"/>
                <w:szCs w:val="22"/>
              </w:rPr>
              <w:t>Phalacrocorax</w:t>
            </w:r>
            <w:r w:rsidRPr="0088780C">
              <w:rPr>
                <w:rFonts w:eastAsia="MS Mincho"/>
                <w:snapToGrid w:val="0"/>
                <w:kern w:val="22"/>
                <w:szCs w:val="22"/>
              </w:rPr>
              <w:t xml:space="preserve"> </w:t>
            </w:r>
            <w:r w:rsidRPr="0088780C">
              <w:rPr>
                <w:rFonts w:eastAsia="MS Mincho"/>
                <w:i/>
                <w:iCs/>
                <w:snapToGrid w:val="0"/>
                <w:kern w:val="22"/>
                <w:szCs w:val="22"/>
              </w:rPr>
              <w:t>carbo</w:t>
            </w:r>
            <w:r w:rsidRPr="0088780C">
              <w:rPr>
                <w:rFonts w:eastAsia="MS Mincho"/>
                <w:snapToGrid w:val="0"/>
                <w:kern w:val="22"/>
                <w:szCs w:val="22"/>
              </w:rPr>
              <w:t>) (BirdLife International, 2017; Ramsar Information sheet; Sadeghi-Zadegan, 2016).</w:t>
            </w:r>
          </w:p>
          <w:p w14:paraId="7613E688" w14:textId="77777777" w:rsidR="00A876F3" w:rsidRPr="0088780C" w:rsidRDefault="00A876F3" w:rsidP="001013AF">
            <w:pPr>
              <w:pStyle w:val="ListParagraph"/>
              <w:numPr>
                <w:ilvl w:val="0"/>
                <w:numId w:val="22"/>
              </w:numPr>
              <w:suppressLineNumbers/>
              <w:suppressAutoHyphens/>
              <w:kinsoku w:val="0"/>
              <w:overflowPunct w:val="0"/>
              <w:autoSpaceDE w:val="0"/>
              <w:autoSpaceDN w:val="0"/>
              <w:ind w:leftChars="0" w:left="341"/>
              <w:contextualSpacing/>
              <w:jc w:val="left"/>
              <w:rPr>
                <w:rFonts w:eastAsia="MS Mincho"/>
                <w:snapToGrid w:val="0"/>
                <w:kern w:val="22"/>
                <w:szCs w:val="22"/>
              </w:rPr>
            </w:pPr>
            <w:r w:rsidRPr="0088780C">
              <w:rPr>
                <w:rFonts w:eastAsia="MS Mincho"/>
                <w:snapToGrid w:val="0"/>
                <w:kern w:val="22"/>
                <w:szCs w:val="22"/>
              </w:rPr>
              <w:t>The open grassy areas and dunes near the estuary provide breeding habitat for 20–30 pairs of common pratincole (</w:t>
            </w:r>
            <w:r w:rsidRPr="0088780C">
              <w:rPr>
                <w:rFonts w:eastAsia="MS Mincho"/>
                <w:i/>
                <w:iCs/>
                <w:snapToGrid w:val="0"/>
                <w:kern w:val="22"/>
                <w:szCs w:val="22"/>
              </w:rPr>
              <w:t>Glareola</w:t>
            </w:r>
            <w:r w:rsidRPr="0088780C">
              <w:rPr>
                <w:rFonts w:eastAsia="MS Mincho"/>
                <w:snapToGrid w:val="0"/>
                <w:kern w:val="22"/>
                <w:szCs w:val="22"/>
              </w:rPr>
              <w:t xml:space="preserve"> </w:t>
            </w:r>
            <w:r w:rsidRPr="0088780C">
              <w:rPr>
                <w:rFonts w:eastAsia="MS Mincho"/>
                <w:i/>
                <w:iCs/>
                <w:snapToGrid w:val="0"/>
                <w:kern w:val="22"/>
                <w:szCs w:val="22"/>
              </w:rPr>
              <w:t>pratincola</w:t>
            </w:r>
            <w:r w:rsidRPr="0088780C">
              <w:rPr>
                <w:rFonts w:eastAsia="MS Mincho"/>
                <w:snapToGrid w:val="0"/>
                <w:kern w:val="22"/>
                <w:szCs w:val="22"/>
              </w:rPr>
              <w:t>), black-winged stilt (</w:t>
            </w:r>
            <w:r w:rsidRPr="0088780C">
              <w:rPr>
                <w:rFonts w:eastAsia="MS Mincho"/>
                <w:i/>
                <w:iCs/>
                <w:snapToGrid w:val="0"/>
                <w:kern w:val="22"/>
                <w:szCs w:val="22"/>
              </w:rPr>
              <w:t>Himantopus</w:t>
            </w:r>
            <w:r w:rsidRPr="0088780C">
              <w:rPr>
                <w:rFonts w:eastAsia="MS Mincho"/>
                <w:snapToGrid w:val="0"/>
                <w:kern w:val="22"/>
                <w:szCs w:val="22"/>
              </w:rPr>
              <w:t xml:space="preserve"> </w:t>
            </w:r>
            <w:r w:rsidRPr="0088780C">
              <w:rPr>
                <w:rFonts w:eastAsia="MS Mincho"/>
                <w:i/>
                <w:iCs/>
                <w:snapToGrid w:val="0"/>
                <w:kern w:val="22"/>
                <w:szCs w:val="22"/>
              </w:rPr>
              <w:t>himantopus</w:t>
            </w:r>
            <w:r w:rsidRPr="0088780C">
              <w:rPr>
                <w:rFonts w:eastAsia="MS Mincho"/>
                <w:snapToGrid w:val="0"/>
                <w:kern w:val="22"/>
                <w:szCs w:val="22"/>
              </w:rPr>
              <w:t>), and little ringed plover (</w:t>
            </w:r>
            <w:r w:rsidRPr="0088780C">
              <w:rPr>
                <w:rFonts w:eastAsia="MS Mincho"/>
                <w:i/>
                <w:iCs/>
                <w:snapToGrid w:val="0"/>
                <w:kern w:val="22"/>
                <w:szCs w:val="22"/>
              </w:rPr>
              <w:t>Charadrius</w:t>
            </w:r>
            <w:r w:rsidRPr="0088780C">
              <w:rPr>
                <w:rFonts w:eastAsia="MS Mincho"/>
                <w:snapToGrid w:val="0"/>
                <w:kern w:val="22"/>
                <w:szCs w:val="22"/>
              </w:rPr>
              <w:t xml:space="preserve"> </w:t>
            </w:r>
            <w:r w:rsidRPr="0088780C">
              <w:rPr>
                <w:rFonts w:eastAsia="MS Mincho"/>
                <w:i/>
                <w:iCs/>
                <w:snapToGrid w:val="0"/>
                <w:kern w:val="22"/>
                <w:szCs w:val="22"/>
              </w:rPr>
              <w:t>dubius</w:t>
            </w:r>
            <w:r w:rsidRPr="0088780C">
              <w:rPr>
                <w:rFonts w:eastAsia="MS Mincho"/>
                <w:snapToGrid w:val="0"/>
                <w:kern w:val="22"/>
                <w:szCs w:val="22"/>
              </w:rPr>
              <w:t>), while a small patch of woodland to the south of the lagoon supports a large breeding colony of herons and egrets (Carp, 1980; Evans 1994).</w:t>
            </w:r>
          </w:p>
          <w:p w14:paraId="747FE544" w14:textId="77777777" w:rsidR="00A876F3" w:rsidRPr="0088780C" w:rsidRDefault="00A876F3" w:rsidP="001013AF">
            <w:pPr>
              <w:pStyle w:val="ListParagraph"/>
              <w:numPr>
                <w:ilvl w:val="0"/>
                <w:numId w:val="22"/>
              </w:numPr>
              <w:suppressLineNumbers/>
              <w:suppressAutoHyphens/>
              <w:kinsoku w:val="0"/>
              <w:overflowPunct w:val="0"/>
              <w:autoSpaceDE w:val="0"/>
              <w:autoSpaceDN w:val="0"/>
              <w:ind w:leftChars="0" w:left="341"/>
              <w:contextualSpacing/>
              <w:jc w:val="left"/>
              <w:rPr>
                <w:iCs/>
                <w:snapToGrid w:val="0"/>
                <w:kern w:val="22"/>
                <w:szCs w:val="22"/>
              </w:rPr>
            </w:pPr>
            <w:r w:rsidRPr="0088780C">
              <w:rPr>
                <w:rFonts w:eastAsia="MS Mincho"/>
                <w:snapToGrid w:val="0"/>
                <w:kern w:val="22"/>
                <w:szCs w:val="22"/>
              </w:rPr>
              <w:t>The Sefidroud Delta is also suggested as a possible Seal Special Protected Area (SSPA) in the south Caspian Sea (Caspeco, 2011; CEP, 2010; Wilson &amp; Goodman, 2012).</w:t>
            </w:r>
          </w:p>
        </w:tc>
      </w:tr>
      <w:tr w:rsidR="00A876F3" w:rsidRPr="0088780C" w14:paraId="5685764B" w14:textId="77777777" w:rsidTr="006972AD">
        <w:trPr>
          <w:jc w:val="center"/>
        </w:trPr>
        <w:tc>
          <w:tcPr>
            <w:tcW w:w="779" w:type="pct"/>
            <w:shd w:val="clear" w:color="auto" w:fill="auto"/>
          </w:tcPr>
          <w:p w14:paraId="219FA565"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Importance for threatened, endangered or declining species and/or habitats</w:t>
            </w:r>
          </w:p>
        </w:tc>
        <w:tc>
          <w:tcPr>
            <w:tcW w:w="2280" w:type="pct"/>
            <w:shd w:val="clear" w:color="auto" w:fill="auto"/>
          </w:tcPr>
          <w:p w14:paraId="0498D76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768D523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26986EE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40E3B39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7A6D849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1A297006" w14:textId="77777777" w:rsidTr="006972AD">
        <w:trPr>
          <w:jc w:val="center"/>
        </w:trPr>
        <w:tc>
          <w:tcPr>
            <w:tcW w:w="5000" w:type="pct"/>
            <w:gridSpan w:val="11"/>
            <w:shd w:val="clear" w:color="auto" w:fill="auto"/>
          </w:tcPr>
          <w:p w14:paraId="5917ED71"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5FCEBDC" w14:textId="77777777" w:rsidR="00A876F3" w:rsidRPr="0088780C" w:rsidRDefault="00A876F3" w:rsidP="001013AF">
            <w:pPr>
              <w:pStyle w:val="ListParagraph"/>
              <w:numPr>
                <w:ilvl w:val="0"/>
                <w:numId w:val="22"/>
              </w:numPr>
              <w:suppressLineNumbers/>
              <w:suppressAutoHyphens/>
              <w:kinsoku w:val="0"/>
              <w:overflowPunct w:val="0"/>
              <w:autoSpaceDE w:val="0"/>
              <w:autoSpaceDN w:val="0"/>
              <w:ind w:leftChars="0" w:left="341"/>
              <w:contextualSpacing/>
              <w:jc w:val="left"/>
              <w:rPr>
                <w:rFonts w:eastAsia="MS Mincho"/>
                <w:snapToGrid w:val="0"/>
                <w:kern w:val="22"/>
                <w:szCs w:val="22"/>
              </w:rPr>
            </w:pPr>
            <w:r w:rsidRPr="0088780C">
              <w:rPr>
                <w:rFonts w:eastAsia="MS Mincho"/>
                <w:snapToGrid w:val="0"/>
                <w:kern w:val="22"/>
                <w:szCs w:val="22"/>
              </w:rPr>
              <w:t>Five critically endangered sturgeon, Russian sturgeon (</w:t>
            </w:r>
            <w:r w:rsidRPr="0088780C">
              <w:rPr>
                <w:rFonts w:eastAsia="MS Mincho"/>
                <w:i/>
                <w:iCs/>
                <w:snapToGrid w:val="0"/>
                <w:kern w:val="22"/>
                <w:szCs w:val="22"/>
              </w:rPr>
              <w:t>Acipenser</w:t>
            </w:r>
            <w:r w:rsidRPr="0088780C">
              <w:rPr>
                <w:rFonts w:eastAsia="MS Mincho"/>
                <w:snapToGrid w:val="0"/>
                <w:kern w:val="22"/>
                <w:szCs w:val="22"/>
              </w:rPr>
              <w:t xml:space="preserve"> </w:t>
            </w:r>
            <w:r w:rsidRPr="0088780C">
              <w:rPr>
                <w:rFonts w:eastAsia="MS Mincho"/>
                <w:i/>
                <w:iCs/>
                <w:snapToGrid w:val="0"/>
                <w:kern w:val="22"/>
                <w:szCs w:val="22"/>
              </w:rPr>
              <w:t>gueldenstaedtii</w:t>
            </w:r>
            <w:r w:rsidRPr="0088780C">
              <w:rPr>
                <w:rFonts w:eastAsia="MS Mincho"/>
                <w:snapToGrid w:val="0"/>
                <w:kern w:val="22"/>
                <w:szCs w:val="22"/>
              </w:rPr>
              <w:t>), stellate sturgeon (</w:t>
            </w:r>
            <w:r w:rsidRPr="0088780C">
              <w:rPr>
                <w:rFonts w:eastAsia="MS Mincho"/>
                <w:i/>
                <w:iCs/>
                <w:snapToGrid w:val="0"/>
                <w:kern w:val="22"/>
                <w:szCs w:val="22"/>
              </w:rPr>
              <w:t>A. stellatus</w:t>
            </w:r>
            <w:r w:rsidRPr="0088780C">
              <w:rPr>
                <w:rFonts w:eastAsia="MS Mincho"/>
                <w:snapToGrid w:val="0"/>
                <w:kern w:val="22"/>
                <w:szCs w:val="22"/>
              </w:rPr>
              <w:t>), bastard sturgeon (</w:t>
            </w:r>
            <w:r w:rsidRPr="0088780C">
              <w:rPr>
                <w:rFonts w:eastAsia="MS Mincho"/>
                <w:i/>
                <w:snapToGrid w:val="0"/>
                <w:kern w:val="22"/>
                <w:szCs w:val="22"/>
              </w:rPr>
              <w:t>A. nudiventris</w:t>
            </w:r>
            <w:r w:rsidRPr="0088780C">
              <w:rPr>
                <w:rFonts w:eastAsia="MS Mincho"/>
                <w:iCs/>
                <w:snapToGrid w:val="0"/>
                <w:kern w:val="22"/>
                <w:szCs w:val="22"/>
              </w:rPr>
              <w:t>), Persian sturgeon (</w:t>
            </w:r>
            <w:r w:rsidRPr="0088780C">
              <w:rPr>
                <w:rFonts w:eastAsia="MS Mincho"/>
                <w:i/>
                <w:snapToGrid w:val="0"/>
                <w:kern w:val="22"/>
                <w:szCs w:val="22"/>
              </w:rPr>
              <w:t>A.</w:t>
            </w:r>
            <w:r w:rsidRPr="0088780C">
              <w:rPr>
                <w:rFonts w:eastAsia="MS Mincho"/>
                <w:iCs/>
                <w:snapToGrid w:val="0"/>
                <w:kern w:val="22"/>
                <w:szCs w:val="22"/>
              </w:rPr>
              <w:t xml:space="preserve"> </w:t>
            </w:r>
            <w:r w:rsidRPr="0088780C">
              <w:rPr>
                <w:rFonts w:eastAsia="MS Mincho"/>
                <w:i/>
                <w:snapToGrid w:val="0"/>
                <w:kern w:val="22"/>
                <w:szCs w:val="22"/>
              </w:rPr>
              <w:t>persicus</w:t>
            </w:r>
            <w:r w:rsidRPr="0088780C">
              <w:rPr>
                <w:rFonts w:eastAsia="MS Mincho"/>
                <w:iCs/>
                <w:snapToGrid w:val="0"/>
                <w:kern w:val="22"/>
                <w:szCs w:val="22"/>
              </w:rPr>
              <w:t>)</w:t>
            </w:r>
            <w:r w:rsidRPr="0088780C">
              <w:rPr>
                <w:rFonts w:eastAsia="MS Mincho"/>
                <w:snapToGrid w:val="0"/>
                <w:kern w:val="22"/>
                <w:szCs w:val="22"/>
              </w:rPr>
              <w:t xml:space="preserve"> and Beluga sturgeon (</w:t>
            </w:r>
            <w:r w:rsidRPr="0088780C">
              <w:rPr>
                <w:rFonts w:eastAsia="MS Mincho"/>
                <w:i/>
                <w:iCs/>
                <w:snapToGrid w:val="0"/>
                <w:kern w:val="22"/>
                <w:szCs w:val="22"/>
              </w:rPr>
              <w:t>Huso</w:t>
            </w:r>
            <w:r w:rsidRPr="0088780C">
              <w:rPr>
                <w:rFonts w:eastAsia="MS Mincho"/>
                <w:snapToGrid w:val="0"/>
                <w:kern w:val="22"/>
                <w:szCs w:val="22"/>
              </w:rPr>
              <w:t xml:space="preserve"> </w:t>
            </w:r>
            <w:r w:rsidRPr="0088780C">
              <w:rPr>
                <w:rFonts w:eastAsia="MS Mincho"/>
                <w:i/>
                <w:iCs/>
                <w:snapToGrid w:val="0"/>
                <w:kern w:val="22"/>
                <w:szCs w:val="22"/>
              </w:rPr>
              <w:t>huso</w:t>
            </w:r>
            <w:r w:rsidRPr="0088780C">
              <w:rPr>
                <w:rFonts w:eastAsia="MS Mincho"/>
                <w:snapToGrid w:val="0"/>
                <w:kern w:val="22"/>
                <w:szCs w:val="22"/>
              </w:rPr>
              <w:t xml:space="preserve">), migrate to the estuary of Sefidroud Delta (Abdolhay, 2004; </w:t>
            </w:r>
            <w:r w:rsidRPr="0088780C">
              <w:rPr>
                <w:snapToGrid w:val="0"/>
                <w:kern w:val="22"/>
                <w:szCs w:val="22"/>
                <w:shd w:val="clear" w:color="auto" w:fill="FFFFFF"/>
              </w:rPr>
              <w:t xml:space="preserve">Abdoli, &amp; Naderi, 2009; </w:t>
            </w:r>
            <w:r w:rsidRPr="0088780C">
              <w:rPr>
                <w:rFonts w:eastAsia="MS Mincho"/>
                <w:snapToGrid w:val="0"/>
                <w:kern w:val="22"/>
                <w:szCs w:val="22"/>
              </w:rPr>
              <w:t>Lulayee, 1996; Ramin, 1998).</w:t>
            </w:r>
          </w:p>
          <w:p w14:paraId="52F1084C" w14:textId="77777777" w:rsidR="00A876F3" w:rsidRPr="0088780C" w:rsidRDefault="00A876F3" w:rsidP="001013AF">
            <w:pPr>
              <w:pStyle w:val="ListParagraph"/>
              <w:numPr>
                <w:ilvl w:val="0"/>
                <w:numId w:val="22"/>
              </w:numPr>
              <w:suppressLineNumbers/>
              <w:suppressAutoHyphens/>
              <w:kinsoku w:val="0"/>
              <w:overflowPunct w:val="0"/>
              <w:autoSpaceDE w:val="0"/>
              <w:autoSpaceDN w:val="0"/>
              <w:ind w:leftChars="0" w:left="341"/>
              <w:contextualSpacing/>
              <w:jc w:val="left"/>
              <w:rPr>
                <w:rFonts w:eastAsia="MS Mincho"/>
                <w:snapToGrid w:val="0"/>
                <w:kern w:val="22"/>
                <w:szCs w:val="22"/>
              </w:rPr>
            </w:pPr>
            <w:r w:rsidRPr="0088780C">
              <w:rPr>
                <w:rFonts w:eastAsia="MS Mincho"/>
                <w:snapToGrid w:val="0"/>
                <w:kern w:val="22"/>
                <w:szCs w:val="22"/>
              </w:rPr>
              <w:t>The Sefidroud Delta is also suggested as a possible Seal Special Protected Area (SSPA) in the south Caspian Sea (Caspeco, 2011; CEP, 2010; Wilson &amp; Goodman, 2012).</w:t>
            </w:r>
          </w:p>
          <w:p w14:paraId="03D8405A" w14:textId="77777777" w:rsidR="00A876F3" w:rsidRPr="0088780C" w:rsidRDefault="00A876F3" w:rsidP="001013AF">
            <w:pPr>
              <w:pStyle w:val="ListParagraph"/>
              <w:numPr>
                <w:ilvl w:val="0"/>
                <w:numId w:val="22"/>
              </w:numPr>
              <w:suppressLineNumbers/>
              <w:suppressAutoHyphens/>
              <w:kinsoku w:val="0"/>
              <w:overflowPunct w:val="0"/>
              <w:autoSpaceDE w:val="0"/>
              <w:autoSpaceDN w:val="0"/>
              <w:ind w:leftChars="0" w:left="341"/>
              <w:contextualSpacing/>
              <w:jc w:val="left"/>
              <w:rPr>
                <w:snapToGrid w:val="0"/>
                <w:kern w:val="22"/>
                <w:szCs w:val="22"/>
              </w:rPr>
            </w:pPr>
            <w:r w:rsidRPr="0088780C">
              <w:rPr>
                <w:rFonts w:eastAsia="MS Mincho"/>
                <w:snapToGrid w:val="0"/>
                <w:kern w:val="22"/>
                <w:szCs w:val="22"/>
              </w:rPr>
              <w:t>The Sefidroud estuary is a potential wintering site of the critically endangered Siberian crane (</w:t>
            </w:r>
            <w:r w:rsidRPr="0088780C">
              <w:rPr>
                <w:rFonts w:eastAsia="MS Mincho"/>
                <w:i/>
                <w:iCs/>
                <w:snapToGrid w:val="0"/>
                <w:kern w:val="22"/>
                <w:szCs w:val="22"/>
              </w:rPr>
              <w:t>Leucogeranus</w:t>
            </w:r>
            <w:r w:rsidRPr="0088780C">
              <w:rPr>
                <w:rFonts w:eastAsia="MS Mincho"/>
                <w:snapToGrid w:val="0"/>
                <w:kern w:val="22"/>
                <w:szCs w:val="22"/>
              </w:rPr>
              <w:t xml:space="preserve"> </w:t>
            </w:r>
            <w:r w:rsidRPr="0088780C">
              <w:rPr>
                <w:rFonts w:eastAsia="MS Mincho"/>
                <w:i/>
                <w:iCs/>
                <w:snapToGrid w:val="0"/>
                <w:kern w:val="22"/>
                <w:szCs w:val="22"/>
              </w:rPr>
              <w:t>leucogeranus)</w:t>
            </w:r>
            <w:r w:rsidRPr="0088780C">
              <w:rPr>
                <w:rFonts w:eastAsia="MS Mincho"/>
                <w:snapToGrid w:val="0"/>
                <w:kern w:val="22"/>
                <w:szCs w:val="22"/>
              </w:rPr>
              <w:t>. It was also included in the Western/Central Asian Site Network for the Siberian Crane and Other Waterbirds when this network was launched in May 2007 (Sadeghi-Zadegan, 2016; Sadeghi-Zadegan &amp; Fazeli 2007; UNEP/CMS 2008, 2011; Ilyashenko 2010).</w:t>
            </w:r>
          </w:p>
        </w:tc>
      </w:tr>
      <w:tr w:rsidR="00A876F3" w:rsidRPr="0088780C" w14:paraId="54D49B2B" w14:textId="77777777" w:rsidTr="006972AD">
        <w:trPr>
          <w:jc w:val="center"/>
        </w:trPr>
        <w:tc>
          <w:tcPr>
            <w:tcW w:w="779" w:type="pct"/>
            <w:shd w:val="clear" w:color="auto" w:fill="auto"/>
          </w:tcPr>
          <w:p w14:paraId="42BB59E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Vulnerability, fragility, sensitivity, or slow recovery</w:t>
            </w:r>
          </w:p>
        </w:tc>
        <w:tc>
          <w:tcPr>
            <w:tcW w:w="2280" w:type="pct"/>
            <w:shd w:val="clear" w:color="auto" w:fill="auto"/>
          </w:tcPr>
          <w:p w14:paraId="287547A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364A2C0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5688E7E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vAlign w:val="center"/>
          </w:tcPr>
          <w:p w14:paraId="5D3497E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c>
          <w:tcPr>
            <w:tcW w:w="436" w:type="pct"/>
            <w:gridSpan w:val="2"/>
            <w:shd w:val="clear" w:color="auto" w:fill="auto"/>
          </w:tcPr>
          <w:p w14:paraId="45B53C3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r>
      <w:tr w:rsidR="00A876F3" w:rsidRPr="0088780C" w14:paraId="10A56B14" w14:textId="77777777" w:rsidTr="001013AF">
        <w:trPr>
          <w:cantSplit/>
          <w:jc w:val="center"/>
        </w:trPr>
        <w:tc>
          <w:tcPr>
            <w:tcW w:w="5000" w:type="pct"/>
            <w:gridSpan w:val="11"/>
            <w:shd w:val="clear" w:color="auto" w:fill="auto"/>
          </w:tcPr>
          <w:p w14:paraId="7B51A47F"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620A137"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Acipenser</w:t>
            </w:r>
            <w:r w:rsidRPr="0088780C">
              <w:rPr>
                <w:rFonts w:eastAsia="MS Mincho"/>
                <w:snapToGrid w:val="0"/>
                <w:kern w:val="22"/>
                <w:szCs w:val="22"/>
              </w:rPr>
              <w:t xml:space="preserve"> </w:t>
            </w:r>
            <w:r w:rsidRPr="0088780C">
              <w:rPr>
                <w:rFonts w:eastAsia="MS Mincho"/>
                <w:i/>
                <w:iCs/>
                <w:snapToGrid w:val="0"/>
                <w:kern w:val="22"/>
                <w:szCs w:val="22"/>
              </w:rPr>
              <w:t>gueldenstaedtii</w:t>
            </w:r>
            <w:r w:rsidRPr="0088780C">
              <w:rPr>
                <w:rFonts w:eastAsia="MS Mincho"/>
                <w:snapToGrid w:val="0"/>
                <w:kern w:val="22"/>
                <w:szCs w:val="22"/>
              </w:rPr>
              <w:t xml:space="preserve">, </w:t>
            </w:r>
            <w:r w:rsidRPr="0088780C">
              <w:rPr>
                <w:rFonts w:eastAsia="MS Mincho"/>
                <w:i/>
                <w:iCs/>
                <w:snapToGrid w:val="0"/>
                <w:kern w:val="22"/>
                <w:szCs w:val="22"/>
              </w:rPr>
              <w:t>A. stellatus</w:t>
            </w:r>
            <w:r w:rsidRPr="0088780C">
              <w:rPr>
                <w:rFonts w:eastAsia="MS Mincho"/>
                <w:snapToGrid w:val="0"/>
                <w:kern w:val="22"/>
                <w:szCs w:val="22"/>
              </w:rPr>
              <w:t xml:space="preserve">, </w:t>
            </w:r>
            <w:r w:rsidRPr="0088780C">
              <w:rPr>
                <w:rFonts w:eastAsia="MS Mincho"/>
                <w:i/>
                <w:snapToGrid w:val="0"/>
                <w:kern w:val="22"/>
                <w:szCs w:val="22"/>
              </w:rPr>
              <w:t>A. nudiventris</w:t>
            </w:r>
            <w:r w:rsidRPr="0088780C">
              <w:rPr>
                <w:rFonts w:eastAsia="MS Mincho"/>
                <w:iCs/>
                <w:snapToGrid w:val="0"/>
                <w:kern w:val="22"/>
                <w:szCs w:val="22"/>
              </w:rPr>
              <w:t xml:space="preserve">, </w:t>
            </w:r>
            <w:r w:rsidRPr="0088780C">
              <w:rPr>
                <w:rFonts w:eastAsia="MS Mincho"/>
                <w:i/>
                <w:snapToGrid w:val="0"/>
                <w:kern w:val="22"/>
                <w:szCs w:val="22"/>
              </w:rPr>
              <w:t>A.</w:t>
            </w:r>
            <w:r w:rsidRPr="0088780C">
              <w:rPr>
                <w:rFonts w:eastAsia="MS Mincho"/>
                <w:iCs/>
                <w:snapToGrid w:val="0"/>
                <w:kern w:val="22"/>
                <w:szCs w:val="22"/>
              </w:rPr>
              <w:t xml:space="preserve"> </w:t>
            </w:r>
            <w:r w:rsidRPr="0088780C">
              <w:rPr>
                <w:rFonts w:eastAsia="MS Mincho"/>
                <w:i/>
                <w:snapToGrid w:val="0"/>
                <w:kern w:val="22"/>
                <w:szCs w:val="22"/>
              </w:rPr>
              <w:t>persicus</w:t>
            </w:r>
            <w:r w:rsidRPr="0088780C">
              <w:rPr>
                <w:rFonts w:eastAsia="MS Mincho"/>
                <w:snapToGrid w:val="0"/>
                <w:kern w:val="22"/>
                <w:szCs w:val="22"/>
              </w:rPr>
              <w:t xml:space="preserve"> and </w:t>
            </w:r>
            <w:r w:rsidRPr="0088780C">
              <w:rPr>
                <w:rFonts w:eastAsia="MS Mincho"/>
                <w:i/>
                <w:iCs/>
                <w:snapToGrid w:val="0"/>
                <w:kern w:val="22"/>
                <w:szCs w:val="22"/>
              </w:rPr>
              <w:t>Huso</w:t>
            </w:r>
            <w:r w:rsidRPr="0088780C">
              <w:rPr>
                <w:rFonts w:eastAsia="MS Mincho"/>
                <w:snapToGrid w:val="0"/>
                <w:kern w:val="22"/>
                <w:szCs w:val="22"/>
              </w:rPr>
              <w:t xml:space="preserve"> </w:t>
            </w:r>
            <w:r w:rsidRPr="0088780C">
              <w:rPr>
                <w:rFonts w:eastAsia="MS Mincho"/>
                <w:i/>
                <w:iCs/>
                <w:snapToGrid w:val="0"/>
                <w:kern w:val="22"/>
                <w:szCs w:val="22"/>
              </w:rPr>
              <w:t>huso</w:t>
            </w:r>
            <w:r w:rsidRPr="0088780C">
              <w:rPr>
                <w:rFonts w:eastAsia="MS Mincho"/>
                <w:snapToGrid w:val="0"/>
                <w:kern w:val="22"/>
                <w:szCs w:val="22"/>
              </w:rPr>
              <w:t xml:space="preserve"> are critically endangered sturgeon species. In general, sturgeon are long-lived and do not reproduce often, making them a vulnerable and slow-recovering biotope.</w:t>
            </w:r>
            <w:r w:rsidRPr="0088780C">
              <w:rPr>
                <w:rFonts w:eastAsia="MS Mincho"/>
                <w:bCs/>
                <w:snapToGrid w:val="0"/>
                <w:kern w:val="22"/>
                <w:szCs w:val="22"/>
              </w:rPr>
              <w:t xml:space="preserve"> Also, as sturgeon are migratory, they are vulnerable to the damming of rivers, such as the Sefidroud River, which impeds access to their spawning grounds</w:t>
            </w:r>
          </w:p>
          <w:p w14:paraId="2CD55ED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(http://www.iucnredlist.org/news/sturgeons-highly-threatened).</w:t>
            </w:r>
          </w:p>
        </w:tc>
      </w:tr>
      <w:tr w:rsidR="00A876F3" w:rsidRPr="0088780C" w14:paraId="7BAA3E0E" w14:textId="77777777" w:rsidTr="006972AD">
        <w:trPr>
          <w:jc w:val="center"/>
        </w:trPr>
        <w:tc>
          <w:tcPr>
            <w:tcW w:w="779" w:type="pct"/>
            <w:shd w:val="clear" w:color="auto" w:fill="auto"/>
          </w:tcPr>
          <w:p w14:paraId="35099E7B"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Biological productivity</w:t>
            </w:r>
          </w:p>
        </w:tc>
        <w:tc>
          <w:tcPr>
            <w:tcW w:w="2280" w:type="pct"/>
            <w:shd w:val="clear" w:color="auto" w:fill="auto"/>
          </w:tcPr>
          <w:p w14:paraId="4D11A1B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containing species, populations or communities with comparatively higher natural biological productivity.</w:t>
            </w:r>
          </w:p>
        </w:tc>
        <w:tc>
          <w:tcPr>
            <w:tcW w:w="684" w:type="pct"/>
            <w:gridSpan w:val="3"/>
            <w:shd w:val="clear" w:color="auto" w:fill="auto"/>
            <w:vAlign w:val="center"/>
          </w:tcPr>
          <w:p w14:paraId="3875927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vAlign w:val="center"/>
          </w:tcPr>
          <w:p w14:paraId="1180C6C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c>
          <w:tcPr>
            <w:tcW w:w="411" w:type="pct"/>
            <w:gridSpan w:val="2"/>
            <w:shd w:val="clear" w:color="auto" w:fill="auto"/>
            <w:vAlign w:val="center"/>
          </w:tcPr>
          <w:p w14:paraId="1456C18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tcPr>
          <w:p w14:paraId="5F4BD7F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r>
      <w:tr w:rsidR="00A876F3" w:rsidRPr="0088780C" w14:paraId="71F8D702" w14:textId="77777777" w:rsidTr="006972AD">
        <w:trPr>
          <w:jc w:val="center"/>
        </w:trPr>
        <w:tc>
          <w:tcPr>
            <w:tcW w:w="5000" w:type="pct"/>
            <w:gridSpan w:val="11"/>
            <w:shd w:val="clear" w:color="auto" w:fill="auto"/>
          </w:tcPr>
          <w:p w14:paraId="4D1B98EB"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36C656B3"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jc w:val="left"/>
              <w:rPr>
                <w:rFonts w:eastAsia="MS Mincho"/>
                <w:snapToGrid w:val="0"/>
                <w:kern w:val="22"/>
                <w:szCs w:val="22"/>
              </w:rPr>
            </w:pPr>
            <w:r w:rsidRPr="0088780C">
              <w:rPr>
                <w:rFonts w:eastAsia="MS Mincho"/>
                <w:snapToGrid w:val="0"/>
                <w:kern w:val="22"/>
                <w:szCs w:val="22"/>
              </w:rPr>
              <w:t>The lagoon is predominantly oligotrophic, except toward the marshy western extremity (Carp, 1980; Sadeghi-Zadegan, 2016).</w:t>
            </w:r>
          </w:p>
        </w:tc>
      </w:tr>
      <w:tr w:rsidR="00A876F3" w:rsidRPr="0088780C" w14:paraId="5B19C972" w14:textId="77777777" w:rsidTr="006972AD">
        <w:trPr>
          <w:jc w:val="center"/>
        </w:trPr>
        <w:tc>
          <w:tcPr>
            <w:tcW w:w="779" w:type="pct"/>
            <w:shd w:val="clear" w:color="auto" w:fill="auto"/>
          </w:tcPr>
          <w:p w14:paraId="725D5A9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Biological diversity</w:t>
            </w:r>
          </w:p>
        </w:tc>
        <w:tc>
          <w:tcPr>
            <w:tcW w:w="2280" w:type="pct"/>
            <w:shd w:val="clear" w:color="auto" w:fill="auto"/>
          </w:tcPr>
          <w:p w14:paraId="02693E3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contains comparatively higher diversity of ecosystems, habitats, communities, or species, or has higher genetic diversity.</w:t>
            </w:r>
          </w:p>
        </w:tc>
        <w:tc>
          <w:tcPr>
            <w:tcW w:w="684" w:type="pct"/>
            <w:gridSpan w:val="3"/>
            <w:shd w:val="clear" w:color="auto" w:fill="auto"/>
          </w:tcPr>
          <w:p w14:paraId="1A851C2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7F95B8E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2DE3FB6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1E310F0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6B1D99F0" w14:textId="77777777" w:rsidTr="006972AD">
        <w:trPr>
          <w:jc w:val="center"/>
        </w:trPr>
        <w:tc>
          <w:tcPr>
            <w:tcW w:w="5000" w:type="pct"/>
            <w:gridSpan w:val="11"/>
            <w:shd w:val="clear" w:color="auto" w:fill="auto"/>
          </w:tcPr>
          <w:p w14:paraId="0751EEB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6D3F7CDA"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hanging="341"/>
              <w:contextualSpacing/>
              <w:jc w:val="left"/>
              <w:rPr>
                <w:rFonts w:eastAsia="MS Mincho"/>
                <w:snapToGrid w:val="0"/>
                <w:kern w:val="22"/>
                <w:szCs w:val="22"/>
              </w:rPr>
            </w:pPr>
            <w:r w:rsidRPr="0088780C">
              <w:rPr>
                <w:rFonts w:eastAsia="MS Mincho"/>
                <w:snapToGrid w:val="0"/>
                <w:kern w:val="22"/>
                <w:szCs w:val="22"/>
              </w:rPr>
              <w:t>Sefidroud Delta is important for its role in supporting fish diversity. At least 36 fish species (85% of south Caspian fish fauna) have been recorded from Sefidroud River (Abdoli &amp; Naderi, 2009; Kiabi et a., 1999a).</w:t>
            </w:r>
          </w:p>
          <w:p w14:paraId="37A5B500"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hanging="341"/>
              <w:contextualSpacing/>
              <w:jc w:val="left"/>
              <w:rPr>
                <w:snapToGrid w:val="0"/>
                <w:kern w:val="22"/>
                <w:szCs w:val="22"/>
              </w:rPr>
            </w:pPr>
            <w:r w:rsidRPr="0088780C">
              <w:rPr>
                <w:rFonts w:eastAsia="MS Mincho"/>
                <w:snapToGrid w:val="0"/>
                <w:kern w:val="22"/>
                <w:szCs w:val="22"/>
              </w:rPr>
              <w:t>At least 60 waterfowl species have been recorded in this area (</w:t>
            </w:r>
            <w:r w:rsidRPr="0088780C">
              <w:rPr>
                <w:snapToGrid w:val="0"/>
                <w:color w:val="222222"/>
                <w:kern w:val="22"/>
                <w:szCs w:val="22"/>
                <w:shd w:val="clear" w:color="auto" w:fill="FFFFFF"/>
              </w:rPr>
              <w:t>Ashouri &amp; Zolfinezhad, 2006</w:t>
            </w:r>
            <w:r w:rsidRPr="0088780C">
              <w:rPr>
                <w:rFonts w:eastAsia="MS Mincho"/>
                <w:snapToGrid w:val="0"/>
                <w:kern w:val="22"/>
                <w:szCs w:val="22"/>
              </w:rPr>
              <w:t>).</w:t>
            </w:r>
          </w:p>
        </w:tc>
      </w:tr>
      <w:tr w:rsidR="00A876F3" w:rsidRPr="0088780C" w14:paraId="2CB6A4C8" w14:textId="77777777" w:rsidTr="006972AD">
        <w:trPr>
          <w:jc w:val="center"/>
        </w:trPr>
        <w:tc>
          <w:tcPr>
            <w:tcW w:w="783" w:type="pct"/>
            <w:shd w:val="clear" w:color="auto" w:fill="auto"/>
          </w:tcPr>
          <w:p w14:paraId="69A77D54"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kern w:val="22"/>
                <w:szCs w:val="22"/>
              </w:rPr>
            </w:pPr>
            <w:r w:rsidRPr="0088780C">
              <w:rPr>
                <w:rFonts w:eastAsia="MS Mincho"/>
                <w:b/>
                <w:snapToGrid w:val="0"/>
                <w:kern w:val="22"/>
                <w:szCs w:val="22"/>
              </w:rPr>
              <w:t>Naturalness</w:t>
            </w:r>
          </w:p>
        </w:tc>
        <w:tc>
          <w:tcPr>
            <w:tcW w:w="2295" w:type="pct"/>
            <w:gridSpan w:val="2"/>
            <w:shd w:val="clear" w:color="auto" w:fill="auto"/>
          </w:tcPr>
          <w:p w14:paraId="597FE425"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1A60371C"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c>
        <w:tc>
          <w:tcPr>
            <w:tcW w:w="453" w:type="pct"/>
            <w:gridSpan w:val="2"/>
            <w:shd w:val="clear" w:color="auto" w:fill="auto"/>
            <w:vAlign w:val="center"/>
          </w:tcPr>
          <w:p w14:paraId="782EF49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p>
        </w:tc>
        <w:tc>
          <w:tcPr>
            <w:tcW w:w="400" w:type="pct"/>
            <w:gridSpan w:val="2"/>
            <w:shd w:val="clear" w:color="auto" w:fill="auto"/>
            <w:vAlign w:val="center"/>
          </w:tcPr>
          <w:p w14:paraId="3C69AF9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r w:rsidRPr="0088780C">
              <w:rPr>
                <w:rFonts w:eastAsia="MS Mincho"/>
                <w:bCs/>
                <w:snapToGrid w:val="0"/>
                <w:kern w:val="22"/>
                <w:szCs w:val="22"/>
              </w:rPr>
              <w:t>X</w:t>
            </w:r>
          </w:p>
        </w:tc>
        <w:tc>
          <w:tcPr>
            <w:tcW w:w="385" w:type="pct"/>
            <w:shd w:val="clear" w:color="auto" w:fill="auto"/>
            <w:vAlign w:val="center"/>
          </w:tcPr>
          <w:p w14:paraId="3D818420"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c>
      </w:tr>
      <w:tr w:rsidR="00A876F3" w:rsidRPr="0088780C" w14:paraId="14658292" w14:textId="77777777" w:rsidTr="006972AD">
        <w:trPr>
          <w:jc w:val="center"/>
        </w:trPr>
        <w:tc>
          <w:tcPr>
            <w:tcW w:w="5000" w:type="pct"/>
            <w:gridSpan w:val="11"/>
            <w:shd w:val="clear" w:color="auto" w:fill="auto"/>
          </w:tcPr>
          <w:p w14:paraId="75DC485F"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1ED15BCD" w14:textId="1A90DE64"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jc w:val="left"/>
              <w:rPr>
                <w:rFonts w:eastAsia="MS Mincho"/>
                <w:iCs/>
                <w:snapToGrid w:val="0"/>
                <w:kern w:val="22"/>
                <w:szCs w:val="22"/>
              </w:rPr>
            </w:pPr>
            <w:r w:rsidRPr="0088780C">
              <w:rPr>
                <w:rFonts w:eastAsia="MS Mincho"/>
                <w:snapToGrid w:val="0"/>
                <w:kern w:val="22"/>
                <w:szCs w:val="22"/>
              </w:rPr>
              <w:t>The area has been recognized and protected as Bujagh National Park since 2002.</w:t>
            </w:r>
          </w:p>
          <w:p w14:paraId="60BB818A"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41"/>
              <w:contextualSpacing/>
              <w:jc w:val="left"/>
              <w:rPr>
                <w:rFonts w:eastAsia="MS Mincho"/>
                <w:iCs/>
                <w:snapToGrid w:val="0"/>
                <w:kern w:val="22"/>
                <w:szCs w:val="22"/>
              </w:rPr>
            </w:pPr>
            <w:r w:rsidRPr="0088780C">
              <w:rPr>
                <w:rFonts w:eastAsia="MS Mincho"/>
                <w:bCs/>
                <w:snapToGrid w:val="0"/>
                <w:kern w:val="22"/>
                <w:szCs w:val="22"/>
              </w:rPr>
              <w:t>The area is close to the city of Kiashahr. Human activities, including hunting, fishing and agricultural and urban runoff, have adverse impacts on the ecosystems of Sefidroud Delta.</w:t>
            </w:r>
          </w:p>
        </w:tc>
      </w:tr>
    </w:tbl>
    <w:p w14:paraId="154EE30C"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kern w:val="22"/>
          <w:szCs w:val="22"/>
        </w:rPr>
      </w:pPr>
    </w:p>
    <w:p w14:paraId="6F057C8E" w14:textId="77777777" w:rsidR="00A876F3" w:rsidRPr="0088780C" w:rsidRDefault="00A876F3" w:rsidP="002C503E">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40883BBD" w14:textId="77777777" w:rsidR="00A876F3" w:rsidRPr="0088780C" w:rsidRDefault="00A876F3" w:rsidP="002C503E">
      <w:pPr>
        <w:suppressLineNumbers/>
        <w:suppressAutoHyphens/>
        <w:kinsoku w:val="0"/>
        <w:overflowPunct w:val="0"/>
        <w:autoSpaceDE w:val="0"/>
        <w:autoSpaceDN w:val="0"/>
        <w:spacing w:after="60"/>
        <w:ind w:left="720" w:hanging="720"/>
        <w:rPr>
          <w:snapToGrid w:val="0"/>
          <w:kern w:val="22"/>
          <w:szCs w:val="22"/>
          <w:shd w:val="clear" w:color="auto" w:fill="FFFFFF"/>
        </w:rPr>
      </w:pPr>
      <w:r w:rsidRPr="0088780C">
        <w:rPr>
          <w:snapToGrid w:val="0"/>
          <w:kern w:val="22"/>
          <w:szCs w:val="22"/>
          <w:shd w:val="clear" w:color="auto" w:fill="FFFFFF"/>
        </w:rPr>
        <w:t>Abdolhay, H. (2004). Sturgeon Stocking Programme in the Caspian Sea with Emphasis on Iran.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FAO Fisheries Technical Paper</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429</w:t>
      </w:r>
      <w:r w:rsidRPr="0088780C">
        <w:rPr>
          <w:snapToGrid w:val="0"/>
          <w:kern w:val="22"/>
          <w:szCs w:val="22"/>
          <w:shd w:val="clear" w:color="auto" w:fill="FFFFFF"/>
        </w:rPr>
        <w:t>, 133.</w:t>
      </w:r>
    </w:p>
    <w:p w14:paraId="456887B8" w14:textId="77777777" w:rsidR="00A876F3" w:rsidRPr="0088780C" w:rsidRDefault="00A876F3" w:rsidP="002C503E">
      <w:pPr>
        <w:suppressLineNumbers/>
        <w:suppressAutoHyphens/>
        <w:kinsoku w:val="0"/>
        <w:overflowPunct w:val="0"/>
        <w:autoSpaceDE w:val="0"/>
        <w:autoSpaceDN w:val="0"/>
        <w:spacing w:after="60"/>
        <w:ind w:left="720" w:hanging="720"/>
        <w:rPr>
          <w:snapToGrid w:val="0"/>
          <w:kern w:val="22"/>
          <w:szCs w:val="22"/>
          <w:shd w:val="clear" w:color="auto" w:fill="FFFFFF"/>
        </w:rPr>
      </w:pPr>
      <w:r w:rsidRPr="0088780C">
        <w:rPr>
          <w:snapToGrid w:val="0"/>
          <w:kern w:val="22"/>
          <w:szCs w:val="22"/>
          <w:shd w:val="clear" w:color="auto" w:fill="FFFFFF"/>
        </w:rPr>
        <w:t xml:space="preserve">Abdoli, A. and Naderi, M. (2009). Biodiversity of Fishes of the Southern Basin of the Caspian Sea. Abzian Scientific Publications, Tehran. 243 pp. [In Farsi </w:t>
      </w:r>
      <w:r w:rsidRPr="0088780C">
        <w:rPr>
          <w:rFonts w:eastAsia="MS Mincho"/>
          <w:snapToGrid w:val="0"/>
          <w:kern w:val="22"/>
          <w:szCs w:val="22"/>
        </w:rPr>
        <w:t>language</w:t>
      </w:r>
      <w:r w:rsidRPr="0088780C">
        <w:rPr>
          <w:snapToGrid w:val="0"/>
          <w:kern w:val="22"/>
          <w:szCs w:val="22"/>
          <w:shd w:val="clear" w:color="auto" w:fill="FFFFFF"/>
        </w:rPr>
        <w:t>].</w:t>
      </w:r>
    </w:p>
    <w:p w14:paraId="562B7150" w14:textId="77777777" w:rsidR="00A876F3" w:rsidRPr="0088780C" w:rsidRDefault="00A876F3" w:rsidP="002C503E">
      <w:pPr>
        <w:suppressLineNumbers/>
        <w:suppressAutoHyphens/>
        <w:kinsoku w:val="0"/>
        <w:overflowPunct w:val="0"/>
        <w:autoSpaceDE w:val="0"/>
        <w:autoSpaceDN w:val="0"/>
        <w:spacing w:after="60"/>
        <w:ind w:left="720" w:hanging="720"/>
        <w:rPr>
          <w:snapToGrid w:val="0"/>
          <w:color w:val="222222"/>
          <w:kern w:val="22"/>
          <w:szCs w:val="22"/>
          <w:shd w:val="clear" w:color="auto" w:fill="FFFFFF"/>
        </w:rPr>
      </w:pPr>
      <w:r w:rsidRPr="0088780C">
        <w:rPr>
          <w:snapToGrid w:val="0"/>
          <w:color w:val="222222"/>
          <w:kern w:val="22"/>
          <w:szCs w:val="22"/>
          <w:shd w:val="clear" w:color="auto" w:fill="FFFFFF"/>
        </w:rPr>
        <w:t>Amini, H., &amp; Sehhatisabet, M. E. (2007). Wintering populations of swans in Iran.</w:t>
      </w:r>
      <w:r w:rsidRPr="0088780C">
        <w:rPr>
          <w:rStyle w:val="apple-converted-space"/>
          <w:snapToGrid w:val="0"/>
          <w:color w:val="222222"/>
          <w:kern w:val="22"/>
          <w:szCs w:val="22"/>
          <w:shd w:val="clear" w:color="auto" w:fill="FFFFFF"/>
        </w:rPr>
        <w:t> </w:t>
      </w:r>
      <w:r w:rsidRPr="0088780C">
        <w:rPr>
          <w:i/>
          <w:iCs/>
          <w:snapToGrid w:val="0"/>
          <w:color w:val="222222"/>
          <w:kern w:val="22"/>
          <w:szCs w:val="22"/>
          <w:shd w:val="clear" w:color="auto" w:fill="FFFFFF"/>
        </w:rPr>
        <w:t>J. Podoces</w:t>
      </w:r>
      <w:r w:rsidRPr="0088780C">
        <w:rPr>
          <w:snapToGrid w:val="0"/>
          <w:color w:val="222222"/>
          <w:kern w:val="22"/>
          <w:szCs w:val="22"/>
          <w:shd w:val="clear" w:color="auto" w:fill="FFFFFF"/>
        </w:rPr>
        <w:t>,</w:t>
      </w:r>
      <w:r w:rsidRPr="0088780C">
        <w:rPr>
          <w:rStyle w:val="apple-converted-space"/>
          <w:snapToGrid w:val="0"/>
          <w:color w:val="222222"/>
          <w:kern w:val="22"/>
          <w:szCs w:val="22"/>
          <w:shd w:val="clear" w:color="auto" w:fill="FFFFFF"/>
        </w:rPr>
        <w:t> </w:t>
      </w:r>
      <w:r w:rsidRPr="0088780C">
        <w:rPr>
          <w:i/>
          <w:iCs/>
          <w:snapToGrid w:val="0"/>
          <w:color w:val="222222"/>
          <w:kern w:val="22"/>
          <w:szCs w:val="22"/>
          <w:shd w:val="clear" w:color="auto" w:fill="FFFFFF"/>
        </w:rPr>
        <w:t>2</w:t>
      </w:r>
      <w:r w:rsidRPr="0088780C">
        <w:rPr>
          <w:snapToGrid w:val="0"/>
          <w:color w:val="222222"/>
          <w:kern w:val="22"/>
          <w:szCs w:val="22"/>
          <w:shd w:val="clear" w:color="auto" w:fill="FFFFFF"/>
        </w:rPr>
        <w:t>(2), 113-121.</w:t>
      </w:r>
    </w:p>
    <w:p w14:paraId="5BA6F13D" w14:textId="77777777" w:rsidR="00A876F3" w:rsidRPr="0088780C" w:rsidRDefault="00A876F3" w:rsidP="002C503E">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Amini H. &amp; van Roomen, M. (eds.) (2009). Waterbirds in Iran, January 2009. Results of a mid-winter count in the provinces of Gilan, Mazanderan, Golestan, Fars, Khuzestan, Bushehr, Hormozgan &amp; Sistan-Baluchistan. Department of Environment, Islamic Republic of Iran &amp; Foundation Working Group International Waterbird and Wetland Research, The Netherlands.</w:t>
      </w:r>
    </w:p>
    <w:p w14:paraId="2E818F92" w14:textId="77777777" w:rsidR="00A876F3" w:rsidRPr="0088780C" w:rsidRDefault="00A876F3" w:rsidP="002C503E">
      <w:pPr>
        <w:suppressLineNumbers/>
        <w:suppressAutoHyphens/>
        <w:kinsoku w:val="0"/>
        <w:overflowPunct w:val="0"/>
        <w:autoSpaceDE w:val="0"/>
        <w:autoSpaceDN w:val="0"/>
        <w:spacing w:after="60"/>
        <w:ind w:left="720" w:hanging="720"/>
        <w:rPr>
          <w:snapToGrid w:val="0"/>
          <w:color w:val="222222"/>
          <w:kern w:val="22"/>
          <w:szCs w:val="22"/>
          <w:shd w:val="clear" w:color="auto" w:fill="FFFFFF"/>
        </w:rPr>
      </w:pPr>
      <w:r w:rsidRPr="0088780C">
        <w:rPr>
          <w:snapToGrid w:val="0"/>
          <w:color w:val="222222"/>
          <w:kern w:val="22"/>
          <w:szCs w:val="22"/>
          <w:shd w:val="clear" w:color="auto" w:fill="FFFFFF"/>
        </w:rPr>
        <w:t>Ashouri, A., &amp; Zolfinezhad, K. (2006). A three-year survey of the status of birds in Boojagh National Park. Journal of Environmental Sciences. Spring, 2006 vol.3 No.11 Pp 11-22.</w:t>
      </w:r>
    </w:p>
    <w:p w14:paraId="3B6DA8C9"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snapToGrid w:val="0"/>
          <w:kern w:val="22"/>
          <w:szCs w:val="22"/>
          <w:rtl/>
        </w:rPr>
      </w:pPr>
      <w:r w:rsidRPr="0088780C">
        <w:rPr>
          <w:rFonts w:eastAsia="MS Mincho"/>
          <w:snapToGrid w:val="0"/>
          <w:kern w:val="22"/>
          <w:szCs w:val="22"/>
        </w:rPr>
        <w:t>Ashouri A., Nezami Sh. &amp; Zolfinzhad K. (2008). Identification of Boujagh National Park Kiashahr Birds. Journal of Environmental Studies 34: 101– 112 [In Persian].</w:t>
      </w:r>
    </w:p>
    <w:p w14:paraId="78F0EB33" w14:textId="77777777" w:rsidR="00A876F3" w:rsidRPr="0088780C" w:rsidRDefault="00A876F3" w:rsidP="002C503E">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BirdLife International (2017) Important Bird Areas factsheet: Bandar Kiashar lagoon and mouth of Sefid Rud. Downloaded from http://www.birdlife.org (http://www.birdlife.org) on 11/04/2017.</w:t>
      </w:r>
    </w:p>
    <w:p w14:paraId="4D7C0EF8"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Carp, E. (Ed.). (1980). Directory of Wetlands of International Importance in the Western Palearctic. IUCN.</w:t>
      </w:r>
    </w:p>
    <w:p w14:paraId="2B571B48"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CaspEco (2011). CaspEco Project. Seal Special Protected Network (SSPA). Final Report. University of Leeds.</w:t>
      </w:r>
    </w:p>
    <w:p w14:paraId="47BE752B" w14:textId="77777777" w:rsidR="00A876F3" w:rsidRPr="0088780C" w:rsidRDefault="00A876F3" w:rsidP="002C503E">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CEP (2010). Caspeco Project Component I –Creation of Special Protected Areas for the Caspian Seal.</w:t>
      </w:r>
    </w:p>
    <w:p w14:paraId="70A1CE8E"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Evans, M.I. (ed). (1994). Important Bird Areas in the Middle East. Cambridge, UK: BirdLife International.</w:t>
      </w:r>
    </w:p>
    <w:p w14:paraId="0A7E18EC" w14:textId="77777777" w:rsidR="00A876F3" w:rsidRPr="0088780C" w:rsidRDefault="00A876F3" w:rsidP="002C503E">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Ilyashenko EI, editor. Atlas of key sites for the Siberian crane and other waterbirds in Western/ Central Asia. Baraboo: International Crane Foundation; 2010. 116 pp.</w:t>
      </w:r>
    </w:p>
    <w:p w14:paraId="228EC89D"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iCs/>
          <w:snapToGrid w:val="0"/>
          <w:kern w:val="22"/>
          <w:szCs w:val="22"/>
        </w:rPr>
      </w:pPr>
      <w:r w:rsidRPr="0088780C">
        <w:rPr>
          <w:rFonts w:eastAsia="MS Mincho"/>
          <w:iCs/>
          <w:snapToGrid w:val="0"/>
          <w:kern w:val="22"/>
          <w:szCs w:val="22"/>
        </w:rPr>
        <w:t>Kiabi, B. H., Abdoli, A., Naderi, M. (1999a). Status of the fish fauna in the south Caspian Basin of Iran. J. Zool. Mid. East. 18, 57–65.</w:t>
      </w:r>
    </w:p>
    <w:p w14:paraId="5AB2EF53"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iCs/>
          <w:snapToGrid w:val="0"/>
          <w:kern w:val="22"/>
          <w:szCs w:val="22"/>
        </w:rPr>
      </w:pPr>
      <w:r w:rsidRPr="0088780C">
        <w:rPr>
          <w:rFonts w:eastAsia="MS Mincho"/>
          <w:iCs/>
          <w:snapToGrid w:val="0"/>
          <w:kern w:val="22"/>
          <w:szCs w:val="22"/>
        </w:rPr>
        <w:t>Laluyee (1996). Migration studies of sturgeons in Sefidrud, Tajen and Gorganrud River. Iranian Fisheries Research and Training Organisation Publications.</w:t>
      </w:r>
    </w:p>
    <w:p w14:paraId="1D941726"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snapToGrid w:val="0"/>
          <w:kern w:val="22"/>
          <w:szCs w:val="22"/>
        </w:rPr>
      </w:pPr>
      <w:r w:rsidRPr="0088780C">
        <w:rPr>
          <w:snapToGrid w:val="0"/>
          <w:kern w:val="22"/>
          <w:szCs w:val="22"/>
          <w:shd w:val="clear" w:color="auto" w:fill="FFFFFF"/>
        </w:rPr>
        <w:t>Naddafi, R., Abdoli, A., Hassanzadeh Kiabi, B., Mojazi Amiri, B., &amp; Karami, M. (2005). Age, growth and reproduction of the Caspian roach (</w:t>
      </w:r>
      <w:r w:rsidRPr="0088780C">
        <w:rPr>
          <w:i/>
          <w:iCs/>
          <w:snapToGrid w:val="0"/>
          <w:kern w:val="22"/>
          <w:szCs w:val="22"/>
          <w:shd w:val="clear" w:color="auto" w:fill="FFFFFF"/>
        </w:rPr>
        <w:t>Rutilus rutilus caspicus</w:t>
      </w:r>
      <w:r w:rsidRPr="0088780C">
        <w:rPr>
          <w:snapToGrid w:val="0"/>
          <w:kern w:val="22"/>
          <w:szCs w:val="22"/>
          <w:shd w:val="clear" w:color="auto" w:fill="FFFFFF"/>
        </w:rPr>
        <w:t>) in the Anzali and Gomishan wetlands, North Iran.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Journal of Applied Ichthyology</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21</w:t>
      </w:r>
      <w:r w:rsidRPr="0088780C">
        <w:rPr>
          <w:snapToGrid w:val="0"/>
          <w:kern w:val="22"/>
          <w:szCs w:val="22"/>
          <w:shd w:val="clear" w:color="auto" w:fill="FFFFFF"/>
        </w:rPr>
        <w:t xml:space="preserve">(6), 492-497. </w:t>
      </w:r>
    </w:p>
    <w:p w14:paraId="5548D808"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iCs/>
          <w:snapToGrid w:val="0"/>
          <w:kern w:val="22"/>
          <w:szCs w:val="22"/>
        </w:rPr>
      </w:pPr>
      <w:r w:rsidRPr="0088780C">
        <w:rPr>
          <w:rFonts w:eastAsia="MS Mincho"/>
          <w:iCs/>
          <w:snapToGrid w:val="0"/>
          <w:kern w:val="22"/>
          <w:szCs w:val="22"/>
        </w:rPr>
        <w:t>Rahimibashar, M. R., Esmaeili-Sary, A., Nezami, S.A., Javanshir, A., Fatemi S. M. R &amp; Jamili, S. (2009). The Planktonic Community Structure and Fluxes Nutrients in the Sefid-Rood River Estuary (South Caspian Sea). Research Journal of Environmental Sciences, 3: 149-162.</w:t>
      </w:r>
    </w:p>
    <w:p w14:paraId="669492D4"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iCs/>
          <w:snapToGrid w:val="0"/>
          <w:kern w:val="22"/>
          <w:szCs w:val="22"/>
        </w:rPr>
      </w:pPr>
      <w:r w:rsidRPr="0088780C">
        <w:rPr>
          <w:rFonts w:eastAsia="MS Mincho"/>
          <w:iCs/>
          <w:snapToGrid w:val="0"/>
          <w:kern w:val="22"/>
          <w:szCs w:val="22"/>
        </w:rPr>
        <w:t>Ramin, M. 1998. Migratory studies in sturgeons and their limiting factors in the Sefidrud River. Gilan Fisheries Research Centre Publications.</w:t>
      </w:r>
    </w:p>
    <w:p w14:paraId="6CD1CCBE" w14:textId="77777777" w:rsidR="00A876F3" w:rsidRPr="0088780C" w:rsidRDefault="00A876F3" w:rsidP="002C503E">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Ramsar Convention. Information sheet on Ramsar wetlands, Bujagh National Park; Apr 2009. </w:t>
      </w:r>
      <w:hyperlink r:id="rId296" w:history="1">
        <w:r w:rsidRPr="0088780C">
          <w:rPr>
            <w:rStyle w:val="Hyperlink"/>
            <w:snapToGrid w:val="0"/>
            <w:kern w:val="22"/>
            <w:szCs w:val="22"/>
          </w:rPr>
          <w:t>https://rsis.ramsar.org/RISapp/files/RISrep/IR46RIS.pdf</w:t>
        </w:r>
      </w:hyperlink>
    </w:p>
    <w:p w14:paraId="47A88D49" w14:textId="77777777" w:rsidR="00A876F3" w:rsidRPr="0088780C" w:rsidRDefault="00A876F3" w:rsidP="002C503E">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Sadeghi-Zadegan S, Fazeli A. West &amp; Central Asian site network, Bujagh National Park, Iran; 2007. </w:t>
      </w:r>
      <w:hyperlink r:id="rId297" w:history="1">
        <w:r w:rsidRPr="0088780C">
          <w:rPr>
            <w:rStyle w:val="Hyperlink"/>
            <w:snapToGrid w:val="0"/>
            <w:kern w:val="22"/>
            <w:szCs w:val="22"/>
          </w:rPr>
          <w:t>http://sibeflyway.org/wp-content/uploads/2012/03/5-Budjagh-SIS-Part1-eng.pdf</w:t>
        </w:r>
      </w:hyperlink>
    </w:p>
    <w:p w14:paraId="2840F187"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iCs/>
          <w:snapToGrid w:val="0"/>
          <w:kern w:val="22"/>
          <w:szCs w:val="22"/>
        </w:rPr>
      </w:pPr>
      <w:r w:rsidRPr="0088780C">
        <w:rPr>
          <w:rFonts w:eastAsia="MS Mincho"/>
          <w:iCs/>
          <w:snapToGrid w:val="0"/>
          <w:kern w:val="22"/>
          <w:szCs w:val="22"/>
        </w:rPr>
        <w:t xml:space="preserve">Sadeghi-Zadegan, S., (2016). Bujagh National Park (Islamic Republic of Iran). </w:t>
      </w:r>
      <w:r w:rsidRPr="0088780C">
        <w:rPr>
          <w:rFonts w:eastAsia="MS Mincho"/>
          <w:i/>
          <w:snapToGrid w:val="0"/>
          <w:kern w:val="22"/>
          <w:szCs w:val="22"/>
        </w:rPr>
        <w:t>In</w:t>
      </w:r>
      <w:r w:rsidRPr="0088780C">
        <w:rPr>
          <w:rFonts w:eastAsia="MS Mincho"/>
          <w:iCs/>
          <w:snapToGrid w:val="0"/>
          <w:kern w:val="22"/>
          <w:szCs w:val="22"/>
        </w:rPr>
        <w:t xml:space="preserve"> The Wetlands Book, Springer Science and Business, eds. Finlayson et al. DOI 10.1007/978-94-007-6173-5_234-2</w:t>
      </w:r>
    </w:p>
    <w:p w14:paraId="5E7E90DF"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snapToGrid w:val="0"/>
          <w:kern w:val="22"/>
          <w:szCs w:val="22"/>
        </w:rPr>
      </w:pPr>
      <w:r w:rsidRPr="0088780C">
        <w:rPr>
          <w:rFonts w:eastAsia="MS Mincho"/>
          <w:snapToGrid w:val="0"/>
          <w:kern w:val="22"/>
          <w:szCs w:val="22"/>
        </w:rPr>
        <w:t>Scott, D.A. (ed.) (1995). A Directory of Wetlands in the Middle East. IUCN, Gland, Switzerland and IWRB, Slimbridge, United Kingdom.</w:t>
      </w:r>
    </w:p>
    <w:p w14:paraId="3888AA22"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iCs/>
          <w:snapToGrid w:val="0"/>
          <w:kern w:val="22"/>
          <w:szCs w:val="22"/>
        </w:rPr>
      </w:pPr>
      <w:r w:rsidRPr="0088780C">
        <w:rPr>
          <w:rFonts w:eastAsia="MS Mincho"/>
          <w:iCs/>
          <w:snapToGrid w:val="0"/>
          <w:kern w:val="22"/>
          <w:szCs w:val="22"/>
        </w:rPr>
        <w:t>UNEP-WCMC (2010). Review of four sturgeon species from the Caspian Sea basin. A Report to the European Commission. UNEP-WCMC, Cambridge.</w:t>
      </w:r>
    </w:p>
    <w:p w14:paraId="6DF39C23" w14:textId="77777777" w:rsidR="00A876F3" w:rsidRPr="0088780C" w:rsidRDefault="00A876F3" w:rsidP="002C503E">
      <w:pPr>
        <w:suppressLineNumbers/>
        <w:suppressAutoHyphens/>
        <w:kinsoku w:val="0"/>
        <w:overflowPunct w:val="0"/>
        <w:autoSpaceDE w:val="0"/>
        <w:autoSpaceDN w:val="0"/>
        <w:spacing w:after="60"/>
        <w:ind w:left="720" w:hanging="720"/>
        <w:rPr>
          <w:rFonts w:eastAsia="MS Mincho"/>
          <w:iCs/>
          <w:snapToGrid w:val="0"/>
          <w:kern w:val="22"/>
          <w:szCs w:val="22"/>
        </w:rPr>
      </w:pPr>
      <w:r w:rsidRPr="0088780C">
        <w:rPr>
          <w:rFonts w:eastAsia="MS Mincho"/>
          <w:iCs/>
          <w:snapToGrid w:val="0"/>
          <w:kern w:val="22"/>
          <w:szCs w:val="22"/>
        </w:rPr>
        <w:t>UNEP/CMS. Conservation measures for the Siberian crane, CMS Technical Series Publication No.16. 4th ed. Bonn: UNEP/CMS Secretariat; 2008.</w:t>
      </w:r>
    </w:p>
    <w:p w14:paraId="35B9D6FD" w14:textId="50274575" w:rsidR="00A876F3" w:rsidRPr="0088780C" w:rsidRDefault="00A876F3" w:rsidP="002C503E">
      <w:pPr>
        <w:suppressLineNumbers/>
        <w:suppressAutoHyphens/>
        <w:kinsoku w:val="0"/>
        <w:overflowPunct w:val="0"/>
        <w:autoSpaceDE w:val="0"/>
        <w:autoSpaceDN w:val="0"/>
        <w:spacing w:after="60"/>
        <w:ind w:left="720" w:hanging="720"/>
        <w:rPr>
          <w:rFonts w:eastAsia="MS Mincho"/>
          <w:iCs/>
          <w:snapToGrid w:val="0"/>
          <w:kern w:val="22"/>
          <w:szCs w:val="22"/>
        </w:rPr>
      </w:pPr>
      <w:r w:rsidRPr="0088780C">
        <w:rPr>
          <w:rFonts w:eastAsia="MS Mincho"/>
          <w:iCs/>
          <w:snapToGrid w:val="0"/>
          <w:kern w:val="22"/>
          <w:szCs w:val="22"/>
        </w:rPr>
        <w:t>UNEP/CMS. Conservation measures for the Siberian crane. 5th ed. CMS Technical Report Series No.25. Bonn: UNEP/CMS Secretariat; 2011. http://www.cms.int/species/siberian_crane/pdf/ conservation_plans_all_pops_2010_12_e.pdf</w:t>
      </w:r>
    </w:p>
    <w:p w14:paraId="35796D85" w14:textId="77777777" w:rsidR="00A876F3" w:rsidRPr="0088780C" w:rsidRDefault="00A876F3" w:rsidP="002C503E">
      <w:pPr>
        <w:suppressLineNumbers/>
        <w:suppressAutoHyphens/>
        <w:kinsoku w:val="0"/>
        <w:overflowPunct w:val="0"/>
        <w:autoSpaceDE w:val="0"/>
        <w:autoSpaceDN w:val="0"/>
        <w:spacing w:after="60"/>
        <w:ind w:left="720" w:hanging="720"/>
        <w:rPr>
          <w:snapToGrid w:val="0"/>
          <w:kern w:val="22"/>
          <w:szCs w:val="22"/>
          <w:shd w:val="clear" w:color="auto" w:fill="FFFFFF"/>
        </w:rPr>
      </w:pPr>
      <w:r w:rsidRPr="0088780C">
        <w:rPr>
          <w:snapToGrid w:val="0"/>
          <w:kern w:val="22"/>
          <w:szCs w:val="22"/>
          <w:shd w:val="clear" w:color="auto" w:fill="FFFFFF"/>
        </w:rPr>
        <w:t>Wilson S. &amp; Goodman, S.J. (2012). CaspEco project Component 1 - Seal Special Protected Area Scoping and Inception Plan, Final Report, May 2012. Caspian Environment Programme.</w:t>
      </w:r>
    </w:p>
    <w:p w14:paraId="0E6B575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47027E2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45AE2D9A"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61856D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2EC78304" w14:textId="4AB2A5B3"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noProof/>
          <w:snapToGrid w:val="0"/>
          <w:kern w:val="22"/>
          <w:szCs w:val="22"/>
          <w:lang w:eastAsia="zh-CN"/>
        </w:rPr>
        <w:drawing>
          <wp:inline distT="0" distB="0" distL="0" distR="0" wp14:anchorId="0CC52807" wp14:editId="029D51B0">
            <wp:extent cx="5486400" cy="4572000"/>
            <wp:effectExtent l="0" t="0" r="0" b="0"/>
            <wp:docPr id="13316" name="Picture 13316" descr="C:\Users\grekin\AppData\Local\Microsoft\Windows\Temporary Internet Files\Content.Word\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rekin\AppData\Local\Microsoft\Windows\Temporary Internet Files\Content.Word\26.png"/>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36FA0A4B" w14:textId="428B8DFB" w:rsidR="00A876F3" w:rsidRPr="0088780C" w:rsidRDefault="00A876F3" w:rsidP="001013AF">
      <w:pPr>
        <w:suppressLineNumbers/>
        <w:suppressAutoHyphens/>
        <w:kinsoku w:val="0"/>
        <w:overflowPunct w:val="0"/>
        <w:autoSpaceDE w:val="0"/>
        <w:autoSpaceDN w:val="0"/>
        <w:rPr>
          <w:rFonts w:eastAsia="MS Mincho"/>
          <w:b/>
          <w:iCs/>
          <w:snapToGrid w:val="0"/>
          <w:kern w:val="22"/>
          <w:szCs w:val="22"/>
        </w:rPr>
      </w:pPr>
      <w:r w:rsidRPr="0088780C">
        <w:rPr>
          <w:rFonts w:eastAsia="MS Mincho"/>
          <w:b/>
          <w:iCs/>
          <w:snapToGrid w:val="0"/>
          <w:kern w:val="22"/>
          <w:szCs w:val="22"/>
        </w:rPr>
        <w:t xml:space="preserve">Figure 1. </w:t>
      </w:r>
      <w:r w:rsidRPr="0088780C">
        <w:rPr>
          <w:rFonts w:eastAsia="MS Mincho"/>
          <w:b/>
          <w:snapToGrid w:val="0"/>
          <w:color w:val="000000" w:themeColor="text1"/>
          <w:kern w:val="22"/>
          <w:szCs w:val="22"/>
        </w:rPr>
        <w:t>Area meeting the EBSA criteria</w:t>
      </w:r>
    </w:p>
    <w:p w14:paraId="3169B0EB"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3EB500C3"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i/>
          <w:snapToGrid w:val="0"/>
          <w:kern w:val="22"/>
          <w:szCs w:val="22"/>
        </w:rPr>
        <w:br w:type="page"/>
      </w:r>
    </w:p>
    <w:p w14:paraId="40EB0711" w14:textId="7ED2BABC"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27: </w:t>
      </w:r>
      <w:r w:rsidRPr="0088780C">
        <w:rPr>
          <w:rFonts w:eastAsia="MS Mincho"/>
          <w:b/>
          <w:bCs/>
          <w:snapToGrid w:val="0"/>
          <w:kern w:val="22"/>
          <w:szCs w:val="22"/>
        </w:rPr>
        <w:t>Anzali Wetlands Complex</w:t>
      </w:r>
    </w:p>
    <w:p w14:paraId="137AE2E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C609070"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Abstract</w:t>
      </w:r>
    </w:p>
    <w:p w14:paraId="4F91F992"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snapToGrid w:val="0"/>
          <w:kern w:val="22"/>
          <w:szCs w:val="22"/>
        </w:rPr>
        <w:t>The area is a good example of a natural lagoon and wetland ecosystem characteristic of the south Caspian lowlands.</w:t>
      </w:r>
      <w:r w:rsidRPr="0088780C">
        <w:rPr>
          <w:rFonts w:eastAsia="MS Mincho"/>
          <w:iCs/>
          <w:snapToGrid w:val="0"/>
          <w:kern w:val="22"/>
          <w:szCs w:val="22"/>
        </w:rPr>
        <w:t xml:space="preserve"> This area supports more than 100,000 wintering waterbirds, and more than 1% of the regional populations of several waterbird species. The area is also a significant site for preserving plant and animal genetic resources and diversity.</w:t>
      </w:r>
    </w:p>
    <w:p w14:paraId="2E202AA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310657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47114D30" w14:textId="01045607" w:rsidR="00A876F3" w:rsidRPr="0088780C" w:rsidRDefault="00A876F3" w:rsidP="001013AF">
      <w:pPr>
        <w:suppressLineNumbers/>
        <w:suppressAutoHyphens/>
        <w:kinsoku w:val="0"/>
        <w:overflowPunct w:val="0"/>
        <w:autoSpaceDE w:val="0"/>
        <w:autoSpaceDN w:val="0"/>
        <w:rPr>
          <w:rFonts w:eastAsia="MS Mincho"/>
          <w:iCs/>
          <w:snapToGrid w:val="0"/>
          <w:spacing w:val="-2"/>
          <w:kern w:val="22"/>
          <w:szCs w:val="22"/>
        </w:rPr>
      </w:pPr>
      <w:r w:rsidRPr="0088780C">
        <w:rPr>
          <w:rFonts w:eastAsia="MS Mincho"/>
          <w:snapToGrid w:val="0"/>
          <w:spacing w:val="-2"/>
          <w:kern w:val="22"/>
          <w:szCs w:val="22"/>
        </w:rPr>
        <w:t xml:space="preserve">Anzali wetlands complex is located on the south-western shore of the Caspian Sea, close to the city of Bandar-e-Anzali. The area is a good example of a natural lagoon and wetland ecosystem characteristic of the south Caspian lowlands. The area </w:t>
      </w:r>
      <w:r w:rsidRPr="0088780C">
        <w:rPr>
          <w:rFonts w:eastAsia="MS Mincho"/>
          <w:iCs/>
          <w:snapToGrid w:val="0"/>
          <w:spacing w:val="-2"/>
          <w:kern w:val="22"/>
          <w:szCs w:val="22"/>
        </w:rPr>
        <w:t>comprises a complex of large, shallow, eutrophic brackish-freshwater lagoons, marshes and seasonally flooded grasslands, separated from the Caspian Sea by a sandy barrier, about 1 km wide, that has open grasslands, pomegranate scrub and sand dune vegetation.</w:t>
      </w:r>
      <w:r w:rsidRPr="0088780C">
        <w:rPr>
          <w:rFonts w:eastAsia="MS Mincho"/>
          <w:snapToGrid w:val="0"/>
          <w:spacing w:val="-2"/>
          <w:kern w:val="22"/>
          <w:szCs w:val="22"/>
        </w:rPr>
        <w:t xml:space="preserve"> </w:t>
      </w:r>
      <w:r w:rsidRPr="0088780C">
        <w:rPr>
          <w:rFonts w:eastAsia="MS Mincho"/>
          <w:iCs/>
          <w:snapToGrid w:val="0"/>
          <w:spacing w:val="-2"/>
          <w:kern w:val="22"/>
          <w:szCs w:val="22"/>
        </w:rPr>
        <w:t xml:space="preserve">The wetland is extremely important as spawning and nursery grounds for fish and as breeding, staging and wintering areas for a wide variety of waterbirds (Mansoori, 2009, </w:t>
      </w:r>
      <w:r w:rsidRPr="0088780C">
        <w:rPr>
          <w:rFonts w:eastAsia="MS Mincho"/>
          <w:snapToGrid w:val="0"/>
          <w:spacing w:val="-2"/>
          <w:kern w:val="22"/>
          <w:szCs w:val="22"/>
        </w:rPr>
        <w:t xml:space="preserve">Ramsar Convention Bureau 1997a). </w:t>
      </w:r>
      <w:r w:rsidRPr="0088780C">
        <w:rPr>
          <w:rFonts w:eastAsia="MS Mincho"/>
          <w:iCs/>
          <w:snapToGrid w:val="0"/>
          <w:spacing w:val="-2"/>
          <w:kern w:val="22"/>
          <w:szCs w:val="22"/>
        </w:rPr>
        <w:t xml:space="preserve"> Parts of the area receive particular protection, including the Siahkeshim Protected Area, Sorkhankol and the Selkeh Wildlife Refuge, but the entire wetland is designated as a Ramsar Wetland of International Importance (Ramsar Site) of the same name: Anzali Wetlands Complex (</w:t>
      </w:r>
      <w:r w:rsidRPr="0088780C">
        <w:rPr>
          <w:rFonts w:eastAsia="MS Mincho"/>
          <w:snapToGrid w:val="0"/>
          <w:spacing w:val="-2"/>
          <w:kern w:val="22"/>
          <w:szCs w:val="22"/>
        </w:rPr>
        <w:t xml:space="preserve">Ramsar Convention Bureau (1997a). The Anzali Wetlands Complex is internationally important for migratory waterbirds and has been designated as an Important Bird and Biodiversity Area (IBA) by BirdLife International, known as </w:t>
      </w:r>
      <w:r w:rsidR="00D8482D" w:rsidRPr="0088780C">
        <w:rPr>
          <w:rFonts w:eastAsia="MS Mincho"/>
          <w:snapToGrid w:val="0"/>
          <w:spacing w:val="-2"/>
          <w:kern w:val="22"/>
          <w:szCs w:val="22"/>
        </w:rPr>
        <w:t>“</w:t>
      </w:r>
      <w:r w:rsidRPr="0088780C">
        <w:rPr>
          <w:rFonts w:eastAsia="MS Mincho"/>
          <w:snapToGrid w:val="0"/>
          <w:spacing w:val="-2"/>
          <w:kern w:val="22"/>
          <w:szCs w:val="22"/>
        </w:rPr>
        <w:t>Anzali Mordab Complex</w:t>
      </w:r>
      <w:r w:rsidR="00D8482D" w:rsidRPr="0088780C">
        <w:rPr>
          <w:rFonts w:eastAsia="MS Mincho"/>
          <w:snapToGrid w:val="0"/>
          <w:spacing w:val="-2"/>
          <w:kern w:val="22"/>
          <w:szCs w:val="22"/>
        </w:rPr>
        <w:t>”</w:t>
      </w:r>
      <w:r w:rsidRPr="0088780C">
        <w:rPr>
          <w:rFonts w:eastAsia="MS Mincho"/>
          <w:snapToGrid w:val="0"/>
          <w:spacing w:val="-2"/>
          <w:kern w:val="22"/>
          <w:szCs w:val="22"/>
        </w:rPr>
        <w:t xml:space="preserve"> (</w:t>
      </w:r>
      <w:r w:rsidRPr="0088780C">
        <w:rPr>
          <w:snapToGrid w:val="0"/>
          <w:spacing w:val="-2"/>
          <w:kern w:val="22"/>
          <w:szCs w:val="22"/>
        </w:rPr>
        <w:t>BirdLife International, 2017a)</w:t>
      </w:r>
      <w:r w:rsidRPr="0088780C">
        <w:rPr>
          <w:rFonts w:eastAsia="MS Mincho"/>
          <w:snapToGrid w:val="0"/>
          <w:spacing w:val="-2"/>
          <w:kern w:val="22"/>
          <w:szCs w:val="22"/>
        </w:rPr>
        <w:t>.</w:t>
      </w:r>
      <w:r w:rsidRPr="0088780C">
        <w:rPr>
          <w:rFonts w:eastAsia="MS Mincho"/>
          <w:iCs/>
          <w:snapToGrid w:val="0"/>
          <w:spacing w:val="-2"/>
          <w:kern w:val="22"/>
          <w:szCs w:val="22"/>
        </w:rPr>
        <w:t xml:space="preserve"> Three reserves have been established in the Anzali wetlands complex, including Sorkan Kol wetland, a wildlife refuge, and the central portion of Siahkeshim Marsh and Selkeh Ab-Bandan, protected areas. This area supports more than 100,000 wintering waterbirds and more than 1% of the regional populations of several waterbird species. The area is also recognized as a significant site for preserving plant and animal genetic resources and diversity (Karimi, 2016).</w:t>
      </w:r>
    </w:p>
    <w:p w14:paraId="7DCB04C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084088F" w14:textId="1E6508A9"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10 perennial flowing rivers draining the 3,610 km</w:t>
      </w:r>
      <w:r w:rsidRPr="0088780C">
        <w:rPr>
          <w:rFonts w:eastAsia="MS Mincho"/>
          <w:snapToGrid w:val="0"/>
          <w:kern w:val="22"/>
          <w:szCs w:val="22"/>
          <w:vertAlign w:val="superscript"/>
        </w:rPr>
        <w:t>2</w:t>
      </w:r>
      <w:r w:rsidRPr="0088780C">
        <w:rPr>
          <w:rFonts w:eastAsia="MS Mincho"/>
          <w:snapToGrid w:val="0"/>
          <w:kern w:val="22"/>
          <w:szCs w:val="22"/>
        </w:rPr>
        <w:t xml:space="preserve"> watershed flow into the 15,000 ha Anzali wetland, which supports an extremely diverse flora and fauna.</w:t>
      </w:r>
    </w:p>
    <w:p w14:paraId="144938EF"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5819DA5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72DA8B0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Anzali wetlands complex is located on the south-western shore of the Caspian Sea, close to the city of Bandar-e-Anzali.</w:t>
      </w:r>
    </w:p>
    <w:p w14:paraId="45139D2C"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1C818BE9" w14:textId="77777777" w:rsidR="00A876F3" w:rsidRPr="0088780C" w:rsidRDefault="00A876F3" w:rsidP="00517209">
      <w:pPr>
        <w:keepNext/>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30E124D7" w14:textId="77777777" w:rsidR="00A876F3" w:rsidRPr="0088780C" w:rsidRDefault="00A876F3" w:rsidP="00517209">
      <w:pPr>
        <w:keepNext/>
        <w:suppressLineNumbers/>
        <w:suppressAutoHyphens/>
        <w:kinsoku w:val="0"/>
        <w:overflowPunct w:val="0"/>
        <w:autoSpaceDE w:val="0"/>
        <w:autoSpaceDN w:val="0"/>
        <w:rPr>
          <w:rFonts w:eastAsia="MS Mincho"/>
          <w:bCs/>
          <w:snapToGrid w:val="0"/>
          <w:kern w:val="22"/>
          <w:szCs w:val="22"/>
          <w:u w:val="single"/>
        </w:rPr>
      </w:pPr>
      <w:r w:rsidRPr="0088780C">
        <w:rPr>
          <w:rFonts w:eastAsia="MS Mincho"/>
          <w:bCs/>
          <w:snapToGrid w:val="0"/>
          <w:kern w:val="22"/>
          <w:szCs w:val="22"/>
          <w:u w:val="single"/>
        </w:rPr>
        <w:t>Physical description</w:t>
      </w:r>
    </w:p>
    <w:p w14:paraId="484F129D"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Anzali Wetlands Complex comprises large, shallow, eutrophic brackish-freshwater lagoons, shallow impoundments (Ab-Bandans), marshes, and seasonally flooded grasslands (Karimi, 2016; </w:t>
      </w:r>
      <w:r w:rsidRPr="0088780C">
        <w:rPr>
          <w:rFonts w:eastAsia="MS Mincho"/>
          <w:snapToGrid w:val="0"/>
          <w:kern w:val="22"/>
          <w:szCs w:val="22"/>
        </w:rPr>
        <w:t>Ramsar Convention Bureau 1997).</w:t>
      </w:r>
      <w:r w:rsidRPr="0088780C">
        <w:rPr>
          <w:rFonts w:eastAsia="MS Mincho"/>
          <w:iCs/>
          <w:snapToGrid w:val="0"/>
          <w:kern w:val="22"/>
          <w:szCs w:val="22"/>
        </w:rPr>
        <w:t xml:space="preserve"> It is separated to the north from the Caspian Sea by a sand dune barrier about 1 km wide, with open grassland and scrubby vegetation (Karimi, 2016, Ramsar Information Sheet).</w:t>
      </w:r>
      <w:r w:rsidRPr="0088780C">
        <w:rPr>
          <w:snapToGrid w:val="0"/>
          <w:kern w:val="22"/>
          <w:szCs w:val="22"/>
        </w:rPr>
        <w:t xml:space="preserve"> </w:t>
      </w:r>
      <w:r w:rsidRPr="0088780C">
        <w:rPr>
          <w:rFonts w:eastAsia="MS Mincho"/>
          <w:iCs/>
          <w:snapToGrid w:val="0"/>
          <w:kern w:val="22"/>
          <w:szCs w:val="22"/>
        </w:rPr>
        <w:t>The main wetland covers about 11,000 ha, and comprises an open lagoon, 26 km long by 2.0–3.5 km wide, surrounded by reedbeds that extend its eastern limits a further 7 km.</w:t>
      </w:r>
      <w:r w:rsidRPr="0088780C">
        <w:rPr>
          <w:snapToGrid w:val="0"/>
          <w:kern w:val="22"/>
          <w:szCs w:val="22"/>
        </w:rPr>
        <w:t xml:space="preserve"> </w:t>
      </w:r>
      <w:r w:rsidRPr="0088780C">
        <w:rPr>
          <w:rFonts w:eastAsia="MS Mincho"/>
          <w:iCs/>
          <w:snapToGrid w:val="0"/>
          <w:kern w:val="22"/>
          <w:szCs w:val="22"/>
        </w:rPr>
        <w:t xml:space="preserve">The entire marsh and lagoon complex drains into the Caspian Sea through the main inlet at the northeastern end of the main lagoon. </w:t>
      </w:r>
      <w:r w:rsidRPr="0088780C">
        <w:rPr>
          <w:rFonts w:eastAsia="MS Mincho"/>
          <w:snapToGrid w:val="0"/>
          <w:kern w:val="22"/>
          <w:szCs w:val="22"/>
        </w:rPr>
        <w:t>Water temperatures vary seasonally from 0° C in winter (February) to 27.5°C in midsummer (August) with average of about 16ºC (</w:t>
      </w:r>
      <w:r w:rsidRPr="0088780C">
        <w:rPr>
          <w:rFonts w:eastAsia="MS Mincho"/>
          <w:iCs/>
          <w:snapToGrid w:val="0"/>
          <w:kern w:val="22"/>
          <w:szCs w:val="22"/>
        </w:rPr>
        <w:t>Asadullayeva &amp; Alekperov, 2007; Jamshidi &amp; Bakar, 2012). The watershed of Anzali wetland has an area of 3,610 km</w:t>
      </w:r>
      <w:r w:rsidRPr="0088780C">
        <w:rPr>
          <w:rFonts w:eastAsia="MS Mincho"/>
          <w:iCs/>
          <w:snapToGrid w:val="0"/>
          <w:kern w:val="22"/>
          <w:szCs w:val="22"/>
          <w:vertAlign w:val="superscript"/>
        </w:rPr>
        <w:t>2</w:t>
      </w:r>
      <w:r w:rsidRPr="0088780C">
        <w:rPr>
          <w:rFonts w:eastAsia="MS Mincho"/>
          <w:iCs/>
          <w:snapToGrid w:val="0"/>
          <w:kern w:val="22"/>
          <w:szCs w:val="22"/>
        </w:rPr>
        <w:t xml:space="preserve"> encompassing 10 river systems with individual subcatchment between 100 and 700 km</w:t>
      </w:r>
      <w:r w:rsidRPr="0088780C">
        <w:rPr>
          <w:rFonts w:eastAsia="MS Mincho"/>
          <w:iCs/>
          <w:snapToGrid w:val="0"/>
          <w:kern w:val="22"/>
          <w:szCs w:val="22"/>
          <w:vertAlign w:val="superscript"/>
        </w:rPr>
        <w:t>2</w:t>
      </w:r>
      <w:r w:rsidRPr="0088780C">
        <w:rPr>
          <w:rFonts w:eastAsia="MS Mincho"/>
          <w:iCs/>
          <w:snapToGrid w:val="0"/>
          <w:kern w:val="22"/>
          <w:szCs w:val="22"/>
        </w:rPr>
        <w:t>. The perennial flowing rivers originate in the Alborz Mountains to the south and provide a mean annual discharge to the wetland estimated at about 2,400 M m</w:t>
      </w:r>
      <w:r w:rsidRPr="0088780C">
        <w:rPr>
          <w:rFonts w:eastAsia="MS Mincho"/>
          <w:iCs/>
          <w:snapToGrid w:val="0"/>
          <w:kern w:val="22"/>
          <w:szCs w:val="22"/>
          <w:vertAlign w:val="superscript"/>
        </w:rPr>
        <w:t>3</w:t>
      </w:r>
      <w:r w:rsidRPr="0088780C">
        <w:rPr>
          <w:rFonts w:eastAsia="MS Mincho"/>
          <w:iCs/>
          <w:snapToGrid w:val="0"/>
          <w:kern w:val="22"/>
          <w:szCs w:val="22"/>
        </w:rPr>
        <w:t xml:space="preserve"> (a mean flow rate of 76 m</w:t>
      </w:r>
      <w:r w:rsidRPr="0088780C">
        <w:rPr>
          <w:rFonts w:eastAsia="MS Mincho"/>
          <w:iCs/>
          <w:snapToGrid w:val="0"/>
          <w:kern w:val="22"/>
          <w:szCs w:val="22"/>
          <w:vertAlign w:val="superscript"/>
        </w:rPr>
        <w:t>3</w:t>
      </w:r>
      <w:r w:rsidRPr="0088780C">
        <w:rPr>
          <w:rFonts w:eastAsia="MS Mincho"/>
          <w:iCs/>
          <w:snapToGrid w:val="0"/>
          <w:kern w:val="22"/>
          <w:szCs w:val="22"/>
        </w:rPr>
        <w:t>/s) and sedimentation rates of 0.1-0.6 (cm yr</w:t>
      </w:r>
      <w:r w:rsidRPr="0088780C">
        <w:rPr>
          <w:rFonts w:eastAsia="MS Mincho"/>
          <w:iCs/>
          <w:snapToGrid w:val="0"/>
          <w:kern w:val="22"/>
          <w:szCs w:val="22"/>
          <w:vertAlign w:val="superscript"/>
        </w:rPr>
        <w:t>-1</w:t>
      </w:r>
      <w:r w:rsidRPr="0088780C">
        <w:rPr>
          <w:rFonts w:eastAsia="MS Mincho"/>
          <w:iCs/>
          <w:snapToGrid w:val="0"/>
          <w:kern w:val="22"/>
          <w:szCs w:val="22"/>
        </w:rPr>
        <w:t xml:space="preserve">) (Karimi, 2016; Leroy et al., 2011). The latest water level in the area recorded in September 2013 ranged from 26.10 m to 26.30 m (Karimi, 2016). </w:t>
      </w:r>
      <w:r w:rsidRPr="0088780C">
        <w:rPr>
          <w:rFonts w:eastAsia="MS Mincho"/>
          <w:snapToGrid w:val="0"/>
          <w:kern w:val="22"/>
          <w:szCs w:val="22"/>
        </w:rPr>
        <w:t xml:space="preserve">Variations in Caspian Sea level and water abstraction from feeder streams will affect the main wetland’s level and size. In the 1930s the main wetland was 4 to 8 m deep, and the fall in level has severely affected the spawning migrations of fishes and the habitat for developing young. </w:t>
      </w:r>
      <w:r w:rsidRPr="0088780C">
        <w:rPr>
          <w:rFonts w:eastAsia="MS Mincho"/>
          <w:iCs/>
          <w:snapToGrid w:val="0"/>
          <w:kern w:val="22"/>
          <w:szCs w:val="22"/>
        </w:rPr>
        <w:t xml:space="preserve">The maximum water depth of both Siahkeshim Marsh and Selkeh wetlands is about 120 cm (Khaleghizadeh, 2007, </w:t>
      </w:r>
      <w:hyperlink r:id="rId299" w:history="1">
        <w:r w:rsidRPr="0088780C">
          <w:rPr>
            <w:rStyle w:val="Hyperlink"/>
            <w:rFonts w:eastAsia="MS Mincho"/>
            <w:iCs/>
            <w:snapToGrid w:val="0"/>
            <w:kern w:val="22"/>
            <w:szCs w:val="22"/>
          </w:rPr>
          <w:t>www.briancoad.com</w:t>
        </w:r>
      </w:hyperlink>
      <w:r w:rsidRPr="0088780C">
        <w:rPr>
          <w:rFonts w:eastAsia="MS Mincho"/>
          <w:iCs/>
          <w:snapToGrid w:val="0"/>
          <w:kern w:val="22"/>
          <w:szCs w:val="22"/>
        </w:rPr>
        <w:t>). T</w:t>
      </w:r>
      <w:r w:rsidRPr="0088780C">
        <w:rPr>
          <w:rFonts w:eastAsia="MS Mincho"/>
          <w:snapToGrid w:val="0"/>
          <w:kern w:val="22"/>
          <w:szCs w:val="22"/>
        </w:rPr>
        <w:t xml:space="preserve">he rise in the sea level of the Caspian Sea since 1978 has led to a salt water intrusion during the summer months, when the water level is at its highest and freshwater input from rivers is at its lowest. The salinity range of the wetlands is 0.5–8 ppt (Naddafi et al., 2005). </w:t>
      </w:r>
      <w:r w:rsidRPr="0088780C">
        <w:rPr>
          <w:rFonts w:eastAsia="MS Mincho"/>
          <w:iCs/>
          <w:snapToGrid w:val="0"/>
          <w:kern w:val="22"/>
          <w:szCs w:val="22"/>
        </w:rPr>
        <w:t>The Anzali Lagoon is gradually returning to its former brackish water status. However, although the Caspian Sea level is now even higher than the long-term calculated level for 1879–1930, the environmental conditions of the lagoon are far from those that existedaround 1930. This suggests that until about 1940, the lagoon must have been a brackish water coastal bay; it then gradually transformed to a purely freshwater basin and is now returning to its former brackish-water state (Holchík and Oláh (1992).</w:t>
      </w:r>
    </w:p>
    <w:p w14:paraId="1C89E7F4"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71944A1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u w:val="single"/>
        </w:rPr>
      </w:pPr>
      <w:r w:rsidRPr="0088780C">
        <w:rPr>
          <w:rFonts w:eastAsia="MS Mincho"/>
          <w:iCs/>
          <w:snapToGrid w:val="0"/>
          <w:kern w:val="22"/>
          <w:szCs w:val="22"/>
          <w:u w:val="single"/>
        </w:rPr>
        <w:t>Biological Communities</w:t>
      </w:r>
    </w:p>
    <w:p w14:paraId="60EB3503"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i/>
          <w:snapToGrid w:val="0"/>
          <w:kern w:val="22"/>
          <w:szCs w:val="22"/>
        </w:rPr>
        <w:t>Birds</w:t>
      </w:r>
    </w:p>
    <w:p w14:paraId="3A5D9A38" w14:textId="250A0521"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iCs/>
          <w:snapToGrid w:val="0"/>
          <w:kern w:val="22"/>
          <w:szCs w:val="22"/>
        </w:rPr>
        <w:t>The Anzali wetland and its satellite wetlands, including Siahkeshim and Selkeh, are extremely important for a wide variety of breeding, passage and wintering waterbirds, and support huge concentrations of wintering ducks, geese, swans and coots (</w:t>
      </w:r>
      <w:r w:rsidRPr="0088780C">
        <w:rPr>
          <w:rFonts w:eastAsia="MS Mincho"/>
          <w:bCs/>
          <w:iCs/>
          <w:snapToGrid w:val="0"/>
          <w:kern w:val="22"/>
          <w:szCs w:val="22"/>
        </w:rPr>
        <w:t>Jafari, N. 2009</w:t>
      </w:r>
      <w:r w:rsidRPr="0088780C">
        <w:rPr>
          <w:rFonts w:eastAsia="MS Mincho"/>
          <w:b/>
          <w:bCs/>
          <w:iCs/>
          <w:snapToGrid w:val="0"/>
          <w:kern w:val="22"/>
          <w:szCs w:val="22"/>
        </w:rPr>
        <w:t xml:space="preserve">; </w:t>
      </w:r>
      <w:r w:rsidRPr="0088780C">
        <w:rPr>
          <w:rFonts w:eastAsia="MS Mincho"/>
          <w:iCs/>
          <w:snapToGrid w:val="0"/>
          <w:kern w:val="22"/>
          <w:szCs w:val="22"/>
        </w:rPr>
        <w:t>Scott, 1995).</w:t>
      </w:r>
      <w:r w:rsidRPr="0088780C">
        <w:rPr>
          <w:rFonts w:eastAsia="MS Mincho"/>
          <w:snapToGrid w:val="0"/>
          <w:kern w:val="22"/>
          <w:szCs w:val="22"/>
        </w:rPr>
        <w:t xml:space="preserve"> A total of 70 species of waterbirds have been recorded in the Anzali wetlands complex. </w:t>
      </w:r>
      <w:r w:rsidRPr="0088780C">
        <w:rPr>
          <w:rFonts w:eastAsia="MS Mincho"/>
          <w:bCs/>
          <w:snapToGrid w:val="0"/>
          <w:kern w:val="22"/>
          <w:szCs w:val="22"/>
        </w:rPr>
        <w:t>Ashouri and Varasteh (2015) recorded the h</w:t>
      </w:r>
      <w:r w:rsidRPr="0088780C">
        <w:rPr>
          <w:rFonts w:eastAsia="MS Mincho"/>
          <w:snapToGrid w:val="0"/>
          <w:kern w:val="22"/>
          <w:szCs w:val="22"/>
        </w:rPr>
        <w:t>ighest number of birds in 2014 and the lowest in 2005, with 125,427 and 68,953 individuals respectively, both occurring in Choukam. The Anatidae family was the dominant group among water birds, with 19 species and an average of 65.99 ±6.52 percent of the total migratory population</w:t>
      </w:r>
      <w:r w:rsidR="004940E5" w:rsidRPr="0088780C">
        <w:rPr>
          <w:rFonts w:eastAsia="MS Mincho"/>
          <w:snapToGrid w:val="0"/>
          <w:kern w:val="22"/>
          <w:szCs w:val="22"/>
        </w:rPr>
        <w:t>.</w:t>
      </w:r>
    </w:p>
    <w:p w14:paraId="33F21FED"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6ABF88C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In censuses conducted in 2007 and 2009, the most common species in the Anzali-complex were common teal (43,945), common coot (38,069) and mallard (15,495). Notable numbers of internationally or regionally rare or scarce species include pygmy cormorant (597), Dalmatian pelican (69), white pelican (33), black-crowned nightheron (1.881), whooper swan (42), ferruginous duck (213) and purple swamp-hen (170). Raptors were also numerous and included four white-tailed eagles, five greater spotted eagles, 335 marsh harriers and a red kite (</w:t>
      </w:r>
      <w:r w:rsidRPr="0088780C">
        <w:rPr>
          <w:snapToGrid w:val="0"/>
          <w:kern w:val="22"/>
          <w:szCs w:val="22"/>
        </w:rPr>
        <w:t>Amini and van Roomen, 2009; Amini and Willems, 2008).</w:t>
      </w:r>
      <w:r w:rsidRPr="0088780C">
        <w:rPr>
          <w:rFonts w:eastAsia="MS Mincho"/>
          <w:snapToGrid w:val="0"/>
          <w:kern w:val="22"/>
          <w:szCs w:val="22"/>
        </w:rPr>
        <w:t xml:space="preserve"> Based on the 2007 census, </w:t>
      </w:r>
      <w:r w:rsidRPr="0088780C">
        <w:rPr>
          <w:snapToGrid w:val="0"/>
          <w:kern w:val="22"/>
          <w:szCs w:val="22"/>
        </w:rPr>
        <w:t>Amini and Willems (2008) concluded that t</w:t>
      </w:r>
      <w:r w:rsidRPr="0088780C">
        <w:rPr>
          <w:rFonts w:eastAsia="MS Mincho"/>
          <w:snapToGrid w:val="0"/>
          <w:kern w:val="22"/>
          <w:szCs w:val="22"/>
        </w:rPr>
        <w:t>he average number of waterfowl ranges between 0.5 and 1 million birds.</w:t>
      </w:r>
    </w:p>
    <w:p w14:paraId="50F0528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E99E885"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bCs/>
          <w:iCs/>
          <w:snapToGrid w:val="0"/>
          <w:kern w:val="22"/>
          <w:szCs w:val="22"/>
        </w:rPr>
        <w:t>Khaleghizadeh (2000) noted that</w:t>
      </w:r>
      <w:r w:rsidRPr="0088780C">
        <w:rPr>
          <w:rFonts w:eastAsia="MS Mincho"/>
          <w:b/>
          <w:bCs/>
          <w:iCs/>
          <w:snapToGrid w:val="0"/>
          <w:kern w:val="22"/>
          <w:szCs w:val="22"/>
        </w:rPr>
        <w:t xml:space="preserve"> </w:t>
      </w:r>
      <w:r w:rsidRPr="0088780C">
        <w:rPr>
          <w:rFonts w:eastAsia="MS Mincho"/>
          <w:iCs/>
          <w:snapToGrid w:val="0"/>
          <w:kern w:val="22"/>
          <w:szCs w:val="22"/>
        </w:rPr>
        <w:t xml:space="preserve">at least six species in the Anzali wetlands meet the Ramsar criterion of holding at least 1% of the regional population. </w:t>
      </w:r>
      <w:r w:rsidRPr="0088780C">
        <w:rPr>
          <w:rFonts w:eastAsia="MS Mincho"/>
          <w:snapToGrid w:val="0"/>
          <w:kern w:val="22"/>
          <w:szCs w:val="22"/>
        </w:rPr>
        <w:t>The area supports more than 1% of the regional Middle Eastern wintering populations of several species, such as mallard (</w:t>
      </w:r>
      <w:r w:rsidRPr="0088780C">
        <w:rPr>
          <w:rFonts w:eastAsia="MS Mincho"/>
          <w:i/>
          <w:iCs/>
          <w:snapToGrid w:val="0"/>
          <w:kern w:val="22"/>
          <w:szCs w:val="22"/>
        </w:rPr>
        <w:t>Anas platyrhynchos</w:t>
      </w:r>
      <w:r w:rsidRPr="0088780C">
        <w:rPr>
          <w:rFonts w:eastAsia="MS Mincho"/>
          <w:snapToGrid w:val="0"/>
          <w:kern w:val="22"/>
          <w:szCs w:val="22"/>
        </w:rPr>
        <w:t>), northern pintail (</w:t>
      </w:r>
      <w:r w:rsidRPr="0088780C">
        <w:rPr>
          <w:rFonts w:eastAsia="MS Mincho"/>
          <w:i/>
          <w:iCs/>
          <w:snapToGrid w:val="0"/>
          <w:kern w:val="22"/>
          <w:szCs w:val="22"/>
        </w:rPr>
        <w:t>A. acuta</w:t>
      </w:r>
      <w:r w:rsidRPr="0088780C">
        <w:rPr>
          <w:rFonts w:eastAsia="MS Mincho"/>
          <w:snapToGrid w:val="0"/>
          <w:kern w:val="22"/>
          <w:szCs w:val="22"/>
        </w:rPr>
        <w:t>), common pochard (</w:t>
      </w:r>
      <w:r w:rsidRPr="0088780C">
        <w:rPr>
          <w:rFonts w:eastAsia="MS Mincho"/>
          <w:i/>
          <w:iCs/>
          <w:snapToGrid w:val="0"/>
          <w:kern w:val="22"/>
          <w:szCs w:val="22"/>
        </w:rPr>
        <w:t>Aythya ferina</w:t>
      </w:r>
      <w:r w:rsidRPr="0088780C">
        <w:rPr>
          <w:rFonts w:eastAsia="MS Mincho"/>
          <w:snapToGrid w:val="0"/>
          <w:kern w:val="22"/>
          <w:szCs w:val="22"/>
        </w:rPr>
        <w:t>), and common coot (</w:t>
      </w:r>
      <w:r w:rsidRPr="0088780C">
        <w:rPr>
          <w:rFonts w:eastAsia="MS Mincho"/>
          <w:i/>
          <w:iCs/>
          <w:snapToGrid w:val="0"/>
          <w:kern w:val="22"/>
          <w:szCs w:val="22"/>
        </w:rPr>
        <w:t>Fulica atra</w:t>
      </w:r>
      <w:r w:rsidRPr="0088780C">
        <w:rPr>
          <w:rFonts w:eastAsia="MS Mincho"/>
          <w:snapToGrid w:val="0"/>
          <w:kern w:val="22"/>
          <w:szCs w:val="22"/>
        </w:rPr>
        <w:t xml:space="preserve">). It also provides wintering habitat for a diversity of rare and threatened bird species in addition to some of those mentioned above, including white </w:t>
      </w:r>
      <w:r w:rsidRPr="0088780C">
        <w:rPr>
          <w:rFonts w:eastAsia="MS Mincho"/>
          <w:iCs/>
          <w:snapToGrid w:val="0"/>
          <w:kern w:val="22"/>
          <w:szCs w:val="22"/>
        </w:rPr>
        <w:t>pelican</w:t>
      </w:r>
      <w:r w:rsidRPr="0088780C">
        <w:rPr>
          <w:rFonts w:eastAsia="MS Mincho"/>
          <w:snapToGrid w:val="0"/>
          <w:kern w:val="22"/>
          <w:szCs w:val="22"/>
        </w:rPr>
        <w:t xml:space="preserve"> (</w:t>
      </w:r>
      <w:r w:rsidRPr="0088780C">
        <w:rPr>
          <w:rFonts w:eastAsia="MS Mincho"/>
          <w:i/>
          <w:iCs/>
          <w:snapToGrid w:val="0"/>
          <w:kern w:val="22"/>
          <w:szCs w:val="22"/>
        </w:rPr>
        <w:t>Pelecanus</w:t>
      </w:r>
      <w:r w:rsidRPr="0088780C">
        <w:rPr>
          <w:rFonts w:eastAsia="MS Mincho"/>
          <w:snapToGrid w:val="0"/>
          <w:kern w:val="22"/>
          <w:szCs w:val="22"/>
        </w:rPr>
        <w:t xml:space="preserve"> </w:t>
      </w:r>
      <w:r w:rsidRPr="0088780C">
        <w:rPr>
          <w:rFonts w:eastAsia="MS Mincho"/>
          <w:i/>
          <w:snapToGrid w:val="0"/>
          <w:kern w:val="22"/>
          <w:szCs w:val="22"/>
        </w:rPr>
        <w:t>onocrotalus)</w:t>
      </w:r>
      <w:r w:rsidRPr="0088780C">
        <w:rPr>
          <w:rFonts w:eastAsia="MS Mincho"/>
          <w:snapToGrid w:val="0"/>
          <w:kern w:val="22"/>
          <w:szCs w:val="22"/>
        </w:rPr>
        <w:t>, Dalmatian pelican (</w:t>
      </w:r>
      <w:r w:rsidRPr="0088780C">
        <w:rPr>
          <w:rFonts w:eastAsia="MS Mincho"/>
          <w:i/>
          <w:iCs/>
          <w:snapToGrid w:val="0"/>
          <w:kern w:val="22"/>
          <w:szCs w:val="22"/>
        </w:rPr>
        <w:t>P. crispus)</w:t>
      </w:r>
      <w:r w:rsidRPr="0088780C">
        <w:rPr>
          <w:rFonts w:eastAsia="MS Mincho"/>
          <w:snapToGrid w:val="0"/>
          <w:kern w:val="22"/>
          <w:szCs w:val="22"/>
        </w:rPr>
        <w:t>, lesser white-fronted goose (</w:t>
      </w:r>
      <w:r w:rsidRPr="0088780C">
        <w:rPr>
          <w:rFonts w:eastAsia="MS Mincho"/>
          <w:i/>
          <w:iCs/>
          <w:snapToGrid w:val="0"/>
          <w:kern w:val="22"/>
          <w:szCs w:val="22"/>
        </w:rPr>
        <w:t>Anser erythropus)</w:t>
      </w:r>
      <w:r w:rsidRPr="0088780C">
        <w:rPr>
          <w:rFonts w:eastAsia="MS Mincho"/>
          <w:snapToGrid w:val="0"/>
          <w:kern w:val="22"/>
          <w:szCs w:val="22"/>
        </w:rPr>
        <w:t xml:space="preserve"> andwhite-headed duck (</w:t>
      </w:r>
      <w:r w:rsidRPr="0088780C">
        <w:rPr>
          <w:rFonts w:eastAsia="MS Mincho"/>
          <w:i/>
          <w:iCs/>
          <w:snapToGrid w:val="0"/>
          <w:kern w:val="22"/>
          <w:szCs w:val="22"/>
        </w:rPr>
        <w:t>Oxyura leucocephala)</w:t>
      </w:r>
      <w:r w:rsidRPr="0088780C">
        <w:rPr>
          <w:rFonts w:eastAsia="MS Mincho"/>
          <w:snapToGrid w:val="0"/>
          <w:kern w:val="22"/>
          <w:szCs w:val="22"/>
        </w:rPr>
        <w:t xml:space="preserve"> (Karimi, 2016).</w:t>
      </w:r>
    </w:p>
    <w:p w14:paraId="6179FEFF"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20385DD2"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r w:rsidRPr="0088780C">
        <w:rPr>
          <w:rFonts w:eastAsia="MS Mincho"/>
          <w:iCs/>
          <w:snapToGrid w:val="0"/>
          <w:kern w:val="22"/>
          <w:szCs w:val="22"/>
        </w:rPr>
        <w:t>Anzali Wetlands Complex is an extremely important severe weather refuge for whooper swan and mute swan.</w:t>
      </w:r>
      <w:r w:rsidRPr="0088780C">
        <w:rPr>
          <w:snapToGrid w:val="0"/>
          <w:kern w:val="22"/>
          <w:szCs w:val="22"/>
        </w:rPr>
        <w:t xml:space="preserve"> This area </w:t>
      </w:r>
      <w:r w:rsidRPr="0088780C">
        <w:rPr>
          <w:rFonts w:eastAsia="MS Mincho"/>
          <w:iCs/>
          <w:snapToGrid w:val="0"/>
          <w:kern w:val="22"/>
          <w:szCs w:val="22"/>
        </w:rPr>
        <w:t>does not regularly support more than 1% of the flyway population (2,500 birds) of mute swans, but in the extremely severe winter of 2002-2003, this area held over 3% of the total population (7,874 birds), confirming this site as an extremely important hard weather refuge for this species (</w:t>
      </w:r>
      <w:r w:rsidRPr="0088780C">
        <w:rPr>
          <w:snapToGrid w:val="0"/>
          <w:color w:val="222222"/>
          <w:kern w:val="22"/>
          <w:szCs w:val="22"/>
          <w:shd w:val="clear" w:color="auto" w:fill="FFFFFF"/>
        </w:rPr>
        <w:t>Amini &amp; Sehhatisabet, 2007</w:t>
      </w:r>
      <w:r w:rsidRPr="0088780C">
        <w:rPr>
          <w:rFonts w:eastAsia="MS Mincho"/>
          <w:iCs/>
          <w:snapToGrid w:val="0"/>
          <w:kern w:val="22"/>
          <w:szCs w:val="22"/>
        </w:rPr>
        <w:t>).</w:t>
      </w:r>
    </w:p>
    <w:p w14:paraId="2D740B52"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p>
    <w:p w14:paraId="57E30DF2" w14:textId="1A8BA866" w:rsidR="00A876F3" w:rsidRPr="0088780C" w:rsidRDefault="00A876F3" w:rsidP="001013AF">
      <w:pPr>
        <w:suppressLineNumbers/>
        <w:suppressAutoHyphens/>
        <w:kinsoku w:val="0"/>
        <w:overflowPunct w:val="0"/>
        <w:autoSpaceDE w:val="0"/>
        <w:autoSpaceDN w:val="0"/>
        <w:adjustRightInd w:val="0"/>
        <w:rPr>
          <w:rFonts w:eastAsia="MS Mincho"/>
          <w:bCs/>
          <w:iCs/>
          <w:snapToGrid w:val="0"/>
          <w:kern w:val="22"/>
          <w:szCs w:val="22"/>
        </w:rPr>
      </w:pPr>
      <w:r w:rsidRPr="0088780C">
        <w:rPr>
          <w:rFonts w:eastAsia="MS Mincho"/>
          <w:snapToGrid w:val="0"/>
          <w:kern w:val="22"/>
          <w:szCs w:val="22"/>
        </w:rPr>
        <w:t xml:space="preserve">As noted above, the area overlaps with a marine Important Bird and Biodiversity Area (IBA); known as </w:t>
      </w:r>
      <w:r w:rsidR="00D8482D" w:rsidRPr="0088780C">
        <w:rPr>
          <w:rFonts w:eastAsia="MS Mincho"/>
          <w:snapToGrid w:val="0"/>
          <w:kern w:val="22"/>
          <w:szCs w:val="22"/>
        </w:rPr>
        <w:t>“</w:t>
      </w:r>
      <w:r w:rsidRPr="0088780C">
        <w:rPr>
          <w:rFonts w:eastAsia="MS Mincho"/>
          <w:snapToGrid w:val="0"/>
          <w:kern w:val="22"/>
          <w:szCs w:val="22"/>
        </w:rPr>
        <w:t>Anzali Mordab Complex</w:t>
      </w:r>
      <w:r w:rsidR="00D8482D" w:rsidRPr="0088780C">
        <w:rPr>
          <w:rFonts w:eastAsia="MS Mincho"/>
          <w:snapToGrid w:val="0"/>
          <w:kern w:val="22"/>
          <w:szCs w:val="22"/>
        </w:rPr>
        <w:t>”</w:t>
      </w:r>
      <w:r w:rsidRPr="0088780C">
        <w:rPr>
          <w:rFonts w:eastAsia="MS Mincho"/>
          <w:snapToGrid w:val="0"/>
          <w:kern w:val="22"/>
          <w:szCs w:val="22"/>
        </w:rPr>
        <w:t xml:space="preserve"> (</w:t>
      </w:r>
      <w:r w:rsidRPr="0088780C">
        <w:rPr>
          <w:snapToGrid w:val="0"/>
          <w:kern w:val="22"/>
          <w:szCs w:val="22"/>
        </w:rPr>
        <w:t>BirdLife International, 2017a).</w:t>
      </w:r>
      <w:r w:rsidRPr="0088780C">
        <w:rPr>
          <w:rFonts w:eastAsia="MS Mincho"/>
          <w:snapToGrid w:val="0"/>
          <w:kern w:val="22"/>
          <w:szCs w:val="22"/>
        </w:rPr>
        <w:t>This IBA was designated mainly for its importance for a wide variety of breeding, passage and wintering waterfowl. The Anzali wetlands support a very large breeding colony of whiskered tern (</w:t>
      </w:r>
      <w:r w:rsidRPr="0088780C">
        <w:rPr>
          <w:rFonts w:eastAsia="MS Mincho"/>
          <w:i/>
          <w:snapToGrid w:val="0"/>
          <w:kern w:val="22"/>
          <w:szCs w:val="22"/>
        </w:rPr>
        <w:t>Chlidonias hybridus</w:t>
      </w:r>
      <w:r w:rsidRPr="0088780C">
        <w:rPr>
          <w:rFonts w:eastAsia="MS Mincho"/>
          <w:iCs/>
          <w:snapToGrid w:val="0"/>
          <w:kern w:val="22"/>
          <w:szCs w:val="22"/>
        </w:rPr>
        <w:t>)</w:t>
      </w:r>
      <w:r w:rsidRPr="0088780C">
        <w:rPr>
          <w:rFonts w:eastAsia="MS Mincho"/>
          <w:snapToGrid w:val="0"/>
          <w:kern w:val="22"/>
          <w:szCs w:val="22"/>
        </w:rPr>
        <w:t>, small colonies of six species of herons and egrets, western marsh-harrier (</w:t>
      </w:r>
      <w:r w:rsidRPr="0088780C">
        <w:rPr>
          <w:rFonts w:eastAsia="MS Mincho"/>
          <w:i/>
          <w:snapToGrid w:val="0"/>
          <w:kern w:val="22"/>
          <w:szCs w:val="22"/>
        </w:rPr>
        <w:t>Circus aeruginosus</w:t>
      </w:r>
      <w:r w:rsidRPr="0088780C">
        <w:rPr>
          <w:rFonts w:eastAsia="MS Mincho"/>
          <w:iCs/>
          <w:snapToGrid w:val="0"/>
          <w:kern w:val="22"/>
          <w:szCs w:val="22"/>
        </w:rPr>
        <w:t>)</w:t>
      </w:r>
      <w:r w:rsidRPr="0088780C">
        <w:rPr>
          <w:rFonts w:eastAsia="MS Mincho"/>
          <w:snapToGrid w:val="0"/>
          <w:kern w:val="22"/>
          <w:szCs w:val="22"/>
        </w:rPr>
        <w:t xml:space="preserve"> and a large resident population of purple swamphen (</w:t>
      </w:r>
      <w:r w:rsidRPr="0088780C">
        <w:rPr>
          <w:rFonts w:eastAsia="MS Mincho"/>
          <w:i/>
          <w:snapToGrid w:val="0"/>
          <w:kern w:val="22"/>
          <w:szCs w:val="22"/>
        </w:rPr>
        <w:t>Porphyrio porphyrio</w:t>
      </w:r>
      <w:r w:rsidRPr="0088780C">
        <w:rPr>
          <w:rFonts w:eastAsia="MS Mincho"/>
          <w:iCs/>
          <w:snapToGrid w:val="0"/>
          <w:kern w:val="22"/>
          <w:szCs w:val="22"/>
        </w:rPr>
        <w:t>)</w:t>
      </w:r>
      <w:r w:rsidRPr="0088780C">
        <w:rPr>
          <w:rFonts w:eastAsia="MS Mincho"/>
          <w:snapToGrid w:val="0"/>
          <w:kern w:val="22"/>
          <w:szCs w:val="22"/>
        </w:rPr>
        <w:t>. The area also supports huge wintering concentrations of ducks, geese, swans and coots (BirdLife International</w:t>
      </w:r>
      <w:r w:rsidRPr="0088780C">
        <w:rPr>
          <w:snapToGrid w:val="0"/>
          <w:kern w:val="22"/>
          <w:szCs w:val="22"/>
        </w:rPr>
        <w:t>, 2017a).</w:t>
      </w:r>
      <w:r w:rsidRPr="0088780C">
        <w:rPr>
          <w:rFonts w:eastAsia="MS Mincho"/>
          <w:snapToGrid w:val="0"/>
          <w:kern w:val="22"/>
          <w:szCs w:val="22"/>
        </w:rPr>
        <w:t xml:space="preserve"> The wetland is the most important wintering area in Iran for pygmy cormorant (</w:t>
      </w:r>
      <w:r w:rsidRPr="0088780C">
        <w:rPr>
          <w:rFonts w:eastAsia="MS Mincho"/>
          <w:i/>
          <w:snapToGrid w:val="0"/>
          <w:kern w:val="22"/>
          <w:szCs w:val="22"/>
        </w:rPr>
        <w:t>Phalacrocorax pygmaeus</w:t>
      </w:r>
      <w:r w:rsidRPr="0088780C">
        <w:rPr>
          <w:rFonts w:eastAsia="MS Mincho"/>
          <w:iCs/>
          <w:snapToGrid w:val="0"/>
          <w:kern w:val="22"/>
          <w:szCs w:val="22"/>
        </w:rPr>
        <w:t xml:space="preserve">) </w:t>
      </w:r>
      <w:r w:rsidRPr="0088780C">
        <w:rPr>
          <w:rFonts w:eastAsia="MS Mincho"/>
          <w:snapToGrid w:val="0"/>
          <w:kern w:val="22"/>
          <w:szCs w:val="22"/>
        </w:rPr>
        <w:t>(BirdLife International</w:t>
      </w:r>
      <w:r w:rsidRPr="0088780C">
        <w:rPr>
          <w:snapToGrid w:val="0"/>
          <w:kern w:val="22"/>
          <w:szCs w:val="22"/>
        </w:rPr>
        <w:t>, 2017a),</w:t>
      </w:r>
      <w:r w:rsidRPr="0088780C">
        <w:rPr>
          <w:rFonts w:eastAsia="MS Mincho"/>
          <w:snapToGrid w:val="0"/>
          <w:kern w:val="22"/>
          <w:szCs w:val="22"/>
        </w:rPr>
        <w:t xml:space="preserve"> and some globally threatened species occur here, such as white-headed duck (</w:t>
      </w:r>
      <w:r w:rsidRPr="0088780C">
        <w:rPr>
          <w:rFonts w:eastAsia="MS Mincho"/>
          <w:i/>
          <w:snapToGrid w:val="0"/>
          <w:kern w:val="22"/>
          <w:szCs w:val="22"/>
        </w:rPr>
        <w:t>Oxyura leucocephala</w:t>
      </w:r>
      <w:r w:rsidRPr="0088780C">
        <w:rPr>
          <w:rFonts w:eastAsia="MS Mincho"/>
          <w:iCs/>
          <w:snapToGrid w:val="0"/>
          <w:kern w:val="22"/>
          <w:szCs w:val="22"/>
        </w:rPr>
        <w:t>)</w:t>
      </w:r>
      <w:r w:rsidRPr="0088780C">
        <w:rPr>
          <w:rFonts w:eastAsia="MS Mincho"/>
          <w:snapToGrid w:val="0"/>
          <w:kern w:val="22"/>
          <w:szCs w:val="22"/>
        </w:rPr>
        <w:t>, lesser white-fronted goose (</w:t>
      </w:r>
      <w:r w:rsidRPr="0088780C">
        <w:rPr>
          <w:rFonts w:eastAsia="MS Mincho"/>
          <w:i/>
          <w:snapToGrid w:val="0"/>
          <w:kern w:val="22"/>
          <w:szCs w:val="22"/>
        </w:rPr>
        <w:t>Anser erythropus</w:t>
      </w:r>
      <w:r w:rsidRPr="0088780C">
        <w:rPr>
          <w:rFonts w:eastAsia="MS Mincho"/>
          <w:b/>
          <w:bCs/>
          <w:i/>
          <w:snapToGrid w:val="0"/>
          <w:kern w:val="22"/>
          <w:szCs w:val="22"/>
        </w:rPr>
        <w:t>)</w:t>
      </w:r>
      <w:r w:rsidRPr="0088780C">
        <w:rPr>
          <w:rFonts w:eastAsia="MS Mincho"/>
          <w:snapToGrid w:val="0"/>
          <w:kern w:val="22"/>
          <w:szCs w:val="22"/>
        </w:rPr>
        <w:t>, common pochard (</w:t>
      </w:r>
      <w:r w:rsidRPr="0088780C">
        <w:rPr>
          <w:rFonts w:eastAsia="MS Mincho"/>
          <w:i/>
          <w:iCs/>
          <w:snapToGrid w:val="0"/>
          <w:kern w:val="22"/>
          <w:szCs w:val="22"/>
        </w:rPr>
        <w:t>Ay</w:t>
      </w:r>
      <w:r w:rsidRPr="0088780C">
        <w:rPr>
          <w:rFonts w:eastAsia="MS Mincho"/>
          <w:i/>
          <w:snapToGrid w:val="0"/>
          <w:kern w:val="22"/>
          <w:szCs w:val="22"/>
        </w:rPr>
        <w:t>thya ferina</w:t>
      </w:r>
      <w:r w:rsidRPr="0088780C">
        <w:rPr>
          <w:rFonts w:eastAsia="MS Mincho"/>
          <w:iCs/>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and sociable lapwing (</w:t>
      </w:r>
      <w:r w:rsidRPr="0088780C">
        <w:rPr>
          <w:rFonts w:eastAsia="MS Mincho"/>
          <w:i/>
          <w:snapToGrid w:val="0"/>
          <w:kern w:val="22"/>
          <w:szCs w:val="22"/>
        </w:rPr>
        <w:t>Vanellus gregarious</w:t>
      </w:r>
      <w:r w:rsidRPr="0088780C">
        <w:rPr>
          <w:rFonts w:eastAsia="MS Mincho"/>
          <w:iCs/>
          <w:snapToGrid w:val="0"/>
          <w:kern w:val="22"/>
          <w:szCs w:val="22"/>
        </w:rPr>
        <w:t>)</w:t>
      </w:r>
      <w:r w:rsidRPr="0088780C">
        <w:rPr>
          <w:rFonts w:eastAsia="MS Mincho"/>
          <w:snapToGrid w:val="0"/>
          <w:kern w:val="22"/>
          <w:szCs w:val="22"/>
        </w:rPr>
        <w:t xml:space="preserve"> (</w:t>
      </w:r>
      <w:r w:rsidRPr="0088780C">
        <w:rPr>
          <w:rFonts w:eastAsia="MS Mincho"/>
          <w:bCs/>
          <w:iCs/>
          <w:snapToGrid w:val="0"/>
          <w:kern w:val="22"/>
          <w:szCs w:val="22"/>
        </w:rPr>
        <w:t>Khaleghizadeh 2000).</w:t>
      </w:r>
    </w:p>
    <w:p w14:paraId="3C9AEFDB" w14:textId="77777777" w:rsidR="00A876F3" w:rsidRPr="0088780C" w:rsidRDefault="00A876F3" w:rsidP="001013AF">
      <w:pPr>
        <w:suppressLineNumbers/>
        <w:suppressAutoHyphens/>
        <w:kinsoku w:val="0"/>
        <w:overflowPunct w:val="0"/>
        <w:autoSpaceDE w:val="0"/>
        <w:autoSpaceDN w:val="0"/>
        <w:adjustRightInd w:val="0"/>
        <w:rPr>
          <w:rFonts w:eastAsia="MS Mincho"/>
          <w:bCs/>
          <w:iCs/>
          <w:snapToGrid w:val="0"/>
          <w:kern w:val="22"/>
          <w:szCs w:val="22"/>
        </w:rPr>
      </w:pPr>
    </w:p>
    <w:p w14:paraId="1EF07077" w14:textId="7AC7FF82"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The Anzali wetland supports over 1% of the regional breeding population of whiskered tern (</w:t>
      </w:r>
      <w:r w:rsidRPr="0088780C">
        <w:rPr>
          <w:rFonts w:eastAsia="MS Mincho"/>
          <w:i/>
          <w:iCs/>
          <w:snapToGrid w:val="0"/>
          <w:kern w:val="22"/>
          <w:szCs w:val="22"/>
        </w:rPr>
        <w:t>Chlidonias hybrid</w:t>
      </w:r>
      <w:r w:rsidRPr="0088780C">
        <w:rPr>
          <w:rFonts w:eastAsia="MS Mincho"/>
          <w:iCs/>
          <w:snapToGrid w:val="0"/>
          <w:kern w:val="22"/>
          <w:szCs w:val="22"/>
        </w:rPr>
        <w:t>), and in winter supports over 1% of the regional populations of black-necked grebe (</w:t>
      </w:r>
      <w:r w:rsidRPr="0088780C">
        <w:rPr>
          <w:rFonts w:eastAsia="MS Mincho"/>
          <w:i/>
          <w:iCs/>
          <w:snapToGrid w:val="0"/>
          <w:kern w:val="22"/>
          <w:szCs w:val="22"/>
        </w:rPr>
        <w:t>Podiceps nigricollis</w:t>
      </w:r>
      <w:r w:rsidRPr="0088780C">
        <w:rPr>
          <w:rFonts w:eastAsia="MS Mincho"/>
          <w:iCs/>
          <w:snapToGrid w:val="0"/>
          <w:kern w:val="22"/>
          <w:szCs w:val="22"/>
        </w:rPr>
        <w:t>), great cormorant (</w:t>
      </w:r>
      <w:r w:rsidRPr="0088780C">
        <w:rPr>
          <w:rFonts w:eastAsia="MS Mincho"/>
          <w:i/>
          <w:iCs/>
          <w:snapToGrid w:val="0"/>
          <w:kern w:val="22"/>
          <w:szCs w:val="22"/>
        </w:rPr>
        <w:t>Phalacrocorax carbo</w:t>
      </w:r>
      <w:r w:rsidRPr="0088780C">
        <w:rPr>
          <w:rFonts w:eastAsia="MS Mincho"/>
          <w:iCs/>
          <w:snapToGrid w:val="0"/>
          <w:kern w:val="22"/>
          <w:szCs w:val="22"/>
        </w:rPr>
        <w:t>), Eurasian coot (</w:t>
      </w:r>
      <w:r w:rsidRPr="0088780C">
        <w:rPr>
          <w:rFonts w:eastAsia="MS Mincho"/>
          <w:i/>
          <w:iCs/>
          <w:snapToGrid w:val="0"/>
          <w:kern w:val="22"/>
          <w:szCs w:val="22"/>
        </w:rPr>
        <w:t>Fulica atra</w:t>
      </w:r>
      <w:r w:rsidRPr="0088780C">
        <w:rPr>
          <w:rFonts w:eastAsia="MS Mincho"/>
          <w:iCs/>
          <w:snapToGrid w:val="0"/>
          <w:kern w:val="22"/>
          <w:szCs w:val="22"/>
        </w:rPr>
        <w:t>), black-tailed godwit (</w:t>
      </w:r>
      <w:r w:rsidRPr="0088780C">
        <w:rPr>
          <w:rFonts w:eastAsia="MS Mincho"/>
          <w:i/>
          <w:iCs/>
          <w:snapToGrid w:val="0"/>
          <w:kern w:val="22"/>
          <w:szCs w:val="22"/>
        </w:rPr>
        <w:t>Limosa limosa</w:t>
      </w:r>
      <w:r w:rsidRPr="0088780C">
        <w:rPr>
          <w:rFonts w:eastAsia="MS Mincho"/>
          <w:iCs/>
          <w:snapToGrid w:val="0"/>
          <w:kern w:val="22"/>
          <w:szCs w:val="22"/>
        </w:rPr>
        <w:t>), blackheaded gull (</w:t>
      </w:r>
      <w:r w:rsidRPr="0088780C">
        <w:rPr>
          <w:rFonts w:eastAsia="MS Mincho"/>
          <w:i/>
          <w:iCs/>
          <w:snapToGrid w:val="0"/>
          <w:kern w:val="22"/>
          <w:szCs w:val="22"/>
        </w:rPr>
        <w:t>Larus ridibundus</w:t>
      </w:r>
      <w:r w:rsidRPr="0088780C">
        <w:rPr>
          <w:rFonts w:eastAsia="MS Mincho"/>
          <w:iCs/>
          <w:snapToGrid w:val="0"/>
          <w:kern w:val="22"/>
          <w:szCs w:val="22"/>
        </w:rPr>
        <w:t>) and 12 species of Anatidae (Scott 1995). As is characteristic of large wetlands, sometimes large concentrations of waterfowl can be found in relatively small areas. Both Selke and Espand have hosted assemblages of over 20 000 waterbirds in some years (</w:t>
      </w:r>
      <w:r w:rsidRPr="0088780C">
        <w:rPr>
          <w:rFonts w:eastAsia="MS Mincho"/>
          <w:bCs/>
          <w:iCs/>
          <w:snapToGrid w:val="0"/>
          <w:kern w:val="22"/>
          <w:szCs w:val="22"/>
        </w:rPr>
        <w:t>Khaleghizadeh 2007)</w:t>
      </w:r>
      <w:r w:rsidRPr="0088780C">
        <w:rPr>
          <w:rFonts w:eastAsia="MS Mincho"/>
          <w:iCs/>
          <w:snapToGrid w:val="0"/>
          <w:kern w:val="22"/>
          <w:szCs w:val="22"/>
        </w:rPr>
        <w:t>. For example, counts of over 20 000 waterbirds were made at Selke in 1976-78, 1982, 1984-85, 1987-88 and 1992. In 1994 the Anzali wetland complex held more than 67 500 waterbirds (Taylor 1995). At least 157 species of birds have been recorded in the Selke Wildlife Refuge, and at least 144 species in the Siahkesheem Protected Area (Scott 1995). Selke and Siahkesheem held 70-90% of the total waterbirds in the Anzali Wetland from 1970 to 1988.</w:t>
      </w:r>
    </w:p>
    <w:p w14:paraId="091738C9"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p>
    <w:p w14:paraId="5AEA294C" w14:textId="77777777" w:rsidR="00A876F3" w:rsidRPr="0088780C" w:rsidRDefault="00A876F3" w:rsidP="00517209">
      <w:pPr>
        <w:keepNext/>
        <w:suppressLineNumbers/>
        <w:suppressAutoHyphens/>
        <w:kinsoku w:val="0"/>
        <w:overflowPunct w:val="0"/>
        <w:autoSpaceDE w:val="0"/>
        <w:autoSpaceDN w:val="0"/>
        <w:rPr>
          <w:rFonts w:eastAsia="MS Mincho"/>
          <w:i/>
          <w:iCs/>
          <w:snapToGrid w:val="0"/>
          <w:kern w:val="22"/>
          <w:szCs w:val="22"/>
          <w:u w:val="single"/>
        </w:rPr>
      </w:pPr>
      <w:r w:rsidRPr="0088780C">
        <w:rPr>
          <w:rFonts w:eastAsia="MS Mincho"/>
          <w:i/>
          <w:iCs/>
          <w:snapToGrid w:val="0"/>
          <w:kern w:val="22"/>
          <w:szCs w:val="22"/>
          <w:u w:val="single"/>
        </w:rPr>
        <w:t>Flora</w:t>
      </w:r>
    </w:p>
    <w:p w14:paraId="643F1DE0"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r w:rsidRPr="0088780C">
        <w:rPr>
          <w:rFonts w:eastAsia="MS Mincho"/>
          <w:snapToGrid w:val="0"/>
          <w:kern w:val="22"/>
          <w:szCs w:val="22"/>
        </w:rPr>
        <w:t xml:space="preserve">Anzali Wetlands Complex supports an extremely diverse wetland flora and fauna. The dominant vegetation throughout the wetlands consists of vast reedbeds of </w:t>
      </w:r>
      <w:r w:rsidRPr="0088780C">
        <w:rPr>
          <w:rFonts w:eastAsia="MS Mincho"/>
          <w:i/>
          <w:iCs/>
          <w:snapToGrid w:val="0"/>
          <w:kern w:val="22"/>
          <w:szCs w:val="22"/>
        </w:rPr>
        <w:t>Phragmites</w:t>
      </w:r>
      <w:r w:rsidRPr="0088780C">
        <w:rPr>
          <w:rFonts w:eastAsia="MS Mincho"/>
          <w:snapToGrid w:val="0"/>
          <w:kern w:val="22"/>
          <w:szCs w:val="22"/>
        </w:rPr>
        <w:t xml:space="preserve"> </w:t>
      </w:r>
      <w:r w:rsidRPr="0088780C">
        <w:rPr>
          <w:rFonts w:eastAsia="MS Mincho"/>
          <w:i/>
          <w:iCs/>
          <w:snapToGrid w:val="0"/>
          <w:kern w:val="22"/>
          <w:szCs w:val="22"/>
        </w:rPr>
        <w:t>australis,</w:t>
      </w:r>
      <w:r w:rsidRPr="0088780C">
        <w:rPr>
          <w:rFonts w:eastAsia="MS Mincho"/>
          <w:snapToGrid w:val="0"/>
          <w:kern w:val="22"/>
          <w:szCs w:val="22"/>
        </w:rPr>
        <w:t xml:space="preserve"> which in places grow to 6 m in height. Due to falling levels of the Caspian Sea in the late 1960s, a rapid expansion of the </w:t>
      </w:r>
      <w:r w:rsidRPr="0088780C">
        <w:rPr>
          <w:rFonts w:eastAsia="MS Mincho"/>
          <w:i/>
          <w:iCs/>
          <w:snapToGrid w:val="0"/>
          <w:kern w:val="22"/>
          <w:szCs w:val="22"/>
        </w:rPr>
        <w:t>Phragmites</w:t>
      </w:r>
      <w:r w:rsidRPr="0088780C">
        <w:rPr>
          <w:rFonts w:eastAsia="MS Mincho"/>
          <w:snapToGrid w:val="0"/>
          <w:kern w:val="22"/>
          <w:szCs w:val="22"/>
        </w:rPr>
        <w:t xml:space="preserve"> reed began, and by the early 1980s, large parts of the main wetland were covered (Scott, 1995). This area supports vast beds of lotus </w:t>
      </w:r>
      <w:r w:rsidRPr="0088780C">
        <w:rPr>
          <w:rFonts w:eastAsia="MS Mincho"/>
          <w:i/>
          <w:iCs/>
          <w:snapToGrid w:val="0"/>
          <w:kern w:val="22"/>
          <w:szCs w:val="22"/>
        </w:rPr>
        <w:t>Nelumbo</w:t>
      </w:r>
      <w:r w:rsidRPr="0088780C">
        <w:rPr>
          <w:rFonts w:eastAsia="MS Mincho"/>
          <w:snapToGrid w:val="0"/>
          <w:kern w:val="22"/>
          <w:szCs w:val="22"/>
        </w:rPr>
        <w:t xml:space="preserve"> </w:t>
      </w:r>
      <w:r w:rsidRPr="0088780C">
        <w:rPr>
          <w:rFonts w:eastAsia="MS Mincho"/>
          <w:i/>
          <w:iCs/>
          <w:snapToGrid w:val="0"/>
          <w:kern w:val="22"/>
          <w:szCs w:val="22"/>
        </w:rPr>
        <w:t>nucifera</w:t>
      </w:r>
      <w:r w:rsidRPr="0088780C">
        <w:rPr>
          <w:rFonts w:eastAsia="MS Mincho"/>
          <w:snapToGrid w:val="0"/>
          <w:kern w:val="22"/>
          <w:szCs w:val="22"/>
        </w:rPr>
        <w:t xml:space="preserve"> var. </w:t>
      </w:r>
      <w:r w:rsidRPr="0088780C">
        <w:rPr>
          <w:rFonts w:eastAsia="MS Mincho"/>
          <w:i/>
          <w:iCs/>
          <w:snapToGrid w:val="0"/>
          <w:kern w:val="22"/>
          <w:szCs w:val="22"/>
        </w:rPr>
        <w:t>caspica</w:t>
      </w:r>
      <w:r w:rsidRPr="0088780C">
        <w:rPr>
          <w:rFonts w:eastAsia="MS Mincho"/>
          <w:snapToGrid w:val="0"/>
          <w:kern w:val="22"/>
          <w:szCs w:val="22"/>
        </w:rPr>
        <w:t xml:space="preserve"> and a very rich growth of other floating and submerged macrophyte vegetation, </w:t>
      </w:r>
      <w:r w:rsidRPr="0088780C">
        <w:rPr>
          <w:rFonts w:eastAsia="MS Mincho"/>
          <w:iCs/>
          <w:snapToGrid w:val="0"/>
          <w:kern w:val="22"/>
          <w:szCs w:val="22"/>
        </w:rPr>
        <w:t xml:space="preserve">including </w:t>
      </w:r>
      <w:r w:rsidRPr="0088780C">
        <w:rPr>
          <w:rFonts w:eastAsia="MS Mincho"/>
          <w:i/>
          <w:snapToGrid w:val="0"/>
          <w:kern w:val="22"/>
          <w:szCs w:val="22"/>
        </w:rPr>
        <w:t>Lemna</w:t>
      </w:r>
      <w:r w:rsidRPr="0088780C">
        <w:rPr>
          <w:rFonts w:eastAsia="MS Mincho"/>
          <w:iCs/>
          <w:snapToGrid w:val="0"/>
          <w:kern w:val="22"/>
          <w:szCs w:val="22"/>
        </w:rPr>
        <w:t xml:space="preserve">, </w:t>
      </w:r>
      <w:r w:rsidRPr="0088780C">
        <w:rPr>
          <w:rFonts w:eastAsia="MS Mincho"/>
          <w:i/>
          <w:snapToGrid w:val="0"/>
          <w:kern w:val="22"/>
          <w:szCs w:val="22"/>
        </w:rPr>
        <w:t>Patamogeton</w:t>
      </w:r>
      <w:r w:rsidRPr="0088780C">
        <w:rPr>
          <w:rFonts w:eastAsia="MS Mincho"/>
          <w:iCs/>
          <w:snapToGrid w:val="0"/>
          <w:kern w:val="22"/>
          <w:szCs w:val="22"/>
        </w:rPr>
        <w:t xml:space="preserve">, </w:t>
      </w:r>
      <w:r w:rsidRPr="0088780C">
        <w:rPr>
          <w:rFonts w:eastAsia="MS Mincho"/>
          <w:i/>
          <w:snapToGrid w:val="0"/>
          <w:kern w:val="22"/>
          <w:szCs w:val="22"/>
        </w:rPr>
        <w:t>Hydrilla</w:t>
      </w:r>
      <w:r w:rsidRPr="0088780C">
        <w:rPr>
          <w:rFonts w:eastAsia="MS Mincho"/>
          <w:iCs/>
          <w:snapToGrid w:val="0"/>
          <w:kern w:val="22"/>
          <w:szCs w:val="22"/>
        </w:rPr>
        <w:t xml:space="preserve">, </w:t>
      </w:r>
      <w:r w:rsidRPr="0088780C">
        <w:rPr>
          <w:rFonts w:eastAsia="MS Mincho"/>
          <w:i/>
          <w:snapToGrid w:val="0"/>
          <w:kern w:val="22"/>
          <w:szCs w:val="22"/>
        </w:rPr>
        <w:t>Myriophyllum</w:t>
      </w:r>
      <w:r w:rsidRPr="0088780C">
        <w:rPr>
          <w:rFonts w:eastAsia="MS Mincho"/>
          <w:iCs/>
          <w:snapToGrid w:val="0"/>
          <w:kern w:val="22"/>
          <w:szCs w:val="22"/>
        </w:rPr>
        <w:t xml:space="preserve"> and </w:t>
      </w:r>
      <w:r w:rsidRPr="0088780C">
        <w:rPr>
          <w:rFonts w:eastAsia="MS Mincho"/>
          <w:i/>
          <w:snapToGrid w:val="0"/>
          <w:kern w:val="22"/>
          <w:szCs w:val="22"/>
        </w:rPr>
        <w:t>Ceratophyllum</w:t>
      </w:r>
      <w:r w:rsidRPr="0088780C">
        <w:rPr>
          <w:rFonts w:eastAsia="MS Mincho"/>
          <w:iCs/>
          <w:snapToGrid w:val="0"/>
          <w:kern w:val="22"/>
          <w:szCs w:val="22"/>
        </w:rPr>
        <w:t xml:space="preserve">. The marshes and flood meadows to the south support similar vegetation, in addition to </w:t>
      </w:r>
      <w:r w:rsidRPr="0088780C">
        <w:rPr>
          <w:rFonts w:eastAsia="MS Mincho"/>
          <w:i/>
          <w:snapToGrid w:val="0"/>
          <w:kern w:val="22"/>
          <w:szCs w:val="22"/>
        </w:rPr>
        <w:t>Trapa</w:t>
      </w:r>
      <w:r w:rsidRPr="0088780C">
        <w:rPr>
          <w:rFonts w:eastAsia="MS Mincho"/>
          <w:iCs/>
          <w:snapToGrid w:val="0"/>
          <w:kern w:val="22"/>
          <w:szCs w:val="22"/>
        </w:rPr>
        <w:t xml:space="preserve"> </w:t>
      </w:r>
      <w:r w:rsidRPr="0088780C">
        <w:rPr>
          <w:rFonts w:eastAsia="MS Mincho"/>
          <w:i/>
          <w:snapToGrid w:val="0"/>
          <w:kern w:val="22"/>
          <w:szCs w:val="22"/>
        </w:rPr>
        <w:t>natans</w:t>
      </w:r>
      <w:r w:rsidRPr="0088780C">
        <w:rPr>
          <w:rFonts w:eastAsia="MS Mincho"/>
          <w:iCs/>
          <w:snapToGrid w:val="0"/>
          <w:kern w:val="22"/>
          <w:szCs w:val="22"/>
        </w:rPr>
        <w:t xml:space="preserve">, </w:t>
      </w:r>
      <w:r w:rsidRPr="0088780C">
        <w:rPr>
          <w:rFonts w:eastAsia="MS Mincho"/>
          <w:i/>
          <w:snapToGrid w:val="0"/>
          <w:kern w:val="22"/>
          <w:szCs w:val="22"/>
        </w:rPr>
        <w:t>Juncus</w:t>
      </w:r>
      <w:r w:rsidRPr="0088780C">
        <w:rPr>
          <w:rFonts w:eastAsia="MS Mincho"/>
          <w:iCs/>
          <w:snapToGrid w:val="0"/>
          <w:kern w:val="22"/>
          <w:szCs w:val="22"/>
        </w:rPr>
        <w:t xml:space="preserve"> and </w:t>
      </w:r>
      <w:r w:rsidRPr="0088780C">
        <w:rPr>
          <w:rFonts w:eastAsia="MS Mincho"/>
          <w:i/>
          <w:snapToGrid w:val="0"/>
          <w:kern w:val="22"/>
          <w:szCs w:val="22"/>
        </w:rPr>
        <w:t>Carex</w:t>
      </w:r>
      <w:r w:rsidRPr="0088780C">
        <w:rPr>
          <w:rFonts w:eastAsia="MS Mincho"/>
          <w:iCs/>
          <w:snapToGrid w:val="0"/>
          <w:kern w:val="22"/>
          <w:szCs w:val="22"/>
        </w:rPr>
        <w:t xml:space="preserve">. A vegetation survey conducted in 1999 found 26 species of aquatic plants—10 water’s edge, four emergent, six floating (e.g., water lily </w:t>
      </w:r>
      <w:r w:rsidRPr="0088780C">
        <w:rPr>
          <w:rFonts w:eastAsia="MS Mincho"/>
          <w:i/>
          <w:snapToGrid w:val="0"/>
          <w:kern w:val="22"/>
          <w:szCs w:val="22"/>
        </w:rPr>
        <w:t>Nelumbium</w:t>
      </w:r>
      <w:r w:rsidRPr="0088780C">
        <w:rPr>
          <w:rFonts w:eastAsia="MS Mincho"/>
          <w:iCs/>
          <w:snapToGrid w:val="0"/>
          <w:kern w:val="22"/>
          <w:szCs w:val="22"/>
        </w:rPr>
        <w:t xml:space="preserve"> (</w:t>
      </w:r>
      <w:r w:rsidRPr="0088780C">
        <w:rPr>
          <w:rFonts w:eastAsia="MS Mincho"/>
          <w:i/>
          <w:snapToGrid w:val="0"/>
          <w:kern w:val="22"/>
          <w:szCs w:val="22"/>
        </w:rPr>
        <w:t>caspium</w:t>
      </w:r>
      <w:r w:rsidRPr="0088780C">
        <w:rPr>
          <w:rFonts w:eastAsia="MS Mincho"/>
          <w:iCs/>
          <w:snapToGrid w:val="0"/>
          <w:kern w:val="22"/>
          <w:szCs w:val="22"/>
        </w:rPr>
        <w:t xml:space="preserve">) </w:t>
      </w:r>
      <w:r w:rsidRPr="0088780C">
        <w:rPr>
          <w:rFonts w:eastAsia="MS Mincho"/>
          <w:i/>
          <w:snapToGrid w:val="0"/>
          <w:kern w:val="22"/>
          <w:szCs w:val="22"/>
        </w:rPr>
        <w:t>nuciferum</w:t>
      </w:r>
      <w:r w:rsidRPr="0088780C">
        <w:rPr>
          <w:rFonts w:eastAsia="MS Mincho"/>
          <w:iCs/>
          <w:snapToGrid w:val="0"/>
          <w:kern w:val="22"/>
          <w:szCs w:val="22"/>
        </w:rPr>
        <w:t xml:space="preserve"> and water chestnut (</w:t>
      </w:r>
      <w:r w:rsidRPr="0088780C">
        <w:rPr>
          <w:rFonts w:eastAsia="MS Mincho"/>
          <w:i/>
          <w:iCs/>
          <w:snapToGrid w:val="0"/>
          <w:kern w:val="22"/>
          <w:szCs w:val="22"/>
        </w:rPr>
        <w:t>Trapa natans</w:t>
      </w:r>
      <w:r w:rsidRPr="0088780C">
        <w:rPr>
          <w:rFonts w:eastAsia="MS Mincho"/>
          <w:iCs/>
          <w:snapToGrid w:val="0"/>
          <w:kern w:val="22"/>
          <w:szCs w:val="22"/>
        </w:rPr>
        <w:t>). and six submergent species (e.g., Hornwort—</w:t>
      </w:r>
      <w:r w:rsidRPr="0088780C">
        <w:rPr>
          <w:rFonts w:eastAsia="MS Mincho"/>
          <w:i/>
          <w:iCs/>
          <w:snapToGrid w:val="0"/>
          <w:kern w:val="22"/>
          <w:szCs w:val="22"/>
        </w:rPr>
        <w:t>Ceratophyllum spp</w:t>
      </w:r>
      <w:r w:rsidRPr="0088780C">
        <w:rPr>
          <w:rFonts w:eastAsia="MS Mincho"/>
          <w:iCs/>
          <w:snapToGrid w:val="0"/>
          <w:kern w:val="22"/>
          <w:szCs w:val="22"/>
        </w:rPr>
        <w:t>) (</w:t>
      </w:r>
      <w:r w:rsidRPr="0088780C">
        <w:rPr>
          <w:rFonts w:eastAsia="MS Mincho"/>
          <w:bCs/>
          <w:iCs/>
          <w:snapToGrid w:val="0"/>
          <w:kern w:val="22"/>
          <w:szCs w:val="22"/>
        </w:rPr>
        <w:t>Khaleghizadeh 2007).</w:t>
      </w:r>
    </w:p>
    <w:p w14:paraId="646A0F56"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kern w:val="22"/>
          <w:szCs w:val="22"/>
        </w:rPr>
      </w:pPr>
    </w:p>
    <w:p w14:paraId="53DB44D6"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Fish</w:t>
      </w:r>
    </w:p>
    <w:p w14:paraId="1DECA37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Anzali wetlands and Gorgan Bay are two major inlets of importance as foraging, spawning and nursery grounds for fish species (Abdolhay, 2004). At least 34 fish species have been recorded in Anzali wetlands. The most common species in the Anzali wetland are </w:t>
      </w:r>
      <w:r w:rsidRPr="0088780C">
        <w:rPr>
          <w:rFonts w:eastAsia="MS Mincho"/>
          <w:i/>
          <w:iCs/>
          <w:snapToGrid w:val="0"/>
          <w:kern w:val="22"/>
          <w:szCs w:val="22"/>
        </w:rPr>
        <w:t>Cyprinus</w:t>
      </w:r>
      <w:r w:rsidRPr="0088780C">
        <w:rPr>
          <w:rFonts w:eastAsia="MS Mincho"/>
          <w:snapToGrid w:val="0"/>
          <w:kern w:val="22"/>
          <w:szCs w:val="22"/>
        </w:rPr>
        <w:t xml:space="preserve"> </w:t>
      </w:r>
      <w:r w:rsidRPr="0088780C">
        <w:rPr>
          <w:rFonts w:eastAsia="MS Mincho"/>
          <w:i/>
          <w:iCs/>
          <w:snapToGrid w:val="0"/>
          <w:kern w:val="22"/>
          <w:szCs w:val="22"/>
        </w:rPr>
        <w:t>carpio</w:t>
      </w:r>
      <w:r w:rsidRPr="0088780C">
        <w:rPr>
          <w:rFonts w:eastAsia="MS Mincho"/>
          <w:snapToGrid w:val="0"/>
          <w:kern w:val="22"/>
          <w:szCs w:val="22"/>
        </w:rPr>
        <w:t xml:space="preserve"> and </w:t>
      </w:r>
      <w:r w:rsidRPr="0088780C">
        <w:rPr>
          <w:rFonts w:eastAsia="MS Mincho"/>
          <w:i/>
          <w:iCs/>
          <w:snapToGrid w:val="0"/>
          <w:kern w:val="22"/>
          <w:szCs w:val="22"/>
        </w:rPr>
        <w:t>Carassius</w:t>
      </w:r>
      <w:r w:rsidRPr="0088780C">
        <w:rPr>
          <w:rFonts w:eastAsia="MS Mincho"/>
          <w:snapToGrid w:val="0"/>
          <w:kern w:val="22"/>
          <w:szCs w:val="22"/>
        </w:rPr>
        <w:t xml:space="preserve"> </w:t>
      </w:r>
      <w:r w:rsidRPr="0088780C">
        <w:rPr>
          <w:rFonts w:eastAsia="MS Mincho"/>
          <w:i/>
          <w:iCs/>
          <w:snapToGrid w:val="0"/>
          <w:kern w:val="22"/>
          <w:szCs w:val="22"/>
        </w:rPr>
        <w:t>auratus</w:t>
      </w:r>
      <w:r w:rsidRPr="0088780C">
        <w:rPr>
          <w:rFonts w:eastAsia="MS Mincho"/>
          <w:snapToGrid w:val="0"/>
          <w:kern w:val="22"/>
          <w:szCs w:val="22"/>
        </w:rPr>
        <w:t xml:space="preserve"> (Naddafi et al., 2005; Abdoli &amp; Naderi, 2009). The wetlands are the principal breeding ground for the Caspian kutum (</w:t>
      </w:r>
      <w:r w:rsidRPr="0088780C">
        <w:rPr>
          <w:rFonts w:eastAsia="MS Mincho"/>
          <w:i/>
          <w:iCs/>
          <w:snapToGrid w:val="0"/>
          <w:kern w:val="22"/>
          <w:szCs w:val="22"/>
        </w:rPr>
        <w:t>Rutilus</w:t>
      </w:r>
      <w:r w:rsidRPr="0088780C">
        <w:rPr>
          <w:rFonts w:eastAsia="MS Mincho"/>
          <w:snapToGrid w:val="0"/>
          <w:kern w:val="22"/>
          <w:szCs w:val="22"/>
        </w:rPr>
        <w:t xml:space="preserve"> </w:t>
      </w:r>
      <w:r w:rsidRPr="0088780C">
        <w:rPr>
          <w:rFonts w:eastAsia="MS Mincho"/>
          <w:i/>
          <w:iCs/>
          <w:snapToGrid w:val="0"/>
          <w:kern w:val="22"/>
          <w:szCs w:val="22"/>
        </w:rPr>
        <w:t>frisii</w:t>
      </w:r>
      <w:r w:rsidRPr="0088780C">
        <w:rPr>
          <w:rFonts w:eastAsia="MS Mincho"/>
          <w:snapToGrid w:val="0"/>
          <w:kern w:val="22"/>
          <w:szCs w:val="22"/>
        </w:rPr>
        <w:t xml:space="preserve"> </w:t>
      </w:r>
      <w:r w:rsidRPr="0088780C">
        <w:rPr>
          <w:rFonts w:eastAsia="MS Mincho"/>
          <w:i/>
          <w:iCs/>
          <w:snapToGrid w:val="0"/>
          <w:kern w:val="22"/>
          <w:szCs w:val="22"/>
        </w:rPr>
        <w:t>kutum</w:t>
      </w:r>
      <w:r w:rsidRPr="0088780C">
        <w:rPr>
          <w:rFonts w:eastAsia="MS Mincho"/>
          <w:snapToGrid w:val="0"/>
          <w:kern w:val="22"/>
          <w:szCs w:val="22"/>
        </w:rPr>
        <w:t>) and are also important for several other species (</w:t>
      </w:r>
      <w:hyperlink r:id="rId300" w:history="1">
        <w:r w:rsidRPr="0088780C">
          <w:rPr>
            <w:rStyle w:val="Hyperlink"/>
            <w:rFonts w:eastAsia="MS Mincho"/>
            <w:snapToGrid w:val="0"/>
            <w:kern w:val="22"/>
            <w:szCs w:val="22"/>
          </w:rPr>
          <w:t>www.</w:t>
        </w:r>
        <w:r w:rsidRPr="0088780C">
          <w:rPr>
            <w:rStyle w:val="Hyperlink"/>
            <w:rFonts w:eastAsia="MS Mincho"/>
            <w:iCs/>
            <w:snapToGrid w:val="0"/>
            <w:kern w:val="22"/>
            <w:szCs w:val="22"/>
          </w:rPr>
          <w:t>briancoad.com</w:t>
        </w:r>
      </w:hyperlink>
      <w:r w:rsidRPr="0088780C">
        <w:rPr>
          <w:rFonts w:eastAsia="MS Mincho"/>
          <w:snapToGrid w:val="0"/>
          <w:kern w:val="22"/>
          <w:szCs w:val="22"/>
        </w:rPr>
        <w:t xml:space="preserve">). Important fishes of the wetlands include: </w:t>
      </w:r>
      <w:r w:rsidRPr="0088780C">
        <w:rPr>
          <w:rFonts w:eastAsia="MS Mincho"/>
          <w:i/>
          <w:iCs/>
          <w:snapToGrid w:val="0"/>
          <w:kern w:val="22"/>
          <w:szCs w:val="22"/>
        </w:rPr>
        <w:t>Sander</w:t>
      </w:r>
      <w:r w:rsidRPr="0088780C">
        <w:rPr>
          <w:rFonts w:eastAsia="MS Mincho"/>
          <w:snapToGrid w:val="0"/>
          <w:kern w:val="22"/>
          <w:szCs w:val="22"/>
        </w:rPr>
        <w:t xml:space="preserve"> </w:t>
      </w:r>
      <w:r w:rsidRPr="0088780C">
        <w:rPr>
          <w:rFonts w:eastAsia="MS Mincho"/>
          <w:i/>
          <w:iCs/>
          <w:snapToGrid w:val="0"/>
          <w:kern w:val="22"/>
          <w:szCs w:val="22"/>
        </w:rPr>
        <w:t>lucioperca</w:t>
      </w:r>
      <w:r w:rsidRPr="0088780C">
        <w:rPr>
          <w:rFonts w:eastAsia="MS Mincho"/>
          <w:snapToGrid w:val="0"/>
          <w:kern w:val="22"/>
          <w:szCs w:val="22"/>
        </w:rPr>
        <w:t xml:space="preserve">, </w:t>
      </w:r>
      <w:r w:rsidRPr="0088780C">
        <w:rPr>
          <w:rFonts w:eastAsia="MS Mincho"/>
          <w:i/>
          <w:iCs/>
          <w:snapToGrid w:val="0"/>
          <w:kern w:val="22"/>
          <w:szCs w:val="22"/>
        </w:rPr>
        <w:t>Cyprinus</w:t>
      </w:r>
      <w:r w:rsidRPr="0088780C">
        <w:rPr>
          <w:rFonts w:eastAsia="MS Mincho"/>
          <w:snapToGrid w:val="0"/>
          <w:kern w:val="22"/>
          <w:szCs w:val="22"/>
        </w:rPr>
        <w:t xml:space="preserve"> </w:t>
      </w:r>
      <w:r w:rsidRPr="0088780C">
        <w:rPr>
          <w:rFonts w:eastAsia="MS Mincho"/>
          <w:i/>
          <w:iCs/>
          <w:snapToGrid w:val="0"/>
          <w:kern w:val="22"/>
          <w:szCs w:val="22"/>
        </w:rPr>
        <w:t>carpio</w:t>
      </w:r>
      <w:r w:rsidRPr="0088780C">
        <w:rPr>
          <w:rFonts w:eastAsia="MS Mincho"/>
          <w:snapToGrid w:val="0"/>
          <w:kern w:val="22"/>
          <w:szCs w:val="22"/>
        </w:rPr>
        <w:t xml:space="preserve">, </w:t>
      </w:r>
      <w:r w:rsidRPr="0088780C">
        <w:rPr>
          <w:rFonts w:eastAsia="MS Mincho"/>
          <w:i/>
          <w:iCs/>
          <w:snapToGrid w:val="0"/>
          <w:kern w:val="22"/>
          <w:szCs w:val="22"/>
        </w:rPr>
        <w:t>Silurus</w:t>
      </w:r>
      <w:r w:rsidRPr="0088780C">
        <w:rPr>
          <w:rFonts w:eastAsia="MS Mincho"/>
          <w:snapToGrid w:val="0"/>
          <w:kern w:val="22"/>
          <w:szCs w:val="22"/>
        </w:rPr>
        <w:t xml:space="preserve"> </w:t>
      </w:r>
      <w:r w:rsidRPr="0088780C">
        <w:rPr>
          <w:rFonts w:eastAsia="MS Mincho"/>
          <w:i/>
          <w:iCs/>
          <w:snapToGrid w:val="0"/>
          <w:kern w:val="22"/>
          <w:szCs w:val="22"/>
        </w:rPr>
        <w:t>glanis</w:t>
      </w:r>
      <w:r w:rsidRPr="0088780C">
        <w:rPr>
          <w:rFonts w:eastAsia="MS Mincho"/>
          <w:snapToGrid w:val="0"/>
          <w:kern w:val="22"/>
          <w:szCs w:val="22"/>
        </w:rPr>
        <w:t xml:space="preserve"> and </w:t>
      </w:r>
      <w:r w:rsidRPr="0088780C">
        <w:rPr>
          <w:rFonts w:eastAsia="MS Mincho"/>
          <w:i/>
          <w:iCs/>
          <w:snapToGrid w:val="0"/>
          <w:kern w:val="22"/>
          <w:szCs w:val="22"/>
        </w:rPr>
        <w:t>Esox</w:t>
      </w:r>
      <w:r w:rsidRPr="0088780C">
        <w:rPr>
          <w:rFonts w:eastAsia="MS Mincho"/>
          <w:snapToGrid w:val="0"/>
          <w:kern w:val="22"/>
          <w:szCs w:val="22"/>
        </w:rPr>
        <w:t xml:space="preserve"> </w:t>
      </w:r>
      <w:r w:rsidRPr="0088780C">
        <w:rPr>
          <w:rFonts w:eastAsia="MS Mincho"/>
          <w:i/>
          <w:iCs/>
          <w:snapToGrid w:val="0"/>
          <w:kern w:val="22"/>
          <w:szCs w:val="22"/>
        </w:rPr>
        <w:t>Lucius</w:t>
      </w:r>
      <w:r w:rsidRPr="0088780C">
        <w:rPr>
          <w:rFonts w:eastAsia="MS Mincho"/>
          <w:snapToGrid w:val="0"/>
          <w:kern w:val="22"/>
          <w:szCs w:val="22"/>
        </w:rPr>
        <w:t>.</w:t>
      </w:r>
    </w:p>
    <w:p w14:paraId="1A48621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5E75C2D" w14:textId="65A20FBE"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Investigations by Holchík and Oláh (1992) show that the Anzali wetlands complex and its watershed are inhabited by 13 families, 33 genera and 41 species of fish. Twenty-four species inhabit only freshwater areas, while six species are marine and 11 species occur both in freshwater and the marine areas. The ichthyofauna is dominated by Cyprinidae, which are represented by 23 species,. Seven species (</w:t>
      </w:r>
      <w:r w:rsidRPr="0088780C">
        <w:rPr>
          <w:rFonts w:eastAsia="MS Mincho"/>
          <w:i/>
          <w:snapToGrid w:val="0"/>
          <w:kern w:val="22"/>
          <w:szCs w:val="22"/>
        </w:rPr>
        <w:t>Aristichthys</w:t>
      </w:r>
      <w:r w:rsidRPr="0088780C">
        <w:rPr>
          <w:rFonts w:eastAsia="MS Mincho"/>
          <w:iCs/>
          <w:snapToGrid w:val="0"/>
          <w:kern w:val="22"/>
          <w:szCs w:val="22"/>
        </w:rPr>
        <w:t xml:space="preserve"> </w:t>
      </w:r>
      <w:r w:rsidRPr="0088780C">
        <w:rPr>
          <w:rFonts w:eastAsia="MS Mincho"/>
          <w:i/>
          <w:snapToGrid w:val="0"/>
          <w:kern w:val="22"/>
          <w:szCs w:val="22"/>
        </w:rPr>
        <w:t>nobilis</w:t>
      </w:r>
      <w:r w:rsidRPr="0088780C">
        <w:rPr>
          <w:rFonts w:eastAsia="MS Mincho"/>
          <w:iCs/>
          <w:snapToGrid w:val="0"/>
          <w:kern w:val="22"/>
          <w:szCs w:val="22"/>
        </w:rPr>
        <w:t xml:space="preserve">, </w:t>
      </w:r>
      <w:r w:rsidRPr="0088780C">
        <w:rPr>
          <w:rFonts w:eastAsia="MS Mincho"/>
          <w:i/>
          <w:snapToGrid w:val="0"/>
          <w:kern w:val="22"/>
          <w:szCs w:val="22"/>
        </w:rPr>
        <w:t>Carassius</w:t>
      </w:r>
      <w:r w:rsidRPr="0088780C">
        <w:rPr>
          <w:rFonts w:eastAsia="MS Mincho"/>
          <w:iCs/>
          <w:snapToGrid w:val="0"/>
          <w:kern w:val="22"/>
          <w:szCs w:val="22"/>
        </w:rPr>
        <w:t xml:space="preserve"> </w:t>
      </w:r>
      <w:r w:rsidRPr="0088780C">
        <w:rPr>
          <w:rFonts w:eastAsia="MS Mincho"/>
          <w:i/>
          <w:snapToGrid w:val="0"/>
          <w:kern w:val="22"/>
          <w:szCs w:val="22"/>
        </w:rPr>
        <w:t>auratus</w:t>
      </w:r>
      <w:r w:rsidRPr="0088780C">
        <w:rPr>
          <w:rFonts w:eastAsia="MS Mincho"/>
          <w:iCs/>
          <w:snapToGrid w:val="0"/>
          <w:kern w:val="22"/>
          <w:szCs w:val="22"/>
        </w:rPr>
        <w:t xml:space="preserve">, </w:t>
      </w:r>
      <w:r w:rsidRPr="0088780C">
        <w:rPr>
          <w:rFonts w:eastAsia="MS Mincho"/>
          <w:i/>
          <w:snapToGrid w:val="0"/>
          <w:kern w:val="22"/>
          <w:szCs w:val="22"/>
        </w:rPr>
        <w:t>Ctenopharyngodon</w:t>
      </w:r>
      <w:r w:rsidRPr="0088780C">
        <w:rPr>
          <w:rFonts w:eastAsia="MS Mincho"/>
          <w:iCs/>
          <w:snapToGrid w:val="0"/>
          <w:kern w:val="22"/>
          <w:szCs w:val="22"/>
        </w:rPr>
        <w:t xml:space="preserve"> </w:t>
      </w:r>
      <w:r w:rsidRPr="0088780C">
        <w:rPr>
          <w:rFonts w:eastAsia="MS Mincho"/>
          <w:i/>
          <w:snapToGrid w:val="0"/>
          <w:kern w:val="22"/>
          <w:szCs w:val="22"/>
        </w:rPr>
        <w:t>idella</w:t>
      </w:r>
      <w:r w:rsidRPr="0088780C">
        <w:rPr>
          <w:rFonts w:eastAsia="MS Mincho"/>
          <w:iCs/>
          <w:snapToGrid w:val="0"/>
          <w:kern w:val="22"/>
          <w:szCs w:val="22"/>
        </w:rPr>
        <w:t xml:space="preserve">, </w:t>
      </w:r>
      <w:r w:rsidRPr="0088780C">
        <w:rPr>
          <w:rFonts w:eastAsia="MS Mincho"/>
          <w:i/>
          <w:snapToGrid w:val="0"/>
          <w:kern w:val="22"/>
          <w:szCs w:val="22"/>
        </w:rPr>
        <w:t>Gambusia</w:t>
      </w:r>
      <w:r w:rsidRPr="0088780C">
        <w:rPr>
          <w:rFonts w:eastAsia="MS Mincho"/>
          <w:iCs/>
          <w:snapToGrid w:val="0"/>
          <w:kern w:val="22"/>
          <w:szCs w:val="22"/>
        </w:rPr>
        <w:t xml:space="preserve"> </w:t>
      </w:r>
      <w:r w:rsidRPr="0088780C">
        <w:rPr>
          <w:rFonts w:eastAsia="MS Mincho"/>
          <w:i/>
          <w:snapToGrid w:val="0"/>
          <w:kern w:val="22"/>
          <w:szCs w:val="22"/>
        </w:rPr>
        <w:t>holbrooki</w:t>
      </w:r>
      <w:r w:rsidRPr="0088780C">
        <w:rPr>
          <w:rFonts w:eastAsia="MS Mincho"/>
          <w:iCs/>
          <w:snapToGrid w:val="0"/>
          <w:kern w:val="22"/>
          <w:szCs w:val="22"/>
        </w:rPr>
        <w:t xml:space="preserve">, </w:t>
      </w:r>
      <w:r w:rsidRPr="0088780C">
        <w:rPr>
          <w:rFonts w:eastAsia="MS Mincho"/>
          <w:i/>
          <w:snapToGrid w:val="0"/>
          <w:kern w:val="22"/>
          <w:szCs w:val="22"/>
        </w:rPr>
        <w:t>Hemiculter</w:t>
      </w:r>
      <w:r w:rsidRPr="0088780C">
        <w:rPr>
          <w:rFonts w:eastAsia="MS Mincho"/>
          <w:iCs/>
          <w:snapToGrid w:val="0"/>
          <w:kern w:val="22"/>
          <w:szCs w:val="22"/>
        </w:rPr>
        <w:t xml:space="preserve"> </w:t>
      </w:r>
      <w:r w:rsidRPr="0088780C">
        <w:rPr>
          <w:rFonts w:eastAsia="MS Mincho"/>
          <w:i/>
          <w:snapToGrid w:val="0"/>
          <w:kern w:val="22"/>
          <w:szCs w:val="22"/>
        </w:rPr>
        <w:t>leucisculus</w:t>
      </w:r>
      <w:r w:rsidRPr="0088780C">
        <w:rPr>
          <w:rFonts w:eastAsia="MS Mincho"/>
          <w:iCs/>
          <w:snapToGrid w:val="0"/>
          <w:kern w:val="22"/>
          <w:szCs w:val="22"/>
        </w:rPr>
        <w:t xml:space="preserve">, </w:t>
      </w:r>
      <w:r w:rsidRPr="0088780C">
        <w:rPr>
          <w:rFonts w:eastAsia="MS Mincho"/>
          <w:i/>
          <w:snapToGrid w:val="0"/>
          <w:kern w:val="22"/>
          <w:szCs w:val="22"/>
        </w:rPr>
        <w:t>Hypophthalmichthys</w:t>
      </w:r>
      <w:r w:rsidRPr="0088780C">
        <w:rPr>
          <w:rFonts w:eastAsia="MS Mincho"/>
          <w:iCs/>
          <w:snapToGrid w:val="0"/>
          <w:kern w:val="22"/>
          <w:szCs w:val="22"/>
        </w:rPr>
        <w:t xml:space="preserve"> </w:t>
      </w:r>
      <w:r w:rsidRPr="0088780C">
        <w:rPr>
          <w:rFonts w:eastAsia="MS Mincho"/>
          <w:i/>
          <w:snapToGrid w:val="0"/>
          <w:kern w:val="22"/>
          <w:szCs w:val="22"/>
        </w:rPr>
        <w:t>molitrix</w:t>
      </w:r>
      <w:r w:rsidRPr="0088780C">
        <w:rPr>
          <w:rFonts w:eastAsia="MS Mincho"/>
          <w:iCs/>
          <w:snapToGrid w:val="0"/>
          <w:kern w:val="22"/>
          <w:szCs w:val="22"/>
        </w:rPr>
        <w:t xml:space="preserve"> and </w:t>
      </w:r>
      <w:r w:rsidRPr="0088780C">
        <w:rPr>
          <w:rFonts w:eastAsia="MS Mincho"/>
          <w:i/>
          <w:snapToGrid w:val="0"/>
          <w:kern w:val="22"/>
          <w:szCs w:val="22"/>
        </w:rPr>
        <w:t>Liza</w:t>
      </w:r>
      <w:r w:rsidRPr="0088780C">
        <w:rPr>
          <w:rFonts w:eastAsia="MS Mincho"/>
          <w:iCs/>
          <w:snapToGrid w:val="0"/>
          <w:kern w:val="22"/>
          <w:szCs w:val="22"/>
        </w:rPr>
        <w:t xml:space="preserve"> </w:t>
      </w:r>
      <w:r w:rsidRPr="0088780C">
        <w:rPr>
          <w:rFonts w:eastAsia="MS Mincho"/>
          <w:i/>
          <w:snapToGrid w:val="0"/>
          <w:kern w:val="22"/>
          <w:szCs w:val="22"/>
        </w:rPr>
        <w:t>auratus</w:t>
      </w:r>
      <w:r w:rsidRPr="0088780C">
        <w:rPr>
          <w:rFonts w:eastAsia="MS Mincho"/>
          <w:iCs/>
          <w:snapToGrid w:val="0"/>
          <w:kern w:val="22"/>
          <w:szCs w:val="22"/>
        </w:rPr>
        <w:t>) are exotic species that were introduced either intentionally (Chinese herbivorous carps, mosquitofish and mullet) or accidentally (German carp and the common sawbelly) (Holchík and Oláh, 1992).</w:t>
      </w:r>
    </w:p>
    <w:p w14:paraId="77C80C0D"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50834988" w14:textId="1542CD0F" w:rsidR="00A876F3" w:rsidRPr="0088780C" w:rsidRDefault="00A876F3" w:rsidP="001013AF">
      <w:pPr>
        <w:suppressLineNumbers/>
        <w:suppressAutoHyphens/>
        <w:kinsoku w:val="0"/>
        <w:overflowPunct w:val="0"/>
        <w:autoSpaceDE w:val="0"/>
        <w:autoSpaceDN w:val="0"/>
        <w:rPr>
          <w:rFonts w:eastAsia="MS Mincho"/>
          <w:iCs/>
          <w:snapToGrid w:val="0"/>
          <w:spacing w:val="-2"/>
          <w:kern w:val="22"/>
          <w:szCs w:val="22"/>
        </w:rPr>
      </w:pPr>
      <w:r w:rsidRPr="0088780C">
        <w:rPr>
          <w:rFonts w:eastAsia="MS Mincho"/>
          <w:iCs/>
          <w:snapToGrid w:val="0"/>
          <w:spacing w:val="-2"/>
          <w:kern w:val="22"/>
          <w:szCs w:val="22"/>
        </w:rPr>
        <w:t xml:space="preserve">Anzali Lagoon is very rich in species, with 31 species of fish, including both limnophilous and potamophilous species as well as both freshwater and marine fish. Most are found in its western basin, while the eastern and southern basins have far fewer fish species, with only </w:t>
      </w:r>
      <w:r w:rsidRPr="0088780C">
        <w:rPr>
          <w:rFonts w:eastAsia="MS Mincho"/>
          <w:i/>
          <w:iCs/>
          <w:snapToGrid w:val="0"/>
          <w:spacing w:val="-2"/>
          <w:kern w:val="22"/>
          <w:szCs w:val="22"/>
        </w:rPr>
        <w:t xml:space="preserve">Carassius auratus, Esox lucius, Tinca tinca </w:t>
      </w:r>
      <w:r w:rsidRPr="0088780C">
        <w:rPr>
          <w:rFonts w:eastAsia="MS Mincho"/>
          <w:iCs/>
          <w:snapToGrid w:val="0"/>
          <w:spacing w:val="-2"/>
          <w:kern w:val="22"/>
          <w:szCs w:val="22"/>
        </w:rPr>
        <w:t>and</w:t>
      </w:r>
      <w:r w:rsidRPr="0088780C">
        <w:rPr>
          <w:rFonts w:eastAsia="MS Mincho"/>
          <w:i/>
          <w:iCs/>
          <w:snapToGrid w:val="0"/>
          <w:spacing w:val="-2"/>
          <w:kern w:val="22"/>
          <w:szCs w:val="22"/>
        </w:rPr>
        <w:t xml:space="preserve"> Proterorhinus marmoratus</w:t>
      </w:r>
      <w:r w:rsidRPr="0088780C">
        <w:rPr>
          <w:rFonts w:eastAsia="MS Mincho"/>
          <w:iCs/>
          <w:snapToGrid w:val="0"/>
          <w:spacing w:val="-2"/>
          <w:kern w:val="22"/>
          <w:szCs w:val="22"/>
        </w:rPr>
        <w:t xml:space="preserve">. Large areas covered by submerged and floating vegetation are inhabited by dense schools of </w:t>
      </w:r>
      <w:r w:rsidRPr="0088780C">
        <w:rPr>
          <w:rFonts w:eastAsia="MS Mincho"/>
          <w:i/>
          <w:iCs/>
          <w:snapToGrid w:val="0"/>
          <w:spacing w:val="-2"/>
          <w:kern w:val="22"/>
          <w:szCs w:val="22"/>
        </w:rPr>
        <w:t>Gambusia holbrooki,</w:t>
      </w:r>
      <w:r w:rsidRPr="0088780C">
        <w:rPr>
          <w:rFonts w:eastAsia="MS Mincho"/>
          <w:iCs/>
          <w:snapToGrid w:val="0"/>
          <w:spacing w:val="-2"/>
          <w:kern w:val="22"/>
          <w:szCs w:val="22"/>
        </w:rPr>
        <w:t xml:space="preserve"> which occur only at the water surface. Outflows from the lagoon with higher salinity are home to marine and brackishwater species, such as </w:t>
      </w:r>
      <w:r w:rsidRPr="0088780C">
        <w:rPr>
          <w:rFonts w:eastAsia="MS Mincho"/>
          <w:i/>
          <w:iCs/>
          <w:snapToGrid w:val="0"/>
          <w:spacing w:val="-2"/>
          <w:kern w:val="22"/>
          <w:szCs w:val="22"/>
        </w:rPr>
        <w:t>Liza auratus</w:t>
      </w:r>
      <w:r w:rsidRPr="0088780C">
        <w:rPr>
          <w:rFonts w:eastAsia="MS Mincho"/>
          <w:iCs/>
          <w:snapToGrid w:val="0"/>
          <w:spacing w:val="-2"/>
          <w:kern w:val="22"/>
          <w:szCs w:val="22"/>
        </w:rPr>
        <w:t xml:space="preserve"> and </w:t>
      </w:r>
      <w:r w:rsidRPr="0088780C">
        <w:rPr>
          <w:rFonts w:eastAsia="MS Mincho"/>
          <w:i/>
          <w:iCs/>
          <w:snapToGrid w:val="0"/>
          <w:spacing w:val="-2"/>
          <w:kern w:val="22"/>
          <w:szCs w:val="22"/>
        </w:rPr>
        <w:t>Atherina mochon pontica</w:t>
      </w:r>
      <w:r w:rsidRPr="0088780C">
        <w:rPr>
          <w:rFonts w:eastAsia="MS Mincho"/>
          <w:iCs/>
          <w:snapToGrid w:val="0"/>
          <w:spacing w:val="-2"/>
          <w:kern w:val="22"/>
          <w:szCs w:val="22"/>
        </w:rPr>
        <w:t xml:space="preserve">. </w:t>
      </w:r>
      <w:r w:rsidRPr="0088780C">
        <w:rPr>
          <w:rFonts w:eastAsia="MS Mincho"/>
          <w:i/>
          <w:iCs/>
          <w:snapToGrid w:val="0"/>
          <w:spacing w:val="-2"/>
          <w:kern w:val="22"/>
          <w:szCs w:val="22"/>
        </w:rPr>
        <w:t>Syngnathus nigrolineatus</w:t>
      </w:r>
      <w:r w:rsidRPr="0088780C">
        <w:rPr>
          <w:rFonts w:eastAsia="MS Mincho"/>
          <w:iCs/>
          <w:snapToGrid w:val="0"/>
          <w:spacing w:val="-2"/>
          <w:kern w:val="22"/>
          <w:szCs w:val="22"/>
        </w:rPr>
        <w:t xml:space="preserve"> was found in large numbers in the deepest part of the western basin, where the salinity is higher. Migratory species, such as </w:t>
      </w:r>
      <w:r w:rsidRPr="0088780C">
        <w:rPr>
          <w:rFonts w:eastAsia="MS Mincho"/>
          <w:i/>
          <w:iCs/>
          <w:snapToGrid w:val="0"/>
          <w:spacing w:val="-2"/>
          <w:kern w:val="22"/>
          <w:szCs w:val="22"/>
        </w:rPr>
        <w:t xml:space="preserve">Rutilus frisii kutum, Vimba vimba persa, Barbus capito, Chalcalburnus chalcoides iranicus </w:t>
      </w:r>
      <w:r w:rsidRPr="0088780C">
        <w:rPr>
          <w:rFonts w:eastAsia="MS Mincho"/>
          <w:iCs/>
          <w:snapToGrid w:val="0"/>
          <w:spacing w:val="-2"/>
          <w:kern w:val="22"/>
          <w:szCs w:val="22"/>
        </w:rPr>
        <w:t xml:space="preserve">and </w:t>
      </w:r>
      <w:r w:rsidRPr="0088780C">
        <w:rPr>
          <w:rFonts w:eastAsia="MS Mincho"/>
          <w:i/>
          <w:iCs/>
          <w:snapToGrid w:val="0"/>
          <w:spacing w:val="-2"/>
          <w:kern w:val="22"/>
          <w:szCs w:val="22"/>
        </w:rPr>
        <w:t>Alosa caspia persica</w:t>
      </w:r>
      <w:r w:rsidRPr="0088780C">
        <w:rPr>
          <w:rFonts w:eastAsia="MS Mincho"/>
          <w:iCs/>
          <w:snapToGrid w:val="0"/>
          <w:spacing w:val="-2"/>
          <w:kern w:val="22"/>
          <w:szCs w:val="22"/>
        </w:rPr>
        <w:t xml:space="preserve"> have been recorded seasonally and in small numbers in the western basin. These species mostly in outflows and in the inflowing streams during the late winter and in spring months </w:t>
      </w:r>
      <w:r w:rsidRPr="0088780C">
        <w:rPr>
          <w:rFonts w:eastAsia="MS Mincho"/>
          <w:snapToGrid w:val="0"/>
          <w:spacing w:val="-2"/>
          <w:kern w:val="22"/>
          <w:szCs w:val="22"/>
        </w:rPr>
        <w:t>(</w:t>
      </w:r>
      <w:r w:rsidRPr="0088780C">
        <w:rPr>
          <w:rFonts w:eastAsia="MS Mincho"/>
          <w:bCs/>
          <w:iCs/>
          <w:snapToGrid w:val="0"/>
          <w:spacing w:val="-2"/>
          <w:kern w:val="22"/>
          <w:szCs w:val="22"/>
        </w:rPr>
        <w:t>Holchík, J. and Oláh, J., (1992)</w:t>
      </w:r>
      <w:r w:rsidRPr="0088780C">
        <w:rPr>
          <w:rFonts w:eastAsia="MS Mincho"/>
          <w:iCs/>
          <w:snapToGrid w:val="0"/>
          <w:spacing w:val="-2"/>
          <w:kern w:val="22"/>
          <w:szCs w:val="22"/>
        </w:rPr>
        <w:t>.</w:t>
      </w:r>
    </w:p>
    <w:p w14:paraId="57A8B528"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7E3A95B2" w14:textId="56431B1C" w:rsidR="00A876F3" w:rsidRPr="0088780C" w:rsidRDefault="00517209"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A total of </w:t>
      </w:r>
      <w:r w:rsidR="00A876F3" w:rsidRPr="0088780C">
        <w:rPr>
          <w:rFonts w:eastAsia="MS Mincho"/>
          <w:iCs/>
          <w:snapToGrid w:val="0"/>
          <w:kern w:val="22"/>
          <w:szCs w:val="22"/>
        </w:rPr>
        <w:t xml:space="preserve">23 species of fish have been found in the incoming streams, including </w:t>
      </w:r>
      <w:r w:rsidR="00A876F3" w:rsidRPr="0088780C">
        <w:rPr>
          <w:rFonts w:eastAsia="MS Mincho"/>
          <w:i/>
          <w:iCs/>
          <w:snapToGrid w:val="0"/>
          <w:kern w:val="22"/>
          <w:szCs w:val="22"/>
        </w:rPr>
        <w:t>Clupeonella cultriventris</w:t>
      </w:r>
      <w:r w:rsidR="00A876F3" w:rsidRPr="0088780C">
        <w:rPr>
          <w:rFonts w:eastAsia="MS Mincho"/>
          <w:iCs/>
          <w:snapToGrid w:val="0"/>
          <w:kern w:val="22"/>
          <w:szCs w:val="22"/>
        </w:rPr>
        <w:t xml:space="preserve">Some species, such as </w:t>
      </w:r>
      <w:r w:rsidR="00A876F3" w:rsidRPr="0088780C">
        <w:rPr>
          <w:rFonts w:eastAsia="MS Mincho"/>
          <w:i/>
          <w:iCs/>
          <w:snapToGrid w:val="0"/>
          <w:kern w:val="22"/>
          <w:szCs w:val="22"/>
        </w:rPr>
        <w:t xml:space="preserve">Alburnoides bipunctatus eichwaldi, Alburnus charusini hohenackeri, Alburnus filippii, Barbus lacerta cyri, Capoeta gracilis gracilis, Noemacheilus angorae </w:t>
      </w:r>
      <w:r w:rsidR="00A876F3" w:rsidRPr="0088780C">
        <w:rPr>
          <w:rFonts w:eastAsia="MS Mincho"/>
          <w:iCs/>
          <w:snapToGrid w:val="0"/>
          <w:kern w:val="22"/>
          <w:szCs w:val="22"/>
        </w:rPr>
        <w:t>and</w:t>
      </w:r>
      <w:r w:rsidR="00A876F3" w:rsidRPr="0088780C">
        <w:rPr>
          <w:rFonts w:eastAsia="MS Mincho"/>
          <w:i/>
          <w:iCs/>
          <w:snapToGrid w:val="0"/>
          <w:kern w:val="22"/>
          <w:szCs w:val="22"/>
        </w:rPr>
        <w:t xml:space="preserve"> Neogobius kessleri gorlap</w:t>
      </w:r>
      <w:r w:rsidR="00A876F3" w:rsidRPr="0088780C">
        <w:rPr>
          <w:rFonts w:eastAsia="MS Mincho"/>
          <w:iCs/>
          <w:snapToGrid w:val="0"/>
          <w:kern w:val="22"/>
          <w:szCs w:val="22"/>
        </w:rPr>
        <w:t xml:space="preserve"> have been found exclusively in streams. Aside from marine or brackishwater species, such as </w:t>
      </w:r>
      <w:r w:rsidR="00A876F3" w:rsidRPr="0088780C">
        <w:rPr>
          <w:rFonts w:eastAsia="MS Mincho"/>
          <w:i/>
          <w:iCs/>
          <w:snapToGrid w:val="0"/>
          <w:kern w:val="22"/>
          <w:szCs w:val="22"/>
        </w:rPr>
        <w:t xml:space="preserve">Alosa caspia, Liza auratus, Atherina mochon </w:t>
      </w:r>
      <w:r w:rsidR="00A876F3" w:rsidRPr="0088780C">
        <w:rPr>
          <w:rFonts w:eastAsia="MS Mincho"/>
          <w:iCs/>
          <w:snapToGrid w:val="0"/>
          <w:kern w:val="22"/>
          <w:szCs w:val="22"/>
        </w:rPr>
        <w:t>and</w:t>
      </w:r>
      <w:r w:rsidR="00A876F3" w:rsidRPr="0088780C">
        <w:rPr>
          <w:rFonts w:eastAsia="MS Mincho"/>
          <w:i/>
          <w:iCs/>
          <w:snapToGrid w:val="0"/>
          <w:kern w:val="22"/>
          <w:szCs w:val="22"/>
        </w:rPr>
        <w:t xml:space="preserve"> Neogobius platyrostris, Alburnus filippii </w:t>
      </w:r>
      <w:r w:rsidR="00A876F3" w:rsidRPr="0088780C">
        <w:rPr>
          <w:rFonts w:eastAsia="MS Mincho"/>
          <w:iCs/>
          <w:snapToGrid w:val="0"/>
          <w:kern w:val="22"/>
          <w:szCs w:val="22"/>
        </w:rPr>
        <w:t xml:space="preserve">was also recorded. This was reported to dwell only in freshwater (Berg, 1948–1949; Abdurakhmanov, 1962, cited in </w:t>
      </w:r>
      <w:r w:rsidR="00A876F3" w:rsidRPr="0088780C">
        <w:rPr>
          <w:rFonts w:eastAsia="MS Mincho"/>
          <w:bCs/>
          <w:iCs/>
          <w:snapToGrid w:val="0"/>
          <w:kern w:val="22"/>
          <w:szCs w:val="22"/>
        </w:rPr>
        <w:t>Holchík, J. and Oláh, J., 1992)</w:t>
      </w:r>
      <w:r w:rsidR="00A876F3" w:rsidRPr="0088780C">
        <w:rPr>
          <w:rFonts w:eastAsia="MS Mincho"/>
          <w:iCs/>
          <w:snapToGrid w:val="0"/>
          <w:kern w:val="22"/>
          <w:szCs w:val="22"/>
        </w:rPr>
        <w:t>).</w:t>
      </w:r>
    </w:p>
    <w:p w14:paraId="288DC986"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6278D6E5"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r w:rsidRPr="0088780C">
        <w:rPr>
          <w:rFonts w:eastAsia="MS Mincho"/>
          <w:iCs/>
          <w:snapToGrid w:val="0"/>
          <w:kern w:val="22"/>
          <w:szCs w:val="22"/>
        </w:rPr>
        <w:t xml:space="preserve">The presence of </w:t>
      </w:r>
      <w:r w:rsidRPr="0088780C">
        <w:rPr>
          <w:rFonts w:eastAsia="MS Mincho"/>
          <w:i/>
          <w:iCs/>
          <w:snapToGrid w:val="0"/>
          <w:kern w:val="22"/>
          <w:szCs w:val="22"/>
        </w:rPr>
        <w:t xml:space="preserve">Caspiomyzon wagneri, Sabanejewia aurata </w:t>
      </w:r>
      <w:r w:rsidRPr="0088780C">
        <w:rPr>
          <w:rFonts w:eastAsia="MS Mincho"/>
          <w:iCs/>
          <w:snapToGrid w:val="0"/>
          <w:kern w:val="22"/>
          <w:szCs w:val="22"/>
        </w:rPr>
        <w:t>and</w:t>
      </w:r>
      <w:r w:rsidRPr="0088780C">
        <w:rPr>
          <w:rFonts w:eastAsia="MS Mincho"/>
          <w:i/>
          <w:iCs/>
          <w:snapToGrid w:val="0"/>
          <w:kern w:val="22"/>
          <w:szCs w:val="22"/>
        </w:rPr>
        <w:t xml:space="preserve"> Alburnoides bipunctatus</w:t>
      </w:r>
      <w:r w:rsidRPr="0088780C">
        <w:rPr>
          <w:rFonts w:eastAsia="MS Mincho"/>
          <w:iCs/>
          <w:snapToGrid w:val="0"/>
          <w:kern w:val="22"/>
          <w:szCs w:val="22"/>
        </w:rPr>
        <w:t xml:space="preserve"> in outflows and in the lagoon's tributaries indicates good water quality, as these species are known to be less tolerant to heavy loads of toxicants and pollutants. </w:t>
      </w:r>
      <w:r w:rsidRPr="0088780C">
        <w:rPr>
          <w:rFonts w:eastAsia="MS Mincho"/>
          <w:i/>
          <w:iCs/>
          <w:snapToGrid w:val="0"/>
          <w:kern w:val="22"/>
          <w:szCs w:val="22"/>
        </w:rPr>
        <w:t>(</w:t>
      </w:r>
      <w:r w:rsidRPr="0088780C">
        <w:rPr>
          <w:rFonts w:eastAsia="MS Mincho"/>
          <w:bCs/>
          <w:iCs/>
          <w:snapToGrid w:val="0"/>
          <w:kern w:val="22"/>
          <w:szCs w:val="22"/>
        </w:rPr>
        <w:t>Holchík, J. and Oláh, J., (1992).</w:t>
      </w:r>
    </w:p>
    <w:p w14:paraId="50D8F864"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2EBDEF11" w14:textId="77777777" w:rsidR="00A876F3" w:rsidRPr="0088780C" w:rsidRDefault="00A876F3" w:rsidP="001013AF">
      <w:pPr>
        <w:suppressLineNumbers/>
        <w:suppressAutoHyphens/>
        <w:kinsoku w:val="0"/>
        <w:overflowPunct w:val="0"/>
        <w:autoSpaceDE w:val="0"/>
        <w:autoSpaceDN w:val="0"/>
        <w:rPr>
          <w:rFonts w:eastAsia="MS Mincho"/>
          <w:b/>
          <w:bCs/>
          <w:iCs/>
          <w:snapToGrid w:val="0"/>
          <w:kern w:val="22"/>
          <w:szCs w:val="22"/>
        </w:rPr>
      </w:pPr>
      <w:r w:rsidRPr="0088780C">
        <w:rPr>
          <w:rFonts w:eastAsia="MS Mincho"/>
          <w:b/>
          <w:snapToGrid w:val="0"/>
          <w:kern w:val="22"/>
          <w:szCs w:val="22"/>
        </w:rPr>
        <w:t>Feature condition and future outlook of the area</w:t>
      </w:r>
    </w:p>
    <w:p w14:paraId="478937BE" w14:textId="5985AD1D"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This area is listed on Ramsar’s Montreux Record, “a register of wetland sites on the List of Wetlands of International Importance where changes in ecological character have occurred, are occurring, or are likely to occur” (http://archive.ramsar.org/cda/en/ramsar-documents-montreux-montreux-record/main/ramsar/1-31-118%5E20972_4000_0_) due to threats that include pollution from urban and agricultural wastewater, spread of the exotic floating water-fern </w:t>
      </w:r>
      <w:r w:rsidRPr="0088780C">
        <w:rPr>
          <w:rFonts w:eastAsia="MS Mincho"/>
          <w:i/>
          <w:iCs/>
          <w:snapToGrid w:val="0"/>
          <w:kern w:val="22"/>
          <w:szCs w:val="22"/>
        </w:rPr>
        <w:t>Azolla</w:t>
      </w:r>
      <w:r w:rsidRPr="0088780C">
        <w:rPr>
          <w:rFonts w:eastAsia="MS Mincho"/>
          <w:snapToGrid w:val="0"/>
          <w:kern w:val="22"/>
          <w:szCs w:val="22"/>
        </w:rPr>
        <w:t xml:space="preserve"> </w:t>
      </w:r>
      <w:r w:rsidRPr="0088780C">
        <w:rPr>
          <w:rFonts w:eastAsia="MS Mincho"/>
          <w:i/>
          <w:iCs/>
          <w:snapToGrid w:val="0"/>
          <w:kern w:val="22"/>
          <w:szCs w:val="22"/>
        </w:rPr>
        <w:t>Filiculoides</w:t>
      </w:r>
      <w:r w:rsidRPr="0088780C">
        <w:rPr>
          <w:rFonts w:eastAsia="MS Mincho"/>
          <w:snapToGrid w:val="0"/>
          <w:kern w:val="22"/>
          <w:szCs w:val="22"/>
        </w:rPr>
        <w:t>, sedimentation from upstream deforestation and increased hunting pressure (Karimi, 2016).</w:t>
      </w:r>
    </w:p>
    <w:p w14:paraId="762C425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AF93CE0" w14:textId="1EA0C5E6"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 area against CBD EBSA Criteria</w:t>
      </w:r>
    </w:p>
    <w:p w14:paraId="66A1253B"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kern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11019060" w14:textId="77777777" w:rsidTr="006972AD">
        <w:trPr>
          <w:jc w:val="center"/>
        </w:trPr>
        <w:tc>
          <w:tcPr>
            <w:tcW w:w="779" w:type="pct"/>
            <w:vMerge w:val="restart"/>
            <w:shd w:val="clear" w:color="auto" w:fill="auto"/>
          </w:tcPr>
          <w:p w14:paraId="4F1E29B1"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CBD EBSA Criteria</w:t>
            </w:r>
          </w:p>
          <w:p w14:paraId="53323C4C"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kern w:val="22"/>
                <w:szCs w:val="22"/>
              </w:rPr>
            </w:pPr>
            <w:r w:rsidRPr="0088780C">
              <w:rPr>
                <w:rFonts w:eastAsia="MS Mincho"/>
                <w:bCs/>
                <w:snapToGrid w:val="0"/>
                <w:kern w:val="22"/>
                <w:szCs w:val="22"/>
              </w:rPr>
              <w:t>(Annex I to decision IX/20)</w:t>
            </w:r>
          </w:p>
        </w:tc>
        <w:tc>
          <w:tcPr>
            <w:tcW w:w="2280" w:type="pct"/>
            <w:vMerge w:val="restart"/>
            <w:shd w:val="clear" w:color="auto" w:fill="auto"/>
          </w:tcPr>
          <w:p w14:paraId="4940170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3ABF9B0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(Annex I to decision IX/20)</w:t>
            </w:r>
          </w:p>
        </w:tc>
        <w:tc>
          <w:tcPr>
            <w:tcW w:w="1940" w:type="pct"/>
            <w:gridSpan w:val="9"/>
            <w:shd w:val="clear" w:color="auto" w:fill="auto"/>
          </w:tcPr>
          <w:p w14:paraId="63ABBD6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 xml:space="preserve">Ranking of criterion relevance </w:t>
            </w:r>
          </w:p>
          <w:p w14:paraId="4E8CF78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Cs/>
                <w:snapToGrid w:val="0"/>
                <w:kern w:val="22"/>
                <w:szCs w:val="22"/>
              </w:rPr>
              <w:t>(please mark one column with an X)</w:t>
            </w:r>
          </w:p>
        </w:tc>
      </w:tr>
      <w:tr w:rsidR="00A876F3" w:rsidRPr="0088780C" w14:paraId="65C298AC" w14:textId="77777777" w:rsidTr="006972AD">
        <w:trPr>
          <w:jc w:val="center"/>
        </w:trPr>
        <w:tc>
          <w:tcPr>
            <w:tcW w:w="779" w:type="pct"/>
            <w:vMerge/>
            <w:shd w:val="clear" w:color="auto" w:fill="auto"/>
          </w:tcPr>
          <w:p w14:paraId="040C768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2280" w:type="pct"/>
            <w:vMerge/>
            <w:shd w:val="clear" w:color="auto" w:fill="auto"/>
          </w:tcPr>
          <w:p w14:paraId="6D2C406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55B0B3E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No information</w:t>
            </w:r>
          </w:p>
        </w:tc>
        <w:tc>
          <w:tcPr>
            <w:tcW w:w="547" w:type="pct"/>
            <w:gridSpan w:val="3"/>
            <w:shd w:val="clear" w:color="auto" w:fill="auto"/>
          </w:tcPr>
          <w:p w14:paraId="76F3373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Low</w:t>
            </w:r>
          </w:p>
        </w:tc>
        <w:tc>
          <w:tcPr>
            <w:tcW w:w="411" w:type="pct"/>
            <w:gridSpan w:val="2"/>
            <w:shd w:val="clear" w:color="auto" w:fill="auto"/>
          </w:tcPr>
          <w:p w14:paraId="6B9AABB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Medium</w:t>
            </w:r>
          </w:p>
        </w:tc>
        <w:tc>
          <w:tcPr>
            <w:tcW w:w="436" w:type="pct"/>
            <w:gridSpan w:val="2"/>
            <w:shd w:val="clear" w:color="auto" w:fill="auto"/>
          </w:tcPr>
          <w:p w14:paraId="27BBAC0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High</w:t>
            </w:r>
          </w:p>
        </w:tc>
      </w:tr>
      <w:tr w:rsidR="00A876F3" w:rsidRPr="0088780C" w14:paraId="171DEFF9" w14:textId="77777777" w:rsidTr="006972AD">
        <w:trPr>
          <w:jc w:val="center"/>
        </w:trPr>
        <w:tc>
          <w:tcPr>
            <w:tcW w:w="779" w:type="pct"/>
            <w:shd w:val="clear" w:color="auto" w:fill="auto"/>
          </w:tcPr>
          <w:p w14:paraId="7567F76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Uniqueness or rarity</w:t>
            </w:r>
          </w:p>
        </w:tc>
        <w:tc>
          <w:tcPr>
            <w:tcW w:w="2280" w:type="pct"/>
            <w:shd w:val="clear" w:color="auto" w:fill="auto"/>
          </w:tcPr>
          <w:p w14:paraId="308BA428" w14:textId="37E4868C"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contains either (i) unique (</w:t>
            </w:r>
            <w:r w:rsidR="00D8482D" w:rsidRPr="0088780C">
              <w:rPr>
                <w:rFonts w:eastAsia="MS Mincho"/>
                <w:bCs/>
                <w:snapToGrid w:val="0"/>
                <w:kern w:val="22"/>
                <w:szCs w:val="22"/>
              </w:rPr>
              <w:t>“</w:t>
            </w:r>
            <w:r w:rsidRPr="0088780C">
              <w:rPr>
                <w:rFonts w:eastAsia="MS Mincho"/>
                <w:bCs/>
                <w:snapToGrid w:val="0"/>
                <w:kern w:val="22"/>
                <w:szCs w:val="22"/>
              </w:rPr>
              <w:t>the only one of its kind</w:t>
            </w:r>
            <w:r w:rsidR="00D8482D" w:rsidRPr="0088780C">
              <w:rPr>
                <w:rFonts w:eastAsia="MS Mincho"/>
                <w:bCs/>
                <w:snapToGrid w:val="0"/>
                <w:kern w:val="22"/>
                <w:szCs w:val="22"/>
              </w:rPr>
              <w:t>”</w:t>
            </w:r>
            <w:r w:rsidRPr="0088780C">
              <w:rPr>
                <w:rFonts w:eastAsia="MS Mincho"/>
                <w:bCs/>
                <w:snapToGrid w:val="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782555B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547" w:type="pct"/>
            <w:gridSpan w:val="3"/>
            <w:shd w:val="clear" w:color="auto" w:fill="auto"/>
          </w:tcPr>
          <w:p w14:paraId="4B57313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6B08DB7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4DD8F43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146C255A" w14:textId="77777777" w:rsidTr="006972AD">
        <w:trPr>
          <w:jc w:val="center"/>
        </w:trPr>
        <w:tc>
          <w:tcPr>
            <w:tcW w:w="5000" w:type="pct"/>
            <w:gridSpan w:val="11"/>
            <w:shd w:val="clear" w:color="auto" w:fill="auto"/>
          </w:tcPr>
          <w:p w14:paraId="728BDEF3"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7AF4F2A8"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iCs/>
                <w:snapToGrid w:val="0"/>
                <w:kern w:val="22"/>
                <w:szCs w:val="22"/>
              </w:rPr>
            </w:pPr>
            <w:r w:rsidRPr="0088780C">
              <w:rPr>
                <w:rFonts w:eastAsia="MS Mincho"/>
                <w:iCs/>
                <w:snapToGrid w:val="0"/>
                <w:kern w:val="22"/>
                <w:szCs w:val="22"/>
              </w:rPr>
              <w:t>A complex of seven interconnected wetlands with different physical characteristics</w:t>
            </w:r>
          </w:p>
          <w:p w14:paraId="220E03E7"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iCs/>
                <w:snapToGrid w:val="0"/>
                <w:kern w:val="22"/>
                <w:szCs w:val="22"/>
              </w:rPr>
            </w:pPr>
            <w:r w:rsidRPr="0088780C">
              <w:rPr>
                <w:rFonts w:eastAsia="MS Mincho"/>
                <w:iCs/>
                <w:snapToGrid w:val="0"/>
                <w:kern w:val="22"/>
                <w:szCs w:val="22"/>
              </w:rPr>
              <w:t>A unique dynamic ecosystem and ecotone with a wide range of salinity from brackish waters of the Caspian Sea to freshwater wetlands and estuaries</w:t>
            </w:r>
          </w:p>
          <w:p w14:paraId="0EB88BEA"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iCs/>
                <w:snapToGrid w:val="0"/>
                <w:kern w:val="22"/>
                <w:szCs w:val="22"/>
              </w:rPr>
            </w:pPr>
            <w:r w:rsidRPr="0088780C">
              <w:rPr>
                <w:rFonts w:eastAsia="MS Mincho"/>
                <w:iCs/>
                <w:snapToGrid w:val="0"/>
                <w:kern w:val="22"/>
                <w:szCs w:val="22"/>
              </w:rPr>
              <w:t xml:space="preserve">The most extensive beds of lotus </w:t>
            </w:r>
            <w:r w:rsidRPr="0088780C">
              <w:rPr>
                <w:rFonts w:eastAsia="MS Mincho"/>
                <w:i/>
                <w:snapToGrid w:val="0"/>
                <w:kern w:val="22"/>
                <w:szCs w:val="22"/>
              </w:rPr>
              <w:t>Nelumbo</w:t>
            </w:r>
            <w:r w:rsidRPr="0088780C">
              <w:rPr>
                <w:rFonts w:eastAsia="MS Mincho"/>
                <w:iCs/>
                <w:snapToGrid w:val="0"/>
                <w:kern w:val="22"/>
                <w:szCs w:val="22"/>
              </w:rPr>
              <w:t xml:space="preserve"> </w:t>
            </w:r>
            <w:r w:rsidRPr="0088780C">
              <w:rPr>
                <w:rFonts w:eastAsia="MS Mincho"/>
                <w:i/>
                <w:snapToGrid w:val="0"/>
                <w:kern w:val="22"/>
                <w:szCs w:val="22"/>
              </w:rPr>
              <w:t>nucifera</w:t>
            </w:r>
            <w:r w:rsidRPr="0088780C">
              <w:rPr>
                <w:rFonts w:eastAsia="MS Mincho"/>
                <w:iCs/>
                <w:snapToGrid w:val="0"/>
                <w:kern w:val="22"/>
                <w:szCs w:val="22"/>
              </w:rPr>
              <w:t xml:space="preserve"> var. </w:t>
            </w:r>
            <w:r w:rsidRPr="0088780C">
              <w:rPr>
                <w:rFonts w:eastAsia="MS Mincho"/>
                <w:i/>
                <w:snapToGrid w:val="0"/>
                <w:kern w:val="22"/>
                <w:szCs w:val="22"/>
              </w:rPr>
              <w:t>caspica</w:t>
            </w:r>
            <w:r w:rsidRPr="0088780C">
              <w:rPr>
                <w:rFonts w:eastAsia="MS Mincho"/>
                <w:iCs/>
                <w:snapToGrid w:val="0"/>
                <w:kern w:val="22"/>
                <w:szCs w:val="22"/>
              </w:rPr>
              <w:t xml:space="preserve"> in the south Caspian Sea (Karimi, 2016)</w:t>
            </w:r>
          </w:p>
          <w:p w14:paraId="58DC3F10"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iCs/>
                <w:snapToGrid w:val="0"/>
                <w:kern w:val="22"/>
                <w:szCs w:val="22"/>
              </w:rPr>
            </w:pPr>
            <w:r w:rsidRPr="0088780C">
              <w:rPr>
                <w:rFonts w:eastAsia="MS Mincho"/>
                <w:iCs/>
                <w:snapToGrid w:val="0"/>
                <w:kern w:val="22"/>
                <w:szCs w:val="22"/>
              </w:rPr>
              <w:t>Considered the most important area in the Iranian Caspian Sea based on several specific criteria, including: naturalness, uniqueness, habitat connectivity (lower fragmentation), habitat diversity, number of threatened and endangered marine species, number of threatened and endangered bird species, spawning and nursery grounds, wintering and breeding grounds for birds, number of bird populations, number of 1% of the regional populations, bird diversity and importance for the Caspian Seal (BirdLife International, 2017; Danehkar, 2002; Danehkar &amp; Majnoonian, 2004a; Giesen, 2011; 2010; UNEP-GEF, 2013).</w:t>
            </w:r>
          </w:p>
        </w:tc>
      </w:tr>
      <w:tr w:rsidR="00A876F3" w:rsidRPr="0088780C" w14:paraId="0634DF57" w14:textId="77777777" w:rsidTr="00517209">
        <w:trPr>
          <w:cantSplit/>
          <w:jc w:val="center"/>
        </w:trPr>
        <w:tc>
          <w:tcPr>
            <w:tcW w:w="779" w:type="pct"/>
            <w:shd w:val="clear" w:color="auto" w:fill="auto"/>
          </w:tcPr>
          <w:p w14:paraId="13E1ADB0"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Special importance for life-history stages of species</w:t>
            </w:r>
          </w:p>
        </w:tc>
        <w:tc>
          <w:tcPr>
            <w:tcW w:w="2280" w:type="pct"/>
            <w:shd w:val="clear" w:color="auto" w:fill="auto"/>
          </w:tcPr>
          <w:p w14:paraId="53D0F10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Areas that are required for a population to survive and thrive.</w:t>
            </w:r>
          </w:p>
        </w:tc>
        <w:tc>
          <w:tcPr>
            <w:tcW w:w="684" w:type="pct"/>
            <w:gridSpan w:val="3"/>
            <w:shd w:val="clear" w:color="auto" w:fill="auto"/>
          </w:tcPr>
          <w:p w14:paraId="11BCA82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0D8C135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51CE163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6A38201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2ACF6E58" w14:textId="77777777" w:rsidTr="006972AD">
        <w:trPr>
          <w:jc w:val="center"/>
        </w:trPr>
        <w:tc>
          <w:tcPr>
            <w:tcW w:w="5000" w:type="pct"/>
            <w:gridSpan w:val="11"/>
            <w:shd w:val="clear" w:color="auto" w:fill="auto"/>
          </w:tcPr>
          <w:p w14:paraId="3568C82D"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FD42956" w14:textId="550A859F"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iCs/>
                <w:snapToGrid w:val="0"/>
                <w:kern w:val="22"/>
                <w:szCs w:val="22"/>
              </w:rPr>
            </w:pPr>
            <w:r w:rsidRPr="0088780C">
              <w:rPr>
                <w:rFonts w:eastAsia="MS Mincho"/>
                <w:snapToGrid w:val="0"/>
                <w:kern w:val="22"/>
                <w:szCs w:val="22"/>
              </w:rPr>
              <w:t xml:space="preserve">The Anzali wetlands complex is one of the two major inlets of importance as foraging, spawning and nursery grounds for fish species in the south Caspian Sea (Abdolhay, 2004; </w:t>
            </w:r>
            <w:r w:rsidRPr="0088780C">
              <w:rPr>
                <w:rFonts w:eastAsia="MS Mincho"/>
                <w:iCs/>
                <w:snapToGrid w:val="0"/>
                <w:kern w:val="22"/>
                <w:szCs w:val="22"/>
              </w:rPr>
              <w:t>Mansoori, 2009; Ramsar information Sheet</w:t>
            </w:r>
            <w:r w:rsidRPr="0088780C">
              <w:rPr>
                <w:rFonts w:eastAsia="MS Mincho"/>
                <w:snapToGrid w:val="0"/>
                <w:kern w:val="22"/>
                <w:szCs w:val="22"/>
              </w:rPr>
              <w:t>).</w:t>
            </w:r>
          </w:p>
          <w:p w14:paraId="59428A8D"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iCs/>
                <w:snapToGrid w:val="0"/>
                <w:kern w:val="22"/>
                <w:szCs w:val="22"/>
              </w:rPr>
            </w:pPr>
            <w:r w:rsidRPr="0088780C">
              <w:rPr>
                <w:rFonts w:eastAsia="MS Mincho"/>
                <w:snapToGrid w:val="0"/>
                <w:kern w:val="22"/>
                <w:szCs w:val="22"/>
              </w:rPr>
              <w:t>Extremely important for a wide variety of breeding, passing and wintering waterfowl. The wetlands support a very large breeding colony of whiskered tern (</w:t>
            </w:r>
            <w:r w:rsidRPr="0088780C">
              <w:rPr>
                <w:rFonts w:eastAsia="MS Mincho"/>
                <w:i/>
                <w:snapToGrid w:val="0"/>
                <w:kern w:val="22"/>
                <w:szCs w:val="22"/>
              </w:rPr>
              <w:t>Chlidonias hybridus</w:t>
            </w:r>
            <w:r w:rsidRPr="0088780C">
              <w:rPr>
                <w:rFonts w:eastAsia="MS Mincho"/>
                <w:iCs/>
                <w:snapToGrid w:val="0"/>
                <w:kern w:val="22"/>
                <w:szCs w:val="22"/>
              </w:rPr>
              <w:t>)</w:t>
            </w:r>
            <w:r w:rsidRPr="0088780C">
              <w:rPr>
                <w:rFonts w:eastAsia="MS Mincho"/>
                <w:snapToGrid w:val="0"/>
                <w:kern w:val="22"/>
                <w:szCs w:val="22"/>
              </w:rPr>
              <w:t>, small colonies of six species of herons and egrets, western marsh-harrier (</w:t>
            </w:r>
            <w:r w:rsidRPr="0088780C">
              <w:rPr>
                <w:rFonts w:eastAsia="MS Mincho"/>
                <w:i/>
                <w:snapToGrid w:val="0"/>
                <w:kern w:val="22"/>
                <w:szCs w:val="22"/>
              </w:rPr>
              <w:t>Circus aeruginosus</w:t>
            </w:r>
            <w:r w:rsidRPr="0088780C">
              <w:rPr>
                <w:rFonts w:eastAsia="MS Mincho"/>
                <w:iCs/>
                <w:snapToGrid w:val="0"/>
                <w:kern w:val="22"/>
                <w:szCs w:val="22"/>
              </w:rPr>
              <w:t>)</w:t>
            </w:r>
            <w:r w:rsidRPr="0088780C">
              <w:rPr>
                <w:rFonts w:eastAsia="MS Mincho"/>
                <w:snapToGrid w:val="0"/>
                <w:kern w:val="22"/>
                <w:szCs w:val="22"/>
              </w:rPr>
              <w:t xml:space="preserve"> and a large resident population of purple swamphen (</w:t>
            </w:r>
            <w:r w:rsidRPr="0088780C">
              <w:rPr>
                <w:rFonts w:eastAsia="MS Mincho"/>
                <w:i/>
                <w:snapToGrid w:val="0"/>
                <w:kern w:val="22"/>
                <w:szCs w:val="22"/>
              </w:rPr>
              <w:t>Porphyrio porphyrio</w:t>
            </w:r>
            <w:r w:rsidRPr="0088780C">
              <w:rPr>
                <w:rFonts w:eastAsia="MS Mincho"/>
                <w:iCs/>
                <w:snapToGrid w:val="0"/>
                <w:kern w:val="22"/>
                <w:szCs w:val="22"/>
              </w:rPr>
              <w:t>)</w:t>
            </w:r>
            <w:r w:rsidRPr="0088780C">
              <w:rPr>
                <w:rFonts w:eastAsia="MS Mincho"/>
                <w:snapToGrid w:val="0"/>
                <w:kern w:val="22"/>
                <w:szCs w:val="22"/>
              </w:rPr>
              <w:t>. The area also supports huge wintering concentrations of ducks, geese, swans and coots. The wetland is the most important wintering area in Iran for pygmy cormorant (</w:t>
            </w:r>
            <w:r w:rsidRPr="0088780C">
              <w:rPr>
                <w:rFonts w:eastAsia="MS Mincho"/>
                <w:i/>
                <w:snapToGrid w:val="0"/>
                <w:kern w:val="22"/>
                <w:szCs w:val="22"/>
              </w:rPr>
              <w:t>Phalacrocorax pygmaeus</w:t>
            </w:r>
            <w:r w:rsidRPr="0088780C">
              <w:rPr>
                <w:rFonts w:eastAsia="MS Mincho"/>
                <w:iCs/>
                <w:snapToGrid w:val="0"/>
                <w:kern w:val="22"/>
                <w:szCs w:val="22"/>
              </w:rPr>
              <w:t>)</w:t>
            </w:r>
            <w:r w:rsidRPr="0088780C">
              <w:rPr>
                <w:rFonts w:eastAsia="MS Mincho"/>
                <w:snapToGrid w:val="0"/>
                <w:kern w:val="22"/>
                <w:szCs w:val="22"/>
              </w:rPr>
              <w:t xml:space="preserve"> (BirdLife International, 2017a)</w:t>
            </w:r>
          </w:p>
          <w:p w14:paraId="68CA39E8"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iCs/>
                <w:snapToGrid w:val="0"/>
                <w:kern w:val="22"/>
                <w:szCs w:val="22"/>
              </w:rPr>
            </w:pPr>
            <w:r w:rsidRPr="0088780C">
              <w:rPr>
                <w:rFonts w:eastAsia="MS Mincho"/>
                <w:snapToGrid w:val="0"/>
                <w:kern w:val="22"/>
                <w:szCs w:val="22"/>
              </w:rPr>
              <w:t>The a</w:t>
            </w:r>
            <w:r w:rsidRPr="0088780C">
              <w:rPr>
                <w:rFonts w:eastAsia="MS Mincho"/>
                <w:iCs/>
                <w:snapToGrid w:val="0"/>
                <w:kern w:val="22"/>
                <w:szCs w:val="22"/>
              </w:rPr>
              <w:t xml:space="preserve">verage number of waterfowl ranges between 0.5 and 1 million birds </w:t>
            </w:r>
            <w:r w:rsidRPr="0088780C">
              <w:rPr>
                <w:rFonts w:eastAsia="MS Mincho"/>
                <w:snapToGrid w:val="0"/>
                <w:kern w:val="22"/>
                <w:szCs w:val="22"/>
              </w:rPr>
              <w:t>(BirdLife International, 2017a</w:t>
            </w:r>
            <w:r w:rsidRPr="0088780C">
              <w:rPr>
                <w:rFonts w:eastAsia="MS Mincho"/>
                <w:iCs/>
                <w:snapToGrid w:val="0"/>
                <w:kern w:val="22"/>
                <w:szCs w:val="22"/>
              </w:rPr>
              <w:t>).</w:t>
            </w:r>
          </w:p>
          <w:p w14:paraId="311C6EB2"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iCs/>
                <w:snapToGrid w:val="0"/>
                <w:kern w:val="22"/>
                <w:szCs w:val="22"/>
              </w:rPr>
            </w:pPr>
            <w:r w:rsidRPr="0088780C">
              <w:rPr>
                <w:rFonts w:eastAsia="MS Mincho"/>
                <w:snapToGrid w:val="0"/>
                <w:kern w:val="22"/>
                <w:szCs w:val="22"/>
              </w:rPr>
              <w:t>This area is principal breeding ground for the declining Caspian kutum (</w:t>
            </w:r>
            <w:r w:rsidRPr="0088780C">
              <w:rPr>
                <w:rFonts w:eastAsia="MS Mincho"/>
                <w:i/>
                <w:iCs/>
                <w:snapToGrid w:val="0"/>
                <w:kern w:val="22"/>
                <w:szCs w:val="22"/>
              </w:rPr>
              <w:t>Rutilus</w:t>
            </w:r>
            <w:r w:rsidRPr="0088780C">
              <w:rPr>
                <w:rFonts w:eastAsia="MS Mincho"/>
                <w:snapToGrid w:val="0"/>
                <w:kern w:val="22"/>
                <w:szCs w:val="22"/>
              </w:rPr>
              <w:t xml:space="preserve"> </w:t>
            </w:r>
            <w:r w:rsidRPr="0088780C">
              <w:rPr>
                <w:rFonts w:eastAsia="MS Mincho"/>
                <w:i/>
                <w:iCs/>
                <w:snapToGrid w:val="0"/>
                <w:kern w:val="22"/>
                <w:szCs w:val="22"/>
              </w:rPr>
              <w:t>frisii</w:t>
            </w:r>
            <w:r w:rsidRPr="0088780C">
              <w:rPr>
                <w:rFonts w:eastAsia="MS Mincho"/>
                <w:snapToGrid w:val="0"/>
                <w:kern w:val="22"/>
                <w:szCs w:val="22"/>
              </w:rPr>
              <w:t xml:space="preserve"> </w:t>
            </w:r>
            <w:r w:rsidRPr="0088780C">
              <w:rPr>
                <w:rFonts w:eastAsia="MS Mincho"/>
                <w:i/>
                <w:iCs/>
                <w:snapToGrid w:val="0"/>
                <w:kern w:val="22"/>
                <w:szCs w:val="22"/>
              </w:rPr>
              <w:t>kutum</w:t>
            </w:r>
            <w:r w:rsidRPr="0088780C">
              <w:rPr>
                <w:rFonts w:eastAsia="MS Mincho"/>
                <w:snapToGrid w:val="0"/>
                <w:kern w:val="22"/>
                <w:szCs w:val="22"/>
              </w:rPr>
              <w:t>) (</w:t>
            </w:r>
            <w:hyperlink r:id="rId301" w:history="1">
              <w:r w:rsidRPr="0088780C">
                <w:rPr>
                  <w:rStyle w:val="Hyperlink"/>
                  <w:rFonts w:eastAsia="MS Mincho"/>
                  <w:snapToGrid w:val="0"/>
                  <w:kern w:val="22"/>
                  <w:szCs w:val="22"/>
                </w:rPr>
                <w:t>www.</w:t>
              </w:r>
              <w:r w:rsidRPr="0088780C">
                <w:rPr>
                  <w:rStyle w:val="Hyperlink"/>
                  <w:rFonts w:eastAsia="MS Mincho"/>
                  <w:iCs/>
                  <w:snapToGrid w:val="0"/>
                  <w:kern w:val="22"/>
                  <w:szCs w:val="22"/>
                </w:rPr>
                <w:t>briancoad.com</w:t>
              </w:r>
            </w:hyperlink>
            <w:r w:rsidRPr="0088780C">
              <w:rPr>
                <w:rFonts w:eastAsia="MS Mincho"/>
                <w:snapToGrid w:val="0"/>
                <w:kern w:val="22"/>
                <w:szCs w:val="22"/>
              </w:rPr>
              <w:t>).</w:t>
            </w:r>
          </w:p>
        </w:tc>
      </w:tr>
      <w:tr w:rsidR="00A876F3" w:rsidRPr="0088780C" w14:paraId="6507C4A1" w14:textId="77777777" w:rsidTr="006972AD">
        <w:trPr>
          <w:jc w:val="center"/>
        </w:trPr>
        <w:tc>
          <w:tcPr>
            <w:tcW w:w="779" w:type="pct"/>
            <w:shd w:val="clear" w:color="auto" w:fill="auto"/>
          </w:tcPr>
          <w:p w14:paraId="72C8EAFA"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kern w:val="22"/>
                <w:szCs w:val="22"/>
              </w:rPr>
            </w:pPr>
            <w:r w:rsidRPr="0088780C">
              <w:rPr>
                <w:rFonts w:eastAsia="MS Mincho"/>
                <w:b/>
                <w:bCs/>
                <w:snapToGrid w:val="0"/>
                <w:kern w:val="22"/>
                <w:szCs w:val="22"/>
              </w:rPr>
              <w:t>Importance for threatened, endangered or declining species and/or habitats</w:t>
            </w:r>
          </w:p>
        </w:tc>
        <w:tc>
          <w:tcPr>
            <w:tcW w:w="2280" w:type="pct"/>
            <w:shd w:val="clear" w:color="auto" w:fill="auto"/>
          </w:tcPr>
          <w:p w14:paraId="20EB5DD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007B3BC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12B1DA4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4C0F8F1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0BF22F2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6C0BBE7C" w14:textId="77777777" w:rsidTr="006972AD">
        <w:trPr>
          <w:jc w:val="center"/>
        </w:trPr>
        <w:tc>
          <w:tcPr>
            <w:tcW w:w="5000" w:type="pct"/>
            <w:gridSpan w:val="11"/>
            <w:shd w:val="clear" w:color="auto" w:fill="auto"/>
          </w:tcPr>
          <w:p w14:paraId="760F500B"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447EA3FE"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i/>
                <w:snapToGrid w:val="0"/>
                <w:kern w:val="22"/>
                <w:szCs w:val="22"/>
              </w:rPr>
            </w:pPr>
            <w:r w:rsidRPr="0088780C">
              <w:rPr>
                <w:rFonts w:eastAsia="MS Mincho"/>
                <w:snapToGrid w:val="0"/>
                <w:color w:val="000000"/>
                <w:kern w:val="22"/>
                <w:szCs w:val="22"/>
              </w:rPr>
              <w:t xml:space="preserve">Several globally threatened bird species are known to occur in the area (BirdLife International 2017a), </w:t>
            </w:r>
            <w:r w:rsidRPr="0088780C">
              <w:rPr>
                <w:rFonts w:eastAsia="MS Mincho"/>
                <w:snapToGrid w:val="0"/>
                <w:kern w:val="22"/>
                <w:szCs w:val="22"/>
              </w:rPr>
              <w:t>such as white-headed duck (</w:t>
            </w:r>
            <w:r w:rsidRPr="0088780C">
              <w:rPr>
                <w:rFonts w:eastAsia="MS Mincho"/>
                <w:i/>
                <w:snapToGrid w:val="0"/>
                <w:kern w:val="22"/>
                <w:szCs w:val="22"/>
              </w:rPr>
              <w:t>Oxyura leucocephala)</w:t>
            </w:r>
            <w:r w:rsidRPr="0088780C">
              <w:rPr>
                <w:rFonts w:eastAsia="MS Mincho"/>
                <w:snapToGrid w:val="0"/>
                <w:kern w:val="22"/>
                <w:szCs w:val="22"/>
              </w:rPr>
              <w:t>, lesser white-fronted goose (</w:t>
            </w:r>
            <w:r w:rsidRPr="0088780C">
              <w:rPr>
                <w:rFonts w:eastAsia="MS Mincho"/>
                <w:i/>
                <w:snapToGrid w:val="0"/>
                <w:kern w:val="22"/>
                <w:szCs w:val="22"/>
              </w:rPr>
              <w:t>Anser erythropus)</w:t>
            </w:r>
            <w:r w:rsidRPr="0088780C">
              <w:rPr>
                <w:rFonts w:eastAsia="MS Mincho"/>
                <w:snapToGrid w:val="0"/>
                <w:kern w:val="22"/>
                <w:szCs w:val="22"/>
              </w:rPr>
              <w:t>, common pochard (</w:t>
            </w:r>
            <w:r w:rsidRPr="0088780C">
              <w:rPr>
                <w:rFonts w:eastAsia="MS Mincho"/>
                <w:i/>
                <w:snapToGrid w:val="0"/>
                <w:kern w:val="22"/>
                <w:szCs w:val="22"/>
              </w:rPr>
              <w:t>Aythya ferina)</w:t>
            </w:r>
            <w:r w:rsidRPr="0088780C">
              <w:rPr>
                <w:rFonts w:eastAsia="MS Mincho"/>
                <w:snapToGrid w:val="0"/>
                <w:kern w:val="22"/>
                <w:szCs w:val="22"/>
              </w:rPr>
              <w:t xml:space="preserve"> and sociable lapwing (</w:t>
            </w:r>
            <w:r w:rsidRPr="0088780C">
              <w:rPr>
                <w:rFonts w:eastAsia="MS Mincho"/>
                <w:i/>
                <w:snapToGrid w:val="0"/>
                <w:kern w:val="22"/>
                <w:szCs w:val="22"/>
              </w:rPr>
              <w:t>Vanellus gregarious)</w:t>
            </w:r>
            <w:r w:rsidRPr="0088780C">
              <w:rPr>
                <w:rFonts w:eastAsia="MS Mincho"/>
                <w:snapToGrid w:val="0"/>
                <w:color w:val="000000"/>
                <w:kern w:val="22"/>
                <w:szCs w:val="22"/>
              </w:rPr>
              <w:t>.</w:t>
            </w:r>
          </w:p>
          <w:p w14:paraId="496613A0"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snapToGrid w:val="0"/>
                <w:kern w:val="22"/>
                <w:szCs w:val="22"/>
              </w:rPr>
            </w:pPr>
            <w:r w:rsidRPr="0088780C">
              <w:rPr>
                <w:rFonts w:eastAsia="MS Mincho"/>
                <w:snapToGrid w:val="0"/>
                <w:kern w:val="22"/>
                <w:szCs w:val="22"/>
              </w:rPr>
              <w:t>This area is principal breeding ground for the declining Caspian kutum (</w:t>
            </w:r>
            <w:r w:rsidRPr="0088780C">
              <w:rPr>
                <w:rFonts w:eastAsia="MS Mincho"/>
                <w:i/>
                <w:iCs/>
                <w:snapToGrid w:val="0"/>
                <w:kern w:val="22"/>
                <w:szCs w:val="22"/>
              </w:rPr>
              <w:t>Rutilus</w:t>
            </w:r>
            <w:r w:rsidRPr="0088780C">
              <w:rPr>
                <w:rFonts w:eastAsia="MS Mincho"/>
                <w:snapToGrid w:val="0"/>
                <w:kern w:val="22"/>
                <w:szCs w:val="22"/>
              </w:rPr>
              <w:t xml:space="preserve"> </w:t>
            </w:r>
            <w:r w:rsidRPr="0088780C">
              <w:rPr>
                <w:rFonts w:eastAsia="MS Mincho"/>
                <w:i/>
                <w:iCs/>
                <w:snapToGrid w:val="0"/>
                <w:kern w:val="22"/>
                <w:szCs w:val="22"/>
              </w:rPr>
              <w:t>frisii</w:t>
            </w:r>
            <w:r w:rsidRPr="0088780C">
              <w:rPr>
                <w:rFonts w:eastAsia="MS Mincho"/>
                <w:snapToGrid w:val="0"/>
                <w:kern w:val="22"/>
                <w:szCs w:val="22"/>
              </w:rPr>
              <w:t xml:space="preserve"> </w:t>
            </w:r>
            <w:r w:rsidRPr="0088780C">
              <w:rPr>
                <w:rFonts w:eastAsia="MS Mincho"/>
                <w:i/>
                <w:iCs/>
                <w:snapToGrid w:val="0"/>
                <w:kern w:val="22"/>
                <w:szCs w:val="22"/>
              </w:rPr>
              <w:t>kutum</w:t>
            </w:r>
            <w:r w:rsidRPr="0088780C">
              <w:rPr>
                <w:rFonts w:eastAsia="MS Mincho"/>
                <w:snapToGrid w:val="0"/>
                <w:kern w:val="22"/>
                <w:szCs w:val="22"/>
              </w:rPr>
              <w:t>) (</w:t>
            </w:r>
            <w:hyperlink r:id="rId302" w:history="1">
              <w:r w:rsidRPr="0088780C">
                <w:rPr>
                  <w:rStyle w:val="Hyperlink"/>
                  <w:rFonts w:eastAsia="MS Mincho"/>
                  <w:snapToGrid w:val="0"/>
                  <w:kern w:val="22"/>
                  <w:szCs w:val="22"/>
                </w:rPr>
                <w:t>www.</w:t>
              </w:r>
              <w:r w:rsidRPr="0088780C">
                <w:rPr>
                  <w:rStyle w:val="Hyperlink"/>
                  <w:rFonts w:eastAsia="MS Mincho"/>
                  <w:iCs/>
                  <w:snapToGrid w:val="0"/>
                  <w:kern w:val="22"/>
                  <w:szCs w:val="22"/>
                </w:rPr>
                <w:t>briancoad.com</w:t>
              </w:r>
            </w:hyperlink>
            <w:r w:rsidRPr="0088780C">
              <w:rPr>
                <w:rFonts w:eastAsia="MS Mincho"/>
                <w:snapToGrid w:val="0"/>
                <w:kern w:val="22"/>
                <w:szCs w:val="22"/>
              </w:rPr>
              <w:t>).</w:t>
            </w:r>
          </w:p>
        </w:tc>
      </w:tr>
      <w:tr w:rsidR="00A876F3" w:rsidRPr="0088780C" w14:paraId="705FBEF5" w14:textId="77777777" w:rsidTr="006972AD">
        <w:trPr>
          <w:jc w:val="center"/>
        </w:trPr>
        <w:tc>
          <w:tcPr>
            <w:tcW w:w="779" w:type="pct"/>
            <w:shd w:val="clear" w:color="auto" w:fill="auto"/>
          </w:tcPr>
          <w:p w14:paraId="1997815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Vulnerability, fragility, sensitivity, or slow recovery</w:t>
            </w:r>
          </w:p>
        </w:tc>
        <w:tc>
          <w:tcPr>
            <w:tcW w:w="2280" w:type="pct"/>
            <w:shd w:val="clear" w:color="auto" w:fill="auto"/>
          </w:tcPr>
          <w:p w14:paraId="644924B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651373D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364F479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vAlign w:val="center"/>
          </w:tcPr>
          <w:p w14:paraId="1A7A087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c>
          <w:tcPr>
            <w:tcW w:w="436" w:type="pct"/>
            <w:gridSpan w:val="2"/>
            <w:shd w:val="clear" w:color="auto" w:fill="auto"/>
          </w:tcPr>
          <w:p w14:paraId="56A418F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r>
      <w:tr w:rsidR="00A876F3" w:rsidRPr="0088780C" w14:paraId="2E608C1B" w14:textId="77777777" w:rsidTr="006972AD">
        <w:trPr>
          <w:jc w:val="center"/>
        </w:trPr>
        <w:tc>
          <w:tcPr>
            <w:tcW w:w="5000" w:type="pct"/>
            <w:gridSpan w:val="11"/>
            <w:shd w:val="clear" w:color="auto" w:fill="auto"/>
          </w:tcPr>
          <w:p w14:paraId="242DB26B"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08227EA1" w14:textId="77777777" w:rsidR="00A876F3" w:rsidRPr="0088780C" w:rsidRDefault="00A876F3" w:rsidP="001013AF">
            <w:pPr>
              <w:pStyle w:val="ListParagraph"/>
              <w:suppressLineNumbers/>
              <w:suppressAutoHyphens/>
              <w:kinsoku w:val="0"/>
              <w:overflowPunct w:val="0"/>
              <w:autoSpaceDE w:val="0"/>
              <w:autoSpaceDN w:val="0"/>
              <w:ind w:left="880"/>
              <w:rPr>
                <w:snapToGrid w:val="0"/>
                <w:kern w:val="22"/>
                <w:szCs w:val="22"/>
              </w:rPr>
            </w:pPr>
            <w:r w:rsidRPr="0088780C">
              <w:rPr>
                <w:rFonts w:eastAsia="MS Mincho"/>
                <w:snapToGrid w:val="0"/>
                <w:kern w:val="22"/>
                <w:szCs w:val="22"/>
              </w:rPr>
              <w:t>The wetland is the most important wintering area in Iran for pygmy cormorant (</w:t>
            </w:r>
            <w:r w:rsidRPr="0088780C">
              <w:rPr>
                <w:rFonts w:eastAsia="MS Mincho"/>
                <w:i/>
                <w:snapToGrid w:val="0"/>
                <w:kern w:val="22"/>
                <w:szCs w:val="22"/>
              </w:rPr>
              <w:t>Phalacrocorax pygmaeus</w:t>
            </w:r>
            <w:r w:rsidRPr="0088780C">
              <w:rPr>
                <w:rFonts w:eastAsia="MS Mincho"/>
                <w:iCs/>
                <w:snapToGrid w:val="0"/>
                <w:kern w:val="22"/>
                <w:szCs w:val="22"/>
              </w:rPr>
              <w:t xml:space="preserve">) </w:t>
            </w:r>
            <w:r w:rsidRPr="0088780C">
              <w:rPr>
                <w:rFonts w:eastAsia="MS Mincho"/>
                <w:snapToGrid w:val="0"/>
                <w:kern w:val="22"/>
                <w:szCs w:val="22"/>
              </w:rPr>
              <w:t>(BirdLife International</w:t>
            </w:r>
            <w:r w:rsidRPr="0088780C">
              <w:rPr>
                <w:snapToGrid w:val="0"/>
                <w:kern w:val="22"/>
                <w:szCs w:val="22"/>
              </w:rPr>
              <w:t>, 2017a),</w:t>
            </w:r>
            <w:r w:rsidRPr="0088780C">
              <w:rPr>
                <w:rFonts w:eastAsia="MS Mincho"/>
                <w:snapToGrid w:val="0"/>
                <w:kern w:val="22"/>
                <w:szCs w:val="22"/>
              </w:rPr>
              <w:t xml:space="preserve"> and some globally threatened species occur here, such as white-headed duck (</w:t>
            </w:r>
            <w:r w:rsidRPr="0088780C">
              <w:rPr>
                <w:rFonts w:eastAsia="MS Mincho"/>
                <w:i/>
                <w:snapToGrid w:val="0"/>
                <w:kern w:val="22"/>
                <w:szCs w:val="22"/>
              </w:rPr>
              <w:t>Oxyura leucocephala</w:t>
            </w:r>
            <w:r w:rsidRPr="0088780C">
              <w:rPr>
                <w:rFonts w:eastAsia="MS Mincho"/>
                <w:iCs/>
                <w:snapToGrid w:val="0"/>
                <w:kern w:val="22"/>
                <w:szCs w:val="22"/>
              </w:rPr>
              <w:t>)</w:t>
            </w:r>
            <w:r w:rsidRPr="0088780C">
              <w:rPr>
                <w:rFonts w:eastAsia="MS Mincho"/>
                <w:snapToGrid w:val="0"/>
                <w:kern w:val="22"/>
                <w:szCs w:val="22"/>
              </w:rPr>
              <w:t>, lesser white-fronted goose (</w:t>
            </w:r>
            <w:r w:rsidRPr="0088780C">
              <w:rPr>
                <w:rFonts w:eastAsia="MS Mincho"/>
                <w:i/>
                <w:snapToGrid w:val="0"/>
                <w:kern w:val="22"/>
                <w:szCs w:val="22"/>
              </w:rPr>
              <w:t>Anser erythropus</w:t>
            </w:r>
            <w:r w:rsidRPr="0088780C">
              <w:rPr>
                <w:rFonts w:eastAsia="MS Mincho"/>
                <w:b/>
                <w:bCs/>
                <w:i/>
                <w:snapToGrid w:val="0"/>
                <w:kern w:val="22"/>
                <w:szCs w:val="22"/>
              </w:rPr>
              <w:t>)</w:t>
            </w:r>
            <w:r w:rsidRPr="0088780C">
              <w:rPr>
                <w:rFonts w:eastAsia="MS Mincho"/>
                <w:snapToGrid w:val="0"/>
                <w:kern w:val="22"/>
                <w:szCs w:val="22"/>
              </w:rPr>
              <w:t>, common pochard (</w:t>
            </w:r>
            <w:r w:rsidRPr="0088780C">
              <w:rPr>
                <w:rFonts w:eastAsia="MS Mincho"/>
                <w:i/>
                <w:iCs/>
                <w:snapToGrid w:val="0"/>
                <w:kern w:val="22"/>
                <w:szCs w:val="22"/>
              </w:rPr>
              <w:t>Ay</w:t>
            </w:r>
            <w:r w:rsidRPr="0088780C">
              <w:rPr>
                <w:rFonts w:eastAsia="MS Mincho"/>
                <w:i/>
                <w:snapToGrid w:val="0"/>
                <w:kern w:val="22"/>
                <w:szCs w:val="22"/>
              </w:rPr>
              <w:t>thya ferina</w:t>
            </w:r>
            <w:r w:rsidRPr="0088780C">
              <w:rPr>
                <w:rFonts w:eastAsia="MS Mincho"/>
                <w:iCs/>
                <w:snapToGrid w:val="0"/>
                <w:kern w:val="22"/>
                <w:szCs w:val="22"/>
              </w:rPr>
              <w:t>)</w:t>
            </w:r>
            <w:r w:rsidRPr="0088780C">
              <w:rPr>
                <w:rFonts w:eastAsia="MS Mincho"/>
                <w:i/>
                <w:snapToGrid w:val="0"/>
                <w:kern w:val="22"/>
                <w:szCs w:val="22"/>
              </w:rPr>
              <w:t xml:space="preserve"> </w:t>
            </w:r>
            <w:r w:rsidRPr="0088780C">
              <w:rPr>
                <w:rFonts w:eastAsia="MS Mincho"/>
                <w:snapToGrid w:val="0"/>
                <w:kern w:val="22"/>
                <w:szCs w:val="22"/>
              </w:rPr>
              <w:t>and sociable lapwing (</w:t>
            </w:r>
            <w:r w:rsidRPr="0088780C">
              <w:rPr>
                <w:rFonts w:eastAsia="MS Mincho"/>
                <w:i/>
                <w:snapToGrid w:val="0"/>
                <w:kern w:val="22"/>
                <w:szCs w:val="22"/>
              </w:rPr>
              <w:t>Vanellus gregarious</w:t>
            </w:r>
            <w:r w:rsidRPr="0088780C">
              <w:rPr>
                <w:rFonts w:eastAsia="MS Mincho"/>
                <w:iCs/>
                <w:snapToGrid w:val="0"/>
                <w:kern w:val="22"/>
                <w:szCs w:val="22"/>
              </w:rPr>
              <w:t>)</w:t>
            </w:r>
            <w:r w:rsidRPr="0088780C">
              <w:rPr>
                <w:rFonts w:eastAsia="MS Mincho"/>
                <w:snapToGrid w:val="0"/>
                <w:kern w:val="22"/>
                <w:szCs w:val="22"/>
              </w:rPr>
              <w:t xml:space="preserve"> (</w:t>
            </w:r>
            <w:r w:rsidRPr="0088780C">
              <w:rPr>
                <w:rFonts w:eastAsia="MS Mincho"/>
                <w:bCs/>
                <w:iCs/>
                <w:snapToGrid w:val="0"/>
                <w:kern w:val="22"/>
                <w:szCs w:val="22"/>
              </w:rPr>
              <w:t>Khaleghizadeh 2000).</w:t>
            </w:r>
          </w:p>
        </w:tc>
      </w:tr>
      <w:tr w:rsidR="00A876F3" w:rsidRPr="0088780C" w14:paraId="438EF0C4" w14:textId="77777777" w:rsidTr="006972AD">
        <w:trPr>
          <w:jc w:val="center"/>
        </w:trPr>
        <w:tc>
          <w:tcPr>
            <w:tcW w:w="779" w:type="pct"/>
            <w:shd w:val="clear" w:color="auto" w:fill="auto"/>
          </w:tcPr>
          <w:p w14:paraId="48EBA25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Biological productivity</w:t>
            </w:r>
          </w:p>
        </w:tc>
        <w:tc>
          <w:tcPr>
            <w:tcW w:w="2280" w:type="pct"/>
            <w:shd w:val="clear" w:color="auto" w:fill="auto"/>
          </w:tcPr>
          <w:p w14:paraId="12BF450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containing species, populations or communities with comparatively higher natural biological productivity.</w:t>
            </w:r>
          </w:p>
        </w:tc>
        <w:tc>
          <w:tcPr>
            <w:tcW w:w="684" w:type="pct"/>
            <w:gridSpan w:val="3"/>
            <w:shd w:val="clear" w:color="auto" w:fill="auto"/>
            <w:vAlign w:val="center"/>
          </w:tcPr>
          <w:p w14:paraId="4EC83FE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7348BF1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c>
          <w:tcPr>
            <w:tcW w:w="411" w:type="pct"/>
            <w:gridSpan w:val="2"/>
            <w:shd w:val="clear" w:color="auto" w:fill="auto"/>
            <w:vAlign w:val="center"/>
          </w:tcPr>
          <w:p w14:paraId="48D788F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tcPr>
          <w:p w14:paraId="0FAEE4D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r>
      <w:tr w:rsidR="00A876F3" w:rsidRPr="0088780C" w14:paraId="79453842" w14:textId="77777777" w:rsidTr="006972AD">
        <w:trPr>
          <w:jc w:val="center"/>
        </w:trPr>
        <w:tc>
          <w:tcPr>
            <w:tcW w:w="5000" w:type="pct"/>
            <w:gridSpan w:val="11"/>
            <w:shd w:val="clear" w:color="auto" w:fill="auto"/>
          </w:tcPr>
          <w:p w14:paraId="5DB75A0E"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5E06B688" w14:textId="77777777" w:rsidR="00A876F3" w:rsidRPr="0088780C" w:rsidRDefault="00A876F3" w:rsidP="001013AF">
            <w:pPr>
              <w:pStyle w:val="ListParagraph"/>
              <w:numPr>
                <w:ilvl w:val="0"/>
                <w:numId w:val="22"/>
              </w:numPr>
              <w:suppressLineNumbers/>
              <w:suppressAutoHyphens/>
              <w:kinsoku w:val="0"/>
              <w:overflowPunct w:val="0"/>
              <w:autoSpaceDE w:val="0"/>
              <w:autoSpaceDN w:val="0"/>
              <w:ind w:leftChars="0" w:left="360"/>
              <w:contextualSpacing/>
              <w:jc w:val="left"/>
              <w:rPr>
                <w:rFonts w:eastAsia="MS Mincho"/>
                <w:iCs/>
                <w:snapToGrid w:val="0"/>
                <w:kern w:val="22"/>
                <w:szCs w:val="22"/>
              </w:rPr>
            </w:pPr>
            <w:r w:rsidRPr="0088780C">
              <w:rPr>
                <w:rFonts w:eastAsia="MS Mincho"/>
                <w:iCs/>
                <w:snapToGrid w:val="0"/>
                <w:kern w:val="22"/>
                <w:szCs w:val="22"/>
              </w:rPr>
              <w:t>Anzali wetlands complex has a low phytoplankton production and very low biomass of both zooplankton and macrozoobenthos (Holchík, J. and Oláh, J., 1992)</w:t>
            </w:r>
          </w:p>
          <w:p w14:paraId="42956B61"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c>
      </w:tr>
      <w:tr w:rsidR="00A876F3" w:rsidRPr="0088780C" w14:paraId="5350B299" w14:textId="77777777" w:rsidTr="001013AF">
        <w:trPr>
          <w:cantSplit/>
          <w:jc w:val="center"/>
        </w:trPr>
        <w:tc>
          <w:tcPr>
            <w:tcW w:w="779" w:type="pct"/>
            <w:shd w:val="clear" w:color="auto" w:fill="auto"/>
          </w:tcPr>
          <w:p w14:paraId="6F8C3BE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Biological diversity</w:t>
            </w:r>
          </w:p>
        </w:tc>
        <w:tc>
          <w:tcPr>
            <w:tcW w:w="2280" w:type="pct"/>
            <w:shd w:val="clear" w:color="auto" w:fill="auto"/>
          </w:tcPr>
          <w:p w14:paraId="71E202F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kern w:val="22"/>
                <w:szCs w:val="22"/>
              </w:rPr>
              <w:t>Area contains comparatively higher diversity of ecosystems, habitats, communities, or species, or has higher genetic diversity.</w:t>
            </w:r>
          </w:p>
        </w:tc>
        <w:tc>
          <w:tcPr>
            <w:tcW w:w="684" w:type="pct"/>
            <w:gridSpan w:val="3"/>
            <w:shd w:val="clear" w:color="auto" w:fill="auto"/>
          </w:tcPr>
          <w:p w14:paraId="0698FB6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0" w:type="pct"/>
            <w:gridSpan w:val="2"/>
            <w:shd w:val="clear" w:color="auto" w:fill="auto"/>
          </w:tcPr>
          <w:p w14:paraId="35F0618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11" w:type="pct"/>
            <w:gridSpan w:val="2"/>
            <w:shd w:val="clear" w:color="auto" w:fill="auto"/>
          </w:tcPr>
          <w:p w14:paraId="61DA2EB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p>
        </w:tc>
        <w:tc>
          <w:tcPr>
            <w:tcW w:w="436" w:type="pct"/>
            <w:gridSpan w:val="2"/>
            <w:shd w:val="clear" w:color="auto" w:fill="auto"/>
            <w:vAlign w:val="center"/>
          </w:tcPr>
          <w:p w14:paraId="0A3FF96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rPr>
            </w:pPr>
            <w:r w:rsidRPr="0088780C">
              <w:rPr>
                <w:rFonts w:eastAsia="MS Mincho"/>
                <w:bCs/>
                <w:snapToGrid w:val="0"/>
                <w:kern w:val="22"/>
                <w:szCs w:val="22"/>
              </w:rPr>
              <w:t>X</w:t>
            </w:r>
          </w:p>
        </w:tc>
      </w:tr>
      <w:tr w:rsidR="00A876F3" w:rsidRPr="0088780C" w14:paraId="60CFF460" w14:textId="77777777" w:rsidTr="006972AD">
        <w:trPr>
          <w:jc w:val="center"/>
        </w:trPr>
        <w:tc>
          <w:tcPr>
            <w:tcW w:w="5000" w:type="pct"/>
            <w:gridSpan w:val="11"/>
            <w:shd w:val="clear" w:color="auto" w:fill="auto"/>
          </w:tcPr>
          <w:p w14:paraId="59E075EA"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13188626"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snapToGrid w:val="0"/>
                <w:kern w:val="22"/>
                <w:szCs w:val="22"/>
              </w:rPr>
            </w:pPr>
            <w:r w:rsidRPr="0088780C">
              <w:rPr>
                <w:rFonts w:eastAsia="MS Mincho"/>
                <w:snapToGrid w:val="0"/>
                <w:kern w:val="22"/>
                <w:szCs w:val="22"/>
              </w:rPr>
              <w:t>Wide range of habitats from brackish waters of Caspian Sea to freshwater and estuarine ecosystems</w:t>
            </w:r>
          </w:p>
          <w:p w14:paraId="2EDF281D"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snapToGrid w:val="0"/>
                <w:kern w:val="22"/>
                <w:szCs w:val="22"/>
              </w:rPr>
            </w:pPr>
            <w:r w:rsidRPr="0088780C">
              <w:rPr>
                <w:rFonts w:eastAsia="MS Mincho"/>
                <w:snapToGrid w:val="0"/>
                <w:kern w:val="22"/>
                <w:szCs w:val="22"/>
              </w:rPr>
              <w:t>Anzali Wetlands Complex supports a diverse wetland flora; at least 26 aquatic plants have been recorded (</w:t>
            </w:r>
            <w:r w:rsidRPr="0088780C">
              <w:rPr>
                <w:rFonts w:eastAsia="MS Mincho"/>
                <w:iCs/>
                <w:snapToGrid w:val="0"/>
                <w:kern w:val="22"/>
                <w:szCs w:val="22"/>
              </w:rPr>
              <w:t>Khaleghizadeh 2000</w:t>
            </w:r>
            <w:r w:rsidRPr="0088780C">
              <w:rPr>
                <w:rFonts w:eastAsia="MS Mincho"/>
                <w:snapToGrid w:val="0"/>
                <w:kern w:val="22"/>
                <w:szCs w:val="22"/>
              </w:rPr>
              <w:t>; Scott, 1995)</w:t>
            </w:r>
          </w:p>
          <w:p w14:paraId="42129EE0"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snapToGrid w:val="0"/>
                <w:kern w:val="22"/>
                <w:szCs w:val="22"/>
              </w:rPr>
            </w:pPr>
            <w:r w:rsidRPr="0088780C">
              <w:rPr>
                <w:rFonts w:eastAsia="MS Mincho"/>
                <w:snapToGrid w:val="0"/>
                <w:kern w:val="22"/>
                <w:szCs w:val="22"/>
              </w:rPr>
              <w:t xml:space="preserve">More than 100,000 waterbirds have been recorded here, and a total of 266 bird species </w:t>
            </w:r>
          </w:p>
          <w:p w14:paraId="5F65D602"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snapToGrid w:val="0"/>
                <w:kern w:val="22"/>
                <w:szCs w:val="22"/>
              </w:rPr>
            </w:pPr>
            <w:r w:rsidRPr="0088780C">
              <w:rPr>
                <w:rFonts w:eastAsia="MS Mincho"/>
                <w:snapToGrid w:val="0"/>
                <w:kern w:val="22"/>
                <w:szCs w:val="22"/>
              </w:rPr>
              <w:t>At least 34 fish species (80% of south Caspian fauna) has been recorded in Anzali wetlands</w:t>
            </w:r>
          </w:p>
        </w:tc>
      </w:tr>
      <w:tr w:rsidR="00A876F3" w:rsidRPr="0088780C" w14:paraId="51F23313" w14:textId="77777777" w:rsidTr="006972AD">
        <w:trPr>
          <w:jc w:val="center"/>
        </w:trPr>
        <w:tc>
          <w:tcPr>
            <w:tcW w:w="783" w:type="pct"/>
            <w:shd w:val="clear" w:color="auto" w:fill="auto"/>
          </w:tcPr>
          <w:p w14:paraId="24DEE510"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kern w:val="22"/>
                <w:szCs w:val="22"/>
              </w:rPr>
            </w:pPr>
            <w:r w:rsidRPr="0088780C">
              <w:rPr>
                <w:rFonts w:eastAsia="MS Mincho"/>
                <w:b/>
                <w:snapToGrid w:val="0"/>
                <w:kern w:val="22"/>
                <w:szCs w:val="22"/>
              </w:rPr>
              <w:t>Naturalness</w:t>
            </w:r>
          </w:p>
        </w:tc>
        <w:tc>
          <w:tcPr>
            <w:tcW w:w="2295" w:type="pct"/>
            <w:gridSpan w:val="2"/>
            <w:shd w:val="clear" w:color="auto" w:fill="auto"/>
          </w:tcPr>
          <w:p w14:paraId="160656A7"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r w:rsidRPr="0088780C">
              <w:rPr>
                <w:rFonts w:eastAsia="MS Mincho"/>
                <w:snapToGrid w:val="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0C37153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c>
        <w:tc>
          <w:tcPr>
            <w:tcW w:w="453" w:type="pct"/>
            <w:gridSpan w:val="2"/>
            <w:shd w:val="clear" w:color="auto" w:fill="auto"/>
            <w:vAlign w:val="center"/>
          </w:tcPr>
          <w:p w14:paraId="3835C2F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kern w:val="22"/>
                <w:szCs w:val="22"/>
              </w:rPr>
            </w:pPr>
            <w:r w:rsidRPr="0088780C">
              <w:rPr>
                <w:rFonts w:eastAsia="MS Mincho"/>
                <w:bCs/>
                <w:snapToGrid w:val="0"/>
                <w:kern w:val="22"/>
                <w:szCs w:val="22"/>
              </w:rPr>
              <w:t>X</w:t>
            </w:r>
          </w:p>
        </w:tc>
        <w:tc>
          <w:tcPr>
            <w:tcW w:w="400" w:type="pct"/>
            <w:gridSpan w:val="2"/>
            <w:shd w:val="clear" w:color="auto" w:fill="auto"/>
            <w:vAlign w:val="center"/>
          </w:tcPr>
          <w:p w14:paraId="01843082"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c>
        <w:tc>
          <w:tcPr>
            <w:tcW w:w="385" w:type="pct"/>
            <w:shd w:val="clear" w:color="auto" w:fill="auto"/>
            <w:vAlign w:val="center"/>
          </w:tcPr>
          <w:p w14:paraId="47458AF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rPr>
            </w:pPr>
          </w:p>
        </w:tc>
      </w:tr>
      <w:tr w:rsidR="00A876F3" w:rsidRPr="0088780C" w14:paraId="7C5D52E0" w14:textId="77777777" w:rsidTr="006972AD">
        <w:trPr>
          <w:jc w:val="center"/>
        </w:trPr>
        <w:tc>
          <w:tcPr>
            <w:tcW w:w="5000" w:type="pct"/>
            <w:gridSpan w:val="11"/>
            <w:shd w:val="clear" w:color="auto" w:fill="auto"/>
          </w:tcPr>
          <w:p w14:paraId="539E4E6C" w14:textId="77777777" w:rsidR="00A876F3" w:rsidRPr="0088780C" w:rsidRDefault="00A876F3" w:rsidP="001013AF">
            <w:pPr>
              <w:suppressLineNumbers/>
              <w:suppressAutoHyphens/>
              <w:kinsoku w:val="0"/>
              <w:overflowPunct w:val="0"/>
              <w:autoSpaceDE w:val="0"/>
              <w:autoSpaceDN w:val="0"/>
              <w:rPr>
                <w:rFonts w:eastAsia="MS Mincho"/>
                <w:i/>
                <w:iCs/>
                <w:snapToGrid w:val="0"/>
                <w:kern w:val="22"/>
                <w:szCs w:val="22"/>
              </w:rPr>
            </w:pPr>
            <w:r w:rsidRPr="0088780C">
              <w:rPr>
                <w:rFonts w:eastAsia="MS Mincho"/>
                <w:i/>
                <w:iCs/>
                <w:snapToGrid w:val="0"/>
                <w:kern w:val="22"/>
                <w:szCs w:val="22"/>
              </w:rPr>
              <w:t>Explanation for ranking</w:t>
            </w:r>
          </w:p>
          <w:p w14:paraId="7B335C00" w14:textId="77777777" w:rsidR="00A876F3" w:rsidRPr="0088780C" w:rsidRDefault="00A876F3" w:rsidP="001013AF">
            <w:pPr>
              <w:pStyle w:val="ListParagraph"/>
              <w:numPr>
                <w:ilvl w:val="0"/>
                <w:numId w:val="22"/>
              </w:numPr>
              <w:suppressLineNumbers/>
              <w:suppressAutoHyphens/>
              <w:kinsoku w:val="0"/>
              <w:overflowPunct w:val="0"/>
              <w:autoSpaceDE w:val="0"/>
              <w:autoSpaceDN w:val="0"/>
              <w:adjustRightInd w:val="0"/>
              <w:ind w:leftChars="0" w:left="360"/>
              <w:contextualSpacing/>
              <w:jc w:val="left"/>
              <w:rPr>
                <w:rFonts w:eastAsia="MS Mincho"/>
                <w:iCs/>
                <w:snapToGrid w:val="0"/>
                <w:kern w:val="22"/>
                <w:szCs w:val="22"/>
              </w:rPr>
            </w:pPr>
            <w:r w:rsidRPr="0088780C">
              <w:rPr>
                <w:rFonts w:eastAsia="MS Mincho"/>
                <w:iCs/>
                <w:snapToGrid w:val="0"/>
                <w:kern w:val="22"/>
                <w:szCs w:val="22"/>
              </w:rPr>
              <w:t>The surrounding area is heavily populated with several direct and indirect human disturbances.</w:t>
            </w:r>
          </w:p>
        </w:tc>
      </w:tr>
    </w:tbl>
    <w:p w14:paraId="2341445A"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19E7F69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References</w:t>
      </w:r>
    </w:p>
    <w:p w14:paraId="72EC5DD7"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p>
    <w:p w14:paraId="70D8F085"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Abdolhay, H. (2004). Sturgeon Stocking Programme in the Caspian Sea with Emphasis on Iran.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FAO Fisheries Technical Paper</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429</w:t>
      </w:r>
      <w:r w:rsidRPr="0088780C">
        <w:rPr>
          <w:snapToGrid w:val="0"/>
          <w:kern w:val="22"/>
          <w:szCs w:val="22"/>
          <w:shd w:val="clear" w:color="auto" w:fill="FFFFFF"/>
        </w:rPr>
        <w:t>, 133.</w:t>
      </w:r>
    </w:p>
    <w:p w14:paraId="4D90226A"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 xml:space="preserve">Abdoli, A. and Naderi, M. (2009). Biodiversity of Fishes of the Southern Basin of the Caspian Sea. Abzian Scientific Publications, Tehran. 243 pp. [In Farsi </w:t>
      </w:r>
      <w:r w:rsidRPr="0088780C">
        <w:rPr>
          <w:rFonts w:eastAsia="MS Mincho"/>
          <w:snapToGrid w:val="0"/>
          <w:kern w:val="22"/>
          <w:szCs w:val="22"/>
        </w:rPr>
        <w:t>language</w:t>
      </w:r>
      <w:r w:rsidRPr="0088780C">
        <w:rPr>
          <w:snapToGrid w:val="0"/>
          <w:kern w:val="22"/>
          <w:szCs w:val="22"/>
          <w:shd w:val="clear" w:color="auto" w:fill="FFFFFF"/>
        </w:rPr>
        <w:t>].</w:t>
      </w:r>
    </w:p>
    <w:p w14:paraId="2D851F57"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 xml:space="preserve">Afraei, M. A., Safari, R., &amp; Salmani, A. (2006). Distribution and density of juvenile Acipenser persicus at the lower 10 meter depth of the southern Caspian Sea. </w:t>
      </w:r>
      <w:r w:rsidRPr="0088780C">
        <w:rPr>
          <w:rFonts w:eastAsia="MS Mincho"/>
          <w:i/>
          <w:iCs/>
          <w:snapToGrid w:val="0"/>
          <w:kern w:val="22"/>
          <w:szCs w:val="22"/>
        </w:rPr>
        <w:t>Journal of Applied Ichthyology</w:t>
      </w:r>
      <w:r w:rsidRPr="0088780C">
        <w:rPr>
          <w:rFonts w:eastAsia="MS Mincho"/>
          <w:snapToGrid w:val="0"/>
          <w:kern w:val="22"/>
          <w:szCs w:val="22"/>
        </w:rPr>
        <w:t>, 22(s1), 108-110.</w:t>
      </w:r>
    </w:p>
    <w:p w14:paraId="6710167C"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color w:val="222222"/>
          <w:kern w:val="22"/>
          <w:szCs w:val="22"/>
          <w:shd w:val="clear" w:color="auto" w:fill="FFFFFF"/>
        </w:rPr>
      </w:pPr>
      <w:r w:rsidRPr="0088780C">
        <w:rPr>
          <w:snapToGrid w:val="0"/>
          <w:color w:val="222222"/>
          <w:kern w:val="22"/>
          <w:szCs w:val="22"/>
          <w:shd w:val="clear" w:color="auto" w:fill="FFFFFF"/>
        </w:rPr>
        <w:t>Amini, H., &amp; Sehhatisabet, M. E. (2007). Wintering populations of swans in Iran.</w:t>
      </w:r>
      <w:r w:rsidRPr="0088780C">
        <w:rPr>
          <w:rStyle w:val="apple-converted-space"/>
          <w:snapToGrid w:val="0"/>
          <w:color w:val="222222"/>
          <w:kern w:val="22"/>
          <w:szCs w:val="22"/>
          <w:shd w:val="clear" w:color="auto" w:fill="FFFFFF"/>
        </w:rPr>
        <w:t> </w:t>
      </w:r>
      <w:r w:rsidRPr="0088780C">
        <w:rPr>
          <w:i/>
          <w:iCs/>
          <w:snapToGrid w:val="0"/>
          <w:color w:val="222222"/>
          <w:kern w:val="22"/>
          <w:szCs w:val="22"/>
          <w:shd w:val="clear" w:color="auto" w:fill="FFFFFF"/>
        </w:rPr>
        <w:t>J. Podoces</w:t>
      </w:r>
      <w:r w:rsidRPr="0088780C">
        <w:rPr>
          <w:snapToGrid w:val="0"/>
          <w:color w:val="222222"/>
          <w:kern w:val="22"/>
          <w:szCs w:val="22"/>
          <w:shd w:val="clear" w:color="auto" w:fill="FFFFFF"/>
        </w:rPr>
        <w:t>,</w:t>
      </w:r>
      <w:r w:rsidRPr="0088780C">
        <w:rPr>
          <w:rStyle w:val="apple-converted-space"/>
          <w:snapToGrid w:val="0"/>
          <w:color w:val="222222"/>
          <w:kern w:val="22"/>
          <w:szCs w:val="22"/>
          <w:shd w:val="clear" w:color="auto" w:fill="FFFFFF"/>
        </w:rPr>
        <w:t> </w:t>
      </w:r>
      <w:r w:rsidRPr="0088780C">
        <w:rPr>
          <w:i/>
          <w:iCs/>
          <w:snapToGrid w:val="0"/>
          <w:color w:val="222222"/>
          <w:kern w:val="22"/>
          <w:szCs w:val="22"/>
          <w:shd w:val="clear" w:color="auto" w:fill="FFFFFF"/>
        </w:rPr>
        <w:t>2</w:t>
      </w:r>
      <w:r w:rsidRPr="0088780C">
        <w:rPr>
          <w:snapToGrid w:val="0"/>
          <w:color w:val="222222"/>
          <w:kern w:val="22"/>
          <w:szCs w:val="22"/>
          <w:shd w:val="clear" w:color="auto" w:fill="FFFFFF"/>
        </w:rPr>
        <w:t>(2), 113-121.</w:t>
      </w:r>
    </w:p>
    <w:p w14:paraId="6F3B70A1"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Amini H. &amp; van Roomen, M. (eds.) (2009). Waterbirds in Iran, January 2009. Results of a mid-winter count in the provinces of Gilan, Mazanderan, Golestan, Fars, Khuzestan, Bushehr, Hormozgan &amp; Sistan-Baluchistan. Department of Environment, Islamic Republic of Iran &amp; Foundation Working Group International Waterbird and Wetland Research, The Netherlands.</w:t>
      </w:r>
    </w:p>
    <w:p w14:paraId="565CCBAB"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Amini H. &amp; Willems, F. J. (2008). Waterbirds in Iran. Results of a mid-winter count in the provinces of West Azarbayjan, Gilan, Mazanderan, Golestan, Sistan-Baluchistan, Hormozgan, Fars, Bushehr &amp; Khuzestan of the Islamic Republic of Iran, January 2007. Department of Environment, Islamic Republic of Iran.</w:t>
      </w:r>
    </w:p>
    <w:p w14:paraId="40FE50A3"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Asadullayeva, E.; Alekperov, I., (2007). Free-living ciliates of the Anzali Wetland of the Caspian Sea, Turkish Journal Zoology., 31, 143–149.</w:t>
      </w:r>
    </w:p>
    <w:p w14:paraId="77685E2B"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b/>
          <w:bCs/>
          <w:snapToGrid w:val="0"/>
          <w:kern w:val="22"/>
          <w:szCs w:val="22"/>
        </w:rPr>
      </w:pPr>
      <w:r w:rsidRPr="0088780C">
        <w:rPr>
          <w:rFonts w:eastAsia="MS Mincho"/>
          <w:bCs/>
          <w:snapToGrid w:val="0"/>
          <w:kern w:val="22"/>
          <w:szCs w:val="22"/>
        </w:rPr>
        <w:t>Ashoori, Abbas &amp; Moradi Hossien, Varasteh. (2015). Diversity of Wintering Waterfowls and Waders in Anzali Wetland, Iran. Journal of Wetland Ecobiology. 3. 55-66 (In Farsi).</w:t>
      </w:r>
      <w:r w:rsidRPr="0088780C">
        <w:rPr>
          <w:rFonts w:eastAsia="MS Mincho"/>
          <w:snapToGrid w:val="0"/>
          <w:kern w:val="22"/>
          <w:szCs w:val="22"/>
        </w:rPr>
        <w:t xml:space="preserve"> Available from: https://www.researchgate.net/publication/275954086_Diversity_of_Wintering_Waterfowls_and_Waders_in_Anzali_Wetland_Iran [accessed Apr 28, 2017].</w:t>
      </w:r>
    </w:p>
    <w:p w14:paraId="79F19978"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Bakhshalizadeh, S., Bani, A., Abdolmalaki, S., Nahrevar, R., &amp; Rastin, R. (2011). Age, growth and mortality of the Persian Sturgeon, Acipenser persicus, in the Iranian waters of the Caspian Sea.</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Caspian Journal of Environmental Sciences</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9</w:t>
      </w:r>
      <w:r w:rsidRPr="0088780C">
        <w:rPr>
          <w:snapToGrid w:val="0"/>
          <w:kern w:val="22"/>
          <w:szCs w:val="22"/>
          <w:shd w:val="clear" w:color="auto" w:fill="FFFFFF"/>
        </w:rPr>
        <w:t>(2), 159-167.</w:t>
      </w:r>
    </w:p>
    <w:p w14:paraId="4499888E"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Basatnia, N., Hosseini, S. A., &amp; Khaledian, Y. (No Date). Spatial changes in organic matter content in benthic sediment of Gomishan wetland, northern Iran.</w:t>
      </w:r>
    </w:p>
    <w:p w14:paraId="51188215"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Bastami, K. D., Bagheri, H., Haghparast, S., Soltani, F., Hamzehpoor, A., &amp; Bastami, M. D. (2012). Geochemical and geo-statistical assessment of selected heavy metals in the surface sediments of the Gorgan Bay, Iran.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Marine pollution bulletin</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64</w:t>
      </w:r>
      <w:r w:rsidRPr="0088780C">
        <w:rPr>
          <w:snapToGrid w:val="0"/>
          <w:kern w:val="22"/>
          <w:szCs w:val="22"/>
          <w:shd w:val="clear" w:color="auto" w:fill="FFFFFF"/>
        </w:rPr>
        <w:t>(12), 2877-2884.</w:t>
      </w:r>
    </w:p>
    <w:p w14:paraId="344338F2"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Behrouzi-Rad, B. &amp; Ghaeimi, R. (2015). Changes in the Population of Wintering Waterbirds in Gomishan Wetland at Caspian Sea Coast, Iran, International Journal of Marine Science, Vol.5, No.13 1-7.</w:t>
      </w:r>
    </w:p>
    <w:p w14:paraId="11EC632D"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BirdLife International, 2017a. Important Bird Areas factsheet: Anzali Mordab complex. Downloaded from </w:t>
      </w:r>
      <w:hyperlink r:id="rId303" w:history="1">
        <w:r w:rsidRPr="0088780C">
          <w:rPr>
            <w:rStyle w:val="Hyperlink"/>
            <w:snapToGrid w:val="0"/>
            <w:kern w:val="22"/>
            <w:szCs w:val="22"/>
          </w:rPr>
          <w:t>http://datazone.birdlife.org/site/factsheet/anzali-mordab-complex-iba-iran-islamic-republic-of/details</w:t>
        </w:r>
      </w:hyperlink>
      <w:r w:rsidRPr="0088780C">
        <w:rPr>
          <w:snapToGrid w:val="0"/>
          <w:kern w:val="22"/>
          <w:szCs w:val="22"/>
        </w:rPr>
        <w:t xml:space="preserve"> on 27/04/2017.</w:t>
      </w:r>
    </w:p>
    <w:p w14:paraId="34A55EDC"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 xml:space="preserve">BirdLife International 2017b. IUCN Red List for Birds. Downloaded from </w:t>
      </w:r>
      <w:hyperlink r:id="rId304" w:history="1">
        <w:r w:rsidRPr="0088780C">
          <w:rPr>
            <w:rStyle w:val="Hyperlink"/>
            <w:snapToGrid w:val="0"/>
            <w:kern w:val="22"/>
            <w:szCs w:val="22"/>
          </w:rPr>
          <w:t>http://www.birdlife.org</w:t>
        </w:r>
      </w:hyperlink>
      <w:r w:rsidRPr="0088780C">
        <w:rPr>
          <w:snapToGrid w:val="0"/>
          <w:kern w:val="22"/>
          <w:szCs w:val="22"/>
        </w:rPr>
        <w:t xml:space="preserve"> on 27/04/2017.</w:t>
      </w:r>
    </w:p>
    <w:p w14:paraId="4734E986"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snapToGrid w:val="0"/>
          <w:kern w:val="22"/>
          <w:szCs w:val="22"/>
          <w:shd w:val="clear" w:color="auto" w:fill="FFFFFF"/>
        </w:rPr>
        <w:t>Billard, R., &amp; Lecointre, G. (2000). Biology and conservation of sturgeon and paddlefish.</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Reviews in Fish Biology and Fisheries</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10</w:t>
      </w:r>
      <w:r w:rsidRPr="0088780C">
        <w:rPr>
          <w:snapToGrid w:val="0"/>
          <w:kern w:val="22"/>
          <w:szCs w:val="22"/>
          <w:shd w:val="clear" w:color="auto" w:fill="FFFFFF"/>
        </w:rPr>
        <w:t>(4), 355-392.</w:t>
      </w:r>
    </w:p>
    <w:p w14:paraId="53EF9E15"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Carp, E. (Ed.). (1980). Directory of Wetlands of International Importance in the Western Palearctic. IUCN.</w:t>
      </w:r>
    </w:p>
    <w:p w14:paraId="2A9074C1"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CaspEco (2011). CaspEco Project. Seal Special Protected Network (SSPA). Final Report. University of Leeds.</w:t>
      </w:r>
    </w:p>
    <w:p w14:paraId="02DBE3E3"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CEP (1998a). Regional Action Plan for Protection of Caspian Habitats. Caspian Environment Programme, Baku, Azerbaijan.</w:t>
      </w:r>
    </w:p>
    <w:p w14:paraId="48C231CA"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CEP (1998b). National Report, Iran. Caspian Environment Programme, Baku, Azerbaijan.</w:t>
      </w:r>
    </w:p>
    <w:p w14:paraId="5CFCE04F"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CEP (2010). Caspeco Project Component I – Creation of Special Protected Areas for the Caspian Seal.</w:t>
      </w:r>
    </w:p>
    <w:p w14:paraId="6C3623F1"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Danehkar A., Majnoonian, H. (2004a). Conservation ranking of coastal areas in Iran Case study: Ranking of critical habitats in the southern part of the Caspian Sea. 6th International Conference on Coasts, Ports and Marine Structures (ICOPMAS 2004). 29-3 Dec 2004 [in Persian language with English abstract].</w:t>
      </w:r>
    </w:p>
    <w:p w14:paraId="740DCE4E"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Danehkar A., Majnoonian, H. (2004b). Protective Ranking of Coastal Regions Case Study: Gradation of Coastal Habitats in Caspian Sea. 6th International Conference on Coasts, Ports and Marine Structures (ICOPMAS 2004). 29-3 Dec 2004 [in Farsi language with English abstract].</w:t>
      </w:r>
    </w:p>
    <w:p w14:paraId="50B08CFB"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Danehkar, A. (2002). Sea sensitive areas of Iran and View of Development. 5</w:t>
      </w:r>
      <w:r w:rsidRPr="0088780C">
        <w:rPr>
          <w:rFonts w:eastAsia="MS Mincho"/>
          <w:snapToGrid w:val="0"/>
          <w:kern w:val="22"/>
          <w:szCs w:val="22"/>
          <w:vertAlign w:val="superscript"/>
        </w:rPr>
        <w:t>th</w:t>
      </w:r>
      <w:r w:rsidRPr="0088780C">
        <w:rPr>
          <w:rFonts w:eastAsia="MS Mincho"/>
          <w:snapToGrid w:val="0"/>
          <w:kern w:val="22"/>
          <w:szCs w:val="22"/>
        </w:rPr>
        <w:t xml:space="preserve"> International Conference on Coasts, Ports and Marine Structures (ICOPMAS 2002). 14-17 October 2002 [in Farsi language].</w:t>
      </w:r>
    </w:p>
    <w:p w14:paraId="201D62C3"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van Diek H., Felix R., Hornman M., Meininger P., Willems F. &amp; Zekhuis M. (2004). Bird counting in Iran in January 2004. Dutch Birding 26: 287–296.</w:t>
      </w:r>
    </w:p>
    <w:p w14:paraId="226283B2"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Evans, M.I. (ed). (1994). Important Bird Areas in the Middle East. Cambridge, UK: BirdLife International.</w:t>
      </w:r>
    </w:p>
    <w:p w14:paraId="386307A0"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Eybatov, T. M. (2015). Status Report for Seismic Project SWAP. Appendix 5A. Caspian Seals Report. Zardabi Natural History Museum.</w:t>
      </w:r>
    </w:p>
    <w:p w14:paraId="4A28554C"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Fet, V., &amp; Atamuradov, K. (Eds.) (2012). Biogeography and ecology of Turkmenistan (Vol. 72). Springer.</w:t>
      </w:r>
    </w:p>
    <w:p w14:paraId="085D2C17"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Gandomi, Y., Shadi, A., &amp; Savari, A. (2011). Classification of Gomishan Lagoon (Caspian Sea, Iran) by using the coastal and marine ecological classification standard (CMECS).</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Middle-East J. Sci. Res</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8</w:t>
      </w:r>
      <w:r w:rsidRPr="0088780C">
        <w:rPr>
          <w:snapToGrid w:val="0"/>
          <w:kern w:val="22"/>
          <w:szCs w:val="22"/>
          <w:shd w:val="clear" w:color="auto" w:fill="FFFFFF"/>
        </w:rPr>
        <w:t>(3), 611-615.</w:t>
      </w:r>
    </w:p>
    <w:p w14:paraId="79711BE9"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Gharib M. (2006). Studies of Miankaleh Peninsula Water Resources, Geology and Geomorphology. Ministry of Energy [in Farsi language].</w:t>
      </w:r>
    </w:p>
    <w:p w14:paraId="0348A446"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Ghorbanzadeh Zaferani, S. Gh., Machinchian Moradi, A., Mousavi Nadushan, R., Sari, A. R., &amp; Fatemi, S. M. R. (2017). Spatial and temporal patterns of benthic macrofauna in Gorgan Bay, south Caspian Sea, Iran.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Iranian Journal of Fisheries Sciences</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16</w:t>
      </w:r>
      <w:r w:rsidRPr="0088780C">
        <w:rPr>
          <w:snapToGrid w:val="0"/>
          <w:kern w:val="22"/>
          <w:szCs w:val="22"/>
          <w:shd w:val="clear" w:color="auto" w:fill="FFFFFF"/>
        </w:rPr>
        <w:t>(1), 252-274.</w:t>
      </w:r>
    </w:p>
    <w:p w14:paraId="14D2B0D4"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shd w:val="clear" w:color="auto" w:fill="FFFFFF"/>
        </w:rPr>
        <w:t>Ghasemi, A. F., Clements, J. C., Taheri, M., &amp; Rostami, A. (2014). Changes in the quantitative distribution of Caspian Sea polychaetes: Prolific fauna formed by non-indigenous species.</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Journal of Great Lakes Research</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40</w:t>
      </w:r>
      <w:r w:rsidRPr="0088780C">
        <w:rPr>
          <w:snapToGrid w:val="0"/>
          <w:kern w:val="22"/>
          <w:szCs w:val="22"/>
          <w:shd w:val="clear" w:color="auto" w:fill="FFFFFF"/>
        </w:rPr>
        <w:t>(3), 692-698.</w:t>
      </w:r>
    </w:p>
    <w:p w14:paraId="71D66C9D" w14:textId="2CDA7427" w:rsidR="00A876F3" w:rsidRPr="0088780C" w:rsidRDefault="00A876F3" w:rsidP="001013AF">
      <w:pPr>
        <w:keepLines/>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Giesen W. (2011). Management Guidelines for Implementation Biodiversity Management of Wetlands. From the publication series of Conservation of Iranian Wetlands Project (CIWP). IRI Department of Environment, United Nations Development Pr</w:t>
      </w:r>
      <w:r w:rsidR="003743E5" w:rsidRPr="0088780C">
        <w:rPr>
          <w:rFonts w:eastAsia="MS Mincho"/>
          <w:snapToGrid w:val="0"/>
          <w:kern w:val="22"/>
          <w:szCs w:val="22"/>
        </w:rPr>
        <w:t>o</w:t>
      </w:r>
      <w:r w:rsidRPr="0088780C">
        <w:rPr>
          <w:rFonts w:eastAsia="MS Mincho"/>
          <w:snapToGrid w:val="0"/>
          <w:kern w:val="22"/>
          <w:szCs w:val="22"/>
        </w:rPr>
        <w:t>gramme, Global Environment Facilit</w:t>
      </w:r>
      <w:r w:rsidR="003743E5" w:rsidRPr="0088780C">
        <w:rPr>
          <w:rFonts w:eastAsia="MS Mincho"/>
          <w:snapToGrid w:val="0"/>
          <w:kern w:val="22"/>
          <w:szCs w:val="22"/>
        </w:rPr>
        <w:t>y</w:t>
      </w:r>
      <w:r w:rsidRPr="0088780C">
        <w:rPr>
          <w:rFonts w:eastAsia="MS Mincho"/>
          <w:snapToGrid w:val="0"/>
          <w:kern w:val="22"/>
          <w:szCs w:val="22"/>
        </w:rPr>
        <w:t xml:space="preserve"> [in Farsi language].</w:t>
      </w:r>
    </w:p>
    <w:p w14:paraId="4A11AB56"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 xml:space="preserve">Goodman, S. &amp; Dmitrieva, L. (2016) </w:t>
      </w:r>
      <w:r w:rsidRPr="0088780C">
        <w:rPr>
          <w:i/>
          <w:iCs/>
          <w:snapToGrid w:val="0"/>
          <w:kern w:val="22"/>
          <w:szCs w:val="22"/>
          <w:shd w:val="clear" w:color="auto" w:fill="FFFFFF"/>
        </w:rPr>
        <w:t>Pusa caspica</w:t>
      </w:r>
      <w:r w:rsidRPr="0088780C">
        <w:rPr>
          <w:snapToGrid w:val="0"/>
          <w:kern w:val="22"/>
          <w:szCs w:val="22"/>
          <w:shd w:val="clear" w:color="auto" w:fill="FFFFFF"/>
        </w:rPr>
        <w:t>. The IUCN Red List of Threatened Species 2016: e.T41669A45230700. http://dx.doi.org/10.2305/IUCN.UK.2016-1.RLTS.T41669A45230700.en. Downloaded on 21 April 2017.</w:t>
      </w:r>
    </w:p>
    <w:p w14:paraId="22E6D617" w14:textId="77777777" w:rsidR="00A876F3" w:rsidRPr="0088780C" w:rsidRDefault="00A876F3" w:rsidP="001013AF">
      <w:pPr>
        <w:keepLines/>
        <w:suppressLineNumbers/>
        <w:suppressAutoHyphens/>
        <w:kinsoku w:val="0"/>
        <w:overflowPunct w:val="0"/>
        <w:autoSpaceDE w:val="0"/>
        <w:autoSpaceDN w:val="0"/>
        <w:adjustRightInd w:val="0"/>
        <w:snapToGrid w:val="0"/>
        <w:spacing w:after="60"/>
        <w:ind w:left="720" w:hanging="720"/>
        <w:rPr>
          <w:rFonts w:eastAsia="MS Mincho"/>
          <w:bCs/>
          <w:iCs/>
          <w:snapToGrid w:val="0"/>
          <w:kern w:val="22"/>
          <w:szCs w:val="22"/>
        </w:rPr>
      </w:pPr>
      <w:r w:rsidRPr="0088780C">
        <w:rPr>
          <w:rFonts w:eastAsia="MS Mincho"/>
          <w:bCs/>
          <w:iCs/>
          <w:snapToGrid w:val="0"/>
          <w:kern w:val="22"/>
          <w:szCs w:val="22"/>
        </w:rPr>
        <w:t>Holchík, J. and Oláh, J., (1992). Fish, fisheries and water quality in Anzali Lagoon and its watershed. Report prepared for the project -Anzali Lagoon productivity and fish stock investigations. Food and Agriculture Organization (FAO), Rome, FI: UNDP/IRA/88/001 Field Document 2: x + 109p. (</w:t>
      </w:r>
      <w:hyperlink r:id="rId305" w:anchor="ch2.3.4" w:history="1">
        <w:r w:rsidRPr="0088780C">
          <w:rPr>
            <w:rStyle w:val="Hyperlink"/>
            <w:rFonts w:eastAsia="MS Mincho"/>
            <w:bCs/>
            <w:iCs/>
            <w:snapToGrid w:val="0"/>
            <w:kern w:val="22"/>
            <w:szCs w:val="22"/>
          </w:rPr>
          <w:t>http://www.fao.org/docrep/006/AD192E/AD192E02.htm#ch2.3.4</w:t>
        </w:r>
      </w:hyperlink>
      <w:r w:rsidRPr="0088780C">
        <w:rPr>
          <w:rFonts w:eastAsia="MS Mincho"/>
          <w:bCs/>
          <w:iCs/>
          <w:snapToGrid w:val="0"/>
          <w:kern w:val="22"/>
          <w:szCs w:val="22"/>
        </w:rPr>
        <w:t>)</w:t>
      </w:r>
    </w:p>
    <w:p w14:paraId="0CAFEDA6"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bCs/>
          <w:iCs/>
          <w:snapToGrid w:val="0"/>
          <w:kern w:val="22"/>
          <w:szCs w:val="22"/>
        </w:rPr>
      </w:pPr>
      <w:r w:rsidRPr="0088780C">
        <w:rPr>
          <w:rFonts w:eastAsia="MS Mincho"/>
          <w:bCs/>
          <w:iCs/>
          <w:snapToGrid w:val="0"/>
          <w:kern w:val="22"/>
          <w:szCs w:val="22"/>
        </w:rPr>
        <w:t>Jafari, N. (2009). Ecological integrity of wetland, their functions and sustainable use. Journal of Ecology and the Natural Environment, 1(3), 045-054.</w:t>
      </w:r>
    </w:p>
    <w:p w14:paraId="543CC31C"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Jamshidi, S., &amp; Bakar, N. A. (2012). Seasonal variations in temperature, salinity and density in the southern coastal waters of the Caspian Sea. Oceanology, 52(3), 380-396.</w:t>
      </w:r>
    </w:p>
    <w:p w14:paraId="3A15DFCA"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Jamshidi, S. (2016). Study on Physical and Chemical Characteristics of Seawater of Gorgan Bay in The Eastern Part of Southern Coast of the Caspian Sea. Proceedings of Academics World 44</w:t>
      </w:r>
      <w:r w:rsidRPr="0088780C">
        <w:rPr>
          <w:rFonts w:eastAsia="MS Mincho"/>
          <w:snapToGrid w:val="0"/>
          <w:kern w:val="22"/>
          <w:szCs w:val="22"/>
          <w:vertAlign w:val="superscript"/>
        </w:rPr>
        <w:t>th</w:t>
      </w:r>
      <w:r w:rsidRPr="0088780C">
        <w:rPr>
          <w:rFonts w:eastAsia="MS Mincho"/>
          <w:snapToGrid w:val="0"/>
          <w:kern w:val="22"/>
          <w:szCs w:val="22"/>
        </w:rPr>
        <w:t xml:space="preserve"> International Conference, Bangkok, Thailand, 13th -14th September 2016.</w:t>
      </w:r>
    </w:p>
    <w:p w14:paraId="74372152"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Kakroodi, A.A., Kroonenberg, S.B., Hoogendoorn, R.M., Mohammadkhani, H., Yamani, M., Ghasssemi, M.R., Lahijani, H.A.K. (2012). Rapid Holocene sea-level changes along the Iranian Caspian coast. Quaternary International. 263, 93–103.</w:t>
      </w:r>
    </w:p>
    <w:p w14:paraId="020637EF"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 xml:space="preserve">Karimi, M. B. (2016). Anzali Mordab complex (Islamic Republic of Iran). </w:t>
      </w:r>
      <w:r w:rsidRPr="0088780C">
        <w:rPr>
          <w:rFonts w:eastAsia="MS Mincho"/>
          <w:i/>
          <w:snapToGrid w:val="0"/>
          <w:kern w:val="22"/>
          <w:szCs w:val="22"/>
        </w:rPr>
        <w:t>In</w:t>
      </w:r>
      <w:r w:rsidRPr="0088780C">
        <w:rPr>
          <w:rFonts w:eastAsia="MS Mincho"/>
          <w:iCs/>
          <w:snapToGrid w:val="0"/>
          <w:kern w:val="22"/>
          <w:szCs w:val="22"/>
        </w:rPr>
        <w:t xml:space="preserve"> The Wetlands Book, Springer Science and Business, eds. Finlayson et al. DOI 10.1007/978-94-007-6173-5_231-1</w:t>
      </w:r>
    </w:p>
    <w:p w14:paraId="439C8A17"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Khalegizadeh, A. (2000): A comparison survey on diversity, density and distribution of wintering waterfowls in Selke and Siahkesheem (Espand Klass) international wetlands [in Farsi]. – M.Sc. Thesis, Tarbiat Modarres University, 123 pp.</w:t>
      </w:r>
    </w:p>
    <w:p w14:paraId="676A6C06"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Khaleghizadeh A. (2007): Waterbirds in microhabitats of Selke and Espand in the Anzali Wetlands, Iran. - Sandgrouse. 29 (1): 17-34.</w:t>
      </w:r>
    </w:p>
    <w:p w14:paraId="78BF0096"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bCs/>
          <w:iCs/>
          <w:snapToGrid w:val="0"/>
          <w:kern w:val="22"/>
          <w:szCs w:val="22"/>
        </w:rPr>
      </w:pPr>
      <w:r w:rsidRPr="0088780C">
        <w:rPr>
          <w:rFonts w:eastAsia="MS Mincho"/>
          <w:bCs/>
          <w:iCs/>
          <w:snapToGrid w:val="0"/>
          <w:kern w:val="22"/>
          <w:szCs w:val="22"/>
        </w:rPr>
        <w:t>Khaleghizadeh, A., &amp; Behrouzi-Rad, B. (2004). On waterbirds in the Anzali Wetlands, Iran, in 1999/2000. Zoology in the Middle East, 31(1), 13-22.</w:t>
      </w:r>
    </w:p>
    <w:p w14:paraId="52867599"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snapToGrid w:val="0"/>
          <w:kern w:val="22"/>
          <w:szCs w:val="22"/>
          <w:shd w:val="clear" w:color="auto" w:fill="FFFFFF"/>
        </w:rPr>
        <w:t>Khoshkholgh, M. R., Nazari, S., &amp; Pourkazemi, M. (2013). Population Structure of Persian Sturgeon (Acipenser persicus Borodin, 1897) in the southern part of Caspian Sea.</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Iranian Journal of Animal Biosystematics (IJAB)</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9</w:t>
      </w:r>
      <w:r w:rsidRPr="0088780C">
        <w:rPr>
          <w:snapToGrid w:val="0"/>
          <w:kern w:val="22"/>
          <w:szCs w:val="22"/>
          <w:shd w:val="clear" w:color="auto" w:fill="FFFFFF"/>
        </w:rPr>
        <w:t>(1), 29-39.</w:t>
      </w:r>
    </w:p>
    <w:p w14:paraId="0B5A5935"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Kiabi, B. H., Abdoli, A., Naderi, M. (1999a). Status of the fish fauna in the south Caspian Basin of Iran. J. Zool. Mid. East. 18, 57–65.</w:t>
      </w:r>
    </w:p>
    <w:p w14:paraId="241D0BF0"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Kiabi, B. H., Ghaemi, R., Abdoli, A. (1999b). Wetland and riverain ecosystems of Golestan Province. Department of the Environment Golestan Province Office of D.O.E.</w:t>
      </w:r>
    </w:p>
    <w:p w14:paraId="095FCD2F"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Kideys A. E., Roohi, A., Eker-Develi, E., Me´lin, F., Beare, D. (2008). Increased chlorophyll levels in the Southern Caspian Sea following an invasion of jellyfish, research letters in ecology, 2008, Article ID 185642, 4 pages. (doi: 10.1155/ 2008/185642)</w:t>
      </w:r>
    </w:p>
    <w:p w14:paraId="3B4F3321"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Kostianoy, A. G., &amp; Kosarev, A. N. (2005). The Caspian Sea Environment (Vol. 5). Springer Science &amp; Business Media.</w:t>
      </w:r>
    </w:p>
    <w:p w14:paraId="68695586"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Kroonenberg, S.B., Badyukova, E.N., Storms, J.E.A., Ignatov, E.I., Kasimov, N.S., (2000). A full sea level cycle in sixty-five years: barrier dynamics along Caspian shores. Sedimentary Geology 134, 257–274.</w:t>
      </w:r>
    </w:p>
    <w:p w14:paraId="2C02DC09"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Laluyee (1996). Migration studies of sturgeons in Sefidrud, Tajen and Gorganrud River. Iranian Fisheries Research and Training Organisation Publications.</w:t>
      </w:r>
    </w:p>
    <w:p w14:paraId="04BFFD65" w14:textId="77777777" w:rsidR="00A876F3" w:rsidRPr="0088780C" w:rsidRDefault="00A876F3" w:rsidP="001013AF">
      <w:pPr>
        <w:keepLines/>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Leroy, S.A.G., Tavakoli, V., Habibi, P., Naderi Beni, M., Lahijani, H.A.K., Djamali, M., Naqinezhad, A., Moghadam, M.V., Arpe, K., ShaheHosseini, M., Hosseindoust, M., Miller, C.S., 2011. Late Little Ice Age palaeoenvironmental records from the Anzali and Amirkola Lagoons (south Caspian Sea): vegetation and sea level changes. Palaeogeography, Palaeoclimatology, Palaeoecology 302 (3), 415e434.</w:t>
      </w:r>
    </w:p>
    <w:p w14:paraId="5468C10A"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Mansoori, J. (2009). The Avian Community of Five Iranian Wetlands, Miankaleh, Fereidoonkenar, Bujagh, Anzali and Lavandevil, in the South Caspian Lowlands. Podoces, 4(1), 44-59.</w:t>
      </w:r>
    </w:p>
    <w:p w14:paraId="51C2830F"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Masoudi, M., Ramezannejad Ghadi, R. &amp; Riahi, H. (2012). Phytoplankton Flora of Miankaleh Wetland. -Iran. J. Bot. 18 (1): 141-148. Tehran.</w:t>
      </w:r>
    </w:p>
    <w:p w14:paraId="2E2ABBE7" w14:textId="53A6D901"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snapToGrid w:val="0"/>
          <w:kern w:val="22"/>
          <w:szCs w:val="22"/>
          <w:shd w:val="clear" w:color="auto" w:fill="FFFFFF"/>
        </w:rPr>
        <w:t>Naddafi, R., Abdoli, A., Hassanzadeh Kiabi, B., Mojazi Amiri, B., &amp; Karami, M. (2005). Age, growth and reproduction of the Caspian roach (</w:t>
      </w:r>
      <w:r w:rsidRPr="0088780C">
        <w:rPr>
          <w:i/>
          <w:iCs/>
          <w:snapToGrid w:val="0"/>
          <w:kern w:val="22"/>
          <w:szCs w:val="22"/>
          <w:shd w:val="clear" w:color="auto" w:fill="FFFFFF"/>
        </w:rPr>
        <w:t>Rutilus rutilus caspicus</w:t>
      </w:r>
      <w:r w:rsidRPr="0088780C">
        <w:rPr>
          <w:snapToGrid w:val="0"/>
          <w:kern w:val="22"/>
          <w:szCs w:val="22"/>
          <w:shd w:val="clear" w:color="auto" w:fill="FFFFFF"/>
        </w:rPr>
        <w:t>) in the Anzali and Gomishan wetlands, North Iran.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Journal of Applied Ichthyology</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21</w:t>
      </w:r>
      <w:r w:rsidRPr="0088780C">
        <w:rPr>
          <w:snapToGrid w:val="0"/>
          <w:kern w:val="22"/>
          <w:szCs w:val="22"/>
          <w:shd w:val="clear" w:color="auto" w:fill="FFFFFF"/>
        </w:rPr>
        <w:t>(6), 492-497.</w:t>
      </w:r>
    </w:p>
    <w:p w14:paraId="38776483"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bCs/>
          <w:iCs/>
          <w:snapToGrid w:val="0"/>
          <w:kern w:val="22"/>
          <w:szCs w:val="22"/>
        </w:rPr>
      </w:pPr>
      <w:r w:rsidRPr="0088780C">
        <w:rPr>
          <w:rFonts w:eastAsia="MS Mincho"/>
          <w:bCs/>
          <w:iCs/>
          <w:snapToGrid w:val="0"/>
          <w:kern w:val="22"/>
          <w:szCs w:val="22"/>
        </w:rPr>
        <w:t xml:space="preserve">Naseka, A. M., &amp; Bogutskaya, N. G. (2009). Fishes of the Caspian Sea: zoogeography and updated check-list. </w:t>
      </w:r>
      <w:r w:rsidRPr="0088780C">
        <w:rPr>
          <w:rFonts w:eastAsia="MS Mincho"/>
          <w:bCs/>
          <w:i/>
          <w:snapToGrid w:val="0"/>
          <w:kern w:val="22"/>
          <w:szCs w:val="22"/>
        </w:rPr>
        <w:t>Zoosystematica Rossica</w:t>
      </w:r>
      <w:r w:rsidRPr="0088780C">
        <w:rPr>
          <w:rFonts w:eastAsia="MS Mincho"/>
          <w:bCs/>
          <w:iCs/>
          <w:snapToGrid w:val="0"/>
          <w:kern w:val="22"/>
          <w:szCs w:val="22"/>
        </w:rPr>
        <w:t>, 18(2), 295-317.</w:t>
      </w:r>
    </w:p>
    <w:p w14:paraId="5757B607"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Nezakati, R., Malmasi, S., Behrouzirad, B., Esmaeeli, F. &amp; Majd, F. F. (2011). Classification of Miankale Wetland Shore Line Based on Environmental Sensitivity Index (ESI), Iran. In Proceedings of International Conference on Environmental Science and Technology (ICEST 2011).</w:t>
      </w:r>
    </w:p>
    <w:p w14:paraId="5AEF0C79" w14:textId="20509A13"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 xml:space="preserve">Patimar, R. (2008). Some biological aspects of the Sharpnose mullet Liza saliens (Risso, 1810) in Gorgan Bay-Miankaleh Wildlife Refuge (the </w:t>
      </w:r>
      <w:r w:rsidR="00953367" w:rsidRPr="0088780C">
        <w:rPr>
          <w:snapToGrid w:val="0"/>
          <w:kern w:val="22"/>
          <w:szCs w:val="22"/>
          <w:shd w:val="clear" w:color="auto" w:fill="FFFFFF"/>
        </w:rPr>
        <w:t>south-east</w:t>
      </w:r>
      <w:r w:rsidRPr="0088780C">
        <w:rPr>
          <w:snapToGrid w:val="0"/>
          <w:kern w:val="22"/>
          <w:szCs w:val="22"/>
          <w:shd w:val="clear" w:color="auto" w:fill="FFFFFF"/>
        </w:rPr>
        <w:t xml:space="preserve"> Caspian Sea).</w:t>
      </w:r>
      <w:r w:rsidR="00D8482D"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Turkish Journal of Fisheries and Aquatic Sciences</w:t>
      </w:r>
      <w:r w:rsidRPr="0088780C">
        <w:rPr>
          <w:snapToGrid w:val="0"/>
          <w:kern w:val="22"/>
          <w:szCs w:val="22"/>
          <w:shd w:val="clear" w:color="auto" w:fill="FFFFFF"/>
        </w:rPr>
        <w:t>.</w:t>
      </w:r>
    </w:p>
    <w:p w14:paraId="1FBE674F"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Patimar, R., R., Abdoli, A., Hasanzade Kiabi, B., Allahyari, S. and Naderi Jelowdar, M. (2009a). Fish species diversity of the coastal areas in Gomishan wetland. J. Agric. Sci. Natur. Resour., Vol. 16 (Special issue 1-a).</w:t>
      </w:r>
    </w:p>
    <w:p w14:paraId="668E0402" w14:textId="4F3381C0"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Patimar, R., Yousefi, M., &amp; Hosieni, S. M. (2009b). Age, growth and reproduction of the sand smelt Atherina boyeri Risso, 1810 in the Gomishan wetland–</w:t>
      </w:r>
      <w:r w:rsidR="00953367" w:rsidRPr="0088780C">
        <w:rPr>
          <w:snapToGrid w:val="0"/>
          <w:kern w:val="22"/>
          <w:szCs w:val="22"/>
          <w:shd w:val="clear" w:color="auto" w:fill="FFFFFF"/>
        </w:rPr>
        <w:t>south-east</w:t>
      </w:r>
      <w:r w:rsidRPr="0088780C">
        <w:rPr>
          <w:snapToGrid w:val="0"/>
          <w:kern w:val="22"/>
          <w:szCs w:val="22"/>
          <w:shd w:val="clear" w:color="auto" w:fill="FFFFFF"/>
        </w:rPr>
        <w:t xml:space="preserve"> Caspian Sea.</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Estuarine, Coastal and Shelf Science</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81</w:t>
      </w:r>
      <w:r w:rsidRPr="0088780C">
        <w:rPr>
          <w:snapToGrid w:val="0"/>
          <w:kern w:val="22"/>
          <w:szCs w:val="22"/>
          <w:shd w:val="clear" w:color="auto" w:fill="FFFFFF"/>
        </w:rPr>
        <w:t>(4), 457-462.</w:t>
      </w:r>
    </w:p>
    <w:p w14:paraId="713CB769"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snapToGrid w:val="0"/>
          <w:kern w:val="22"/>
          <w:szCs w:val="22"/>
          <w:shd w:val="clear" w:color="auto" w:fill="FFFFFF"/>
        </w:rPr>
        <w:t>Pourkazemi, M. (2006). Caspian Sea sturgeon conservation and fisheries: past present and future.</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Journal of Applied Ichthyology</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22</w:t>
      </w:r>
      <w:r w:rsidRPr="0088780C">
        <w:rPr>
          <w:snapToGrid w:val="0"/>
          <w:kern w:val="22"/>
          <w:szCs w:val="22"/>
          <w:shd w:val="clear" w:color="auto" w:fill="FFFFFF"/>
        </w:rPr>
        <w:t>(s1), 12-16.</w:t>
      </w:r>
    </w:p>
    <w:p w14:paraId="41552C8F"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Ramsar Convention Bureau (2001). Information Sheet on Ramsar Wetlands (RIS). Gomishan Lagoon (</w:t>
      </w:r>
      <w:hyperlink r:id="rId306" w:history="1">
        <w:r w:rsidRPr="0088780C">
          <w:rPr>
            <w:rStyle w:val="Hyperlink"/>
            <w:rFonts w:eastAsia="MS Mincho"/>
            <w:snapToGrid w:val="0"/>
            <w:kern w:val="22"/>
            <w:szCs w:val="22"/>
          </w:rPr>
          <w:t>https://rsis.ramsar.org/ris/1109</w:t>
        </w:r>
      </w:hyperlink>
      <w:r w:rsidRPr="0088780C">
        <w:rPr>
          <w:rFonts w:eastAsia="MS Mincho"/>
          <w:snapToGrid w:val="0"/>
          <w:kern w:val="22"/>
          <w:szCs w:val="22"/>
        </w:rPr>
        <w:t>).</w:t>
      </w:r>
    </w:p>
    <w:p w14:paraId="7B9B35B3"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u w:val="single"/>
        </w:rPr>
      </w:pPr>
      <w:r w:rsidRPr="0088780C">
        <w:rPr>
          <w:rFonts w:eastAsia="MS Mincho"/>
          <w:snapToGrid w:val="0"/>
          <w:kern w:val="22"/>
          <w:szCs w:val="22"/>
        </w:rPr>
        <w:t>Ramsar Convention Bureau (1997a). Information Sheet on Ramsar Wetlands (RIS). Anzali Wetlands Complex (</w:t>
      </w:r>
      <w:r w:rsidRPr="0088780C">
        <w:rPr>
          <w:rFonts w:eastAsia="MS Mincho"/>
          <w:iCs/>
          <w:snapToGrid w:val="0"/>
          <w:kern w:val="22"/>
          <w:szCs w:val="22"/>
        </w:rPr>
        <w:t>https://rsis.ramsar.org/ris/40)</w:t>
      </w:r>
    </w:p>
    <w:p w14:paraId="0C68065F"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Ramsar Convention Bureau (1997b). Information Sheet on Ramsar Wetlands (RIS). Miankaleh Peninsula, Gorgan Bay and Lapoo-Zaghmarz Ab-bandan (</w:t>
      </w:r>
      <w:hyperlink r:id="rId307" w:history="1">
        <w:r w:rsidRPr="0088780C">
          <w:rPr>
            <w:rStyle w:val="Hyperlink"/>
            <w:rFonts w:eastAsia="MS Mincho"/>
            <w:snapToGrid w:val="0"/>
            <w:kern w:val="22"/>
            <w:szCs w:val="22"/>
          </w:rPr>
          <w:t>https://rsis.ramsar.org/ris/36</w:t>
        </w:r>
      </w:hyperlink>
      <w:r w:rsidRPr="0088780C">
        <w:rPr>
          <w:rFonts w:eastAsia="MS Mincho"/>
          <w:snapToGrid w:val="0"/>
          <w:kern w:val="22"/>
          <w:szCs w:val="22"/>
        </w:rPr>
        <w:t>).</w:t>
      </w:r>
    </w:p>
    <w:p w14:paraId="78A4382A"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Razmjooy, S., Danehkar, A., Sharifipour, R. &amp; Nabavi, S. M. B. (2010). Evaluation of sensitiveness of Mazandaran coastline using IMO Method. 9</w:t>
      </w:r>
      <w:r w:rsidRPr="0088780C">
        <w:rPr>
          <w:rFonts w:eastAsia="MS Mincho"/>
          <w:snapToGrid w:val="0"/>
          <w:kern w:val="22"/>
          <w:szCs w:val="22"/>
          <w:vertAlign w:val="superscript"/>
        </w:rPr>
        <w:t>th</w:t>
      </w:r>
      <w:r w:rsidRPr="0088780C">
        <w:rPr>
          <w:rFonts w:eastAsia="MS Mincho"/>
          <w:snapToGrid w:val="0"/>
          <w:kern w:val="22"/>
          <w:szCs w:val="22"/>
        </w:rPr>
        <w:t xml:space="preserve"> International Conference on Coasts, Ports and Marine Structures (ICOMPAS 2010).</w:t>
      </w:r>
    </w:p>
    <w:p w14:paraId="4F0B9705"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Roohi, A., Kideys, A., Sajjadi, A., Hashemian, A., Pourgholam, R., Fazli, H., Ganjian Khanari, A. and Eker-Develi, E. (2010). Changes in biodiversity of phytoplankton, zooplankton, fishes and macrobenthos in the southern Caspian Sea after the invasion of the ctenophore Mnemiopsis leidyi. Biol. Invas., 12:2343-2361.</w:t>
      </w:r>
    </w:p>
    <w:p w14:paraId="0AAD8D16"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Rowshan Tabari, M. (2013). The zooplankton population structure and their trend of variations in the southern of Caspian Sea (Iranian waters) (Doctoral dissertation, Islamic Azad University, Science and Research Branch, Tehran).</w:t>
      </w:r>
    </w:p>
    <w:p w14:paraId="3F0A388B"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Rustamov, E. A. (1994). The wintering waterfowl of Turkmenistan.</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Wildfowl</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45</w:t>
      </w:r>
      <w:r w:rsidRPr="0088780C">
        <w:rPr>
          <w:snapToGrid w:val="0"/>
          <w:kern w:val="22"/>
          <w:szCs w:val="22"/>
          <w:shd w:val="clear" w:color="auto" w:fill="FFFFFF"/>
        </w:rPr>
        <w:t>(45), 242-247.</w:t>
      </w:r>
    </w:p>
    <w:p w14:paraId="06280524"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Saghali, M., Baqraf, R., Hosseini, S. A., &amp; Patimar, R. (2013). Benthic community structure in the Gorgan Bay (Southeast of the Caspian Sea, Iran): Correlation to water physiochemical factors and heavy metal concentration of sediment.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International Journal of Aquatic Biology</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1</w:t>
      </w:r>
      <w:r w:rsidRPr="0088780C">
        <w:rPr>
          <w:snapToGrid w:val="0"/>
          <w:kern w:val="22"/>
          <w:szCs w:val="22"/>
          <w:shd w:val="clear" w:color="auto" w:fill="FFFFFF"/>
        </w:rPr>
        <w:t>(5), 245-253.</w:t>
      </w:r>
    </w:p>
    <w:p w14:paraId="4859E4FC"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Scott, D.A. (ed.) (1995). A Directory of Wetlands in the Middle East. IUCN, Gland, Switzerland and IWRB, Slimbridge, United Kingdom.</w:t>
      </w:r>
    </w:p>
    <w:p w14:paraId="3BB26626"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Sharbaty, S. (2011). Two dimensional simulation of flow pattern in Gorgan Bay by using Mike21 software. Journal of Water and Soil Conservation, Vol. 18(4), 241-246.</w:t>
      </w:r>
    </w:p>
    <w:p w14:paraId="46058809"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Sharbaty, S. (2012). 3-D simulation flow pattern in the Gorgan Bay during summer. International Journal of Engineering Research and Applications (IJERA), 2(3)700-707.</w:t>
      </w:r>
    </w:p>
    <w:p w14:paraId="5D409F01" w14:textId="06057B18"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 xml:space="preserve">Taheri, M., Foshtomi, M. Y., Noranian, M., &amp; Mira, S. S. (2012). Spatial distribution and biodiversity of macrofauna in the </w:t>
      </w:r>
      <w:r w:rsidR="00953367" w:rsidRPr="0088780C">
        <w:rPr>
          <w:snapToGrid w:val="0"/>
          <w:kern w:val="22"/>
          <w:szCs w:val="22"/>
          <w:shd w:val="clear" w:color="auto" w:fill="FFFFFF"/>
        </w:rPr>
        <w:t>south-east</w:t>
      </w:r>
      <w:r w:rsidRPr="0088780C">
        <w:rPr>
          <w:snapToGrid w:val="0"/>
          <w:kern w:val="22"/>
          <w:szCs w:val="22"/>
          <w:shd w:val="clear" w:color="auto" w:fill="FFFFFF"/>
        </w:rPr>
        <w:t xml:space="preserve"> of the Caspian Sea, Gorgan Bay in relation to environmental conditions.</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Ocean Science Journal</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iCs/>
          <w:snapToGrid w:val="0"/>
          <w:kern w:val="22"/>
          <w:szCs w:val="22"/>
          <w:shd w:val="clear" w:color="auto" w:fill="FFFFFF"/>
        </w:rPr>
        <w:t>47</w:t>
      </w:r>
      <w:r w:rsidRPr="0088780C">
        <w:rPr>
          <w:snapToGrid w:val="0"/>
          <w:kern w:val="22"/>
          <w:szCs w:val="22"/>
          <w:shd w:val="clear" w:color="auto" w:fill="FFFFFF"/>
        </w:rPr>
        <w:t>(2), 113-122.</w:t>
      </w:r>
    </w:p>
    <w:p w14:paraId="1320CC1F"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 xml:space="preserve">Tavakoli, M., Bahmani, M. (2009). Stock Assessment of </w:t>
      </w:r>
      <w:r w:rsidRPr="0088780C">
        <w:rPr>
          <w:rFonts w:eastAsia="MS Mincho"/>
          <w:i/>
          <w:iCs/>
          <w:snapToGrid w:val="0"/>
          <w:kern w:val="22"/>
          <w:szCs w:val="22"/>
        </w:rPr>
        <w:t>Acipenser</w:t>
      </w:r>
      <w:r w:rsidRPr="0088780C">
        <w:rPr>
          <w:rFonts w:eastAsia="MS Mincho"/>
          <w:snapToGrid w:val="0"/>
          <w:kern w:val="22"/>
          <w:szCs w:val="22"/>
        </w:rPr>
        <w:t xml:space="preserve"> </w:t>
      </w:r>
      <w:r w:rsidRPr="0088780C">
        <w:rPr>
          <w:rFonts w:eastAsia="MS Mincho"/>
          <w:i/>
          <w:iCs/>
          <w:snapToGrid w:val="0"/>
          <w:kern w:val="22"/>
          <w:szCs w:val="22"/>
        </w:rPr>
        <w:t>persicus</w:t>
      </w:r>
      <w:r w:rsidRPr="0088780C">
        <w:rPr>
          <w:rFonts w:eastAsia="MS Mincho"/>
          <w:snapToGrid w:val="0"/>
          <w:kern w:val="22"/>
          <w:szCs w:val="22"/>
        </w:rPr>
        <w:t xml:space="preserve"> in the Iranian coastline of The southern Caspian Sea. Journal of Wetland Ecobiology (JWEB). I.A.U. Ahvaz/ Winter 2012/ Vol. 10 [in Persian language with English abstract].</w:t>
      </w:r>
    </w:p>
    <w:p w14:paraId="6C43842C"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UNECE (2011). Second Assessment of Transboundary Rivers, Lakes and Groundwaters, UNECE, Geneva, Switzerland.</w:t>
      </w:r>
    </w:p>
    <w:p w14:paraId="75326DB0"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World Conservation Monitoring Centre (Eds.) (1990). Directory of Wetlands of International Importance. Sites Designated for the List of Wetlands of International Importance. Ramsar Convention Bureau, Gland, Switzerland. 782 pp.</w:t>
      </w:r>
    </w:p>
    <w:p w14:paraId="2AA6F3BF"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UNDP-GEF (2013). Conservation of Iranian Wetlands, Brief (June 2003).</w:t>
      </w:r>
    </w:p>
    <w:p w14:paraId="61E1B522"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UNEP (2006). Stolberg, F., Borysova, O., Mitrofanov, I., Barannik, V. and Eghtesadi, P. Caspian Sea, GIWA Regional assessment 23. University of Kalmar, Kalmar, Sweden.</w:t>
      </w:r>
    </w:p>
    <w:p w14:paraId="2AEED5E2"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iCs/>
          <w:snapToGrid w:val="0"/>
          <w:kern w:val="22"/>
          <w:szCs w:val="22"/>
        </w:rPr>
      </w:pPr>
      <w:r w:rsidRPr="0088780C">
        <w:rPr>
          <w:rFonts w:eastAsia="MS Mincho"/>
          <w:iCs/>
          <w:snapToGrid w:val="0"/>
          <w:kern w:val="22"/>
          <w:szCs w:val="22"/>
        </w:rPr>
        <w:t>UNEP-WCMC (2010). Review of four sturgeon species from the Caspian Sea basin. A Report to the European Commission. UNEP-WCMC, Cambridge.</w:t>
      </w:r>
    </w:p>
    <w:p w14:paraId="27901499"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 xml:space="preserve">UNESCO (2009). Hazar State Nature Reserve, UNESCO World Heritage Centre, Tentative Lists, </w:t>
      </w:r>
    </w:p>
    <w:p w14:paraId="5D72EEB9"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 xml:space="preserve">(Accessed at: </w:t>
      </w:r>
      <w:hyperlink r:id="rId308" w:history="1">
        <w:r w:rsidRPr="0088780C">
          <w:rPr>
            <w:rStyle w:val="Hyperlink"/>
            <w:rFonts w:eastAsia="MS Mincho"/>
            <w:snapToGrid w:val="0"/>
            <w:kern w:val="22"/>
            <w:szCs w:val="22"/>
          </w:rPr>
          <w:t>http://whc.unesco.org/en/tentativelists/5437/</w:t>
        </w:r>
      </w:hyperlink>
      <w:r w:rsidRPr="0088780C">
        <w:rPr>
          <w:rFonts w:eastAsia="MS Mincho"/>
          <w:snapToGrid w:val="0"/>
          <w:kern w:val="22"/>
          <w:szCs w:val="22"/>
        </w:rPr>
        <w:t xml:space="preserve"> on 14/04/2017).</w:t>
      </w:r>
    </w:p>
    <w:p w14:paraId="1D3D1171"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rPr>
      </w:pPr>
      <w:r w:rsidRPr="0088780C">
        <w:rPr>
          <w:snapToGrid w:val="0"/>
          <w:kern w:val="22"/>
          <w:szCs w:val="22"/>
        </w:rPr>
        <w:t>Vinarski, M. (2012) Turricaspia caspia. The IUCN Red List of Threatened Species 2012: e.T189493A1927211.</w:t>
      </w:r>
    </w:p>
    <w:p w14:paraId="4AD2D48C"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Wilson S. &amp; Goodman, S.J. (2012). CaspEco project Component 1 - Seal Special Protected Area Scoping and Inception Plan, Final Report, May 2012. Caspian Environment Programme.</w:t>
      </w:r>
    </w:p>
    <w:p w14:paraId="1530D70E"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Yazdandad, H. (2000). A study of interspecies changes of Coot, Fulica atra, with different ecological conditions in north Iran wetlands. M.Sc. Thesis, University of Tehran, p. 150.</w:t>
      </w:r>
    </w:p>
    <w:p w14:paraId="0DB6DF8C"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rFonts w:eastAsia="MS Mincho"/>
          <w:snapToGrid w:val="0"/>
          <w:kern w:val="22"/>
          <w:szCs w:val="22"/>
        </w:rPr>
      </w:pPr>
      <w:r w:rsidRPr="0088780C">
        <w:rPr>
          <w:rFonts w:eastAsia="MS Mincho"/>
          <w:snapToGrid w:val="0"/>
          <w:kern w:val="22"/>
          <w:szCs w:val="22"/>
        </w:rPr>
        <w:t>Zonn, I. S. &amp; Kostianoy, A. G. (Eds.). (2013). The Turkmen Lake Altyn Asyr and Water Resources in Turkmenistan (Vol. 28). Springer.</w:t>
      </w:r>
    </w:p>
    <w:p w14:paraId="3BAABED3" w14:textId="77777777" w:rsidR="00A876F3" w:rsidRPr="0088780C" w:rsidRDefault="00A876F3" w:rsidP="001013AF">
      <w:pPr>
        <w:suppressLineNumbers/>
        <w:suppressAutoHyphens/>
        <w:kinsoku w:val="0"/>
        <w:overflowPunct w:val="0"/>
        <w:autoSpaceDE w:val="0"/>
        <w:autoSpaceDN w:val="0"/>
        <w:adjustRightInd w:val="0"/>
        <w:snapToGrid w:val="0"/>
        <w:spacing w:after="60"/>
        <w:ind w:left="720" w:hanging="720"/>
        <w:rPr>
          <w:snapToGrid w:val="0"/>
          <w:kern w:val="22"/>
          <w:szCs w:val="22"/>
          <w:shd w:val="clear" w:color="auto" w:fill="FFFFFF"/>
        </w:rPr>
      </w:pPr>
      <w:r w:rsidRPr="0088780C">
        <w:rPr>
          <w:snapToGrid w:val="0"/>
          <w:kern w:val="22"/>
          <w:szCs w:val="22"/>
          <w:shd w:val="clear" w:color="auto" w:fill="FFFFFF"/>
        </w:rPr>
        <w:t>Zonn, I. S., Kosarev, A. N., Glantz, M. H., &amp; Kostianoy, A. G. (2010).</w:t>
      </w:r>
      <w:r w:rsidRPr="0088780C">
        <w:rPr>
          <w:rStyle w:val="apple-converted-space"/>
          <w:snapToGrid w:val="0"/>
          <w:kern w:val="22"/>
          <w:szCs w:val="22"/>
          <w:shd w:val="clear" w:color="auto" w:fill="FFFFFF"/>
        </w:rPr>
        <w:t> </w:t>
      </w:r>
      <w:r w:rsidRPr="0088780C">
        <w:rPr>
          <w:snapToGrid w:val="0"/>
          <w:kern w:val="22"/>
          <w:szCs w:val="22"/>
          <w:shd w:val="clear" w:color="auto" w:fill="FFFFFF"/>
        </w:rPr>
        <w:t>The Caspian Sea Encyclopedia. Springer.</w:t>
      </w:r>
    </w:p>
    <w:p w14:paraId="20676AA3" w14:textId="77777777" w:rsidR="00A876F3" w:rsidRPr="0088780C" w:rsidRDefault="00A876F3" w:rsidP="001013AF">
      <w:pPr>
        <w:suppressLineNumbers/>
        <w:suppressAutoHyphens/>
        <w:kinsoku w:val="0"/>
        <w:overflowPunct w:val="0"/>
        <w:autoSpaceDE w:val="0"/>
        <w:autoSpaceDN w:val="0"/>
        <w:rPr>
          <w:snapToGrid w:val="0"/>
          <w:kern w:val="22"/>
          <w:szCs w:val="22"/>
          <w:shd w:val="clear" w:color="auto" w:fill="FFFFFF"/>
        </w:rPr>
      </w:pPr>
    </w:p>
    <w:p w14:paraId="3A72BBB8" w14:textId="77777777" w:rsidR="00A876F3" w:rsidRPr="0088780C" w:rsidRDefault="00E7219D" w:rsidP="001013AF">
      <w:pPr>
        <w:suppressLineNumbers/>
        <w:suppressAutoHyphens/>
        <w:kinsoku w:val="0"/>
        <w:overflowPunct w:val="0"/>
        <w:autoSpaceDE w:val="0"/>
        <w:autoSpaceDN w:val="0"/>
        <w:rPr>
          <w:rFonts w:eastAsia="MS Mincho"/>
          <w:iCs/>
          <w:snapToGrid w:val="0"/>
          <w:kern w:val="22"/>
          <w:szCs w:val="22"/>
        </w:rPr>
      </w:pPr>
      <w:hyperlink r:id="rId309" w:history="1">
        <w:r w:rsidR="00A876F3" w:rsidRPr="0088780C">
          <w:rPr>
            <w:rStyle w:val="Hyperlink"/>
            <w:rFonts w:eastAsia="MS Mincho"/>
            <w:iCs/>
            <w:snapToGrid w:val="0"/>
            <w:kern w:val="22"/>
            <w:szCs w:val="22"/>
          </w:rPr>
          <w:t>https://populationexplorer.com</w:t>
        </w:r>
      </w:hyperlink>
    </w:p>
    <w:p w14:paraId="5E9846C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br w:type="page"/>
      </w:r>
    </w:p>
    <w:p w14:paraId="12E01E5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3AF854C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63D9557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3AFD99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685388CE" wp14:editId="67B425B2">
            <wp:extent cx="5486400" cy="4572000"/>
            <wp:effectExtent l="0" t="0" r="0" b="0"/>
            <wp:docPr id="13318" name="Picture 13318" descr="C:\Users\grekin\AppData\Local\Microsoft\Windows\Temporary Internet Files\Content.Word\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grekin\AppData\Local\Microsoft\Windows\Temporary Internet Files\Content.Word\27.png"/>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2C3C6F1F" w14:textId="77777777" w:rsidR="00A876F3" w:rsidRPr="0088780C" w:rsidRDefault="00A876F3" w:rsidP="001013AF">
      <w:pPr>
        <w:suppressLineNumbers/>
        <w:suppressAutoHyphens/>
        <w:kinsoku w:val="0"/>
        <w:overflowPunct w:val="0"/>
        <w:autoSpaceDE w:val="0"/>
        <w:autoSpaceDN w:val="0"/>
        <w:rPr>
          <w:rFonts w:eastAsia="MS Mincho"/>
          <w:b/>
          <w:iCs/>
          <w:snapToGrid w:val="0"/>
          <w:kern w:val="22"/>
          <w:szCs w:val="22"/>
        </w:rPr>
      </w:pPr>
      <w:r w:rsidRPr="0088780C">
        <w:rPr>
          <w:rFonts w:eastAsia="MS Mincho"/>
          <w:b/>
          <w:iCs/>
          <w:snapToGrid w:val="0"/>
          <w:kern w:val="22"/>
          <w:szCs w:val="22"/>
        </w:rPr>
        <w:t xml:space="preserve">Figure 1. </w:t>
      </w:r>
      <w:r w:rsidRPr="0088780C">
        <w:rPr>
          <w:rFonts w:eastAsia="MS Mincho"/>
          <w:b/>
          <w:snapToGrid w:val="0"/>
          <w:color w:val="000000" w:themeColor="text1"/>
          <w:kern w:val="22"/>
          <w:szCs w:val="22"/>
        </w:rPr>
        <w:t>Area meeting the EBSA criteria</w:t>
      </w:r>
    </w:p>
    <w:p w14:paraId="257FC13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31253E37" w14:textId="1B50011E" w:rsidR="00A876F3" w:rsidRPr="0088780C" w:rsidRDefault="00A876F3" w:rsidP="001013AF">
      <w:pPr>
        <w:suppressLineNumbers/>
        <w:suppressAutoHyphens/>
        <w:kinsoku w:val="0"/>
        <w:overflowPunct w:val="0"/>
        <w:autoSpaceDE w:val="0"/>
        <w:autoSpaceDN w:val="0"/>
        <w:jc w:val="center"/>
        <w:rPr>
          <w:rFonts w:eastAsia="Times New Roman"/>
          <w:b/>
          <w:snapToGrid w:val="0"/>
          <w:kern w:val="22"/>
          <w:szCs w:val="22"/>
        </w:rPr>
      </w:pPr>
      <w:r w:rsidRPr="0088780C">
        <w:rPr>
          <w:b/>
          <w:snapToGrid w:val="0"/>
          <w:kern w:val="22"/>
          <w:szCs w:val="22"/>
        </w:rPr>
        <w:t xml:space="preserve">Area </w:t>
      </w:r>
      <w:r w:rsidR="00F743B2" w:rsidRPr="0088780C">
        <w:rPr>
          <w:b/>
          <w:snapToGrid w:val="0"/>
          <w:kern w:val="22"/>
          <w:szCs w:val="22"/>
        </w:rPr>
        <w:t>No.</w:t>
      </w:r>
      <w:r w:rsidRPr="0088780C">
        <w:rPr>
          <w:b/>
          <w:snapToGrid w:val="0"/>
          <w:kern w:val="22"/>
          <w:szCs w:val="22"/>
        </w:rPr>
        <w:t xml:space="preserve"> 28: Gizilagach</w:t>
      </w:r>
      <w:r w:rsidRPr="0088780C">
        <w:rPr>
          <w:rFonts w:eastAsia="Times New Roman"/>
          <w:b/>
          <w:snapToGrid w:val="0"/>
          <w:color w:val="000000"/>
          <w:kern w:val="22"/>
          <w:szCs w:val="22"/>
        </w:rPr>
        <w:t xml:space="preserve"> Bay Complex</w:t>
      </w:r>
    </w:p>
    <w:p w14:paraId="7CD0A3E3" w14:textId="77777777" w:rsidR="00A876F3" w:rsidRPr="0088780C" w:rsidRDefault="00A876F3" w:rsidP="001013AF">
      <w:pPr>
        <w:suppressLineNumbers/>
        <w:suppressAutoHyphens/>
        <w:kinsoku w:val="0"/>
        <w:overflowPunct w:val="0"/>
        <w:autoSpaceDE w:val="0"/>
        <w:autoSpaceDN w:val="0"/>
        <w:jc w:val="center"/>
        <w:rPr>
          <w:rFonts w:eastAsia="MS Mincho"/>
          <w:bCs/>
          <w:snapToGrid w:val="0"/>
          <w:kern w:val="22"/>
          <w:szCs w:val="22"/>
        </w:rPr>
      </w:pPr>
    </w:p>
    <w:p w14:paraId="6B2C287C" w14:textId="77777777"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Наименование/название района: Гызыл-Агачский Залив/Аннотация</w:t>
      </w:r>
    </w:p>
    <w:p w14:paraId="181A01FA" w14:textId="77777777" w:rsidR="00A876F3" w:rsidRPr="0088780C" w:rsidRDefault="00A876F3" w:rsidP="001013AF">
      <w:pPr>
        <w:suppressLineNumbers/>
        <w:suppressAutoHyphens/>
        <w:kinsoku w:val="0"/>
        <w:overflowPunct w:val="0"/>
        <w:autoSpaceDE w:val="0"/>
        <w:autoSpaceDN w:val="0"/>
        <w:jc w:val="center"/>
        <w:rPr>
          <w:rFonts w:eastAsia="MS Mincho"/>
          <w:iCs/>
          <w:snapToGrid w:val="0"/>
          <w:kern w:val="22"/>
          <w:szCs w:val="22"/>
        </w:rPr>
      </w:pPr>
    </w:p>
    <w:p w14:paraId="38CAA112" w14:textId="77777777" w:rsidR="00A876F3" w:rsidRPr="0088780C" w:rsidRDefault="00A876F3" w:rsidP="001013AF">
      <w:pPr>
        <w:pStyle w:val="NumberedParas"/>
        <w:suppressLineNumbers/>
        <w:suppressAutoHyphens/>
        <w:kinsoku w:val="0"/>
        <w:overflowPunct w:val="0"/>
        <w:autoSpaceDE w:val="0"/>
        <w:autoSpaceDN w:val="0"/>
        <w:rPr>
          <w:rFonts w:eastAsia="MS Mincho"/>
          <w:noProof w:val="0"/>
          <w:snapToGrid w:val="0"/>
          <w:kern w:val="22"/>
          <w:sz w:val="22"/>
          <w:lang w:val="ru-RU"/>
        </w:rPr>
      </w:pPr>
      <w:r w:rsidRPr="0088780C">
        <w:rPr>
          <w:rFonts w:eastAsia="MS Mincho"/>
          <w:noProof w:val="0"/>
          <w:snapToGrid w:val="0"/>
          <w:kern w:val="22"/>
          <w:sz w:val="22"/>
          <w:lang w:val="ru-RU"/>
        </w:rPr>
        <w:t>Гызыл-Агачский залив, расположенный в юго-западной части Каспийского моря на побережье Азербайджана, является одним из биологически и экологически значимых морских районов Каспийского моря. Акватория залива входит в состав Гызыл-Агачского заповедника. Заповедник охватывает акваторию всего Большого залива, северную часть Малого Гызыл-Агачского залива, западную часть Куринской косы, степь на севере и северо-западе Большого залива, и основание или северную часть полуострова Сара. Климат умеренно теплый субтропического типа, с мягкой зимой, жарким летом и значительными осадками. Солоноватоводный Гызыл-Агачский залив с максимальной глубиной 3,5 м непосредственно связан с Каспийским морем. Дно залива состоит из ила и песка или ила и раковин. Северная часть залива страдает от постепенного вторжения зарослей тростника.</w:t>
      </w:r>
    </w:p>
    <w:p w14:paraId="37AD55FD" w14:textId="77777777" w:rsidR="006C07AA" w:rsidRPr="0088780C" w:rsidRDefault="006C07AA" w:rsidP="001013AF">
      <w:pPr>
        <w:pStyle w:val="NumberedParas"/>
        <w:numPr>
          <w:ilvl w:val="0"/>
          <w:numId w:val="0"/>
        </w:numPr>
        <w:suppressLineNumbers/>
        <w:suppressAutoHyphens/>
        <w:kinsoku w:val="0"/>
        <w:overflowPunct w:val="0"/>
        <w:autoSpaceDE w:val="0"/>
        <w:autoSpaceDN w:val="0"/>
        <w:rPr>
          <w:rFonts w:eastAsia="MS Mincho"/>
          <w:noProof w:val="0"/>
          <w:snapToGrid w:val="0"/>
          <w:kern w:val="22"/>
          <w:sz w:val="22"/>
          <w:lang w:val="ru-RU"/>
        </w:rPr>
      </w:pPr>
    </w:p>
    <w:p w14:paraId="509213CB" w14:textId="6747949E" w:rsidR="00A876F3" w:rsidRPr="0088780C" w:rsidRDefault="00A876F3" w:rsidP="001013AF">
      <w:pPr>
        <w:pStyle w:val="NumberedParas"/>
        <w:suppressLineNumbers/>
        <w:suppressAutoHyphens/>
        <w:kinsoku w:val="0"/>
        <w:overflowPunct w:val="0"/>
        <w:autoSpaceDE w:val="0"/>
        <w:autoSpaceDN w:val="0"/>
        <w:rPr>
          <w:rFonts w:eastAsia="MS Mincho"/>
          <w:noProof w:val="0"/>
          <w:snapToGrid w:val="0"/>
          <w:kern w:val="22"/>
          <w:sz w:val="22"/>
          <w:lang w:val="ru-RU"/>
        </w:rPr>
      </w:pPr>
      <w:r w:rsidRPr="0088780C">
        <w:rPr>
          <w:rFonts w:eastAsia="MS Mincho"/>
          <w:noProof w:val="0"/>
          <w:snapToGrid w:val="0"/>
          <w:kern w:val="22"/>
          <w:sz w:val="22"/>
          <w:lang w:val="ru-RU"/>
        </w:rPr>
        <w:t xml:space="preserve"> Гызыл-Агачский Заповедник был создан в 1929 году с целью защиты мест обитания больших популяций зимующих и перелетных водоплавающих и степных птиц. Вследствие этого Гызыл-Агачский залив получил широкое признание в качестве водно-болотных угодий международного значения. В 1975 г. Гызыл-агачский залив был включен в Рамсарской список. Фауна заповедника включает 47 видов рыб, около 273 видов птиц, 5 видов амфибий, 15 видов пресмыкающихся и 26 видов млекопитающих. Основу местной орнитофауны составляют водно-болотные птицы. Гызыл-Агачский комплес расположен на пути миграции вдоль западного побережья Каспия, и большие стаи перелетных птиц кормятся и отдыхат в этом районе. В предыдущие годы до 10 миллионов птиц останавливались на зимовку в комплексе и прилегающих районах.</w:t>
      </w:r>
    </w:p>
    <w:p w14:paraId="0F0E2DF0" w14:textId="77777777" w:rsidR="00A876F3" w:rsidRPr="0088780C" w:rsidRDefault="00A876F3" w:rsidP="001013AF">
      <w:pPr>
        <w:pStyle w:val="NumberedParas"/>
        <w:numPr>
          <w:ilvl w:val="0"/>
          <w:numId w:val="0"/>
        </w:numPr>
        <w:suppressLineNumbers/>
        <w:suppressAutoHyphens/>
        <w:kinsoku w:val="0"/>
        <w:overflowPunct w:val="0"/>
        <w:autoSpaceDE w:val="0"/>
        <w:autoSpaceDN w:val="0"/>
        <w:rPr>
          <w:rFonts w:eastAsia="MS Mincho"/>
          <w:noProof w:val="0"/>
          <w:snapToGrid w:val="0"/>
          <w:kern w:val="22"/>
          <w:sz w:val="22"/>
          <w:lang w:val="en-GB"/>
        </w:rPr>
      </w:pPr>
    </w:p>
    <w:p w14:paraId="2E0505D6" w14:textId="41BEF398"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Azerbaijan places third in the western Palearctic for numbers of wintering waterbirds (more 1.0 million) as part of the Caspian-West Siberian-East African Flyway. </w:t>
      </w:r>
      <w:r w:rsidRPr="0088780C">
        <w:rPr>
          <w:rFonts w:eastAsia="MS Mincho"/>
          <w:snapToGrid w:val="0"/>
          <w:kern w:val="22"/>
          <w:szCs w:val="22"/>
        </w:rPr>
        <w:t>The area contains one of the most important wetlands for wintering and breeding waterbirds in the western Palearctic.</w:t>
      </w:r>
      <w:r w:rsidRPr="0088780C">
        <w:rPr>
          <w:snapToGrid w:val="0"/>
          <w:kern w:val="22"/>
          <w:szCs w:val="22"/>
        </w:rPr>
        <w:t xml:space="preserve"> </w:t>
      </w:r>
      <w:r w:rsidRPr="0088780C">
        <w:rPr>
          <w:rFonts w:eastAsia="MS Mincho"/>
          <w:snapToGrid w:val="0"/>
          <w:kern w:val="22"/>
          <w:szCs w:val="22"/>
        </w:rPr>
        <w:t xml:space="preserve">The Gizilagach Bay Complex is located in the south-western part of the Caspian Sea along the coast of Azerbaijan. The area covers the entire water area of the Greater Gizilagach Bay, the northern part of the Lesser Gizilagach Bay, the western part of the Kura spit, the steppe in the north and the north-west of the Greater Gizilagach Bay, and the base or the northern part of the Sara Peninsula. The climate is moderately warm, subtropical, with mild winters, hot summers and considerable precipitation. The brackish water of the Gizilagach Bay, with a maximum depth of 3.5 m, is directly connected with the Caspian Sea. The bottom of the bay consists of mud and sand or silt and shells. The northern part of the bay suffers from a gradual invasion of reeds. The </w:t>
      </w:r>
      <w:r w:rsidR="00D8482D" w:rsidRPr="0088780C">
        <w:rPr>
          <w:rFonts w:eastAsia="MS Mincho"/>
          <w:snapToGrid w:val="0"/>
          <w:kern w:val="22"/>
          <w:szCs w:val="22"/>
        </w:rPr>
        <w:t>“</w:t>
      </w:r>
      <w:r w:rsidRPr="0088780C">
        <w:rPr>
          <w:rFonts w:eastAsia="MS Mincho"/>
          <w:snapToGrid w:val="0"/>
          <w:kern w:val="22"/>
          <w:szCs w:val="22"/>
        </w:rPr>
        <w:t>Ghizil-Agaj</w:t>
      </w:r>
      <w:r w:rsidR="00D8482D" w:rsidRPr="0088780C">
        <w:rPr>
          <w:rFonts w:eastAsia="MS Mincho"/>
          <w:snapToGrid w:val="0"/>
          <w:kern w:val="22"/>
          <w:szCs w:val="22"/>
        </w:rPr>
        <w:t>”</w:t>
      </w:r>
      <w:r w:rsidRPr="0088780C">
        <w:rPr>
          <w:rFonts w:eastAsia="MS Mincho"/>
          <w:snapToGrid w:val="0"/>
          <w:kern w:val="22"/>
          <w:szCs w:val="22"/>
        </w:rPr>
        <w:t xml:space="preserve"> Bay was recognized as a Ramsar Wetland of International Importancein 1975. The area’s fauna includes </w:t>
      </w:r>
      <w:r w:rsidRPr="0088780C">
        <w:rPr>
          <w:rFonts w:eastAsia="MS Mincho"/>
          <w:bCs/>
          <w:snapToGrid w:val="0"/>
          <w:kern w:val="22"/>
          <w:szCs w:val="22"/>
        </w:rPr>
        <w:t xml:space="preserve">47 species of fish, about 273 species of birds, 5 amphibia, 15 reptiles and 26 species of mammals. </w:t>
      </w:r>
      <w:r w:rsidRPr="0088780C">
        <w:rPr>
          <w:rFonts w:eastAsia="MS Mincho"/>
          <w:snapToGrid w:val="0"/>
          <w:kern w:val="22"/>
          <w:szCs w:val="22"/>
        </w:rPr>
        <w:t>The local avifauna is mainly waterbirds. The area is located along the migration routes on the western coast of the Caspian Sea, and large flocks of migratory birds feed and rest in the area. It was reported that in previous years up to 10 million birds wintered in the complex and its surrounding areas.</w:t>
      </w:r>
    </w:p>
    <w:p w14:paraId="11BDBEAF"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3748EE2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Введение</w:t>
      </w:r>
    </w:p>
    <w:p w14:paraId="03E633CE" w14:textId="5593F6AB"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Гызал-Агачский залив расположен в юго-западной части Каспийского моря на побережье  Азербайджана. Общая площадь залива составляет 460 км</w:t>
      </w:r>
      <w:r w:rsidRPr="0088780C">
        <w:rPr>
          <w:rFonts w:eastAsia="MS Mincho"/>
          <w:snapToGrid w:val="0"/>
          <w:kern w:val="22"/>
          <w:szCs w:val="22"/>
          <w:vertAlign w:val="superscript"/>
        </w:rPr>
        <w:t>2</w:t>
      </w:r>
      <w:r w:rsidRPr="0088780C">
        <w:rPr>
          <w:rFonts w:eastAsia="MS Mincho"/>
          <w:snapToGrid w:val="0"/>
          <w:kern w:val="22"/>
          <w:szCs w:val="22"/>
        </w:rPr>
        <w:t>, а глубина 3,5 м. Акватория залива входит в состав Гызылагачского заповедника. Климат умеренно теплый субтропического типа, с мягкой зимой, жарким летом и значительными осадками. Грунт в заливе преимущественно илисто-песчаный. Водный баланс: в залив поступает 11,4 млн м</w:t>
      </w:r>
      <w:r w:rsidRPr="0088780C">
        <w:rPr>
          <w:rFonts w:eastAsia="MS Mincho"/>
          <w:snapToGrid w:val="0"/>
          <w:kern w:val="22"/>
          <w:szCs w:val="22"/>
          <w:vertAlign w:val="superscript"/>
        </w:rPr>
        <w:t>3</w:t>
      </w:r>
      <w:r w:rsidRPr="0088780C">
        <w:rPr>
          <w:rFonts w:eastAsia="MS Mincho"/>
          <w:snapToGrid w:val="0"/>
          <w:kern w:val="22"/>
          <w:szCs w:val="22"/>
        </w:rPr>
        <w:t xml:space="preserve"> воды, сбрасывается в море- 8,7 млн м</w:t>
      </w:r>
      <w:r w:rsidRPr="0088780C">
        <w:rPr>
          <w:rFonts w:eastAsia="MS Mincho"/>
          <w:snapToGrid w:val="0"/>
          <w:kern w:val="22"/>
          <w:szCs w:val="22"/>
          <w:vertAlign w:val="superscript"/>
        </w:rPr>
        <w:t>3</w:t>
      </w:r>
      <w:r w:rsidRPr="0088780C">
        <w:rPr>
          <w:rFonts w:eastAsia="MS Mincho"/>
          <w:snapToGrid w:val="0"/>
          <w:kern w:val="22"/>
          <w:szCs w:val="22"/>
        </w:rPr>
        <w:t>, 2,7млн м</w:t>
      </w:r>
      <w:r w:rsidRPr="0088780C">
        <w:rPr>
          <w:rFonts w:eastAsia="MS Mincho"/>
          <w:snapToGrid w:val="0"/>
          <w:kern w:val="22"/>
          <w:szCs w:val="22"/>
          <w:vertAlign w:val="superscript"/>
        </w:rPr>
        <w:t>3</w:t>
      </w:r>
      <w:r w:rsidRPr="0088780C">
        <w:rPr>
          <w:rFonts w:eastAsia="MS Mincho"/>
          <w:snapToGrid w:val="0"/>
          <w:kern w:val="22"/>
          <w:szCs w:val="22"/>
        </w:rPr>
        <w:t>- уходит на испарение. Площадь залива в течение года в зависимости от обеспеченности водой сокращается от 5,4 до 7,9тыс.га.</w:t>
      </w:r>
    </w:p>
    <w:p w14:paraId="315E183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1D2C5AE" w14:textId="286ADFE7"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Заповедник охватывает акваторию всего Большого залива, северную часть Малого Гызыл-Агачского залива, западную часть Куринской косы, степь на севере и северо-западе Большого залива, и основание или северную часть полуострова Сара. Два столетия назад Большой Гызыл-Агачский Залив был обширным и глубоководным, проникающимся в Ленкоранскую и Муганскую низменности. В залив впадало множество речек, такие как Виляжчай, Акуша и Кумбашиека, которые опресняли его и служили прекрасным нерестилищем для ценных промысловых рыб. Большой Гызыл-Агачский залив, отделенный от открытого моря Куринской косой, занимает площадь 40,5 тыс.га. Залив мелководный наибольшие глубины не достигают 2,5 м. К западу от него, отделенный полуостровом сара, находится Малый Гызыл-Агачский залив площадью 15 тыс. га. В 1956 г. южный конец полуострова Сара был соединен с материковым берегом дамбой, отделившей Малый залив от Каспийского моря. Питаемый водами рек Кумбашинка и Виляжчай залив превратился в пресноводное водохранилище. Наибольшая длина его 16, 7 км, ширина – 6,7 км, глубина 0,5 – 2,5 м. Большим заливом и Каспийским морем он сообщается тремя каналами – Рыбоходным, Аварийным и Сбросным. Два последних расположены на территории заповедника. Рыбоходный канал предназначен для захода рыбы в Малый залив на нерест.</w:t>
      </w:r>
    </w:p>
    <w:p w14:paraId="0DF6485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ru-RU"/>
        </w:rPr>
      </w:pPr>
    </w:p>
    <w:p w14:paraId="3C418720" w14:textId="271C7C55"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 xml:space="preserve">Гызыл-Агачский Заповедник был создан в 1929 году с целью защиты мест обитания больших популяций зимующих и перелетных водоплавающих и степных птиц. Вследствия этого Гызыл-Агачский залив получил широкое признание в качестве водно-болотных угодий международного значения. В 1975 г. залив был включен в Рамсарской список. Прилегающий Малый Гызылагачский залив </w:t>
      </w:r>
      <w:r w:rsidRPr="0088780C">
        <w:rPr>
          <w:snapToGrid w:val="0"/>
          <w:kern w:val="22"/>
          <w:szCs w:val="22"/>
          <w:lang w:val="ru-RU"/>
        </w:rPr>
        <w:t>распо</w:t>
      </w:r>
      <w:r w:rsidRPr="0088780C">
        <w:rPr>
          <w:snapToGrid w:val="0"/>
          <w:kern w:val="22"/>
          <w:szCs w:val="22"/>
          <w:lang w:val="ru-RU"/>
        </w:rPr>
        <w:softHyphen/>
        <w:t>ложен в юго-западной части Каспийского моря на территории Азербайджана (Ленкоранский район). Малый залив ограничен с юго-востока полуостровом Сара, с севера - терри</w:t>
      </w:r>
      <w:r w:rsidRPr="0088780C">
        <w:rPr>
          <w:snapToGrid w:val="0"/>
          <w:kern w:val="22"/>
          <w:szCs w:val="22"/>
          <w:lang w:val="ru-RU"/>
        </w:rPr>
        <w:softHyphen/>
        <w:t>торией Сальянской степи, с запада - Муганской степью (низовья Талышских гор), а с юга - Каспийским морем, отделенным от него дамбой. Наиболь</w:t>
      </w:r>
      <w:r w:rsidRPr="0088780C">
        <w:rPr>
          <w:snapToGrid w:val="0"/>
          <w:kern w:val="22"/>
          <w:szCs w:val="22"/>
          <w:lang w:val="ru-RU"/>
        </w:rPr>
        <w:softHyphen/>
        <w:t>шая длина Малого Гызылагачского Залива 16,7 км, ширина - 6,5 км, бере</w:t>
      </w:r>
      <w:r w:rsidRPr="0088780C">
        <w:rPr>
          <w:snapToGrid w:val="0"/>
          <w:kern w:val="22"/>
          <w:szCs w:val="22"/>
          <w:lang w:val="ru-RU"/>
        </w:rPr>
        <w:softHyphen/>
        <w:t>говая линия ок. 40 км, пл. зеркала залива 140 км</w:t>
      </w:r>
      <w:r w:rsidRPr="0088780C">
        <w:rPr>
          <w:snapToGrid w:val="0"/>
          <w:kern w:val="22"/>
          <w:szCs w:val="22"/>
          <w:bdr w:val="none" w:sz="0" w:space="0" w:color="auto" w:frame="1"/>
          <w:vertAlign w:val="superscript"/>
          <w:lang w:val="ru-RU"/>
        </w:rPr>
        <w:t>2</w:t>
      </w:r>
      <w:r w:rsidRPr="0088780C">
        <w:rPr>
          <w:snapToGrid w:val="0"/>
          <w:kern w:val="22"/>
          <w:szCs w:val="22"/>
          <w:lang w:val="ru-RU"/>
        </w:rPr>
        <w:t>, глубина - 0,5-1 м. В связи с изменениями уровня Каспия акватория Малого залива существенно уменьшает</w:t>
      </w:r>
      <w:r w:rsidRPr="0088780C">
        <w:rPr>
          <w:snapToGrid w:val="0"/>
          <w:kern w:val="22"/>
          <w:szCs w:val="22"/>
          <w:lang w:val="ru-RU"/>
        </w:rPr>
        <w:softHyphen/>
        <w:t>ся или увеличивается. М.К.3. имел естественную связь с Большим Кызылагачским заливом и Каспийским морем.</w:t>
      </w:r>
      <w:r w:rsidRPr="0088780C">
        <w:rPr>
          <w:rFonts w:eastAsia="MS Mincho"/>
          <w:snapToGrid w:val="0"/>
          <w:kern w:val="22"/>
          <w:szCs w:val="22"/>
          <w:lang w:val="ru-RU"/>
        </w:rPr>
        <w:t xml:space="preserve"> Малый Гызыл-Агачский залив также является одним из наиболее важных мест для зимовки и размножения водоплавающих птиц в Западной Палеарктике.</w:t>
      </w:r>
    </w:p>
    <w:p w14:paraId="38E9A17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ru-RU"/>
        </w:rPr>
      </w:pPr>
    </w:p>
    <w:p w14:paraId="75E4B0C4" w14:textId="7E56D8E5"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Колебания уровня моря оказали сильное влияние на Гызылагачский комплекс. В период создания Гызылагачского заповедника уровень Каспийского моря был 26,2 м ниже уровня Мирового океана. Общая площадь заповедника составляла 180,000 га. Однако за период 1930-1939 гг. после падения уровня моря Каспийского моря значительные площади на севере и западе заповедного комплекса высохли. В результате часть из этих територий были затем преобразованы в сельскокохозяйственные земли, а площадь заповедника уменьшилась до 88,360 га. В этот период площадь поверхности воды Гызылагачского залива изменялась от 77000 га в 1937 году до 40500 га в конце 1960-х. В 1978 г. начался стремительный подъем уровня моря (в период создания Малого Гызыл-Агачского залива) и в 1994 году уровень моря достиг отметки - 26.5 м. Начиная с 1995 года уровень моря снова упал, достигнув отметки приблизительно - 27 м в 2011 году. В настоящее время площадь поверхности воды Гызылагачского залива составляет около 62,000 га.</w:t>
      </w:r>
    </w:p>
    <w:p w14:paraId="615E3B2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ru-RU"/>
        </w:rPr>
      </w:pPr>
    </w:p>
    <w:p w14:paraId="7710FD71" w14:textId="64CBC5A5"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Фауна заповедника включает 47 видов рыб, около 273 видов птиц (41 вид в Красной книге), 5 видов амфибий, 15 видов пресмыкающихся (2 вида в Красной книге) и 26 вида млекопитающих (4 из них в Красной книге). В Гызыл-Агачском заливе насчитывается 360 видов растений (3 вида - в Красной книге).</w:t>
      </w:r>
    </w:p>
    <w:p w14:paraId="61D7DEE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ru-RU"/>
        </w:rPr>
      </w:pPr>
    </w:p>
    <w:p w14:paraId="318FDBC7" w14:textId="060D94F2"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 xml:space="preserve">Изменение уровня Каспийского моря привело к образованию обширных мелководных заливов с богатыми местами нагула для рыб, создавая благоприятную среду обитания для значительного числа зимующих водоплавающих птиц. Уток и лебедей привлекают мелководья, которые богаты затопленной растительностью и моллюсками, а стаи гусей и небольшие дрофы находят свои корма в полупустынных районах комплекса. Гызыл-Агачский комплес расположен на пути миграции вдоль западного побережья Каспия , и большие стаи перелетных птиц кормятся и отдыхат в этом районе. В предыдущие годы до 10 миллионов птиц останавливались на зимовку в комплексе и прилегающих районах. Количество водно-болотных птиц (уток и лысух) существенно снизилось с 10 миллионов в 1930-х годах до 5-7 миллионов в конце 1950-х годов, до 1500000 к концу 1960-х годов, до 338,000-715,000 в 1970-е годы, до 200,000-400,000 в начале 1980-х годов, до </w:t>
      </w:r>
      <w:r w:rsidR="00F90081" w:rsidRPr="0088780C">
        <w:rPr>
          <w:rFonts w:eastAsia="MS Mincho"/>
          <w:snapToGrid w:val="0"/>
          <w:kern w:val="22"/>
          <w:szCs w:val="22"/>
          <w:lang w:val="ru-RU"/>
        </w:rPr>
        <w:t>180,000-362,000 в 1990-х годах.</w:t>
      </w:r>
    </w:p>
    <w:p w14:paraId="5217C4CB"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76EF252D"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Солоноватый режим Гызыл-Агачского залива с максимальной глубиной 3,5 м, напрямую связан с Каспийским морем. Соленость воды колеблется в пределах 0,1 - 13,7%</w:t>
      </w:r>
      <w:r w:rsidRPr="0088780C">
        <w:rPr>
          <w:rFonts w:eastAsia="MS Mincho"/>
          <w:snapToGrid w:val="0"/>
          <w:kern w:val="22"/>
          <w:szCs w:val="22"/>
          <w:vertAlign w:val="subscript"/>
          <w:lang w:val="ru-RU"/>
        </w:rPr>
        <w:t xml:space="preserve">О </w:t>
      </w:r>
      <w:r w:rsidRPr="0088780C">
        <w:rPr>
          <w:rFonts w:eastAsia="MS Mincho"/>
          <w:snapToGrid w:val="0"/>
          <w:kern w:val="22"/>
          <w:szCs w:val="22"/>
          <w:lang w:val="ru-RU"/>
        </w:rPr>
        <w:t>с максимумом летом и минимумом весной. Влияние речного стока на соленость определяется в прибрежном участке. Содержание растворенного кислорода меняется от 68 до 106%. Концентрация биогенных элементов в толще воды незначительна, что объясняется большим потреблением кислорода водорослями и высшей растительностью, образующими заросли по берегам залива.</w:t>
      </w:r>
    </w:p>
    <w:p w14:paraId="74E57CC4"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4F721EE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 xml:space="preserve">В зоопланктоне ведущую роль играли </w:t>
      </w:r>
      <w:r w:rsidRPr="0088780C">
        <w:rPr>
          <w:rFonts w:eastAsia="MS Mincho"/>
          <w:b/>
          <w:noProof/>
          <w:snapToGrid w:val="0"/>
          <w:kern w:val="22"/>
          <w:szCs w:val="22"/>
          <w:lang w:val="ru-RU"/>
        </w:rPr>
        <w:t>Calanipeda</w:t>
      </w:r>
      <w:r w:rsidRPr="0088780C">
        <w:rPr>
          <w:rFonts w:eastAsia="MS Mincho"/>
          <w:snapToGrid w:val="0"/>
          <w:kern w:val="22"/>
          <w:szCs w:val="22"/>
          <w:lang w:val="ru-RU"/>
        </w:rPr>
        <w:t xml:space="preserve"> и </w:t>
      </w:r>
      <w:r w:rsidRPr="0088780C">
        <w:rPr>
          <w:rFonts w:eastAsia="MS Mincho"/>
          <w:b/>
          <w:noProof/>
          <w:snapToGrid w:val="0"/>
          <w:kern w:val="22"/>
          <w:szCs w:val="22"/>
          <w:lang w:val="ru-RU"/>
        </w:rPr>
        <w:t>Eurytemora</w:t>
      </w:r>
      <w:r w:rsidRPr="0088780C">
        <w:rPr>
          <w:rFonts w:eastAsia="MS Mincho"/>
          <w:snapToGrid w:val="0"/>
          <w:kern w:val="22"/>
          <w:szCs w:val="22"/>
          <w:lang w:val="ru-RU"/>
        </w:rPr>
        <w:t xml:space="preserve">, общая биомасса их составляла 66% всего зоопланктона. Помимо них на всех участках залива встречались личинки моллюсков, молодь </w:t>
      </w:r>
      <w:r w:rsidRPr="0088780C">
        <w:rPr>
          <w:rFonts w:eastAsia="MS Mincho"/>
          <w:b/>
          <w:noProof/>
          <w:snapToGrid w:val="0"/>
          <w:kern w:val="22"/>
          <w:szCs w:val="22"/>
          <w:lang w:val="ru-RU"/>
        </w:rPr>
        <w:t>Nereis</w:t>
      </w:r>
      <w:r w:rsidRPr="0088780C">
        <w:rPr>
          <w:rFonts w:eastAsia="MS Mincho"/>
          <w:snapToGrid w:val="0"/>
          <w:kern w:val="22"/>
          <w:szCs w:val="22"/>
          <w:lang w:val="ru-RU"/>
        </w:rPr>
        <w:t>. Средняя биомасса зоопланктеров достигала 77,03 мг/м</w:t>
      </w:r>
      <w:r w:rsidRPr="0088780C">
        <w:rPr>
          <w:rFonts w:eastAsia="MS Mincho"/>
          <w:snapToGrid w:val="0"/>
          <w:kern w:val="22"/>
          <w:szCs w:val="22"/>
          <w:vertAlign w:val="superscript"/>
          <w:lang w:val="ru-RU"/>
        </w:rPr>
        <w:t>3</w:t>
      </w:r>
      <w:r w:rsidRPr="0088780C">
        <w:rPr>
          <w:rFonts w:eastAsia="MS Mincho"/>
          <w:snapToGrid w:val="0"/>
          <w:kern w:val="22"/>
          <w:szCs w:val="22"/>
          <w:lang w:val="ru-RU"/>
        </w:rPr>
        <w:t>.</w:t>
      </w:r>
    </w:p>
    <w:p w14:paraId="22F06BB5"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6818E2AD" w14:textId="46F08C17"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Основу зообентоса по численности и биомассе составляли азово-черноморские вселенцы (Nereis , абра, балянус, краб), распространенные по всему заливу. Средняя биомасса донных животных составляла 31,0 г/м</w:t>
      </w:r>
      <w:r w:rsidRPr="0088780C">
        <w:rPr>
          <w:rFonts w:eastAsia="MS Mincho"/>
          <w:snapToGrid w:val="0"/>
          <w:kern w:val="22"/>
          <w:szCs w:val="22"/>
          <w:vertAlign w:val="superscript"/>
          <w:lang w:val="ru-RU"/>
        </w:rPr>
        <w:t>2</w:t>
      </w:r>
      <w:r w:rsidR="004205E5" w:rsidRPr="0088780C">
        <w:rPr>
          <w:rFonts w:eastAsia="MS Mincho"/>
          <w:snapToGrid w:val="0"/>
          <w:kern w:val="22"/>
          <w:szCs w:val="22"/>
          <w:lang w:val="en-US"/>
        </w:rPr>
        <w:t>.</w:t>
      </w:r>
    </w:p>
    <w:p w14:paraId="7C60C602"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1DBD07BA" w14:textId="786A3FE7" w:rsidR="00A876F3" w:rsidRPr="0088780C" w:rsidRDefault="00A876F3" w:rsidP="001013AF">
      <w:pPr>
        <w:suppressLineNumbers/>
        <w:suppressAutoHyphens/>
        <w:kinsoku w:val="0"/>
        <w:overflowPunct w:val="0"/>
        <w:autoSpaceDE w:val="0"/>
        <w:autoSpaceDN w:val="0"/>
        <w:rPr>
          <w:rFonts w:eastAsia="MS Mincho"/>
          <w:snapToGrid w:val="0"/>
          <w:kern w:val="22"/>
          <w:szCs w:val="22"/>
          <w:lang w:val="ru-RU"/>
        </w:rPr>
      </w:pPr>
      <w:r w:rsidRPr="0088780C">
        <w:rPr>
          <w:rFonts w:eastAsia="MS Mincho"/>
          <w:snapToGrid w:val="0"/>
          <w:kern w:val="22"/>
          <w:szCs w:val="22"/>
          <w:lang w:val="ru-RU"/>
        </w:rPr>
        <w:t>Дно залива состоит из ила и песка, или ила и ракушек. В северной части залива постепенно наблюдается увеличение зарослей тростников. Грунты преобладали илисто-песчаные с  переходом в серый вязкий ил. Водный баланс- допустимость повышения уровня воды в заливе выше отметки 26,5 определяет необходимость сброса воды в море в объеме не менее 10 млн м</w:t>
      </w:r>
      <w:r w:rsidRPr="0088780C">
        <w:rPr>
          <w:rFonts w:eastAsia="MS Mincho"/>
          <w:snapToGrid w:val="0"/>
          <w:kern w:val="22"/>
          <w:szCs w:val="22"/>
          <w:vertAlign w:val="superscript"/>
          <w:lang w:val="ru-RU"/>
        </w:rPr>
        <w:t xml:space="preserve">3 </w:t>
      </w:r>
      <w:r w:rsidRPr="0088780C">
        <w:rPr>
          <w:rFonts w:eastAsia="MS Mincho"/>
          <w:snapToGrid w:val="0"/>
          <w:kern w:val="22"/>
          <w:szCs w:val="22"/>
          <w:lang w:val="ru-RU"/>
        </w:rPr>
        <w:t>в течение февраля, марта, апреля, когда наблюдается скат молоди из водоема в Каспий. Сброс воды в море привлекает производителей всех видов рыб. При высоком паводке и максимальной отметке горизонта (26,36) объем Малого залива составляет свыше 20 млн м</w:t>
      </w:r>
      <w:r w:rsidRPr="0088780C">
        <w:rPr>
          <w:rFonts w:eastAsia="MS Mincho"/>
          <w:snapToGrid w:val="0"/>
          <w:kern w:val="22"/>
          <w:szCs w:val="22"/>
          <w:vertAlign w:val="superscript"/>
          <w:lang w:val="ru-RU"/>
        </w:rPr>
        <w:t>3</w:t>
      </w:r>
      <w:r w:rsidRPr="0088780C">
        <w:rPr>
          <w:rFonts w:eastAsia="MS Mincho"/>
          <w:snapToGrid w:val="0"/>
          <w:kern w:val="22"/>
          <w:szCs w:val="22"/>
          <w:lang w:val="ru-RU"/>
        </w:rPr>
        <w:t>.</w:t>
      </w:r>
    </w:p>
    <w:p w14:paraId="77DE2E3A"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lang w:val="ru-RU"/>
        </w:rPr>
      </w:pPr>
    </w:p>
    <w:p w14:paraId="21A06819"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lang w:val="ru-RU"/>
        </w:rPr>
      </w:pPr>
      <w:r w:rsidRPr="0088780C">
        <w:rPr>
          <w:rFonts w:eastAsia="MS Mincho"/>
          <w:b/>
          <w:snapToGrid w:val="0"/>
          <w:kern w:val="22"/>
          <w:szCs w:val="22"/>
          <w:lang w:val="ru-RU"/>
        </w:rPr>
        <w:t>Местонахождение</w:t>
      </w:r>
    </w:p>
    <w:p w14:paraId="21C658D5" w14:textId="1F226F84" w:rsidR="00A876F3" w:rsidRPr="0088780C" w:rsidRDefault="00A876F3" w:rsidP="001013AF">
      <w:pPr>
        <w:suppressLineNumbers/>
        <w:suppressAutoHyphens/>
        <w:kinsoku w:val="0"/>
        <w:overflowPunct w:val="0"/>
        <w:autoSpaceDE w:val="0"/>
        <w:autoSpaceDN w:val="0"/>
        <w:rPr>
          <w:rFonts w:eastAsia="MS Mincho"/>
          <w:iCs/>
          <w:snapToGrid w:val="0"/>
          <w:kern w:val="22"/>
          <w:szCs w:val="22"/>
          <w:lang w:val="en-US"/>
        </w:rPr>
      </w:pPr>
      <w:r w:rsidRPr="0088780C">
        <w:rPr>
          <w:rFonts w:eastAsia="MS Mincho"/>
          <w:b/>
          <w:iCs/>
          <w:snapToGrid w:val="0"/>
          <w:kern w:val="22"/>
          <w:szCs w:val="22"/>
          <w:lang w:val="ru-RU"/>
        </w:rPr>
        <w:t>Гызыл-Агачский комплекс</w:t>
      </w:r>
      <w:r w:rsidRPr="0088780C">
        <w:rPr>
          <w:rFonts w:eastAsia="MS Mincho"/>
          <w:iCs/>
          <w:snapToGrid w:val="0"/>
          <w:kern w:val="22"/>
          <w:szCs w:val="22"/>
          <w:lang w:val="ru-RU"/>
        </w:rPr>
        <w:t xml:space="preserve"> (см. карту ниже) включает в себя Большой Гызыл-Агачский заповедник площадью 88360 га и прилегающий к нему Малый Гызыл-Агачский заказник площадью 10700 га, расположенный на юго-западном побережье Каспийского моря в пределах юрисдикции (административные районы Ленкорани, Масаллы и Нефтчала) Азербайджанской Республики. Топографический рельеф комплекса характеризуется чередованием низких (до 1 м) гребней и открытых впадин, а также старых заиленных русел.</w:t>
      </w:r>
    </w:p>
    <w:p w14:paraId="514A9D5F"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68435FB"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Location</w:t>
      </w:r>
    </w:p>
    <w:p w14:paraId="0917AA50"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Gizilagach</w:t>
      </w:r>
      <w:r w:rsidRPr="0088780C">
        <w:rPr>
          <w:rFonts w:eastAsia="Times New Roman"/>
          <w:snapToGrid w:val="0"/>
          <w:color w:val="000000"/>
          <w:kern w:val="22"/>
          <w:szCs w:val="22"/>
        </w:rPr>
        <w:t xml:space="preserve"> Bay Complex</w:t>
      </w:r>
      <w:r w:rsidRPr="0088780C">
        <w:rPr>
          <w:snapToGrid w:val="0"/>
          <w:kern w:val="22"/>
          <w:szCs w:val="22"/>
        </w:rPr>
        <w:t xml:space="preserve"> comprises the Greater Gizil- Agach Reserve, covering an area of 88,360 hectares, and the adjacent Lesser Gizil-Agach Bay Reserve, the area of which is 10,700 hectares, located on the south-western coast of the Caspian Sea of the Republic of Azerbaijan (administrative districts of Lenkorani, Masalli and Neftchala). The topographic terrain of the complex is characterized by an alternation of low (up to 1 m) ridges and open dents </w:t>
      </w:r>
      <w:r w:rsidRPr="0088780C">
        <w:rPr>
          <w:i/>
          <w:iCs/>
          <w:snapToGrid w:val="0"/>
          <w:kern w:val="22"/>
          <w:szCs w:val="22"/>
        </w:rPr>
        <w:t xml:space="preserve">(dented/shallow curved valleys), </w:t>
      </w:r>
      <w:r w:rsidRPr="0088780C">
        <w:rPr>
          <w:snapToGrid w:val="0"/>
          <w:kern w:val="22"/>
          <w:szCs w:val="22"/>
        </w:rPr>
        <w:t>as well as old silted river beds.</w:t>
      </w:r>
    </w:p>
    <w:p w14:paraId="6BED8784"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lang w:val="ru-RU"/>
        </w:rPr>
      </w:pPr>
    </w:p>
    <w:p w14:paraId="1274C599" w14:textId="071CD254" w:rsidR="00A876F3" w:rsidRPr="0088780C" w:rsidRDefault="00A876F3" w:rsidP="001013AF">
      <w:pPr>
        <w:suppressLineNumbers/>
        <w:suppressAutoHyphens/>
        <w:kinsoku w:val="0"/>
        <w:overflowPunct w:val="0"/>
        <w:autoSpaceDE w:val="0"/>
        <w:autoSpaceDN w:val="0"/>
        <w:rPr>
          <w:rFonts w:eastAsia="MS Mincho"/>
          <w:b/>
          <w:snapToGrid w:val="0"/>
          <w:kern w:val="22"/>
          <w:szCs w:val="22"/>
          <w:lang w:val="ru-RU"/>
        </w:rPr>
      </w:pPr>
      <w:r w:rsidRPr="0088780C">
        <w:rPr>
          <w:rFonts w:eastAsia="MS Mincho"/>
          <w:b/>
          <w:snapToGrid w:val="0"/>
          <w:kern w:val="22"/>
          <w:szCs w:val="22"/>
          <w:lang w:val="ru-RU"/>
        </w:rPr>
        <w:t>Описание особенностей предлагаемого района</w:t>
      </w:r>
    </w:p>
    <w:p w14:paraId="24CD2EC3" w14:textId="77BD9CE8"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Разнообразие физико-географических и климатических условий способствовало развитию в пределах заповедника комплексного растительного и животного мира. Здесь представлена полупустынная, кустарниковая, луговая и водно-болотная растительность, флора которой насчитывает 310 видов высших растений. Облик растительности определяется главным образом прибрежным положением. Здесь можно выделить следующие типы морской зональности: 1) заросли тростника, 2) бескильницевые луга, 3) злаково-эфемеровая полупустыня. Водно-болотная растительность отмечена в местах избыточного увлажнения (берега Малого залива, Акушинские, Лопатинские разливы, Калиновский лиман). Заросли тростника высотой 4-5 м наблюдаются на плавнях и вокруг водоемов. Вместе с камышом озерным и рогозом образует смешанные сообщества.</w:t>
      </w:r>
    </w:p>
    <w:p w14:paraId="279930F7"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6E87C0CF" w14:textId="4039598E"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Широкую известность Гызыл-Агачскому заповеднику принесла расположенные на его территории зимовки водоплавающих птиц. Гызыл-Агачский заповедник является Рамсарской территорией. Зимующие здесь утки, гуси, лебеди, лысуха входят в состав в состав «западносибирской каспийско-нильской» популяции водоплавающих птиц. Гнездящиеся на севере Западной Сибири, Южном Урале и в Северо-Западном Казахстане птицы зимуют преимущественно на побережьях Каспия, в странах Ближнего Востока и в долине Нила. Видовой состав водоплавающих птиц разнообразен. Сюда прилетают лебеди-шипуны, серые гуси и пискульки, кулики, благородные, или речные утки (кряквы, серые, шилохвости, широконосики, чирки-свистунки), красноголовые нырки, лысухи.</w:t>
      </w:r>
    </w:p>
    <w:p w14:paraId="3AF83F55"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68FCBA76" w14:textId="732D7E5D"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Большой Гызылагачский залив характеризуется разнообразием экологических условий (наличием глубоководных участков, прибрежных мелководий, илистых отмелей), служит местообитанием практически всех видов водоплавающих и многих видов околоводных птиц., встречаются в заповеднике.</w:t>
      </w:r>
    </w:p>
    <w:p w14:paraId="60A28448"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428A250C" w14:textId="3355B790"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Большой и Малый Гызылагачский заливы являются местом скопления наиболее ценных и редких видов фауны рыб республики.</w:t>
      </w:r>
    </w:p>
    <w:p w14:paraId="55B9A748"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48BC119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Благодаря мелководности, умеренной зарастаемости водоема, хорошему кормовому, водному и температурным режимам, оба залива играют важную роль в воспроизводстве рыбных запасов Каспийского моря.</w:t>
      </w:r>
    </w:p>
    <w:p w14:paraId="4E5348ED"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71FB3AE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В 1950-х гг. ХХ столетия уловы рыб в Гызыл-Агачском заливе в среднем составляли 2500 тонн. В настоящее время Малый залив полностью изолирован от Большого залива и превращен в пресноводный водоем. В связи с этим состав ихтиофауны этих заливов несколько отличается. Малый залив - наибольшая его длина составляет 16,7 км, наименьшая ширина-6,5км, длина береговой линии-38,9км, площадь зеркала – 150 км</w:t>
      </w:r>
      <w:r w:rsidRPr="0088780C">
        <w:rPr>
          <w:rFonts w:eastAsia="MS Mincho"/>
          <w:snapToGrid w:val="0"/>
          <w:kern w:val="22"/>
          <w:szCs w:val="22"/>
          <w:vertAlign w:val="superscript"/>
          <w:lang w:val="ru-RU"/>
        </w:rPr>
        <w:t>2</w:t>
      </w:r>
      <w:r w:rsidRPr="0088780C">
        <w:rPr>
          <w:rFonts w:eastAsia="MS Mincho"/>
          <w:snapToGrid w:val="0"/>
          <w:kern w:val="22"/>
          <w:szCs w:val="22"/>
          <w:lang w:val="ru-RU"/>
        </w:rPr>
        <w:t>, объем воды – 0,15 км</w:t>
      </w:r>
      <w:r w:rsidRPr="0088780C">
        <w:rPr>
          <w:rFonts w:eastAsia="MS Mincho"/>
          <w:snapToGrid w:val="0"/>
          <w:kern w:val="22"/>
          <w:szCs w:val="22"/>
          <w:vertAlign w:val="superscript"/>
          <w:lang w:val="ru-RU"/>
        </w:rPr>
        <w:t>3</w:t>
      </w:r>
      <w:r w:rsidRPr="0088780C">
        <w:rPr>
          <w:rFonts w:eastAsia="MS Mincho"/>
          <w:snapToGrid w:val="0"/>
          <w:kern w:val="22"/>
          <w:szCs w:val="22"/>
          <w:lang w:val="ru-RU"/>
        </w:rPr>
        <w:t>, глубина - 0,5-2,5м. Климат в районе Малого залива относится к влажному субтропическому.</w:t>
      </w:r>
    </w:p>
    <w:p w14:paraId="6C2188C8"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4E0F651E" w14:textId="7A6FD9DD"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В Малом заливе обитают преимущественно пресноводные рыбы. В то время как в Большом заливе преобладают морские виды. В Большом Гызыл-Агачском заливе встречается 41 вид, а в Малом - 31 вид рыб. Кроме того, в Малый залив были заселены белый амур и белый толстолобик. Редким экземпляром в обоих заливах является европейский угорь, появившийся в Каспийском море после открытия Волго-балтийского водного пути и заселения водоемов бассейна Волги личинками этой рыбы. В отличие от Малого залива в Большом заливе встречаются 4 вида осетровых (белуга (</w:t>
      </w:r>
      <w:r w:rsidRPr="0088780C">
        <w:rPr>
          <w:rFonts w:eastAsia="MS Mincho"/>
          <w:i/>
          <w:snapToGrid w:val="0"/>
          <w:kern w:val="22"/>
          <w:szCs w:val="22"/>
          <w:lang w:val="ru-RU"/>
        </w:rPr>
        <w:t xml:space="preserve">Huso huso </w:t>
      </w:r>
      <w:r w:rsidRPr="0088780C">
        <w:rPr>
          <w:rFonts w:eastAsia="MS Mincho"/>
          <w:snapToGrid w:val="0"/>
          <w:kern w:val="22"/>
          <w:szCs w:val="22"/>
          <w:lang w:val="ru-RU"/>
        </w:rPr>
        <w:t>Linnaeus,</w:t>
      </w:r>
      <w:r w:rsidRPr="0088780C">
        <w:rPr>
          <w:rFonts w:eastAsia="MS Mincho"/>
          <w:i/>
          <w:snapToGrid w:val="0"/>
          <w:kern w:val="22"/>
          <w:szCs w:val="22"/>
          <w:lang w:val="ru-RU"/>
        </w:rPr>
        <w:t xml:space="preserve"> 1758</w:t>
      </w:r>
      <w:r w:rsidRPr="0088780C">
        <w:rPr>
          <w:rFonts w:eastAsia="MS Mincho"/>
          <w:snapToGrid w:val="0"/>
          <w:kern w:val="22"/>
          <w:szCs w:val="22"/>
          <w:lang w:val="ru-RU"/>
        </w:rPr>
        <w:t>), куринский осетр (</w:t>
      </w:r>
      <w:r w:rsidRPr="0088780C">
        <w:rPr>
          <w:rFonts w:eastAsia="MS Mincho"/>
          <w:i/>
          <w:snapToGrid w:val="0"/>
          <w:kern w:val="22"/>
          <w:szCs w:val="22"/>
          <w:lang w:val="ru-RU"/>
        </w:rPr>
        <w:t>Acipenser persicus</w:t>
      </w:r>
      <w:r w:rsidRPr="0088780C">
        <w:rPr>
          <w:rFonts w:eastAsia="MS Mincho"/>
          <w:snapToGrid w:val="0"/>
          <w:kern w:val="22"/>
          <w:szCs w:val="22"/>
          <w:lang w:val="ru-RU"/>
        </w:rPr>
        <w:t xml:space="preserve"> Borodin, 1897), севрюга (</w:t>
      </w:r>
      <w:r w:rsidRPr="0088780C">
        <w:rPr>
          <w:rFonts w:eastAsia="MS Mincho"/>
          <w:i/>
          <w:snapToGrid w:val="0"/>
          <w:kern w:val="22"/>
          <w:szCs w:val="22"/>
          <w:lang w:val="ru-RU"/>
        </w:rPr>
        <w:t>Acipenser stellatus</w:t>
      </w:r>
      <w:r w:rsidRPr="0088780C">
        <w:rPr>
          <w:rFonts w:eastAsia="MS Mincho"/>
          <w:snapToGrid w:val="0"/>
          <w:kern w:val="22"/>
          <w:szCs w:val="22"/>
          <w:lang w:val="ru-RU"/>
        </w:rPr>
        <w:t xml:space="preserve"> Brandt, 1869, шип), каспийский лосось (Salmo caspius), два вида усачей (усач-чинари (</w:t>
      </w:r>
      <w:r w:rsidRPr="0088780C">
        <w:rPr>
          <w:rFonts w:eastAsia="MS Mincho"/>
          <w:i/>
          <w:snapToGrid w:val="0"/>
          <w:kern w:val="22"/>
          <w:szCs w:val="22"/>
          <w:lang w:val="ru-RU"/>
        </w:rPr>
        <w:t>Luciobarbus capito</w:t>
      </w:r>
      <w:r w:rsidRPr="0088780C">
        <w:rPr>
          <w:rFonts w:eastAsia="MS Mincho"/>
          <w:snapToGrid w:val="0"/>
          <w:kern w:val="22"/>
          <w:szCs w:val="22"/>
          <w:lang w:val="ru-RU"/>
        </w:rPr>
        <w:t>), каспийский усач (</w:t>
      </w:r>
      <w:r w:rsidRPr="0088780C">
        <w:rPr>
          <w:rFonts w:eastAsia="MS Mincho"/>
          <w:i/>
          <w:snapToGrid w:val="0"/>
          <w:kern w:val="22"/>
          <w:szCs w:val="22"/>
          <w:lang w:val="ru-RU"/>
        </w:rPr>
        <w:t>Barbus brachycephalus caspius</w:t>
      </w:r>
      <w:r w:rsidRPr="0088780C">
        <w:rPr>
          <w:rFonts w:eastAsia="MS Mincho"/>
          <w:snapToGrid w:val="0"/>
          <w:kern w:val="22"/>
          <w:szCs w:val="22"/>
          <w:lang w:val="ru-RU"/>
        </w:rPr>
        <w:t>) чехонь (</w:t>
      </w:r>
      <w:r w:rsidRPr="0088780C">
        <w:rPr>
          <w:rFonts w:eastAsia="MS Mincho"/>
          <w:i/>
          <w:snapToGrid w:val="0"/>
          <w:kern w:val="22"/>
          <w:szCs w:val="22"/>
          <w:lang w:val="ru-RU"/>
        </w:rPr>
        <w:t>Pelecus cultratus</w:t>
      </w:r>
      <w:r w:rsidRPr="0088780C">
        <w:rPr>
          <w:rFonts w:eastAsia="MS Mincho"/>
          <w:snapToGrid w:val="0"/>
          <w:kern w:val="22"/>
          <w:szCs w:val="22"/>
          <w:lang w:val="ru-RU"/>
        </w:rPr>
        <w:t>), кефали (Mugilidae), морской судак (</w:t>
      </w:r>
      <w:r w:rsidRPr="0088780C">
        <w:rPr>
          <w:rFonts w:eastAsia="MS Mincho"/>
          <w:i/>
          <w:snapToGrid w:val="0"/>
          <w:kern w:val="22"/>
          <w:szCs w:val="22"/>
          <w:lang w:val="ru-RU"/>
        </w:rPr>
        <w:t>Sander marinus</w:t>
      </w:r>
      <w:r w:rsidRPr="0088780C">
        <w:rPr>
          <w:rFonts w:eastAsia="MS Mincho"/>
          <w:snapToGrid w:val="0"/>
          <w:kern w:val="22"/>
          <w:szCs w:val="22"/>
          <w:lang w:val="ru-RU"/>
        </w:rPr>
        <w:t>), три вида бычков (Gobiidae). Общими для Большого и Малого Гызыл-Аачского заливов являются 25 видов рыб. Эти рыбы со сравнительно широким ареалом распространения и эвригалинностью способные обитать как в морской, так и в пресноводной среде (щука, куринская вобла, кутум, жерех, ленкоранская шемая, сазан, окунь, речной судак и др.). Большой и Малый заливы представляют важное значение для формирования рыбных запасов Каспийского моря.</w:t>
      </w:r>
    </w:p>
    <w:p w14:paraId="3FA7088A"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lang w:val="ru-RU"/>
        </w:rPr>
      </w:pPr>
    </w:p>
    <w:p w14:paraId="05FF6B6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lang w:val="ru-RU"/>
        </w:rPr>
      </w:pPr>
      <w:r w:rsidRPr="0088780C">
        <w:rPr>
          <w:rFonts w:eastAsia="MS Mincho"/>
          <w:b/>
          <w:snapToGrid w:val="0"/>
          <w:kern w:val="22"/>
          <w:szCs w:val="22"/>
          <w:lang w:val="ru-RU"/>
        </w:rPr>
        <w:t>Состояние объекта и перспективы относительно предлагаемого района</w:t>
      </w:r>
    </w:p>
    <w:p w14:paraId="32C81D05" w14:textId="3005E939"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За последние годы вследствие воздействия как природных (колебания уровня моря, изменение климата), так и антропогенных (загрязнение, вселение чужеродных видов (</w:t>
      </w:r>
      <w:r w:rsidRPr="0088780C">
        <w:rPr>
          <w:rFonts w:eastAsia="MS Mincho"/>
          <w:i/>
          <w:snapToGrid w:val="0"/>
          <w:kern w:val="22"/>
          <w:szCs w:val="22"/>
          <w:lang w:val="ru-RU"/>
        </w:rPr>
        <w:t>Mnemiopsis leidyi</w:t>
      </w:r>
      <w:r w:rsidRPr="0088780C">
        <w:rPr>
          <w:rFonts w:eastAsia="MS Mincho"/>
          <w:snapToGrid w:val="0"/>
          <w:kern w:val="22"/>
          <w:szCs w:val="22"/>
          <w:lang w:val="ru-RU"/>
        </w:rPr>
        <w:t>), чрезмерный вылов рыбных запасов, снижение численности популяции тюлений из-за болезни и истощения запасов килек – основных кормовых объектов тюленей) факторов в экосистеме Каспийского моря, включая Гызылагачский залив, произошли существенные изменения.</w:t>
      </w:r>
    </w:p>
    <w:p w14:paraId="5D8954F2"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420E110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Колебания уровня моря оказали сильное влияние на Гызылагачский комплекс. Следует указать, на момент создания Гызылагачского залива уровень Каспийского моря был на 26,2 м ниже уровня Мирового океана, а площадь залива составляла около 180 000 га.</w:t>
      </w:r>
    </w:p>
    <w:p w14:paraId="788C9E27" w14:textId="77777777" w:rsidR="00F90081" w:rsidRPr="0088780C" w:rsidRDefault="00F90081" w:rsidP="001013AF">
      <w:pPr>
        <w:suppressLineNumbers/>
        <w:suppressAutoHyphens/>
        <w:kinsoku w:val="0"/>
        <w:overflowPunct w:val="0"/>
        <w:autoSpaceDE w:val="0"/>
        <w:autoSpaceDN w:val="0"/>
        <w:rPr>
          <w:rFonts w:eastAsia="MS Mincho"/>
          <w:snapToGrid w:val="0"/>
          <w:kern w:val="22"/>
          <w:szCs w:val="22"/>
          <w:lang w:val="en-US"/>
        </w:rPr>
      </w:pPr>
    </w:p>
    <w:p w14:paraId="30B0D719" w14:textId="6DD105CC"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В результате антропогенной деятельности, изменения климата, колебания уровня моря, вселения видов-вселенцев происходят изменения прибрежных экосистем и местообитаний, приводящие к сокращению биоразнообразия Каспийского моря. В ходе инвентаризации прибрежной зоны Каспийского моря были отмечены 112 видов растений и 240 видов животных в прибрежной зоне Каспийского моря и включены в Красный список МСОП (2006 год), а также в Национальные Красные книги. Во второе издание Красной книги Азербайджана (2013) занесены 300 видов растений (20 простейших и 266 высших растений) и 223 видов животных, включая 71 видов беспозвоночных, один вид Mollusca, 9 видов рыб, 6 видов амфибий, 14 видов рептилий, 72 видов птиц и 42 вида млекопитающих.</w:t>
      </w:r>
    </w:p>
    <w:p w14:paraId="0B38967A"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lang w:val="ru-RU"/>
        </w:rPr>
      </w:pPr>
    </w:p>
    <w:p w14:paraId="14F1893C" w14:textId="06D85800" w:rsidR="00A876F3" w:rsidRPr="0088780C" w:rsidRDefault="00A876F3" w:rsidP="001013AF">
      <w:pPr>
        <w:suppressLineNumbers/>
        <w:suppressAutoHyphens/>
        <w:kinsoku w:val="0"/>
        <w:overflowPunct w:val="0"/>
        <w:autoSpaceDE w:val="0"/>
        <w:autoSpaceDN w:val="0"/>
        <w:jc w:val="left"/>
        <w:rPr>
          <w:rFonts w:eastAsia="MS Mincho"/>
          <w:b/>
          <w:snapToGrid w:val="0"/>
          <w:kern w:val="22"/>
          <w:szCs w:val="22"/>
          <w:lang w:val="en-US"/>
        </w:rPr>
      </w:pPr>
      <w:r w:rsidRPr="0088780C">
        <w:rPr>
          <w:rFonts w:eastAsia="MS Mincho"/>
          <w:b/>
          <w:snapToGrid w:val="0"/>
          <w:kern w:val="22"/>
          <w:szCs w:val="22"/>
          <w:lang w:val="ru-RU"/>
        </w:rPr>
        <w:t>Оценка района по критериям выявления экологически или биологически значимых морских районов (ЭБЗР), разработанным в рамках Конвенции о биологическом разнообразии (КБР)</w:t>
      </w:r>
    </w:p>
    <w:p w14:paraId="112A7E25"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2665"/>
        <w:gridCol w:w="43"/>
        <w:gridCol w:w="1491"/>
        <w:gridCol w:w="240"/>
        <w:gridCol w:w="27"/>
        <w:gridCol w:w="690"/>
        <w:gridCol w:w="151"/>
        <w:gridCol w:w="918"/>
        <w:gridCol w:w="119"/>
        <w:gridCol w:w="976"/>
      </w:tblGrid>
      <w:tr w:rsidR="00A876F3" w:rsidRPr="0088780C" w14:paraId="55B7FB1B" w14:textId="77777777" w:rsidTr="006972AD">
        <w:tc>
          <w:tcPr>
            <w:tcW w:w="779" w:type="pct"/>
            <w:vMerge w:val="restart"/>
            <w:shd w:val="clear" w:color="auto" w:fill="auto"/>
          </w:tcPr>
          <w:p w14:paraId="2635FF86" w14:textId="77777777" w:rsidR="00A876F3" w:rsidRPr="0088780C" w:rsidRDefault="00A876F3" w:rsidP="0058765B">
            <w:pPr>
              <w:suppressLineNumbers/>
              <w:suppressAutoHyphens/>
              <w:kinsoku w:val="0"/>
              <w:overflowPunct w:val="0"/>
              <w:autoSpaceDE w:val="0"/>
              <w:autoSpaceDN w:val="0"/>
              <w:adjustRightInd w:val="0"/>
              <w:jc w:val="left"/>
              <w:rPr>
                <w:rFonts w:eastAsia="MS Mincho"/>
                <w:b/>
                <w:bCs/>
                <w:snapToGrid w:val="0"/>
                <w:color w:val="000000"/>
                <w:kern w:val="22"/>
                <w:szCs w:val="22"/>
                <w:lang w:val="ru-RU"/>
              </w:rPr>
            </w:pPr>
            <w:r w:rsidRPr="0088780C">
              <w:rPr>
                <w:rFonts w:eastAsia="MS Mincho"/>
                <w:b/>
                <w:bCs/>
                <w:snapToGrid w:val="0"/>
                <w:color w:val="000000"/>
                <w:kern w:val="22"/>
                <w:szCs w:val="22"/>
                <w:lang w:val="ru-RU"/>
              </w:rPr>
              <w:t xml:space="preserve">Критерии КБР по выявлению ЭБЗР </w:t>
            </w:r>
          </w:p>
          <w:p w14:paraId="0098865C"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rFonts w:eastAsia="MS Mincho"/>
                <w:bCs/>
                <w:snapToGrid w:val="0"/>
                <w:color w:val="000000"/>
                <w:kern w:val="22"/>
                <w:szCs w:val="22"/>
                <w:lang w:val="ru-RU"/>
              </w:rPr>
              <w:t>(Приложение I к решению IX/20)</w:t>
            </w:r>
          </w:p>
        </w:tc>
        <w:tc>
          <w:tcPr>
            <w:tcW w:w="2280" w:type="pct"/>
            <w:vMerge w:val="restart"/>
            <w:shd w:val="clear" w:color="auto" w:fill="auto"/>
          </w:tcPr>
          <w:p w14:paraId="7667204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
                <w:bCs/>
                <w:snapToGrid w:val="0"/>
                <w:kern w:val="22"/>
                <w:szCs w:val="22"/>
                <w:lang w:val="ru-RU"/>
              </w:rPr>
            </w:pPr>
            <w:r w:rsidRPr="0088780C">
              <w:rPr>
                <w:rFonts w:eastAsia="MS Mincho"/>
                <w:b/>
                <w:bCs/>
                <w:snapToGrid w:val="0"/>
                <w:kern w:val="22"/>
                <w:szCs w:val="22"/>
                <w:lang w:val="ru-RU"/>
              </w:rPr>
              <w:t>Описание</w:t>
            </w:r>
          </w:p>
          <w:p w14:paraId="6D4D5D9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kern w:val="22"/>
                <w:szCs w:val="22"/>
                <w:lang w:val="ru-RU"/>
              </w:rPr>
            </w:pPr>
            <w:r w:rsidRPr="0088780C">
              <w:rPr>
                <w:rFonts w:eastAsia="MS Mincho"/>
                <w:bCs/>
                <w:snapToGrid w:val="0"/>
                <w:color w:val="000000"/>
                <w:kern w:val="22"/>
                <w:szCs w:val="22"/>
                <w:lang w:val="ru-RU"/>
              </w:rPr>
              <w:t>(Приложение I к решению IX/20)</w:t>
            </w:r>
          </w:p>
        </w:tc>
        <w:tc>
          <w:tcPr>
            <w:tcW w:w="1940" w:type="pct"/>
            <w:gridSpan w:val="9"/>
            <w:shd w:val="clear" w:color="auto" w:fill="auto"/>
          </w:tcPr>
          <w:p w14:paraId="4C0C588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 xml:space="preserve">Ранжирование актуальности критериев </w:t>
            </w:r>
          </w:p>
          <w:p w14:paraId="10ACF17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lang w:val="ru-RU"/>
              </w:rPr>
            </w:pPr>
            <w:r w:rsidRPr="0088780C">
              <w:rPr>
                <w:rFonts w:eastAsia="MS Mincho"/>
                <w:bCs/>
                <w:snapToGrid w:val="0"/>
                <w:color w:val="000000"/>
                <w:kern w:val="22"/>
                <w:szCs w:val="22"/>
                <w:lang w:val="ru-RU"/>
              </w:rPr>
              <w:t>(просьба поставить в одной из колонок букву X)</w:t>
            </w:r>
          </w:p>
        </w:tc>
      </w:tr>
      <w:tr w:rsidR="00A876F3" w:rsidRPr="0088780C" w14:paraId="7180048D" w14:textId="77777777" w:rsidTr="006972AD">
        <w:tc>
          <w:tcPr>
            <w:tcW w:w="779" w:type="pct"/>
            <w:vMerge/>
            <w:shd w:val="clear" w:color="auto" w:fill="auto"/>
          </w:tcPr>
          <w:p w14:paraId="0E29205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p>
        </w:tc>
        <w:tc>
          <w:tcPr>
            <w:tcW w:w="2280" w:type="pct"/>
            <w:vMerge/>
            <w:shd w:val="clear" w:color="auto" w:fill="auto"/>
          </w:tcPr>
          <w:p w14:paraId="5ACA61C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lang w:val="ru-RU"/>
              </w:rPr>
            </w:pPr>
          </w:p>
        </w:tc>
        <w:tc>
          <w:tcPr>
            <w:tcW w:w="547" w:type="pct"/>
            <w:gridSpan w:val="2"/>
            <w:shd w:val="clear" w:color="auto" w:fill="auto"/>
          </w:tcPr>
          <w:p w14:paraId="2116D828" w14:textId="77777777" w:rsidR="00A876F3" w:rsidRPr="0088780C" w:rsidRDefault="00A876F3" w:rsidP="001013AF">
            <w:pPr>
              <w:suppressLineNumbers/>
              <w:suppressAutoHyphens/>
              <w:kinsoku w:val="0"/>
              <w:overflowPunct w:val="0"/>
              <w:autoSpaceDE w:val="0"/>
              <w:autoSpaceDN w:val="0"/>
              <w:adjustRightInd w:val="0"/>
              <w:rPr>
                <w:rFonts w:ascii="Times New Roman Bold" w:eastAsia="MS Mincho" w:hAnsi="Times New Roman Bold" w:cs="Times New Roman Bold"/>
                <w:b/>
                <w:bCs/>
                <w:snapToGrid w:val="0"/>
                <w:color w:val="000000"/>
                <w:kern w:val="22"/>
                <w:szCs w:val="22"/>
                <w:lang w:val="ru-RU"/>
              </w:rPr>
            </w:pPr>
            <w:r w:rsidRPr="0088780C">
              <w:rPr>
                <w:rFonts w:ascii="Times New Roman Bold" w:eastAsia="MS Mincho" w:hAnsi="Times New Roman Bold" w:cs="Times New Roman Bold"/>
                <w:b/>
                <w:bCs/>
                <w:snapToGrid w:val="0"/>
                <w:color w:val="000000"/>
                <w:kern w:val="22"/>
                <w:szCs w:val="22"/>
                <w:lang w:val="ru-RU"/>
              </w:rPr>
              <w:t>Информации нет</w:t>
            </w:r>
          </w:p>
        </w:tc>
        <w:tc>
          <w:tcPr>
            <w:tcW w:w="547" w:type="pct"/>
            <w:gridSpan w:val="3"/>
            <w:shd w:val="clear" w:color="auto" w:fill="auto"/>
          </w:tcPr>
          <w:p w14:paraId="046F327A" w14:textId="15F09EB9" w:rsidR="00A876F3" w:rsidRPr="0088780C" w:rsidRDefault="00A876F3" w:rsidP="0058765B">
            <w:pPr>
              <w:suppressLineNumbers/>
              <w:suppressAutoHyphens/>
              <w:kinsoku w:val="0"/>
              <w:overflowPunct w:val="0"/>
              <w:autoSpaceDE w:val="0"/>
              <w:autoSpaceDN w:val="0"/>
              <w:adjustRightInd w:val="0"/>
              <w:rPr>
                <w:rFonts w:ascii="Times New Roman Bold" w:eastAsia="MS Mincho" w:hAnsi="Times New Roman Bold" w:cs="Times New Roman Bold"/>
                <w:b/>
                <w:bCs/>
                <w:snapToGrid w:val="0"/>
                <w:color w:val="000000"/>
                <w:kern w:val="22"/>
                <w:szCs w:val="22"/>
                <w:lang w:val="ru-RU"/>
              </w:rPr>
            </w:pPr>
            <w:r w:rsidRPr="0088780C">
              <w:rPr>
                <w:rFonts w:ascii="Times New Roman Bold" w:eastAsia="MS Mincho" w:hAnsi="Times New Roman Bold" w:cs="Times New Roman Bold"/>
                <w:b/>
                <w:bCs/>
                <w:snapToGrid w:val="0"/>
                <w:color w:val="000000"/>
                <w:kern w:val="22"/>
                <w:szCs w:val="22"/>
                <w:lang w:val="ru-RU"/>
              </w:rPr>
              <w:t>Низкая</w:t>
            </w:r>
          </w:p>
        </w:tc>
        <w:tc>
          <w:tcPr>
            <w:tcW w:w="411" w:type="pct"/>
            <w:gridSpan w:val="2"/>
            <w:shd w:val="clear" w:color="auto" w:fill="auto"/>
          </w:tcPr>
          <w:p w14:paraId="38F031C9" w14:textId="4B05D9E0" w:rsidR="00A876F3" w:rsidRPr="0088780C" w:rsidRDefault="00A876F3" w:rsidP="0058765B">
            <w:pPr>
              <w:suppressLineNumbers/>
              <w:suppressAutoHyphens/>
              <w:kinsoku w:val="0"/>
              <w:overflowPunct w:val="0"/>
              <w:autoSpaceDE w:val="0"/>
              <w:autoSpaceDN w:val="0"/>
              <w:adjustRightInd w:val="0"/>
              <w:rPr>
                <w:rFonts w:ascii="Times New Roman Bold" w:eastAsia="MS Mincho" w:hAnsi="Times New Roman Bold" w:cs="Times New Roman Bold"/>
                <w:b/>
                <w:bCs/>
                <w:snapToGrid w:val="0"/>
                <w:color w:val="000000"/>
                <w:kern w:val="22"/>
                <w:szCs w:val="22"/>
                <w:lang w:val="ru-RU"/>
              </w:rPr>
            </w:pPr>
            <w:r w:rsidRPr="0088780C">
              <w:rPr>
                <w:rFonts w:ascii="Times New Roman Bold" w:eastAsia="MS Mincho" w:hAnsi="Times New Roman Bold" w:cs="Times New Roman Bold"/>
                <w:b/>
                <w:bCs/>
                <w:snapToGrid w:val="0"/>
                <w:color w:val="000000"/>
                <w:kern w:val="22"/>
                <w:szCs w:val="22"/>
                <w:lang w:val="ru-RU"/>
              </w:rPr>
              <w:t>Средняя</w:t>
            </w:r>
          </w:p>
        </w:tc>
        <w:tc>
          <w:tcPr>
            <w:tcW w:w="436" w:type="pct"/>
            <w:gridSpan w:val="2"/>
            <w:shd w:val="clear" w:color="auto" w:fill="auto"/>
          </w:tcPr>
          <w:p w14:paraId="71B2C016" w14:textId="624897B3" w:rsidR="00A876F3" w:rsidRPr="0088780C" w:rsidRDefault="0058765B" w:rsidP="001013AF">
            <w:pPr>
              <w:suppressLineNumbers/>
              <w:suppressAutoHyphens/>
              <w:kinsoku w:val="0"/>
              <w:overflowPunct w:val="0"/>
              <w:autoSpaceDE w:val="0"/>
              <w:autoSpaceDN w:val="0"/>
              <w:adjustRightInd w:val="0"/>
              <w:rPr>
                <w:rFonts w:ascii="Times New Roman Bold" w:eastAsia="MS Mincho" w:hAnsi="Times New Roman Bold" w:cs="Times New Roman Bold"/>
                <w:b/>
                <w:bCs/>
                <w:snapToGrid w:val="0"/>
                <w:color w:val="000000"/>
                <w:kern w:val="22"/>
                <w:szCs w:val="22"/>
                <w:lang w:val="en-US"/>
              </w:rPr>
            </w:pPr>
            <w:r w:rsidRPr="0088780C">
              <w:rPr>
                <w:rFonts w:ascii="Times New Roman Bold" w:eastAsia="MS Mincho" w:hAnsi="Times New Roman Bold" w:cs="Times New Roman Bold"/>
                <w:b/>
                <w:bCs/>
                <w:snapToGrid w:val="0"/>
                <w:color w:val="000000"/>
                <w:kern w:val="22"/>
                <w:szCs w:val="22"/>
                <w:lang w:val="ru-RU"/>
              </w:rPr>
              <w:t>Высокая</w:t>
            </w:r>
          </w:p>
        </w:tc>
      </w:tr>
      <w:tr w:rsidR="00A876F3" w:rsidRPr="0088780C" w14:paraId="23767828" w14:textId="77777777" w:rsidTr="006972AD">
        <w:tc>
          <w:tcPr>
            <w:tcW w:w="779" w:type="pct"/>
            <w:shd w:val="clear" w:color="auto" w:fill="auto"/>
          </w:tcPr>
          <w:p w14:paraId="573B791A"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lang w:val="ru-RU"/>
              </w:rPr>
            </w:pPr>
            <w:r w:rsidRPr="0088780C">
              <w:rPr>
                <w:b/>
                <w:snapToGrid w:val="0"/>
                <w:kern w:val="22"/>
                <w:szCs w:val="22"/>
                <w:lang w:val="ru-RU"/>
              </w:rPr>
              <w:t>Уникальность или малая распространённость</w:t>
            </w:r>
            <w:r w:rsidRPr="0088780C">
              <w:rPr>
                <w:rFonts w:eastAsia="MS Mincho"/>
                <w:b/>
                <w:bCs/>
                <w:snapToGrid w:val="0"/>
                <w:color w:val="000000"/>
                <w:kern w:val="22"/>
                <w:szCs w:val="22"/>
                <w:lang w:val="ru-RU"/>
              </w:rPr>
              <w:t xml:space="preserve"> </w:t>
            </w:r>
          </w:p>
        </w:tc>
        <w:tc>
          <w:tcPr>
            <w:tcW w:w="2280" w:type="pct"/>
            <w:shd w:val="clear" w:color="auto" w:fill="auto"/>
          </w:tcPr>
          <w:p w14:paraId="1FA1B93B"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snapToGrid w:val="0"/>
                <w:kern w:val="22"/>
                <w:szCs w:val="22"/>
                <w:lang w:val="ru-RU"/>
              </w:rPr>
              <w:t>Район, в котором присутствуют либо i) уникальные (единственные в своем роде), редкие (встречаются только в нескольких местах) или эндемичные виды, популяции или сообщества; и/или ii) уникальные, редкие или особые места обитания или экосистемы; и/или iii) уникальные или необычные геоморфологические или океанографические элементы</w:t>
            </w:r>
            <w:r w:rsidRPr="0088780C">
              <w:rPr>
                <w:rFonts w:eastAsia="MS Mincho"/>
                <w:bCs/>
                <w:snapToGrid w:val="0"/>
                <w:color w:val="000000"/>
                <w:kern w:val="22"/>
                <w:szCs w:val="22"/>
                <w:lang w:val="ru-RU"/>
              </w:rPr>
              <w:t>.</w:t>
            </w:r>
          </w:p>
        </w:tc>
        <w:tc>
          <w:tcPr>
            <w:tcW w:w="547" w:type="pct"/>
            <w:gridSpan w:val="2"/>
            <w:shd w:val="clear" w:color="auto" w:fill="auto"/>
          </w:tcPr>
          <w:p w14:paraId="1A4BDDA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547" w:type="pct"/>
            <w:gridSpan w:val="3"/>
            <w:shd w:val="clear" w:color="auto" w:fill="auto"/>
          </w:tcPr>
          <w:p w14:paraId="6B834BF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11" w:type="pct"/>
            <w:gridSpan w:val="2"/>
            <w:shd w:val="clear" w:color="auto" w:fill="auto"/>
          </w:tcPr>
          <w:p w14:paraId="2706766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36" w:type="pct"/>
            <w:gridSpan w:val="2"/>
            <w:shd w:val="clear" w:color="auto" w:fill="auto"/>
          </w:tcPr>
          <w:p w14:paraId="3DF963C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r>
      <w:tr w:rsidR="00A876F3" w:rsidRPr="0088780C" w14:paraId="6EF78DAF" w14:textId="77777777" w:rsidTr="006972AD">
        <w:tc>
          <w:tcPr>
            <w:tcW w:w="5000" w:type="pct"/>
            <w:gridSpan w:val="11"/>
            <w:shd w:val="clear" w:color="auto" w:fill="auto"/>
          </w:tcPr>
          <w:p w14:paraId="12EC515A" w14:textId="34B4B943"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lang w:val="en-US"/>
              </w:rPr>
            </w:pPr>
            <w:r w:rsidRPr="0088780C">
              <w:rPr>
                <w:rFonts w:eastAsia="MS Mincho"/>
                <w:i/>
                <w:snapToGrid w:val="0"/>
                <w:color w:val="000000"/>
                <w:kern w:val="22"/>
                <w:szCs w:val="22"/>
                <w:lang w:val="ru-RU"/>
              </w:rPr>
              <w:t>Объяснение ранжирования</w:t>
            </w:r>
          </w:p>
          <w:p w14:paraId="0EF9B3BA" w14:textId="14342133" w:rsidR="00A876F3" w:rsidRPr="0088780C" w:rsidRDefault="00A876F3" w:rsidP="001013AF">
            <w:pPr>
              <w:suppressLineNumbers/>
              <w:suppressAutoHyphens/>
              <w:kinsoku w:val="0"/>
              <w:overflowPunct w:val="0"/>
              <w:autoSpaceDE w:val="0"/>
              <w:autoSpaceDN w:val="0"/>
              <w:ind w:right="200"/>
              <w:textAlignment w:val="baseline"/>
              <w:rPr>
                <w:rFonts w:eastAsia="Times New Roman"/>
                <w:snapToGrid w:val="0"/>
                <w:color w:val="000000"/>
                <w:kern w:val="22"/>
                <w:szCs w:val="22"/>
                <w:lang w:val="en-US" w:eastAsia="ru-RU"/>
              </w:rPr>
            </w:pPr>
            <w:r w:rsidRPr="0088780C">
              <w:rPr>
                <w:rFonts w:eastAsia="MS Mincho"/>
                <w:snapToGrid w:val="0"/>
                <w:color w:val="000000"/>
                <w:kern w:val="22"/>
                <w:szCs w:val="22"/>
                <w:lang w:val="ru-RU"/>
              </w:rPr>
              <w:t>В Гызыл-Агачском Залив присутствуют редкие и эндемичные виды птиц, рыб и млекопитающих.</w:t>
            </w:r>
          </w:p>
          <w:p w14:paraId="1C70ABBB" w14:textId="77777777" w:rsidR="00A876F3" w:rsidRPr="0088780C" w:rsidRDefault="00A876F3" w:rsidP="001013AF">
            <w:pPr>
              <w:suppressLineNumbers/>
              <w:suppressAutoHyphens/>
              <w:kinsoku w:val="0"/>
              <w:overflowPunct w:val="0"/>
              <w:autoSpaceDE w:val="0"/>
              <w:autoSpaceDN w:val="0"/>
              <w:ind w:right="200"/>
              <w:textAlignment w:val="baseline"/>
              <w:rPr>
                <w:rFonts w:eastAsia="Times New Roman"/>
                <w:snapToGrid w:val="0"/>
                <w:color w:val="000000"/>
                <w:kern w:val="22"/>
                <w:szCs w:val="22"/>
                <w:lang w:val="ru-RU" w:eastAsia="ru-RU"/>
              </w:rPr>
            </w:pPr>
            <w:r w:rsidRPr="0088780C">
              <w:rPr>
                <w:rFonts w:eastAsia="Times New Roman"/>
                <w:snapToGrid w:val="0"/>
                <w:color w:val="000000"/>
                <w:kern w:val="22"/>
                <w:szCs w:val="22"/>
                <w:lang w:val="ru-RU" w:eastAsia="ru-RU"/>
              </w:rPr>
              <w:t xml:space="preserve">В разное время года на обследованной территории наблюдали </w:t>
            </w:r>
            <w:r w:rsidRPr="0088780C">
              <w:rPr>
                <w:rFonts w:eastAsia="Times New Roman"/>
                <w:b/>
                <w:snapToGrid w:val="0"/>
                <w:color w:val="000000"/>
                <w:kern w:val="22"/>
                <w:szCs w:val="22"/>
                <w:lang w:val="ru-RU" w:eastAsia="ru-RU"/>
              </w:rPr>
              <w:t>13 видов птиц, находящихся под угрозой исчезновения, включая кудрявый пеликан (Pelecanus crispus)</w:t>
            </w:r>
            <w:r w:rsidRPr="0088780C">
              <w:rPr>
                <w:rFonts w:eastAsia="Times New Roman"/>
                <w:snapToGrid w:val="0"/>
                <w:color w:val="000000"/>
                <w:kern w:val="22"/>
                <w:szCs w:val="22"/>
                <w:lang w:val="ru-RU" w:eastAsia="ru-RU"/>
              </w:rPr>
              <w:t xml:space="preserve">. </w:t>
            </w:r>
            <w:r w:rsidRPr="0088780C">
              <w:rPr>
                <w:rFonts w:eastAsia="Times New Roman"/>
                <w:b/>
                <w:snapToGrid w:val="0"/>
                <w:color w:val="000000"/>
                <w:kern w:val="22"/>
                <w:szCs w:val="22"/>
                <w:lang w:val="ru-RU" w:eastAsia="ru-RU"/>
              </w:rPr>
              <w:t>6 из 13 видов этих птиц, встречающих в Гызыл-Агачском заповеднике, занесены в Красную книгу Азербайджана (2013</w:t>
            </w:r>
            <w:r w:rsidRPr="0088780C">
              <w:rPr>
                <w:rFonts w:eastAsia="Times New Roman"/>
                <w:snapToGrid w:val="0"/>
                <w:color w:val="000000"/>
                <w:kern w:val="22"/>
                <w:szCs w:val="22"/>
                <w:lang w:val="ru-RU" w:eastAsia="ru-RU"/>
              </w:rPr>
              <w:t>).</w:t>
            </w:r>
            <w:r w:rsidRPr="0088780C">
              <w:rPr>
                <w:snapToGrid w:val="0"/>
                <w:kern w:val="22"/>
                <w:szCs w:val="22"/>
                <w:lang w:val="ru-RU"/>
              </w:rPr>
              <w:t xml:space="preserve"> (Paynter, D., Aarvak, T., and Sultanov, E., 1996).</w:t>
            </w:r>
          </w:p>
          <w:p w14:paraId="2978F183" w14:textId="2EEA5D8C" w:rsidR="00A876F3" w:rsidRPr="0088780C" w:rsidRDefault="00A876F3" w:rsidP="001013AF">
            <w:pPr>
              <w:suppressLineNumbers/>
              <w:suppressAutoHyphens/>
              <w:kinsoku w:val="0"/>
              <w:overflowPunct w:val="0"/>
              <w:autoSpaceDE w:val="0"/>
              <w:autoSpaceDN w:val="0"/>
              <w:ind w:right="200"/>
              <w:textAlignment w:val="baseline"/>
              <w:rPr>
                <w:rFonts w:eastAsia="Times New Roman"/>
                <w:snapToGrid w:val="0"/>
                <w:color w:val="000000"/>
                <w:kern w:val="22"/>
                <w:szCs w:val="22"/>
                <w:lang w:val="en-US" w:eastAsia="ru-RU"/>
              </w:rPr>
            </w:pPr>
            <w:r w:rsidRPr="0088780C">
              <w:rPr>
                <w:rFonts w:eastAsia="MS Mincho"/>
                <w:snapToGrid w:val="0"/>
                <w:kern w:val="22"/>
                <w:szCs w:val="22"/>
                <w:lang w:val="ru-RU"/>
              </w:rPr>
              <w:t>Широкую известность Гызыл-Агачскому заповеднику принесла расположенные на его территории зимовки водоплавающих птиц. Гызыл-Агачский заповедник является Рамсарской территорией. Зимующие здесь утки, гуси, лебеди, лысуха входят в состав в состав «западносибирской каспийско-нильской» популяции водоплавающих птиц. Гнездящиеся на севере Западной Сибири, Южном Урале и в Северо-Западном Казахстане птицы зимуют преимущественно на побережьях Каспия, в странах Ближнего Востока и в долине Нила. Видовой состав водоплавающих птиц разнообразен. Сюда прилетают лебеди-шипуны, серые гуси и пискульки, кулики, благородные, или речные утки (кряквы, серые, шилохвости, широконосики, чирки-свистунки), красноголовые нырки, лысухи. Нырковые утки обычно составляют около половины от общего числа водоплавающих птиц. Максимальная численность – 290-500 тыс. наблюдалась в зимние периоды 1971-1973 гг. Максимальная численность пеганок и огарей составляет всего 400-500 особей. Изредка единичными экземплярами встречаются большой и средний крохали, турпан, савка. Зимовка этих видов нетипична и относится к случайным залетам. Лысуха вместе с султанской курицей, камышницей относится к отряду пастушковых птиц, а по экологическим особенностям к группе водоплавающих. Максимальная численность лысух составляет 390-242 тысячи в зимние сезоны 1971-1972 и 1976-1977 гг. В Гызыл-Агачском заливе встречается до 2-3 тысяч особей фламинго (Кривоносов, 1977). В Большом Гызыл-Агачском заливе зимой и весной встречается каспийский тюлень. В настоящее время занесен в Красную книгу IUCN (2008) и Азербайджана (2012) как вид, находящийся под угрозой исчезновения.</w:t>
            </w:r>
          </w:p>
          <w:p w14:paraId="1FD5FA7F" w14:textId="77777777" w:rsidR="00A876F3" w:rsidRPr="0088780C" w:rsidRDefault="00A876F3" w:rsidP="001013AF">
            <w:pPr>
              <w:suppressLineNumbers/>
              <w:suppressAutoHyphens/>
              <w:kinsoku w:val="0"/>
              <w:overflowPunct w:val="0"/>
              <w:autoSpaceDE w:val="0"/>
              <w:autoSpaceDN w:val="0"/>
              <w:ind w:right="200"/>
              <w:textAlignment w:val="baseline"/>
              <w:rPr>
                <w:rFonts w:eastAsia="MS Mincho"/>
                <w:b/>
                <w:bCs/>
                <w:snapToGrid w:val="0"/>
                <w:color w:val="000000"/>
                <w:kern w:val="22"/>
                <w:szCs w:val="22"/>
                <w:lang w:val="ru-RU"/>
              </w:rPr>
            </w:pPr>
            <w:r w:rsidRPr="0088780C">
              <w:rPr>
                <w:rFonts w:eastAsia="MS Mincho"/>
                <w:snapToGrid w:val="0"/>
                <w:color w:val="000000"/>
                <w:kern w:val="22"/>
                <w:szCs w:val="22"/>
                <w:lang w:val="ru-RU"/>
              </w:rPr>
              <w:t>Около 500 000 зимующих птиц встречаются в заливе.  (Sultanov</w:t>
            </w:r>
            <w:r w:rsidRPr="0088780C">
              <w:rPr>
                <w:rFonts w:eastAsia="Times New Roman"/>
                <w:snapToGrid w:val="0"/>
                <w:color w:val="000000"/>
                <w:kern w:val="22"/>
                <w:szCs w:val="22"/>
                <w:lang w:val="ru-RU" w:eastAsia="ru-RU"/>
              </w:rPr>
              <w:t>, 2004, 2008).</w:t>
            </w:r>
          </w:p>
        </w:tc>
      </w:tr>
      <w:tr w:rsidR="00A876F3" w:rsidRPr="0088780C" w14:paraId="4E2EA378" w14:textId="77777777" w:rsidTr="006972AD">
        <w:tc>
          <w:tcPr>
            <w:tcW w:w="779" w:type="pct"/>
            <w:shd w:val="clear" w:color="auto" w:fill="auto"/>
          </w:tcPr>
          <w:p w14:paraId="2A037194"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lang w:val="ru-RU"/>
              </w:rPr>
            </w:pPr>
            <w:r w:rsidRPr="0088780C">
              <w:rPr>
                <w:b/>
                <w:snapToGrid w:val="0"/>
                <w:kern w:val="22"/>
                <w:szCs w:val="22"/>
                <w:lang w:val="ru-RU"/>
              </w:rPr>
              <w:t>Особо важное значение для этапов цикла развития видов</w:t>
            </w:r>
          </w:p>
        </w:tc>
        <w:tc>
          <w:tcPr>
            <w:tcW w:w="2280" w:type="pct"/>
            <w:shd w:val="clear" w:color="auto" w:fill="auto"/>
          </w:tcPr>
          <w:p w14:paraId="6129101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lang w:val="ru-RU"/>
              </w:rPr>
            </w:pPr>
            <w:r w:rsidRPr="0088780C">
              <w:rPr>
                <w:snapToGrid w:val="0"/>
                <w:kern w:val="22"/>
                <w:szCs w:val="22"/>
                <w:lang w:val="ru-RU"/>
              </w:rPr>
              <w:t>Район, необходимый для выживания и успешного обитания популяции.</w:t>
            </w:r>
          </w:p>
        </w:tc>
        <w:tc>
          <w:tcPr>
            <w:tcW w:w="684" w:type="pct"/>
            <w:gridSpan w:val="3"/>
            <w:shd w:val="clear" w:color="auto" w:fill="auto"/>
          </w:tcPr>
          <w:p w14:paraId="7F5BD7B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10" w:type="pct"/>
            <w:gridSpan w:val="2"/>
            <w:shd w:val="clear" w:color="auto" w:fill="auto"/>
          </w:tcPr>
          <w:p w14:paraId="01705823"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11" w:type="pct"/>
            <w:gridSpan w:val="2"/>
            <w:shd w:val="clear" w:color="auto" w:fill="auto"/>
          </w:tcPr>
          <w:p w14:paraId="4DF1EE8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36" w:type="pct"/>
            <w:gridSpan w:val="2"/>
            <w:shd w:val="clear" w:color="auto" w:fill="auto"/>
          </w:tcPr>
          <w:p w14:paraId="5558E3F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r>
      <w:tr w:rsidR="00A876F3" w:rsidRPr="0088780C" w14:paraId="7AC8604D" w14:textId="77777777" w:rsidTr="006972AD">
        <w:tc>
          <w:tcPr>
            <w:tcW w:w="5000" w:type="pct"/>
            <w:gridSpan w:val="11"/>
            <w:shd w:val="clear" w:color="auto" w:fill="auto"/>
          </w:tcPr>
          <w:p w14:paraId="6E420E87" w14:textId="70138A4A"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lang w:val="en-US"/>
              </w:rPr>
            </w:pPr>
            <w:r w:rsidRPr="0088780C">
              <w:rPr>
                <w:rFonts w:eastAsia="MS Mincho"/>
                <w:i/>
                <w:snapToGrid w:val="0"/>
                <w:color w:val="000000"/>
                <w:kern w:val="22"/>
                <w:szCs w:val="22"/>
                <w:lang w:val="ru-RU"/>
              </w:rPr>
              <w:t>Объяснение ранжирования</w:t>
            </w:r>
          </w:p>
          <w:p w14:paraId="77344C5F" w14:textId="38AD2F32"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Большой и Малый Гызылагачский заливы являются местом скопления наиболее ценных и редких видов фауны рыб республики.</w:t>
            </w:r>
          </w:p>
          <w:p w14:paraId="2C62D81E" w14:textId="66F863CF"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Благодаря мелководности, умеренной зарастаемости водоема, хорошему кормовому, водному и температурным режимам, оба залива играют важную роль в воспроизводстве рыбных запасов и успешного обитания Каспийского моря. Кроме того, в данном районе находятся места обитания (отдыха, гнездования, питания) многих популяций водоплавающих птиц.</w:t>
            </w:r>
          </w:p>
          <w:p w14:paraId="6709B743"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r>
      <w:tr w:rsidR="00A876F3" w:rsidRPr="0088780C" w14:paraId="6BB16A4D" w14:textId="77777777" w:rsidTr="006972AD">
        <w:tc>
          <w:tcPr>
            <w:tcW w:w="779" w:type="pct"/>
            <w:shd w:val="clear" w:color="auto" w:fill="auto"/>
          </w:tcPr>
          <w:p w14:paraId="74235771"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lang w:val="ru-RU"/>
              </w:rPr>
            </w:pPr>
            <w:r w:rsidRPr="0088780C">
              <w:rPr>
                <w:b/>
                <w:snapToGrid w:val="0"/>
                <w:kern w:val="22"/>
                <w:szCs w:val="22"/>
                <w:lang w:val="ru-RU"/>
              </w:rPr>
              <w:t>Важное значение для угрожаемых, находящихся под угрозой исчезновения или исчезающих видов и/или мест обитания</w:t>
            </w:r>
          </w:p>
        </w:tc>
        <w:tc>
          <w:tcPr>
            <w:tcW w:w="2280" w:type="pct"/>
            <w:shd w:val="clear" w:color="auto" w:fill="auto"/>
          </w:tcPr>
          <w:p w14:paraId="0ADE726E"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snapToGrid w:val="0"/>
                <w:kern w:val="22"/>
                <w:szCs w:val="22"/>
                <w:lang w:val="ru-RU"/>
              </w:rPr>
              <w:t xml:space="preserve">Район, </w:t>
            </w:r>
            <w:r w:rsidRPr="0088780C">
              <w:rPr>
                <w:snapToGrid w:val="0"/>
                <w:kern w:val="22"/>
                <w:szCs w:val="22"/>
                <w:lang w:val="ru-RU" w:eastAsia="ko-KR"/>
              </w:rPr>
              <w:t>содержащий место обитания для выживания или восстановления</w:t>
            </w:r>
            <w:r w:rsidRPr="0088780C">
              <w:rPr>
                <w:snapToGrid w:val="0"/>
                <w:kern w:val="22"/>
                <w:szCs w:val="22"/>
                <w:lang w:val="ru-RU"/>
              </w:rPr>
              <w:t xml:space="preserve"> находящихся под угрозой исчезновения, угрожаемых или исчезающих видов; или район, содержащий значительные сообщества таких видов</w:t>
            </w:r>
            <w:r w:rsidRPr="0088780C">
              <w:rPr>
                <w:rFonts w:eastAsia="MS Mincho"/>
                <w:bCs/>
                <w:snapToGrid w:val="0"/>
                <w:color w:val="000000"/>
                <w:kern w:val="22"/>
                <w:szCs w:val="22"/>
                <w:lang w:val="ru-RU"/>
              </w:rPr>
              <w:t>.</w:t>
            </w:r>
          </w:p>
        </w:tc>
        <w:tc>
          <w:tcPr>
            <w:tcW w:w="684" w:type="pct"/>
            <w:gridSpan w:val="3"/>
            <w:shd w:val="clear" w:color="auto" w:fill="auto"/>
          </w:tcPr>
          <w:p w14:paraId="12D89A7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10" w:type="pct"/>
            <w:gridSpan w:val="2"/>
            <w:shd w:val="clear" w:color="auto" w:fill="auto"/>
          </w:tcPr>
          <w:p w14:paraId="1AAB6D8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11" w:type="pct"/>
            <w:gridSpan w:val="2"/>
            <w:shd w:val="clear" w:color="auto" w:fill="auto"/>
          </w:tcPr>
          <w:p w14:paraId="3D96804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36" w:type="pct"/>
            <w:gridSpan w:val="2"/>
            <w:shd w:val="clear" w:color="auto" w:fill="auto"/>
          </w:tcPr>
          <w:p w14:paraId="51C41DA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r>
      <w:tr w:rsidR="00A876F3" w:rsidRPr="0088780C" w14:paraId="7DC9BBFA" w14:textId="77777777" w:rsidTr="006972AD">
        <w:tc>
          <w:tcPr>
            <w:tcW w:w="5000" w:type="pct"/>
            <w:gridSpan w:val="11"/>
            <w:shd w:val="clear" w:color="auto" w:fill="auto"/>
          </w:tcPr>
          <w:p w14:paraId="1047EA63"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lang w:val="ru-RU"/>
              </w:rPr>
            </w:pPr>
            <w:r w:rsidRPr="0088780C">
              <w:rPr>
                <w:rFonts w:eastAsia="MS Mincho"/>
                <w:i/>
                <w:snapToGrid w:val="0"/>
                <w:color w:val="000000"/>
                <w:kern w:val="22"/>
                <w:szCs w:val="22"/>
                <w:lang w:val="ru-RU"/>
              </w:rPr>
              <w:t>Объяснение ранжирования</w:t>
            </w:r>
          </w:p>
          <w:p w14:paraId="31F78659" w14:textId="6219E373"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en-US"/>
              </w:rPr>
            </w:pPr>
            <w:r w:rsidRPr="0088780C">
              <w:rPr>
                <w:rFonts w:eastAsia="MS Mincho"/>
                <w:snapToGrid w:val="0"/>
                <w:color w:val="000000"/>
                <w:kern w:val="22"/>
                <w:szCs w:val="22"/>
                <w:lang w:val="ru-RU"/>
              </w:rPr>
              <w:t>Гызыл-Агачский залив содержит места обитания для выживания и восстановления многих видов фауны (водоплавающих птиц, осетровых и каспийского тюленя) Каспийского моря, находящихся под угрозой исчезновения.</w:t>
            </w:r>
          </w:p>
          <w:p w14:paraId="7FE9C883"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p w14:paraId="46BE5508"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r w:rsidRPr="0088780C">
              <w:rPr>
                <w:rFonts w:eastAsia="MS Mincho"/>
                <w:snapToGrid w:val="0"/>
                <w:color w:val="000000"/>
                <w:kern w:val="22"/>
                <w:szCs w:val="22"/>
                <w:lang w:val="ru-RU"/>
              </w:rPr>
              <w:t>Азербайджан занимает третье место в Западной Палеарктике по количеству зимующих водоплавающих птиц (более 1,0 млн., Rose &amp; Taylor, 1993) Каспийско-Западно-Сибирско-Восточно-Африканского пролетного пути. По данным Т. Воробьевой (1970), в Каспийском регионе во время миграций ежегодно встречаются до 10-12 млн. водоплавающих птиц, а зимой - 3-3,5 млн. особей (Воробьева, 1979, Кривоносов, 1979). В Азербайджане зимуют около 1,2-1,3 млн. водно-болотных птиц (Султанов, Мустафаев, 1994, Султанов, 1997).</w:t>
            </w:r>
          </w:p>
          <w:p w14:paraId="0ED0EF19"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p w14:paraId="14D9ACE0" w14:textId="13645080" w:rsidR="00A876F3" w:rsidRPr="0088780C" w:rsidRDefault="00A876F3" w:rsidP="0058765B">
            <w:pPr>
              <w:suppressLineNumbers/>
              <w:suppressAutoHyphens/>
              <w:kinsoku w:val="0"/>
              <w:overflowPunct w:val="0"/>
              <w:autoSpaceDE w:val="0"/>
              <w:autoSpaceDN w:val="0"/>
              <w:adjustRightInd w:val="0"/>
              <w:rPr>
                <w:rFonts w:eastAsia="MS Mincho"/>
                <w:snapToGrid w:val="0"/>
                <w:color w:val="000000"/>
                <w:kern w:val="22"/>
                <w:szCs w:val="22"/>
                <w:lang w:val="en-US"/>
              </w:rPr>
            </w:pPr>
            <w:r w:rsidRPr="0088780C">
              <w:rPr>
                <w:snapToGrid w:val="0"/>
                <w:kern w:val="22"/>
                <w:szCs w:val="22"/>
                <w:lang w:val="ru-RU"/>
              </w:rPr>
              <w:t>По оценкам (Султанова, 2008), вдоль берегов Азербайджана размножается не менее 250000 птиц. Количество перелетных птиц в 8-10 раз больше, чем зимующих птиц. Особенно много птиц встречается на протяжении длительного периода года (с октября по апрель) встречаются на озерах, расположенных ближе к морю (ближе к путям миграции). В зимний период большинство водоплавающих птиц составляют утки (более 1000000), лысухи (около 200 000), гуси (около 40 000), а также много лебедей (до 30 000 особей в чрезвычайно холодные зимы) и пеликаны (до 3000); Во время гнездования втречаются цапли, ибисы, крачки, чайки, бакланы и др. В сезон миграций встречаются также кулики. В зимний период в заливе преобладают утки и лысухи (63-84%), а в начале сезона размножения встречаются больше представителей Lariidae (34-61%), бакланов (5-9%) и цапель (6- 13% с куликами). В период миграций значительна доля куликов и цаплей до 26-27%. Бакланы и фламинго (до 6%), как правило, встречаются с октября по март; Лебедей (до 0,4%) и гусей (2,7 %) в основном можно обнаружить с января по март.</w:t>
            </w:r>
          </w:p>
        </w:tc>
      </w:tr>
      <w:tr w:rsidR="00A876F3" w:rsidRPr="0088780C" w14:paraId="6F8FF95A" w14:textId="77777777" w:rsidTr="001013AF">
        <w:trPr>
          <w:cantSplit/>
        </w:trPr>
        <w:tc>
          <w:tcPr>
            <w:tcW w:w="779" w:type="pct"/>
            <w:shd w:val="clear" w:color="auto" w:fill="auto"/>
          </w:tcPr>
          <w:p w14:paraId="3F3D70C6"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lang w:val="ru-RU"/>
              </w:rPr>
            </w:pPr>
            <w:r w:rsidRPr="0088780C">
              <w:rPr>
                <w:b/>
                <w:snapToGrid w:val="0"/>
                <w:kern w:val="22"/>
                <w:szCs w:val="22"/>
                <w:lang w:val="ru-RU"/>
              </w:rPr>
              <w:t>Уязвимость, хрупкость, чувствительность или медленные темпы восстановления</w:t>
            </w:r>
          </w:p>
        </w:tc>
        <w:tc>
          <w:tcPr>
            <w:tcW w:w="2280" w:type="pct"/>
            <w:shd w:val="clear" w:color="auto" w:fill="auto"/>
          </w:tcPr>
          <w:p w14:paraId="331C4368"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snapToGrid w:val="0"/>
                <w:kern w:val="22"/>
                <w:szCs w:val="22"/>
                <w:lang w:val="ru-RU"/>
              </w:rPr>
              <w:t>Район, содержащий относительно большое число чувствительных мест обитания, биотопов или видов, функционально хрупких (чрезвычайно подверженных деградации или истощению вследствие антропогенной деятельности или природных событий) или отличающихся медленными темпами восстановления</w:t>
            </w:r>
            <w:r w:rsidRPr="0088780C">
              <w:rPr>
                <w:rFonts w:eastAsia="MS Mincho"/>
                <w:bCs/>
                <w:snapToGrid w:val="0"/>
                <w:color w:val="000000"/>
                <w:kern w:val="22"/>
                <w:szCs w:val="22"/>
                <w:lang w:val="ru-RU"/>
              </w:rPr>
              <w:t>.</w:t>
            </w:r>
          </w:p>
        </w:tc>
        <w:tc>
          <w:tcPr>
            <w:tcW w:w="684" w:type="pct"/>
            <w:gridSpan w:val="3"/>
            <w:shd w:val="clear" w:color="auto" w:fill="auto"/>
          </w:tcPr>
          <w:p w14:paraId="5E52C0B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p>
        </w:tc>
        <w:tc>
          <w:tcPr>
            <w:tcW w:w="410" w:type="pct"/>
            <w:gridSpan w:val="2"/>
            <w:shd w:val="clear" w:color="auto" w:fill="auto"/>
          </w:tcPr>
          <w:p w14:paraId="27B77DA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p>
        </w:tc>
        <w:tc>
          <w:tcPr>
            <w:tcW w:w="411" w:type="pct"/>
            <w:gridSpan w:val="2"/>
            <w:shd w:val="clear" w:color="auto" w:fill="auto"/>
          </w:tcPr>
          <w:p w14:paraId="455C355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p>
        </w:tc>
        <w:tc>
          <w:tcPr>
            <w:tcW w:w="436" w:type="pct"/>
            <w:gridSpan w:val="2"/>
            <w:shd w:val="clear" w:color="auto" w:fill="auto"/>
          </w:tcPr>
          <w:p w14:paraId="7D7794A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r>
      <w:tr w:rsidR="00A876F3" w:rsidRPr="0088780C" w14:paraId="51563AB7" w14:textId="77777777" w:rsidTr="006972AD">
        <w:tc>
          <w:tcPr>
            <w:tcW w:w="5000" w:type="pct"/>
            <w:gridSpan w:val="11"/>
            <w:shd w:val="clear" w:color="auto" w:fill="auto"/>
          </w:tcPr>
          <w:p w14:paraId="015DF499"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lang w:val="ru-RU"/>
              </w:rPr>
            </w:pPr>
            <w:r w:rsidRPr="0088780C">
              <w:rPr>
                <w:rFonts w:eastAsia="MS Mincho"/>
                <w:i/>
                <w:snapToGrid w:val="0"/>
                <w:color w:val="000000"/>
                <w:kern w:val="22"/>
                <w:szCs w:val="22"/>
                <w:lang w:val="ru-RU"/>
              </w:rPr>
              <w:t>Объяснение ранжирования</w:t>
            </w:r>
          </w:p>
          <w:p w14:paraId="0C7D51A6"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color w:val="000000"/>
                <w:kern w:val="22"/>
                <w:szCs w:val="22"/>
                <w:lang w:val="ru-RU"/>
              </w:rPr>
            </w:pPr>
          </w:p>
          <w:p w14:paraId="3EB20C65"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val="ru-RU"/>
              </w:rPr>
            </w:pPr>
            <w:r w:rsidRPr="0088780C">
              <w:rPr>
                <w:snapToGrid w:val="0"/>
                <w:kern w:val="22"/>
                <w:szCs w:val="22"/>
                <w:lang w:val="ru-RU"/>
              </w:rPr>
              <w:t>Осетровые – древнейшее семейство пресноводных рыб, появившееся 200–250 миллионов лет назад. Они отличаются от современных костистых рыб хрящевым скелетом. Нотохорда покрыта жесткой оболочкой, которая поддерживает хрящевую структуру (Hochleithner and Gessner, 1999). Спинная хорда (струна) расположена под нотохордой. Хвостовой плавник, как правило, неравнолопастной, с продолжением спинной струны к верхней части тела.</w:t>
            </w:r>
          </w:p>
          <w:p w14:paraId="4F9261C9"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val="ru-RU"/>
              </w:rPr>
            </w:pPr>
          </w:p>
          <w:p w14:paraId="3DBE2B25" w14:textId="6DD5072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lang w:val="en-US"/>
              </w:rPr>
            </w:pPr>
            <w:r w:rsidRPr="0088780C">
              <w:rPr>
                <w:rFonts w:eastAsia="MS Mincho"/>
                <w:snapToGrid w:val="0"/>
                <w:kern w:val="22"/>
                <w:szCs w:val="22"/>
                <w:lang w:val="ru-RU"/>
              </w:rPr>
              <w:t>В Большом заливе встречаются 4 вида осетровых (белуга (</w:t>
            </w:r>
            <w:r w:rsidRPr="0088780C">
              <w:rPr>
                <w:rFonts w:eastAsia="MS Mincho"/>
                <w:i/>
                <w:snapToGrid w:val="0"/>
                <w:kern w:val="22"/>
                <w:szCs w:val="22"/>
                <w:lang w:val="ru-RU"/>
              </w:rPr>
              <w:t xml:space="preserve">Huso huso </w:t>
            </w:r>
            <w:r w:rsidRPr="0088780C">
              <w:rPr>
                <w:rFonts w:eastAsia="MS Mincho"/>
                <w:snapToGrid w:val="0"/>
                <w:kern w:val="22"/>
                <w:szCs w:val="22"/>
                <w:lang w:val="ru-RU"/>
              </w:rPr>
              <w:t>Linnaeus,</w:t>
            </w:r>
            <w:r w:rsidRPr="0088780C">
              <w:rPr>
                <w:rFonts w:eastAsia="MS Mincho"/>
                <w:i/>
                <w:snapToGrid w:val="0"/>
                <w:kern w:val="22"/>
                <w:szCs w:val="22"/>
                <w:lang w:val="ru-RU"/>
              </w:rPr>
              <w:t xml:space="preserve"> 1758</w:t>
            </w:r>
            <w:r w:rsidRPr="0088780C">
              <w:rPr>
                <w:rFonts w:eastAsia="MS Mincho"/>
                <w:snapToGrid w:val="0"/>
                <w:kern w:val="22"/>
                <w:szCs w:val="22"/>
                <w:lang w:val="ru-RU"/>
              </w:rPr>
              <w:t>), куринский осетр (</w:t>
            </w:r>
            <w:r w:rsidRPr="0088780C">
              <w:rPr>
                <w:rFonts w:eastAsia="MS Mincho"/>
                <w:i/>
                <w:snapToGrid w:val="0"/>
                <w:kern w:val="22"/>
                <w:szCs w:val="22"/>
                <w:lang w:val="ru-RU"/>
              </w:rPr>
              <w:t>Acipenser persicus</w:t>
            </w:r>
            <w:r w:rsidRPr="0088780C">
              <w:rPr>
                <w:rFonts w:eastAsia="MS Mincho"/>
                <w:snapToGrid w:val="0"/>
                <w:kern w:val="22"/>
                <w:szCs w:val="22"/>
                <w:lang w:val="ru-RU"/>
              </w:rPr>
              <w:t xml:space="preserve"> Borodin, 1897), севрюга (</w:t>
            </w:r>
            <w:r w:rsidRPr="0088780C">
              <w:rPr>
                <w:rFonts w:eastAsia="MS Mincho"/>
                <w:i/>
                <w:snapToGrid w:val="0"/>
                <w:kern w:val="22"/>
                <w:szCs w:val="22"/>
                <w:lang w:val="ru-RU"/>
              </w:rPr>
              <w:t>Acipenser stellatus</w:t>
            </w:r>
            <w:r w:rsidRPr="0088780C">
              <w:rPr>
                <w:rFonts w:eastAsia="MS Mincho"/>
                <w:snapToGrid w:val="0"/>
                <w:kern w:val="22"/>
                <w:szCs w:val="22"/>
                <w:lang w:val="ru-RU"/>
              </w:rPr>
              <w:t xml:space="preserve"> Brandt, 1869, шип), каспийский лосось (Salmo caspius). По запасам осетровых Каспийское море занимает первое место в мире (90 %).</w:t>
            </w:r>
          </w:p>
          <w:p w14:paraId="4389FD16"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shd w:val="clear" w:color="auto" w:fill="FFFFFF"/>
                <w:lang w:val="ru-RU"/>
              </w:rPr>
            </w:pPr>
          </w:p>
          <w:p w14:paraId="1FBF1C3F" w14:textId="20804E18" w:rsidR="00A876F3" w:rsidRPr="0088780C" w:rsidRDefault="00A876F3" w:rsidP="001013AF">
            <w:pPr>
              <w:suppressLineNumbers/>
              <w:suppressAutoHyphens/>
              <w:kinsoku w:val="0"/>
              <w:overflowPunct w:val="0"/>
              <w:autoSpaceDE w:val="0"/>
              <w:autoSpaceDN w:val="0"/>
              <w:adjustRightInd w:val="0"/>
              <w:rPr>
                <w:snapToGrid w:val="0"/>
                <w:kern w:val="22"/>
                <w:szCs w:val="22"/>
                <w:lang w:val="en-US"/>
              </w:rPr>
            </w:pPr>
            <w:r w:rsidRPr="0088780C">
              <w:rPr>
                <w:rFonts w:eastAsia="MS Mincho"/>
                <w:snapToGrid w:val="0"/>
                <w:kern w:val="22"/>
                <w:szCs w:val="22"/>
                <w:lang w:val="ru-RU"/>
              </w:rPr>
              <w:t>За последние десятилетия численность и запасы осетровых рыб в Каспийском море катастрофически сократились (</w:t>
            </w:r>
            <w:r w:rsidRPr="0088780C">
              <w:rPr>
                <w:snapToGrid w:val="0"/>
                <w:kern w:val="22"/>
                <w:szCs w:val="22"/>
                <w:lang w:val="ru-RU"/>
              </w:rPr>
              <w:t>Khodorevskaya and Krasikov, 1999; Pourkazemi, 2006; Khodorevskaya et al., 2009).</w:t>
            </w:r>
          </w:p>
          <w:p w14:paraId="01AB5BE8"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lang w:val="ru-RU"/>
              </w:rPr>
            </w:pPr>
          </w:p>
          <w:p w14:paraId="25F17D8B"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lang w:val="ru-RU"/>
              </w:rPr>
            </w:pPr>
            <w:r w:rsidRPr="0088780C">
              <w:rPr>
                <w:rFonts w:eastAsia="MS Mincho"/>
                <w:snapToGrid w:val="0"/>
                <w:kern w:val="22"/>
                <w:szCs w:val="22"/>
                <w:lang w:val="ru-RU"/>
              </w:rPr>
              <w:t>По данным МСОП, опубликованным в марте 2010 года, все четыре вида каспийских осетровых рассматриваются как виды, находящиеся под угрозой исчезновения (IUCN, 2010). Сообщалось, что «85 % осетровых находятся под угрозой исчезновения, что делает их наиболее уязвимой группой животных, находящихся под угрозой исчезновения в Красном списке МСОП » (МСОП, 2010 г.).</w:t>
            </w:r>
          </w:p>
          <w:p w14:paraId="3C6A020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lang w:val="ru-RU"/>
              </w:rPr>
            </w:pPr>
          </w:p>
          <w:p w14:paraId="49DDCBA5" w14:textId="7540A9FC"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lang w:val="en-US"/>
              </w:rPr>
            </w:pPr>
            <w:r w:rsidRPr="0088780C">
              <w:rPr>
                <w:snapToGrid w:val="0"/>
                <w:kern w:val="22"/>
                <w:szCs w:val="22"/>
                <w:lang w:val="ru-RU"/>
              </w:rPr>
              <w:t>Для осетровых характерна сложная внутривидовая структура: они имеет озимую и яровую формы, а внутри каждой из них выделяются более мелкие группы, различающиеся сроками захода в реки, размерами рыб, продолжительностью пребывания в пресной воде, сроками нереста и т.д. Осетровые поздносозревающие виды рыб. Половая зрелость у большинства самцов наступает в возрасте 10–13 лет, а самки достигают половой зрелости в 12–16 лет. Нерестовая миграция осетровых растянута с конца марта- начала апреля до ноября. Промежуток между повторым нерестом составляет 2-3 года. Нерестилища расположены на участках с гравийным или каменистым дном, на глубине от 4 до 25 м, при скорости течения 1,0–1,5 м/сек. Достигнув длины чуть более 20 мм, предличинки осетра переходят на активное питание сначала планктоном, позднее – мелкими бентосными организмами. Взрослые рыбы после нереста также не задерживаются в реке и быстро скатываются в море. В море взрослые осетровые нагуливаются, в основном, на моллюсковых полях на глубинах от 2 до 100 м. Мальки нагуливаются на глубинах от 2 до 5 м. Помимо моллюсков, осетровые питаются и мелкой рыбой: в Каспийском море – бычками и килькой (Желтенкова, 1964). На нерестилищах икру осетровых поедают хищные рыбы гольцы и пескари. Высокая плодовитость осетровых связана с низкой выживаемостью потомства, обитающего в реке более продолжительное время. Выживаемость молоди осетровых в естественных условиях составляет 3 %. (Державин, 1954).</w:t>
            </w:r>
          </w:p>
          <w:p w14:paraId="5CDA5CB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kern w:val="22"/>
                <w:szCs w:val="22"/>
                <w:lang w:val="ru-RU"/>
              </w:rPr>
            </w:pPr>
          </w:p>
          <w:p w14:paraId="4024E321" w14:textId="4CC61C63" w:rsidR="00A876F3" w:rsidRPr="0088780C" w:rsidRDefault="00A876F3" w:rsidP="001013AF">
            <w:pPr>
              <w:suppressLineNumbers/>
              <w:suppressAutoHyphens/>
              <w:kinsoku w:val="0"/>
              <w:overflowPunct w:val="0"/>
              <w:autoSpaceDE w:val="0"/>
              <w:autoSpaceDN w:val="0"/>
              <w:adjustRightInd w:val="0"/>
              <w:rPr>
                <w:snapToGrid w:val="0"/>
                <w:kern w:val="22"/>
                <w:szCs w:val="22"/>
                <w:shd w:val="clear" w:color="auto" w:fill="FFFFFF"/>
                <w:lang w:val="en-US"/>
              </w:rPr>
            </w:pPr>
            <w:r w:rsidRPr="0088780C">
              <w:rPr>
                <w:rFonts w:eastAsia="MS Mincho"/>
                <w:snapToGrid w:val="0"/>
                <w:kern w:val="22"/>
                <w:szCs w:val="22"/>
                <w:lang w:val="ru-RU"/>
              </w:rPr>
              <w:t>Каспийский тюлень (Pusa caspica) – эндемик Каспийского моря и единственный представитель ластногих. В настоящее время численность каспийского тюленя сократилась на 90 % с 1 млн. особей ( в 1900 г.) до 100 000 особей и занесен в красный список МСОП в качестве вида, находящегося под угрозой исчезновения.</w:t>
            </w:r>
            <w:r w:rsidRPr="0088780C">
              <w:rPr>
                <w:snapToGrid w:val="0"/>
                <w:color w:val="333333"/>
                <w:kern w:val="22"/>
                <w:szCs w:val="22"/>
                <w:shd w:val="clear" w:color="auto" w:fill="FFFFFF"/>
                <w:lang w:val="ru-RU"/>
              </w:rPr>
              <w:t xml:space="preserve"> (</w:t>
            </w:r>
            <w:r w:rsidRPr="0088780C">
              <w:rPr>
                <w:snapToGrid w:val="0"/>
                <w:kern w:val="22"/>
                <w:szCs w:val="22"/>
                <w:shd w:val="clear" w:color="auto" w:fill="FFFFFF"/>
                <w:lang w:val="ru-RU"/>
              </w:rPr>
              <w:t>Härkönen T, Harding KC, Wilson S, Baimukanov M, Dmitrieva L, et al. (2012) Collapse of a marine mammal species driven by human impacts. PLoS One 7(9): e43130.</w:t>
            </w:r>
            <w:r w:rsidRPr="0088780C">
              <w:rPr>
                <w:rFonts w:eastAsia="MS Mincho"/>
                <w:snapToGrid w:val="0"/>
                <w:kern w:val="22"/>
                <w:szCs w:val="22"/>
                <w:lang w:val="ru-RU"/>
              </w:rPr>
              <w:t xml:space="preserve"> (</w:t>
            </w:r>
            <w:r w:rsidRPr="0088780C">
              <w:rPr>
                <w:snapToGrid w:val="0"/>
                <w:kern w:val="22"/>
                <w:szCs w:val="22"/>
                <w:shd w:val="clear" w:color="auto" w:fill="FFFFFF"/>
                <w:lang w:val="ru-RU"/>
              </w:rPr>
              <w:t xml:space="preserve">IUCN (2012) The IUCN Red List of Threatened Species. Version 2012.2. Available: </w:t>
            </w:r>
            <w:hyperlink r:id="rId311" w:history="1">
              <w:r w:rsidRPr="0088780C">
                <w:rPr>
                  <w:rStyle w:val="Hyperlink"/>
                  <w:snapToGrid w:val="0"/>
                  <w:kern w:val="22"/>
                  <w:szCs w:val="22"/>
                  <w:shd w:val="clear" w:color="auto" w:fill="FFFFFF"/>
                  <w:lang w:val="ru-RU"/>
                </w:rPr>
                <w:t>http://www.iucnredlist.org</w:t>
              </w:r>
            </w:hyperlink>
            <w:r w:rsidRPr="0088780C">
              <w:rPr>
                <w:snapToGrid w:val="0"/>
                <w:kern w:val="22"/>
                <w:szCs w:val="22"/>
                <w:shd w:val="clear" w:color="auto" w:fill="FFFFFF"/>
                <w:lang w:val="ru-RU"/>
              </w:rPr>
              <w:t>. Accessed 2012 Nov 15).</w:t>
            </w:r>
          </w:p>
          <w:p w14:paraId="622A375D"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shd w:val="clear" w:color="auto" w:fill="FFFFFF"/>
                <w:lang w:val="ru-RU"/>
              </w:rPr>
            </w:pPr>
          </w:p>
          <w:p w14:paraId="3470400E" w14:textId="0A70F9FF" w:rsidR="00A876F3" w:rsidRPr="0088780C" w:rsidRDefault="00A876F3" w:rsidP="0058765B">
            <w:pPr>
              <w:suppressLineNumbers/>
              <w:suppressAutoHyphens/>
              <w:kinsoku w:val="0"/>
              <w:overflowPunct w:val="0"/>
              <w:autoSpaceDE w:val="0"/>
              <w:autoSpaceDN w:val="0"/>
              <w:adjustRightInd w:val="0"/>
              <w:rPr>
                <w:rFonts w:eastAsia="MS Mincho"/>
                <w:snapToGrid w:val="0"/>
                <w:color w:val="000000"/>
                <w:kern w:val="22"/>
                <w:szCs w:val="22"/>
                <w:lang w:val="ru-RU"/>
              </w:rPr>
            </w:pPr>
            <w:r w:rsidRPr="0088780C">
              <w:rPr>
                <w:snapToGrid w:val="0"/>
                <w:kern w:val="22"/>
                <w:szCs w:val="22"/>
                <w:shd w:val="clear" w:color="auto" w:fill="FFFFFF"/>
                <w:lang w:val="ru-RU"/>
              </w:rPr>
              <w:t>Основной причиной уязвимости и сокращения численности птиц явились изменения природных угодий Гызыл-Агачского заповедника и всей Ленкоранской низменности.</w:t>
            </w:r>
          </w:p>
        </w:tc>
      </w:tr>
      <w:tr w:rsidR="00A876F3" w:rsidRPr="0088780C" w14:paraId="103B7518" w14:textId="77777777" w:rsidTr="006972AD">
        <w:tc>
          <w:tcPr>
            <w:tcW w:w="779" w:type="pct"/>
            <w:shd w:val="clear" w:color="auto" w:fill="auto"/>
          </w:tcPr>
          <w:p w14:paraId="74177251"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lang w:val="ru-RU"/>
              </w:rPr>
            </w:pPr>
            <w:r w:rsidRPr="0088780C">
              <w:rPr>
                <w:b/>
                <w:snapToGrid w:val="0"/>
                <w:kern w:val="22"/>
                <w:szCs w:val="22"/>
                <w:lang w:val="ru-RU"/>
              </w:rPr>
              <w:t>Биологическая производительность</w:t>
            </w:r>
          </w:p>
        </w:tc>
        <w:tc>
          <w:tcPr>
            <w:tcW w:w="2280" w:type="pct"/>
            <w:shd w:val="clear" w:color="auto" w:fill="auto"/>
          </w:tcPr>
          <w:p w14:paraId="42898696"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snapToGrid w:val="0"/>
                <w:kern w:val="22"/>
                <w:szCs w:val="22"/>
                <w:lang w:val="ru-RU"/>
              </w:rPr>
              <w:t>Район, в котором содержатся виды, популяции или сообщества, обладающие сравнительно высокой естественной биологической производительностью</w:t>
            </w:r>
            <w:r w:rsidRPr="0088780C">
              <w:rPr>
                <w:rFonts w:eastAsia="MS Mincho"/>
                <w:bCs/>
                <w:snapToGrid w:val="0"/>
                <w:color w:val="000000"/>
                <w:kern w:val="22"/>
                <w:szCs w:val="22"/>
                <w:lang w:val="ru-RU"/>
              </w:rPr>
              <w:t>.</w:t>
            </w:r>
          </w:p>
        </w:tc>
        <w:tc>
          <w:tcPr>
            <w:tcW w:w="684" w:type="pct"/>
            <w:gridSpan w:val="3"/>
            <w:shd w:val="clear" w:color="auto" w:fill="auto"/>
          </w:tcPr>
          <w:p w14:paraId="30FCF765"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10" w:type="pct"/>
            <w:gridSpan w:val="2"/>
            <w:shd w:val="clear" w:color="auto" w:fill="auto"/>
          </w:tcPr>
          <w:p w14:paraId="73AB9B6E"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11" w:type="pct"/>
            <w:gridSpan w:val="2"/>
            <w:shd w:val="clear" w:color="auto" w:fill="auto"/>
          </w:tcPr>
          <w:p w14:paraId="1976BE9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36" w:type="pct"/>
            <w:gridSpan w:val="2"/>
            <w:shd w:val="clear" w:color="auto" w:fill="auto"/>
          </w:tcPr>
          <w:p w14:paraId="7B79F1B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r>
      <w:tr w:rsidR="00A876F3" w:rsidRPr="0088780C" w14:paraId="386E3A5B" w14:textId="77777777" w:rsidTr="006972AD">
        <w:tc>
          <w:tcPr>
            <w:tcW w:w="5000" w:type="pct"/>
            <w:gridSpan w:val="11"/>
            <w:shd w:val="clear" w:color="auto" w:fill="auto"/>
          </w:tcPr>
          <w:p w14:paraId="5407CB65"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lang w:val="ru-RU"/>
              </w:rPr>
            </w:pPr>
            <w:r w:rsidRPr="0088780C">
              <w:rPr>
                <w:rFonts w:eastAsia="MS Mincho"/>
                <w:i/>
                <w:snapToGrid w:val="0"/>
                <w:color w:val="000000"/>
                <w:kern w:val="22"/>
                <w:szCs w:val="22"/>
                <w:lang w:val="ru-RU"/>
              </w:rPr>
              <w:t>Объяснение ранжирования</w:t>
            </w:r>
          </w:p>
          <w:p w14:paraId="4A12CBF0" w14:textId="77777777" w:rsidR="00A876F3" w:rsidRPr="0088780C" w:rsidRDefault="00A876F3" w:rsidP="001013AF">
            <w:pPr>
              <w:suppressLineNumbers/>
              <w:suppressAutoHyphens/>
              <w:kinsoku w:val="0"/>
              <w:overflowPunct w:val="0"/>
              <w:autoSpaceDE w:val="0"/>
              <w:autoSpaceDN w:val="0"/>
              <w:adjustRightInd w:val="0"/>
              <w:rPr>
                <w:rFonts w:eastAsia="MS Mincho"/>
                <w:iCs/>
                <w:snapToGrid w:val="0"/>
                <w:color w:val="000000"/>
                <w:kern w:val="22"/>
                <w:szCs w:val="22"/>
                <w:lang w:val="ru-RU"/>
              </w:rPr>
            </w:pPr>
          </w:p>
          <w:p w14:paraId="4E26A5C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ru-RU"/>
              </w:rPr>
            </w:pPr>
            <w:r w:rsidRPr="0088780C">
              <w:rPr>
                <w:rFonts w:eastAsia="MS Mincho"/>
                <w:snapToGrid w:val="0"/>
                <w:kern w:val="22"/>
                <w:szCs w:val="22"/>
                <w:lang w:val="ru-RU"/>
              </w:rPr>
              <w:t>Благодаря мелководности, умеренной зарастаемости водоема, хорошему кормовому, водному и температурным режимам, оба залива играют важную роль в воспроизводстве рыбных запасов Каспийского моря.</w:t>
            </w:r>
          </w:p>
          <w:p w14:paraId="3BB1C8B6"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ru-RU"/>
              </w:rPr>
            </w:pPr>
            <w:r w:rsidRPr="0088780C">
              <w:rPr>
                <w:rFonts w:eastAsia="MS Mincho"/>
                <w:snapToGrid w:val="0"/>
                <w:kern w:val="22"/>
                <w:szCs w:val="22"/>
                <w:lang w:val="ru-RU"/>
              </w:rPr>
              <w:t xml:space="preserve">В зоопланктоне ведущую роль играли </w:t>
            </w:r>
            <w:r w:rsidRPr="0088780C">
              <w:rPr>
                <w:rFonts w:eastAsia="MS Mincho"/>
                <w:b/>
                <w:snapToGrid w:val="0"/>
                <w:kern w:val="22"/>
                <w:szCs w:val="22"/>
                <w:lang w:val="ru-RU"/>
              </w:rPr>
              <w:t>Calanipeda</w:t>
            </w:r>
            <w:r w:rsidRPr="0088780C">
              <w:rPr>
                <w:rFonts w:eastAsia="MS Mincho"/>
                <w:snapToGrid w:val="0"/>
                <w:kern w:val="22"/>
                <w:szCs w:val="22"/>
                <w:lang w:val="ru-RU"/>
              </w:rPr>
              <w:t xml:space="preserve"> и </w:t>
            </w:r>
            <w:r w:rsidRPr="0088780C">
              <w:rPr>
                <w:rFonts w:eastAsia="MS Mincho"/>
                <w:b/>
                <w:snapToGrid w:val="0"/>
                <w:kern w:val="22"/>
                <w:szCs w:val="22"/>
                <w:lang w:val="ru-RU"/>
              </w:rPr>
              <w:t>Eurytemora</w:t>
            </w:r>
            <w:r w:rsidRPr="0088780C">
              <w:rPr>
                <w:rFonts w:eastAsia="MS Mincho"/>
                <w:snapToGrid w:val="0"/>
                <w:kern w:val="22"/>
                <w:szCs w:val="22"/>
                <w:lang w:val="ru-RU"/>
              </w:rPr>
              <w:t xml:space="preserve">, общая биомасса их составляла 66% всего зоопланктона. Кроме того, них на всех участках залива встречались личинки моллюсков, молодь </w:t>
            </w:r>
            <w:r w:rsidRPr="0088780C">
              <w:rPr>
                <w:rFonts w:eastAsia="MS Mincho"/>
                <w:b/>
                <w:snapToGrid w:val="0"/>
                <w:kern w:val="22"/>
                <w:szCs w:val="22"/>
                <w:lang w:val="ru-RU"/>
              </w:rPr>
              <w:t>Nereis</w:t>
            </w:r>
            <w:r w:rsidRPr="0088780C">
              <w:rPr>
                <w:rFonts w:eastAsia="MS Mincho"/>
                <w:snapToGrid w:val="0"/>
                <w:kern w:val="22"/>
                <w:szCs w:val="22"/>
                <w:lang w:val="ru-RU"/>
              </w:rPr>
              <w:t>. Средняя биомасса зоопланктеров достигала 77,03 мг/м</w:t>
            </w:r>
            <w:r w:rsidRPr="0088780C">
              <w:rPr>
                <w:rFonts w:eastAsia="MS Mincho"/>
                <w:snapToGrid w:val="0"/>
                <w:kern w:val="22"/>
                <w:szCs w:val="22"/>
                <w:vertAlign w:val="superscript"/>
                <w:lang w:val="ru-RU"/>
              </w:rPr>
              <w:t>3</w:t>
            </w:r>
            <w:r w:rsidRPr="0088780C">
              <w:rPr>
                <w:rFonts w:eastAsia="MS Mincho"/>
                <w:snapToGrid w:val="0"/>
                <w:kern w:val="22"/>
                <w:szCs w:val="22"/>
                <w:lang w:val="ru-RU"/>
              </w:rPr>
              <w:t>.</w:t>
            </w:r>
          </w:p>
          <w:p w14:paraId="2E6DC1A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ru-RU"/>
              </w:rPr>
            </w:pPr>
            <w:r w:rsidRPr="0088780C">
              <w:rPr>
                <w:rFonts w:eastAsia="MS Mincho"/>
                <w:snapToGrid w:val="0"/>
                <w:kern w:val="22"/>
                <w:szCs w:val="22"/>
                <w:lang w:val="ru-RU"/>
              </w:rPr>
              <w:t>Основу зообентоса по численности и биомассе составляли азово-черноморские вселенцы (Nereis , абра, балянус, краб), распространенные по всему заливу. Средняя биомасса донных животных составляла 31,0 г/м</w:t>
            </w:r>
            <w:r w:rsidRPr="0088780C">
              <w:rPr>
                <w:rFonts w:eastAsia="MS Mincho"/>
                <w:snapToGrid w:val="0"/>
                <w:kern w:val="22"/>
                <w:szCs w:val="22"/>
                <w:vertAlign w:val="superscript"/>
                <w:lang w:val="ru-RU"/>
              </w:rPr>
              <w:t>2</w:t>
            </w:r>
          </w:p>
          <w:p w14:paraId="2056AE6C" w14:textId="2B3367A8" w:rsidR="00A876F3" w:rsidRPr="0088780C" w:rsidRDefault="00A876F3" w:rsidP="0058765B">
            <w:pPr>
              <w:suppressLineNumbers/>
              <w:suppressAutoHyphens/>
              <w:kinsoku w:val="0"/>
              <w:overflowPunct w:val="0"/>
              <w:autoSpaceDE w:val="0"/>
              <w:autoSpaceDN w:val="0"/>
              <w:rPr>
                <w:rFonts w:eastAsia="MS Mincho"/>
                <w:snapToGrid w:val="0"/>
                <w:color w:val="000000"/>
                <w:kern w:val="22"/>
                <w:szCs w:val="22"/>
                <w:lang w:val="ru-RU"/>
              </w:rPr>
            </w:pPr>
            <w:r w:rsidRPr="0088780C">
              <w:rPr>
                <w:rFonts w:eastAsia="MS Mincho"/>
                <w:snapToGrid w:val="0"/>
                <w:kern w:val="22"/>
                <w:szCs w:val="22"/>
                <w:lang w:val="ru-RU"/>
              </w:rPr>
              <w:t>Общие уловы рыб в Гызыл-Агачском заливе составляли 2500 тонн. (Кулиев, 1989).</w:t>
            </w:r>
          </w:p>
        </w:tc>
      </w:tr>
      <w:tr w:rsidR="00A876F3" w:rsidRPr="0088780C" w14:paraId="2958578C" w14:textId="77777777" w:rsidTr="006972AD">
        <w:tc>
          <w:tcPr>
            <w:tcW w:w="779" w:type="pct"/>
            <w:shd w:val="clear" w:color="auto" w:fill="auto"/>
          </w:tcPr>
          <w:p w14:paraId="77C175B8"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lang w:val="ru-RU"/>
              </w:rPr>
            </w:pPr>
            <w:r w:rsidRPr="0088780C">
              <w:rPr>
                <w:b/>
                <w:snapToGrid w:val="0"/>
                <w:kern w:val="22"/>
                <w:szCs w:val="22"/>
                <w:lang w:val="ru-RU"/>
              </w:rPr>
              <w:t>Биологическое разнообразие</w:t>
            </w:r>
          </w:p>
        </w:tc>
        <w:tc>
          <w:tcPr>
            <w:tcW w:w="2280" w:type="pct"/>
            <w:shd w:val="clear" w:color="auto" w:fill="auto"/>
          </w:tcPr>
          <w:p w14:paraId="53CE0AAE"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snapToGrid w:val="0"/>
                <w:kern w:val="22"/>
                <w:szCs w:val="22"/>
                <w:lang w:val="ru-RU"/>
              </w:rPr>
              <w:t xml:space="preserve">Район, отличающийся </w:t>
            </w:r>
            <w:r w:rsidRPr="0088780C">
              <w:rPr>
                <w:snapToGrid w:val="0"/>
                <w:kern w:val="22"/>
                <w:szCs w:val="22"/>
                <w:lang w:val="ru-RU" w:eastAsia="ko-KR"/>
              </w:rPr>
              <w:t xml:space="preserve">сравнительно высоким разнообразием экосистем, мест обитания, сообществ или видов </w:t>
            </w:r>
            <w:r w:rsidRPr="0088780C">
              <w:rPr>
                <w:snapToGrid w:val="0"/>
                <w:kern w:val="22"/>
                <w:szCs w:val="22"/>
                <w:lang w:val="ru-RU"/>
              </w:rPr>
              <w:t xml:space="preserve">или </w:t>
            </w:r>
            <w:r w:rsidRPr="0088780C">
              <w:rPr>
                <w:snapToGrid w:val="0"/>
                <w:kern w:val="22"/>
                <w:szCs w:val="22"/>
                <w:lang w:val="ru-RU" w:eastAsia="ko-KR"/>
              </w:rPr>
              <w:t>более высоким генетическим разнообразием</w:t>
            </w:r>
            <w:r w:rsidRPr="0088780C">
              <w:rPr>
                <w:rFonts w:eastAsia="MS Mincho"/>
                <w:bCs/>
                <w:snapToGrid w:val="0"/>
                <w:color w:val="000000"/>
                <w:kern w:val="22"/>
                <w:szCs w:val="22"/>
                <w:lang w:val="ru-RU"/>
              </w:rPr>
              <w:t>.</w:t>
            </w:r>
          </w:p>
        </w:tc>
        <w:tc>
          <w:tcPr>
            <w:tcW w:w="684" w:type="pct"/>
            <w:gridSpan w:val="3"/>
            <w:shd w:val="clear" w:color="auto" w:fill="auto"/>
          </w:tcPr>
          <w:p w14:paraId="227C9259"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p>
        </w:tc>
        <w:tc>
          <w:tcPr>
            <w:tcW w:w="410" w:type="pct"/>
            <w:gridSpan w:val="2"/>
            <w:shd w:val="clear" w:color="auto" w:fill="auto"/>
          </w:tcPr>
          <w:p w14:paraId="200731B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p>
        </w:tc>
        <w:tc>
          <w:tcPr>
            <w:tcW w:w="411" w:type="pct"/>
            <w:gridSpan w:val="2"/>
            <w:shd w:val="clear" w:color="auto" w:fill="auto"/>
          </w:tcPr>
          <w:p w14:paraId="4F0AAA4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p>
        </w:tc>
        <w:tc>
          <w:tcPr>
            <w:tcW w:w="436" w:type="pct"/>
            <w:gridSpan w:val="2"/>
            <w:shd w:val="clear" w:color="auto" w:fill="auto"/>
          </w:tcPr>
          <w:p w14:paraId="6732F7C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r>
      <w:tr w:rsidR="00A876F3" w:rsidRPr="0088780C" w14:paraId="350E9A71" w14:textId="77777777" w:rsidTr="006972AD">
        <w:tc>
          <w:tcPr>
            <w:tcW w:w="5000" w:type="pct"/>
            <w:gridSpan w:val="11"/>
            <w:shd w:val="clear" w:color="auto" w:fill="auto"/>
          </w:tcPr>
          <w:p w14:paraId="3D236FEC"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lang w:val="ru-RU"/>
              </w:rPr>
            </w:pPr>
            <w:r w:rsidRPr="0088780C">
              <w:rPr>
                <w:rFonts w:eastAsia="MS Mincho"/>
                <w:i/>
                <w:snapToGrid w:val="0"/>
                <w:color w:val="000000"/>
                <w:kern w:val="22"/>
                <w:szCs w:val="22"/>
                <w:lang w:val="ru-RU"/>
              </w:rPr>
              <w:t>Объяснение ранжирования</w:t>
            </w:r>
          </w:p>
          <w:p w14:paraId="1389975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ru-RU"/>
              </w:rPr>
            </w:pPr>
          </w:p>
          <w:p w14:paraId="207EA51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lang w:val="ru-RU"/>
              </w:rPr>
            </w:pPr>
            <w:r w:rsidRPr="0088780C">
              <w:rPr>
                <w:rFonts w:eastAsia="MS Mincho"/>
                <w:snapToGrid w:val="0"/>
                <w:kern w:val="22"/>
                <w:szCs w:val="22"/>
                <w:lang w:val="ru-RU"/>
              </w:rPr>
              <w:t>В Малом заливе обитают преимущественно пресноводные рыбы. В то время как в Большом заливе преобладают морские виды. В Большом Гызыл-Агачском заливе встречается 41 вид, а в Малом - 31 вид рыб. Кроме того, в Малый залив были заселены белый амур и белый толстолобик. Редким экземпляром в обоих заливах является европейский угорь, появившийся в Каспийском море после открытия Волго-балтийского водного пути и заселения водоемов бассейна Волги личинками этой рыбы.</w:t>
            </w:r>
          </w:p>
          <w:p w14:paraId="359032B5" w14:textId="7D5E0BA9" w:rsidR="00A876F3" w:rsidRPr="0088780C" w:rsidRDefault="00A876F3" w:rsidP="001013AF">
            <w:pPr>
              <w:suppressLineNumbers/>
              <w:suppressAutoHyphens/>
              <w:kinsoku w:val="0"/>
              <w:overflowPunct w:val="0"/>
              <w:autoSpaceDE w:val="0"/>
              <w:autoSpaceDN w:val="0"/>
              <w:rPr>
                <w:snapToGrid w:val="0"/>
                <w:kern w:val="22"/>
                <w:szCs w:val="22"/>
                <w:lang w:val="en-US"/>
              </w:rPr>
            </w:pPr>
            <w:r w:rsidRPr="0088780C">
              <w:rPr>
                <w:rFonts w:eastAsia="MS Mincho"/>
                <w:snapToGrid w:val="0"/>
                <w:kern w:val="22"/>
                <w:szCs w:val="22"/>
                <w:lang w:val="ru-RU"/>
              </w:rPr>
              <w:t>В Гызылагачском государственном заповеднике имеются большие смешанные колонии пеликановых и аистообразных (Ciconiiformes) видов птиц, которые могут включать до 11 видов бакланов, цапель и ибисов, численность которых составляет 2-2,5 тыс. особей для озер и дельты Куры, а также до 30-60 тысяч особей в Гызыл-Агачском заливе (Коновалова, 1979).</w:t>
            </w:r>
          </w:p>
          <w:p w14:paraId="77F60AF0"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lang w:val="ru-RU"/>
              </w:rPr>
            </w:pPr>
          </w:p>
        </w:tc>
      </w:tr>
      <w:tr w:rsidR="00A876F3" w:rsidRPr="0088780C" w14:paraId="03265FA5" w14:textId="77777777" w:rsidTr="006972AD">
        <w:trPr>
          <w:trHeight w:val="2321"/>
        </w:trPr>
        <w:tc>
          <w:tcPr>
            <w:tcW w:w="783" w:type="pct"/>
            <w:shd w:val="clear" w:color="auto" w:fill="auto"/>
          </w:tcPr>
          <w:p w14:paraId="0C47A145"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snapToGrid w:val="0"/>
                <w:color w:val="000000"/>
                <w:kern w:val="22"/>
                <w:szCs w:val="22"/>
                <w:lang w:val="ru-RU"/>
              </w:rPr>
            </w:pPr>
            <w:r w:rsidRPr="0088780C">
              <w:rPr>
                <w:b/>
                <w:snapToGrid w:val="0"/>
                <w:kern w:val="22"/>
                <w:szCs w:val="22"/>
                <w:lang w:val="ru-RU"/>
              </w:rPr>
              <w:t>Естественность</w:t>
            </w:r>
          </w:p>
        </w:tc>
        <w:tc>
          <w:tcPr>
            <w:tcW w:w="2295" w:type="pct"/>
            <w:gridSpan w:val="2"/>
            <w:shd w:val="clear" w:color="auto" w:fill="auto"/>
          </w:tcPr>
          <w:p w14:paraId="33027ABB" w14:textId="77777777" w:rsidR="00A876F3" w:rsidRPr="0088780C" w:rsidRDefault="00A876F3" w:rsidP="001013AF">
            <w:pPr>
              <w:suppressLineNumbers/>
              <w:suppressAutoHyphens/>
              <w:kinsoku w:val="0"/>
              <w:overflowPunct w:val="0"/>
              <w:autoSpaceDE w:val="0"/>
              <w:autoSpaceDN w:val="0"/>
              <w:adjustRightInd w:val="0"/>
              <w:jc w:val="left"/>
              <w:rPr>
                <w:rFonts w:eastAsia="MS Mincho"/>
                <w:snapToGrid w:val="0"/>
                <w:color w:val="000000"/>
                <w:kern w:val="22"/>
                <w:szCs w:val="22"/>
                <w:lang w:val="ru-RU"/>
              </w:rPr>
            </w:pPr>
            <w:r w:rsidRPr="0088780C">
              <w:rPr>
                <w:snapToGrid w:val="0"/>
                <w:kern w:val="22"/>
                <w:szCs w:val="22"/>
                <w:lang w:val="ru-RU"/>
              </w:rPr>
              <w:t>Район, отличающийся сравнительно высокой степенью естественности благодаря отсутствию или низкому уровню антропогенных нарушений или деградации</w:t>
            </w:r>
            <w:r w:rsidRPr="0088780C">
              <w:rPr>
                <w:rFonts w:eastAsia="MS Mincho"/>
                <w:snapToGrid w:val="0"/>
                <w:color w:val="000000"/>
                <w:kern w:val="22"/>
                <w:szCs w:val="22"/>
                <w:lang w:val="ru-RU"/>
              </w:rPr>
              <w:t>.</w:t>
            </w:r>
          </w:p>
        </w:tc>
        <w:tc>
          <w:tcPr>
            <w:tcW w:w="684" w:type="pct"/>
            <w:gridSpan w:val="3"/>
            <w:shd w:val="clear" w:color="auto" w:fill="auto"/>
          </w:tcPr>
          <w:p w14:paraId="012B2749"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lang w:val="ru-RU"/>
              </w:rPr>
            </w:pPr>
          </w:p>
        </w:tc>
        <w:tc>
          <w:tcPr>
            <w:tcW w:w="453" w:type="pct"/>
            <w:gridSpan w:val="2"/>
            <w:shd w:val="clear" w:color="auto" w:fill="auto"/>
          </w:tcPr>
          <w:p w14:paraId="6F8EDCB4"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lang w:val="ru-RU"/>
              </w:rPr>
            </w:pPr>
          </w:p>
        </w:tc>
        <w:tc>
          <w:tcPr>
            <w:tcW w:w="400" w:type="pct"/>
            <w:gridSpan w:val="2"/>
            <w:shd w:val="clear" w:color="auto" w:fill="auto"/>
          </w:tcPr>
          <w:p w14:paraId="56B5E6A4"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lang w:val="ru-RU"/>
              </w:rPr>
            </w:pPr>
            <w:r w:rsidRPr="0088780C">
              <w:rPr>
                <w:rFonts w:eastAsia="MS Mincho"/>
                <w:b/>
                <w:snapToGrid w:val="0"/>
                <w:color w:val="000000"/>
                <w:kern w:val="22"/>
                <w:szCs w:val="22"/>
                <w:lang w:val="ru-RU"/>
              </w:rPr>
              <w:t>X</w:t>
            </w:r>
          </w:p>
        </w:tc>
        <w:tc>
          <w:tcPr>
            <w:tcW w:w="385" w:type="pct"/>
            <w:shd w:val="clear" w:color="auto" w:fill="auto"/>
          </w:tcPr>
          <w:p w14:paraId="1B5E13B2"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lang w:val="ru-RU"/>
              </w:rPr>
            </w:pPr>
          </w:p>
        </w:tc>
      </w:tr>
      <w:tr w:rsidR="00A876F3" w:rsidRPr="0088780C" w14:paraId="09D91E11" w14:textId="77777777" w:rsidTr="006972AD">
        <w:tc>
          <w:tcPr>
            <w:tcW w:w="5000" w:type="pct"/>
            <w:gridSpan w:val="11"/>
            <w:shd w:val="clear" w:color="auto" w:fill="auto"/>
          </w:tcPr>
          <w:p w14:paraId="722FF775"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lang w:val="ru-RU"/>
              </w:rPr>
            </w:pPr>
            <w:r w:rsidRPr="0088780C">
              <w:rPr>
                <w:rFonts w:eastAsia="MS Mincho"/>
                <w:i/>
                <w:snapToGrid w:val="0"/>
                <w:color w:val="000000"/>
                <w:kern w:val="22"/>
                <w:szCs w:val="22"/>
                <w:lang w:val="ru-RU"/>
              </w:rPr>
              <w:t>Объяснение ранжирования</w:t>
            </w:r>
          </w:p>
          <w:p w14:paraId="35353E64" w14:textId="77777777" w:rsidR="00A876F3" w:rsidRPr="0088780C" w:rsidRDefault="00A876F3" w:rsidP="001013AF">
            <w:pPr>
              <w:suppressLineNumbers/>
              <w:suppressAutoHyphens/>
              <w:kinsoku w:val="0"/>
              <w:overflowPunct w:val="0"/>
              <w:autoSpaceDE w:val="0"/>
              <w:autoSpaceDN w:val="0"/>
              <w:adjustRightInd w:val="0"/>
              <w:rPr>
                <w:rFonts w:eastAsia="MS Mincho"/>
                <w:i/>
                <w:snapToGrid w:val="0"/>
                <w:color w:val="000000"/>
                <w:kern w:val="22"/>
                <w:szCs w:val="22"/>
                <w:lang w:val="ru-RU"/>
              </w:rPr>
            </w:pPr>
          </w:p>
          <w:p w14:paraId="6A9C50EA" w14:textId="6E1C5E76" w:rsidR="00A876F3" w:rsidRPr="0088780C" w:rsidRDefault="00A876F3" w:rsidP="0058765B">
            <w:pPr>
              <w:suppressLineNumbers/>
              <w:suppressAutoHyphens/>
              <w:kinsoku w:val="0"/>
              <w:overflowPunct w:val="0"/>
              <w:autoSpaceDE w:val="0"/>
              <w:autoSpaceDN w:val="0"/>
              <w:adjustRightInd w:val="0"/>
              <w:rPr>
                <w:rFonts w:eastAsia="MS Mincho"/>
                <w:i/>
                <w:snapToGrid w:val="0"/>
                <w:color w:val="000000"/>
                <w:kern w:val="22"/>
                <w:szCs w:val="22"/>
                <w:lang w:val="ru-RU"/>
              </w:rPr>
            </w:pPr>
            <w:r w:rsidRPr="0088780C">
              <w:rPr>
                <w:rFonts w:eastAsia="MS Mincho"/>
                <w:i/>
                <w:snapToGrid w:val="0"/>
                <w:color w:val="000000"/>
                <w:kern w:val="22"/>
                <w:szCs w:val="22"/>
                <w:lang w:val="ru-RU"/>
              </w:rPr>
              <w:t>В настоящее время Гызыл-Агачский Залив подвержен среднему уровню антропогенных нарушений как природных (колебания уровня Каспийского моря, снижение экологического стока и изменения климата), а также антропогенных факторов (вселение инвазивного вида Mnemiopsis leidyi, снижения биоресурсов).</w:t>
            </w:r>
          </w:p>
        </w:tc>
      </w:tr>
    </w:tbl>
    <w:p w14:paraId="69632BB8"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659E924" w14:textId="77777777" w:rsidR="00A876F3" w:rsidRPr="0088780C" w:rsidRDefault="00A876F3" w:rsidP="0058765B">
      <w:pPr>
        <w:keepNext/>
        <w:suppressLineNumbers/>
        <w:suppressAutoHyphens/>
        <w:kinsoku w:val="0"/>
        <w:overflowPunct w:val="0"/>
        <w:autoSpaceDE w:val="0"/>
        <w:autoSpaceDN w:val="0"/>
        <w:spacing w:after="60"/>
        <w:rPr>
          <w:rFonts w:eastAsia="MS Mincho"/>
          <w:b/>
          <w:snapToGrid w:val="0"/>
          <w:kern w:val="22"/>
          <w:szCs w:val="22"/>
          <w:lang w:val="ru-RU"/>
        </w:rPr>
      </w:pPr>
      <w:r w:rsidRPr="0088780C">
        <w:rPr>
          <w:rFonts w:eastAsia="MS Mincho"/>
          <w:b/>
          <w:snapToGrid w:val="0"/>
          <w:kern w:val="22"/>
          <w:szCs w:val="22"/>
          <w:lang w:val="ru-RU"/>
        </w:rPr>
        <w:t>Библиография</w:t>
      </w:r>
    </w:p>
    <w:p w14:paraId="4251D049" w14:textId="1AA4AC0F" w:rsidR="00A876F3" w:rsidRPr="0088780C" w:rsidRDefault="00A876F3" w:rsidP="0058765B">
      <w:pPr>
        <w:pStyle w:val="msonormalmailrucssattributepostfix"/>
        <w:suppressLineNumbers/>
        <w:shd w:val="clear" w:color="auto" w:fill="FCFCFC"/>
        <w:suppressAutoHyphens/>
        <w:kinsoku w:val="0"/>
        <w:overflowPunct w:val="0"/>
        <w:autoSpaceDE w:val="0"/>
        <w:autoSpaceDN w:val="0"/>
        <w:adjustRightInd w:val="0"/>
        <w:spacing w:before="0" w:beforeAutospacing="0" w:after="60" w:afterAutospacing="0"/>
        <w:ind w:left="720" w:hanging="720"/>
        <w:jc w:val="both"/>
        <w:rPr>
          <w:snapToGrid w:val="0"/>
          <w:kern w:val="22"/>
          <w:sz w:val="22"/>
          <w:szCs w:val="22"/>
          <w:lang w:val="en-GB"/>
        </w:rPr>
      </w:pPr>
      <w:r w:rsidRPr="0088780C">
        <w:rPr>
          <w:rFonts w:eastAsia="Times New Roman"/>
          <w:snapToGrid w:val="0"/>
          <w:kern w:val="22"/>
          <w:sz w:val="22"/>
          <w:szCs w:val="22"/>
          <w:lang w:val="en-GB" w:eastAsia="ru-RU"/>
        </w:rPr>
        <w:t>Akhundov M (2008) Present state of the Caspian ecosystem and bioresources. Volume I. Bakı: Elm, 2008. In: Proceedings of the Azerbaijan Zoological Society, v.1, Baku, Nauka. pp 400–</w:t>
      </w:r>
      <w:r w:rsidRPr="0088780C">
        <w:rPr>
          <w:rStyle w:val="Emphasis"/>
          <w:b w:val="0"/>
          <w:bCs w:val="0"/>
          <w:snapToGrid w:val="0"/>
          <w:kern w:val="22"/>
          <w:sz w:val="22"/>
          <w:szCs w:val="22"/>
          <w:lang w:val="en-GB" w:eastAsia="ru-RU"/>
        </w:rPr>
        <w:t>407</w:t>
      </w:r>
      <w:r w:rsidR="0058765B" w:rsidRPr="0088780C">
        <w:rPr>
          <w:rStyle w:val="Emphasis"/>
          <w:b w:val="0"/>
          <w:bCs w:val="0"/>
          <w:snapToGrid w:val="0"/>
          <w:kern w:val="22"/>
          <w:sz w:val="22"/>
          <w:szCs w:val="22"/>
          <w:lang w:val="en-GB" w:eastAsia="ru-RU"/>
        </w:rPr>
        <w:t>.</w:t>
      </w:r>
    </w:p>
    <w:p w14:paraId="57B061ED" w14:textId="77777777" w:rsidR="00A876F3" w:rsidRPr="0088780C" w:rsidRDefault="00A876F3" w:rsidP="0058765B">
      <w:pPr>
        <w:pStyle w:val="msonormalmailrucssattributepostfix"/>
        <w:suppressLineNumbers/>
        <w:shd w:val="clear" w:color="auto" w:fill="FCFCFC"/>
        <w:suppressAutoHyphens/>
        <w:kinsoku w:val="0"/>
        <w:overflowPunct w:val="0"/>
        <w:autoSpaceDE w:val="0"/>
        <w:autoSpaceDN w:val="0"/>
        <w:adjustRightInd w:val="0"/>
        <w:spacing w:before="0" w:beforeAutospacing="0" w:after="60" w:afterAutospacing="0"/>
        <w:ind w:left="720" w:hanging="720"/>
        <w:jc w:val="both"/>
        <w:rPr>
          <w:snapToGrid w:val="0"/>
          <w:kern w:val="22"/>
          <w:sz w:val="22"/>
          <w:szCs w:val="22"/>
          <w:lang w:val="en-GB"/>
        </w:rPr>
      </w:pPr>
      <w:r w:rsidRPr="0088780C">
        <w:rPr>
          <w:rFonts w:eastAsia="Times New Roman"/>
          <w:snapToGrid w:val="0"/>
          <w:kern w:val="22"/>
          <w:sz w:val="22"/>
          <w:szCs w:val="22"/>
          <w:lang w:val="en-GB" w:eastAsia="ru-RU"/>
        </w:rPr>
        <w:t>Akhundov M, Zarbalyeva T, Gadjiev R, Kasmov A (2008) State of bioresources and Caspian ecosystem based on recent investigations. Complex approach to preservation and recovery of Caspian bioresources. In: Proceedings of Scientific Conference, Astrakhan, pp 33–36.</w:t>
      </w:r>
    </w:p>
    <w:p w14:paraId="24A9A009" w14:textId="3F566F10" w:rsidR="00A876F3" w:rsidRPr="0088780C" w:rsidRDefault="00A876F3" w:rsidP="0058765B">
      <w:pPr>
        <w:pStyle w:val="msonormalmailrucssattributepostfix"/>
        <w:suppressLineNumbers/>
        <w:suppressAutoHyphens/>
        <w:kinsoku w:val="0"/>
        <w:overflowPunct w:val="0"/>
        <w:autoSpaceDE w:val="0"/>
        <w:autoSpaceDN w:val="0"/>
        <w:adjustRightInd w:val="0"/>
        <w:spacing w:before="0" w:beforeAutospacing="0" w:after="60" w:afterAutospacing="0"/>
        <w:ind w:left="720" w:hanging="720"/>
        <w:jc w:val="both"/>
        <w:rPr>
          <w:snapToGrid w:val="0"/>
          <w:kern w:val="22"/>
          <w:sz w:val="22"/>
          <w:szCs w:val="22"/>
          <w:lang w:val="en-GB"/>
        </w:rPr>
      </w:pPr>
      <w:r w:rsidRPr="0088780C">
        <w:rPr>
          <w:snapToGrid w:val="0"/>
          <w:kern w:val="22"/>
          <w:sz w:val="22"/>
          <w:szCs w:val="22"/>
          <w:lang w:val="en-GB"/>
        </w:rPr>
        <w:t xml:space="preserve">Akhundov M. et al. 2013. Preservation and restoration of biological resources of the Caspian Sea (devoted to 100-th anniversary of Azerbaijan Fisheries Research Institute). Collection of articles. - Baku: </w:t>
      </w:r>
      <w:r w:rsidR="00D8482D" w:rsidRPr="0088780C">
        <w:rPr>
          <w:snapToGrid w:val="0"/>
          <w:kern w:val="22"/>
          <w:sz w:val="22"/>
          <w:szCs w:val="22"/>
          <w:lang w:val="en-GB"/>
        </w:rPr>
        <w:t>“</w:t>
      </w:r>
      <w:r w:rsidRPr="0088780C">
        <w:rPr>
          <w:snapToGrid w:val="0"/>
          <w:kern w:val="22"/>
          <w:sz w:val="22"/>
          <w:szCs w:val="22"/>
          <w:lang w:val="en-GB"/>
        </w:rPr>
        <w:t>Elm</w:t>
      </w:r>
      <w:r w:rsidR="00D8482D" w:rsidRPr="0088780C">
        <w:rPr>
          <w:snapToGrid w:val="0"/>
          <w:kern w:val="22"/>
          <w:sz w:val="22"/>
          <w:szCs w:val="22"/>
          <w:lang w:val="en-GB"/>
        </w:rPr>
        <w:t>”</w:t>
      </w:r>
      <w:r w:rsidRPr="0088780C">
        <w:rPr>
          <w:snapToGrid w:val="0"/>
          <w:kern w:val="22"/>
          <w:sz w:val="22"/>
          <w:szCs w:val="22"/>
          <w:lang w:val="en-GB"/>
        </w:rPr>
        <w:t>,. - 532 p.</w:t>
      </w:r>
    </w:p>
    <w:p w14:paraId="1A6D3211" w14:textId="77777777" w:rsidR="00A876F3" w:rsidRPr="0088780C" w:rsidRDefault="00A876F3" w:rsidP="0058765B">
      <w:pPr>
        <w:pStyle w:val="msonormalmailrucssattributepostfix"/>
        <w:suppressLineNumbers/>
        <w:suppressAutoHyphens/>
        <w:kinsoku w:val="0"/>
        <w:overflowPunct w:val="0"/>
        <w:autoSpaceDE w:val="0"/>
        <w:autoSpaceDN w:val="0"/>
        <w:adjustRightInd w:val="0"/>
        <w:spacing w:before="0" w:beforeAutospacing="0" w:after="60" w:afterAutospacing="0"/>
        <w:ind w:left="720" w:hanging="720"/>
        <w:jc w:val="both"/>
        <w:rPr>
          <w:rFonts w:eastAsia="MS Mincho"/>
          <w:bCs/>
          <w:snapToGrid w:val="0"/>
          <w:color w:val="000000"/>
          <w:kern w:val="22"/>
          <w:sz w:val="22"/>
          <w:szCs w:val="22"/>
          <w:lang w:val="en-GB"/>
        </w:rPr>
      </w:pPr>
      <w:r w:rsidRPr="0088780C">
        <w:rPr>
          <w:rFonts w:eastAsia="MS Mincho"/>
          <w:bCs/>
          <w:snapToGrid w:val="0"/>
          <w:color w:val="000000"/>
          <w:kern w:val="22"/>
          <w:sz w:val="22"/>
          <w:szCs w:val="22"/>
          <w:lang w:val="en-GB"/>
        </w:rPr>
        <w:t xml:space="preserve">Красная Книга Азербайджана. Второе издание в двух томах. Баку, 2013 г.  </w:t>
      </w:r>
    </w:p>
    <w:p w14:paraId="6A2683E0"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 xml:space="preserve">З.М. Кулиев. Рыбы залива Кирова Каспийского моря. Баку, 1989, 183 </w:t>
      </w:r>
    </w:p>
    <w:p w14:paraId="629E1013"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Животный мир Азербайджана. Фауна в 3-х томах.,Баку, 2000 г.</w:t>
      </w:r>
    </w:p>
    <w:p w14:paraId="64DB91BA" w14:textId="77777777" w:rsidR="00A876F3" w:rsidRPr="0088780C" w:rsidRDefault="00A876F3" w:rsidP="0058765B">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w:t>
      </w:r>
      <w:r w:rsidRPr="0088780C">
        <w:rPr>
          <w:snapToGrid w:val="0"/>
          <w:kern w:val="22"/>
          <w:szCs w:val="22"/>
          <w:shd w:val="clear" w:color="auto" w:fill="FFFFFF"/>
        </w:rPr>
        <w:t xml:space="preserve">IUCN (2012) The IUCN Red List of Threatened Species. Version 2012.2. Available: </w:t>
      </w:r>
      <w:hyperlink r:id="rId312" w:history="1">
        <w:r w:rsidRPr="0088780C">
          <w:rPr>
            <w:rStyle w:val="Hyperlink"/>
            <w:snapToGrid w:val="0"/>
            <w:kern w:val="22"/>
            <w:szCs w:val="22"/>
            <w:shd w:val="clear" w:color="auto" w:fill="FFFFFF"/>
          </w:rPr>
          <w:t>http://www.iucnredlist.org</w:t>
        </w:r>
      </w:hyperlink>
      <w:r w:rsidRPr="0088780C">
        <w:rPr>
          <w:snapToGrid w:val="0"/>
          <w:kern w:val="22"/>
          <w:szCs w:val="22"/>
          <w:shd w:val="clear" w:color="auto" w:fill="FFFFFF"/>
        </w:rPr>
        <w:t xml:space="preserve">. Accessed 2012 Nov 15.). </w:t>
      </w:r>
    </w:p>
    <w:p w14:paraId="56726AD4"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rFonts w:eastAsia="MS Mincho"/>
          <w:bCs/>
          <w:snapToGrid w:val="0"/>
          <w:color w:val="000000"/>
          <w:kern w:val="22"/>
          <w:szCs w:val="22"/>
        </w:rPr>
      </w:pPr>
      <w:r w:rsidRPr="0088780C">
        <w:rPr>
          <w:rFonts w:eastAsia="MS Mincho"/>
          <w:bCs/>
          <w:snapToGrid w:val="0"/>
          <w:color w:val="000000"/>
          <w:kern w:val="22"/>
          <w:szCs w:val="22"/>
        </w:rPr>
        <w:t xml:space="preserve">Caspian Sea State of the Environment Report, 2011. </w:t>
      </w:r>
    </w:p>
    <w:p w14:paraId="7E79342F"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shd w:val="clear" w:color="auto" w:fill="FFFFFF"/>
        </w:rPr>
      </w:pPr>
      <w:r w:rsidRPr="0088780C">
        <w:rPr>
          <w:snapToGrid w:val="0"/>
          <w:kern w:val="22"/>
          <w:szCs w:val="22"/>
          <w:shd w:val="clear" w:color="auto" w:fill="FFFFFF"/>
        </w:rPr>
        <w:t>Воробьева Т.Д. Материалы по миграциям птиц в Кызыл-Агачском заповеднике. В книге «Природная среда и птицы побережий Каспийского моря и прилежащих низменностей». Труды. Кызыл-Агачского госзаповедника. Баку, 1979 а, вып. I.</w:t>
      </w:r>
    </w:p>
    <w:p w14:paraId="0AD3E1DE"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Желтенкова М.В. 1964. Питание осетровых рыб южных морей. Осетровые южных морей Советского Союза. М.: Тр. ВНИРО. 54(2): 9-48.</w:t>
      </w:r>
    </w:p>
    <w:p w14:paraId="7D8CBF9C"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color w:val="1C1B1C"/>
          <w:kern w:val="22"/>
          <w:szCs w:val="22"/>
        </w:rPr>
        <w:t>Державин А.Н. 1954 Куринское рыбное хозяйство в условиях осуществления Мингечаурского гидроузла // Труды конф. по вопросам воспроизводства рыбных запасов реки Куры в связи со строительством Мингечаурского гидроузла. Баку. Изд-во АН АзССР. С.13-17.</w:t>
      </w:r>
    </w:p>
    <w:p w14:paraId="1B9FCC32"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rFonts w:eastAsia="MS Mincho"/>
          <w:bCs/>
          <w:i/>
          <w:snapToGrid w:val="0"/>
          <w:kern w:val="22"/>
          <w:szCs w:val="22"/>
        </w:rPr>
      </w:pPr>
      <w:r w:rsidRPr="0088780C">
        <w:rPr>
          <w:snapToGrid w:val="0"/>
          <w:kern w:val="22"/>
          <w:szCs w:val="22"/>
        </w:rPr>
        <w:t xml:space="preserve">Кулиев З.М/ 1989. Рыбы залива Кирова Каспийского моря. Баку. Элм. 184 с. </w:t>
      </w:r>
    </w:p>
    <w:p w14:paraId="5C694BD7"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Elchin Sultanov (2004) An ornithological study of the Azerbaijan Caspian coast, islands and regions of oil production. Sandgrouse, Vol.26 (2), Autumn 2004, p.112-126. </w:t>
      </w:r>
    </w:p>
    <w:p w14:paraId="4E8F615A" w14:textId="0EF6A10D"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shd w:val="clear" w:color="auto" w:fill="FCFCFC"/>
        </w:rPr>
      </w:pPr>
      <w:r w:rsidRPr="0088780C">
        <w:rPr>
          <w:snapToGrid w:val="0"/>
          <w:kern w:val="22"/>
          <w:szCs w:val="22"/>
        </w:rPr>
        <w:t xml:space="preserve">Sultanav E. H., Mustafayev G.T. (1994). The basic results of the winter aircount of birds in Azerbaijan. </w:t>
      </w:r>
      <w:r w:rsidR="00D8482D" w:rsidRPr="0088780C">
        <w:rPr>
          <w:snapToGrid w:val="0"/>
          <w:kern w:val="22"/>
          <w:szCs w:val="22"/>
        </w:rPr>
        <w:t>“</w:t>
      </w:r>
      <w:r w:rsidRPr="0088780C">
        <w:rPr>
          <w:snapToGrid w:val="0"/>
          <w:kern w:val="22"/>
          <w:szCs w:val="22"/>
        </w:rPr>
        <w:t xml:space="preserve"> A Bird of Caucasus </w:t>
      </w:r>
      <w:r w:rsidR="00D8482D" w:rsidRPr="0088780C">
        <w:rPr>
          <w:snapToGrid w:val="0"/>
          <w:kern w:val="22"/>
          <w:szCs w:val="22"/>
        </w:rPr>
        <w:t>“</w:t>
      </w:r>
      <w:r w:rsidRPr="0088780C">
        <w:rPr>
          <w:snapToGrid w:val="0"/>
          <w:kern w:val="22"/>
          <w:szCs w:val="22"/>
        </w:rPr>
        <w:t>, Stavropol, p. 38-40] (in Rus).</w:t>
      </w:r>
    </w:p>
    <w:p w14:paraId="6D96A943" w14:textId="13B9ABF2"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shd w:val="clear" w:color="auto" w:fill="FCFCFC"/>
        </w:rPr>
        <w:t xml:space="preserve">Khodorevskaya R. et al. (2014) State and Dynamics of the Bioresources in the Caspian Sea. In:  </w:t>
      </w:r>
      <w:r w:rsidRPr="0088780C">
        <w:rPr>
          <w:i/>
          <w:iCs/>
          <w:snapToGrid w:val="0"/>
          <w:kern w:val="22"/>
          <w:szCs w:val="22"/>
          <w:shd w:val="clear" w:color="auto" w:fill="FCFCFC"/>
        </w:rPr>
        <w:t>The Handbook of Environmental Chemistry</w:t>
      </w:r>
      <w:r w:rsidRPr="0088780C">
        <w:rPr>
          <w:snapToGrid w:val="0"/>
          <w:kern w:val="22"/>
          <w:szCs w:val="22"/>
          <w:shd w:val="clear" w:color="auto" w:fill="FCFCFC"/>
        </w:rPr>
        <w:t>. Springer, Berlin, Heidelberg</w:t>
      </w:r>
      <w:r w:rsidRPr="0088780C">
        <w:rPr>
          <w:snapToGrid w:val="0"/>
          <w:kern w:val="22"/>
          <w:szCs w:val="22"/>
        </w:rPr>
        <w:t>, p</w:t>
      </w:r>
      <w:r w:rsidR="00651271" w:rsidRPr="0088780C">
        <w:rPr>
          <w:snapToGrid w:val="0"/>
          <w:kern w:val="22"/>
          <w:szCs w:val="22"/>
        </w:rPr>
        <w:t>p</w:t>
      </w:r>
      <w:r w:rsidRPr="0088780C">
        <w:rPr>
          <w:snapToGrid w:val="0"/>
          <w:kern w:val="22"/>
          <w:szCs w:val="22"/>
        </w:rPr>
        <w:t>.1-84</w:t>
      </w:r>
      <w:r w:rsidR="00651271" w:rsidRPr="0088780C">
        <w:rPr>
          <w:snapToGrid w:val="0"/>
          <w:kern w:val="22"/>
          <w:szCs w:val="22"/>
        </w:rPr>
        <w:t>.</w:t>
      </w:r>
    </w:p>
    <w:p w14:paraId="47E85AF0"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Khodorevskaya, R. P. 1999a. [Breeding of Caspian sturgeons] (In Russian). Rybnoe Khozyaistvo, 5: 54- 55.</w:t>
      </w:r>
    </w:p>
    <w:p w14:paraId="37F57CBC" w14:textId="06F28C1A"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Krivonosov G.A. (1979) Wetlands and Waterfowl in region of Caspian Sea. In: </w:t>
      </w:r>
      <w:r w:rsidRPr="0088780C">
        <w:rPr>
          <w:i/>
          <w:iCs/>
          <w:snapToGrid w:val="0"/>
          <w:kern w:val="22"/>
          <w:szCs w:val="22"/>
        </w:rPr>
        <w:t xml:space="preserve">Natural </w:t>
      </w:r>
      <w:r w:rsidR="00651271" w:rsidRPr="0088780C">
        <w:rPr>
          <w:i/>
          <w:iCs/>
          <w:snapToGrid w:val="0"/>
          <w:kern w:val="22"/>
          <w:szCs w:val="22"/>
        </w:rPr>
        <w:t xml:space="preserve">Conditions and Birds of Coasts of the </w:t>
      </w:r>
      <w:r w:rsidRPr="0088780C">
        <w:rPr>
          <w:i/>
          <w:iCs/>
          <w:snapToGrid w:val="0"/>
          <w:kern w:val="22"/>
          <w:szCs w:val="22"/>
        </w:rPr>
        <w:t xml:space="preserve">Caspian Sea </w:t>
      </w:r>
      <w:r w:rsidR="00651271" w:rsidRPr="0088780C">
        <w:rPr>
          <w:i/>
          <w:iCs/>
          <w:snapToGrid w:val="0"/>
          <w:kern w:val="22"/>
          <w:szCs w:val="22"/>
        </w:rPr>
        <w:t>and Bordered Lowlands</w:t>
      </w:r>
      <w:r w:rsidRPr="0088780C">
        <w:rPr>
          <w:snapToGrid w:val="0"/>
          <w:kern w:val="22"/>
          <w:szCs w:val="22"/>
        </w:rPr>
        <w:t xml:space="preserve"> </w:t>
      </w:r>
      <w:r w:rsidR="00D8482D" w:rsidRPr="0088780C">
        <w:rPr>
          <w:snapToGrid w:val="0"/>
          <w:kern w:val="22"/>
          <w:szCs w:val="22"/>
        </w:rPr>
        <w:t>“</w:t>
      </w:r>
      <w:r w:rsidRPr="0088780C">
        <w:rPr>
          <w:snapToGrid w:val="0"/>
          <w:kern w:val="22"/>
          <w:szCs w:val="22"/>
        </w:rPr>
        <w:t>, Proc. of Kyzylagach State Reserve, part.1, Baku, Azernashr, p. 5-16.] (in Rus.).</w:t>
      </w:r>
    </w:p>
    <w:p w14:paraId="5FBF0014" w14:textId="21F57F57"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Konovalova N.A. (1979) A state of colonies of Ciconiiformes and Pelecaniformes in </w:t>
      </w:r>
      <w:r w:rsidR="00651271" w:rsidRPr="0088780C">
        <w:rPr>
          <w:snapToGrid w:val="0"/>
          <w:kern w:val="22"/>
          <w:szCs w:val="22"/>
        </w:rPr>
        <w:t>the Kyzylagach reserve]. In:  [The state of habitats and birds of the coasts of the Caspian Sea and bordering lowlands, Proc. of Kyzylagach State Reserve]. Part.1, Baku, Azernashr. pp. 83–88 [In Russian].</w:t>
      </w:r>
    </w:p>
    <w:p w14:paraId="3D72D98E"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shd w:val="clear" w:color="auto" w:fill="FFFFFF"/>
          <w:lang w:val="ru-RU"/>
        </w:rPr>
      </w:pPr>
      <w:r w:rsidRPr="0088780C">
        <w:rPr>
          <w:snapToGrid w:val="0"/>
          <w:kern w:val="22"/>
          <w:szCs w:val="22"/>
          <w:shd w:val="clear" w:color="auto" w:fill="FFFFFF"/>
          <w:lang w:val="ru-RU"/>
        </w:rPr>
        <w:t>Кривоносов Г.А, Васильев В.И., Русанов Г.М., Морозкин Н.И., Пишванов Ю.В. Зимовки водоплавающих птиц на Каспии в 1974/1975 гг. В кн.: Ресурсы водоплавающих птиц СССР, их воспроизводство и использование. М., Наука, 1977.</w:t>
      </w:r>
    </w:p>
    <w:p w14:paraId="7A10F1B4"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shd w:val="clear" w:color="auto" w:fill="FFFFFF"/>
          <w:lang w:val="ru-RU"/>
        </w:rPr>
      </w:pPr>
      <w:r w:rsidRPr="0088780C">
        <w:rPr>
          <w:snapToGrid w:val="0"/>
          <w:kern w:val="22"/>
          <w:szCs w:val="22"/>
          <w:shd w:val="clear" w:color="auto" w:fill="FFFFFF"/>
          <w:lang w:val="ru-RU"/>
        </w:rPr>
        <w:t>Кривоносов Г.А., Васильев В.И., Морозкин Н.И. Фламинго на Каспийском море. В кн.: Тезисы докл. 7 Всесоюз. орнитол. конф. Киев, Наукова думка, 1977, ч. 2.</w:t>
      </w:r>
    </w:p>
    <w:p w14:paraId="77156D6A"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shd w:val="clear" w:color="auto" w:fill="FFFFFF"/>
        </w:rPr>
        <w:t>Härkönen T, Harding KC, Wilson S, Baimukanov M, Dmitrieva L, et al. (2012). Collapse of a marine mammal species driven by human impacts. PLoS One 7(9): e43130</w:t>
      </w:r>
    </w:p>
    <w:p w14:paraId="0C13726C" w14:textId="77777777" w:rsidR="00A876F3" w:rsidRPr="0088780C" w:rsidRDefault="00A876F3" w:rsidP="0058765B">
      <w:pPr>
        <w:pStyle w:val="msonormalmailrucssattributepostfix"/>
        <w:suppressLineNumbers/>
        <w:suppressAutoHyphens/>
        <w:kinsoku w:val="0"/>
        <w:overflowPunct w:val="0"/>
        <w:autoSpaceDE w:val="0"/>
        <w:autoSpaceDN w:val="0"/>
        <w:adjustRightInd w:val="0"/>
        <w:spacing w:before="0" w:beforeAutospacing="0" w:after="60" w:afterAutospacing="0"/>
        <w:ind w:left="720" w:hanging="720"/>
        <w:jc w:val="both"/>
        <w:rPr>
          <w:snapToGrid w:val="0"/>
          <w:kern w:val="22"/>
          <w:sz w:val="22"/>
          <w:szCs w:val="22"/>
          <w:lang w:val="en-GB"/>
        </w:rPr>
      </w:pPr>
      <w:r w:rsidRPr="0088780C">
        <w:rPr>
          <w:snapToGrid w:val="0"/>
          <w:kern w:val="22"/>
          <w:sz w:val="22"/>
          <w:szCs w:val="22"/>
          <w:shd w:val="clear" w:color="auto" w:fill="FCFCFC"/>
          <w:lang w:val="en-GB"/>
        </w:rPr>
        <w:t xml:space="preserve">Mammadov E. et al. (2016) Management of Caspian Biodiversity Protection and Conservation. In: </w:t>
      </w:r>
      <w:r w:rsidRPr="0088780C">
        <w:rPr>
          <w:i/>
          <w:iCs/>
          <w:snapToGrid w:val="0"/>
          <w:kern w:val="22"/>
          <w:sz w:val="22"/>
          <w:szCs w:val="22"/>
          <w:shd w:val="clear" w:color="auto" w:fill="FCFCFC"/>
          <w:lang w:val="en-GB"/>
        </w:rPr>
        <w:t>The Handbook of Environmental Chemistry</w:t>
      </w:r>
      <w:r w:rsidRPr="0088780C">
        <w:rPr>
          <w:snapToGrid w:val="0"/>
          <w:kern w:val="22"/>
          <w:sz w:val="22"/>
          <w:szCs w:val="22"/>
          <w:shd w:val="clear" w:color="auto" w:fill="FCFCFC"/>
          <w:lang w:val="en-GB"/>
        </w:rPr>
        <w:t>. Springer, Berlin, Heidelberg</w:t>
      </w:r>
      <w:r w:rsidRPr="0088780C">
        <w:rPr>
          <w:snapToGrid w:val="0"/>
          <w:kern w:val="22"/>
          <w:sz w:val="22"/>
          <w:szCs w:val="22"/>
          <w:lang w:val="en-GB"/>
        </w:rPr>
        <w:t>, p.1-34.</w:t>
      </w:r>
    </w:p>
    <w:p w14:paraId="611956E6" w14:textId="7C447064" w:rsidR="00A876F3" w:rsidRPr="0088780C" w:rsidRDefault="00A876F3" w:rsidP="0058765B">
      <w:pPr>
        <w:pStyle w:val="msonormalmailrucssattributepostfix"/>
        <w:suppressLineNumbers/>
        <w:suppressAutoHyphens/>
        <w:kinsoku w:val="0"/>
        <w:overflowPunct w:val="0"/>
        <w:autoSpaceDE w:val="0"/>
        <w:autoSpaceDN w:val="0"/>
        <w:adjustRightInd w:val="0"/>
        <w:spacing w:before="0" w:beforeAutospacing="0" w:after="60" w:afterAutospacing="0"/>
        <w:ind w:left="720" w:hanging="720"/>
        <w:jc w:val="both"/>
        <w:rPr>
          <w:snapToGrid w:val="0"/>
          <w:kern w:val="22"/>
          <w:sz w:val="22"/>
          <w:szCs w:val="22"/>
          <w:lang w:val="en-GB"/>
        </w:rPr>
      </w:pPr>
      <w:r w:rsidRPr="0088780C">
        <w:rPr>
          <w:snapToGrid w:val="0"/>
          <w:kern w:val="22"/>
          <w:sz w:val="22"/>
          <w:szCs w:val="22"/>
          <w:lang w:val="en-GB"/>
        </w:rPr>
        <w:t xml:space="preserve">Paynter D., Aarvak, T., and Sultanov, E. (1996). Winter counts of Threatened species in Azerbaijan. TWSG news, No. 9, Slimbridge, UK, p. 39-42. 5. Rose, Poul M. and Taylor, Val. (1993) Western Palearctic and South West Asia Waterfowl Census 1993. IWRB, Sultanov E.H., Mustafayev G.T. (1994) The basic results of the winter aircount of birds in Azerbaijan. </w:t>
      </w:r>
      <w:r w:rsidR="00D8482D" w:rsidRPr="0088780C">
        <w:rPr>
          <w:snapToGrid w:val="0"/>
          <w:kern w:val="22"/>
          <w:sz w:val="22"/>
          <w:szCs w:val="22"/>
          <w:lang w:val="en-GB"/>
        </w:rPr>
        <w:t>“</w:t>
      </w:r>
      <w:r w:rsidRPr="0088780C">
        <w:rPr>
          <w:snapToGrid w:val="0"/>
          <w:kern w:val="22"/>
          <w:sz w:val="22"/>
          <w:szCs w:val="22"/>
          <w:lang w:val="en-GB"/>
        </w:rPr>
        <w:t xml:space="preserve"> A Bird of Caucasus </w:t>
      </w:r>
      <w:r w:rsidR="00D8482D" w:rsidRPr="0088780C">
        <w:rPr>
          <w:snapToGrid w:val="0"/>
          <w:kern w:val="22"/>
          <w:sz w:val="22"/>
          <w:szCs w:val="22"/>
          <w:lang w:val="en-GB"/>
        </w:rPr>
        <w:t>“</w:t>
      </w:r>
      <w:r w:rsidRPr="0088780C">
        <w:rPr>
          <w:snapToGrid w:val="0"/>
          <w:kern w:val="22"/>
          <w:sz w:val="22"/>
          <w:szCs w:val="22"/>
          <w:lang w:val="en-GB"/>
        </w:rPr>
        <w:t>, Stavropol, p. 38-40] (in Rus).</w:t>
      </w:r>
    </w:p>
    <w:p w14:paraId="2427A234" w14:textId="7CF4D285"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Sultanov E.H. (1997). The basic results of the aircount of waterbirds birds in Azerbaijan in 1996. </w:t>
      </w:r>
      <w:r w:rsidR="00D8482D" w:rsidRPr="0088780C">
        <w:rPr>
          <w:snapToGrid w:val="0"/>
          <w:kern w:val="22"/>
          <w:szCs w:val="22"/>
        </w:rPr>
        <w:t>“</w:t>
      </w:r>
      <w:r w:rsidRPr="0088780C">
        <w:rPr>
          <w:snapToGrid w:val="0"/>
          <w:kern w:val="22"/>
          <w:szCs w:val="22"/>
        </w:rPr>
        <w:t>Scientific inheritance of N.Y. Dinnik and his role in development of modern natural sciences</w:t>
      </w:r>
      <w:r w:rsidR="00D8482D" w:rsidRPr="0088780C">
        <w:rPr>
          <w:snapToGrid w:val="0"/>
          <w:kern w:val="22"/>
          <w:szCs w:val="22"/>
        </w:rPr>
        <w:t>”</w:t>
      </w:r>
      <w:r w:rsidRPr="0088780C">
        <w:rPr>
          <w:snapToGrid w:val="0"/>
          <w:kern w:val="22"/>
          <w:szCs w:val="22"/>
        </w:rPr>
        <w:t>, Stavropol, p. 123-125] (in Rus).</w:t>
      </w:r>
    </w:p>
    <w:p w14:paraId="1F8666E8" w14:textId="573D372B"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Sultanov E.H., Kerimov T.A. (1999) Places of concentration and annual dynamics of number of birds at the Absheron archipelago. In book. Ecological monitoring of coastal zone Great Baku and Sumgait, Baku, p. 17-22] (in Azeri).</w:t>
      </w:r>
    </w:p>
    <w:p w14:paraId="022686BC" w14:textId="627A5A64"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lang w:eastAsia="ru-RU"/>
        </w:rPr>
      </w:pPr>
      <w:r w:rsidRPr="0088780C">
        <w:rPr>
          <w:snapToGrid w:val="0"/>
          <w:kern w:val="22"/>
          <w:szCs w:val="22"/>
          <w:lang w:eastAsia="ru-RU"/>
        </w:rPr>
        <w:t xml:space="preserve">Sultanov, E. 2004. Results of eight years of monitoring wintering and nesting waterbirds in Azerbaijan. In: </w:t>
      </w:r>
      <w:r w:rsidRPr="0088780C">
        <w:rPr>
          <w:i/>
          <w:iCs/>
          <w:snapToGrid w:val="0"/>
          <w:kern w:val="22"/>
          <w:szCs w:val="22"/>
          <w:lang w:eastAsia="ru-RU"/>
        </w:rPr>
        <w:t xml:space="preserve">Waterbirds around the World, International Conference, 3–8 April 2004, Edinburgh, UK. </w:t>
      </w:r>
      <w:r w:rsidRPr="0088780C">
        <w:rPr>
          <w:snapToGrid w:val="0"/>
          <w:kern w:val="22"/>
          <w:szCs w:val="22"/>
          <w:lang w:eastAsia="ru-RU"/>
        </w:rPr>
        <w:t>Abstract book.</w:t>
      </w:r>
    </w:p>
    <w:p w14:paraId="1B0B9378" w14:textId="630F0470" w:rsidR="00A876F3" w:rsidRPr="0088780C" w:rsidRDefault="00A876F3" w:rsidP="0058765B">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lang w:eastAsia="ru-RU"/>
        </w:rPr>
        <w:t xml:space="preserve">Sultanov, E. 2004. The peculiarities of winter census of waterbirds in Azerbaijan. In: </w:t>
      </w:r>
      <w:r w:rsidRPr="0088780C">
        <w:rPr>
          <w:i/>
          <w:iCs/>
          <w:snapToGrid w:val="0"/>
          <w:kern w:val="22"/>
          <w:szCs w:val="22"/>
          <w:lang w:eastAsia="ru-RU"/>
        </w:rPr>
        <w:t xml:space="preserve">Proceedings of V Issyk-Kul Symposium 24– 25 October 2003, Cholpon-Ata, Kyrgyzstan. </w:t>
      </w:r>
      <w:r w:rsidRPr="0088780C">
        <w:rPr>
          <w:snapToGrid w:val="0"/>
          <w:kern w:val="22"/>
          <w:szCs w:val="22"/>
          <w:lang w:eastAsia="ru-RU"/>
        </w:rPr>
        <w:t xml:space="preserve">Biosphere Territory </w:t>
      </w:r>
      <w:r w:rsidR="00D8482D" w:rsidRPr="0088780C">
        <w:rPr>
          <w:snapToGrid w:val="0"/>
          <w:kern w:val="22"/>
          <w:szCs w:val="22"/>
          <w:lang w:eastAsia="ru-RU"/>
        </w:rPr>
        <w:t>“</w:t>
      </w:r>
      <w:r w:rsidRPr="0088780C">
        <w:rPr>
          <w:snapToGrid w:val="0"/>
          <w:kern w:val="22"/>
          <w:szCs w:val="22"/>
          <w:lang w:eastAsia="ru-RU"/>
        </w:rPr>
        <w:t>Yssyk-Kol</w:t>
      </w:r>
      <w:r w:rsidR="00D8482D" w:rsidRPr="0088780C">
        <w:rPr>
          <w:snapToGrid w:val="0"/>
          <w:kern w:val="22"/>
          <w:szCs w:val="22"/>
          <w:lang w:eastAsia="ru-RU"/>
        </w:rPr>
        <w:t>”</w:t>
      </w:r>
      <w:r w:rsidRPr="0088780C">
        <w:rPr>
          <w:snapToGrid w:val="0"/>
          <w:kern w:val="22"/>
          <w:szCs w:val="22"/>
          <w:lang w:eastAsia="ru-RU"/>
        </w:rPr>
        <w:t xml:space="preserve"> 2: 45</w:t>
      </w:r>
      <w:r w:rsidRPr="0088780C">
        <w:rPr>
          <w:i/>
          <w:iCs/>
          <w:snapToGrid w:val="0"/>
          <w:kern w:val="22"/>
          <w:szCs w:val="22"/>
          <w:lang w:eastAsia="ru-RU"/>
        </w:rPr>
        <w:t>–</w:t>
      </w:r>
      <w:r w:rsidRPr="0088780C">
        <w:rPr>
          <w:snapToGrid w:val="0"/>
          <w:kern w:val="22"/>
          <w:szCs w:val="22"/>
          <w:lang w:eastAsia="ru-RU"/>
        </w:rPr>
        <w:t>48. (In Russian).</w:t>
      </w:r>
    </w:p>
    <w:p w14:paraId="26252CC7" w14:textId="77777777" w:rsidR="00A876F3" w:rsidRPr="0088780C" w:rsidRDefault="00A876F3" w:rsidP="0058765B">
      <w:pPr>
        <w:suppressLineNumbers/>
        <w:suppressAutoHyphens/>
        <w:kinsoku w:val="0"/>
        <w:overflowPunct w:val="0"/>
        <w:autoSpaceDE w:val="0"/>
        <w:autoSpaceDN w:val="0"/>
        <w:adjustRightInd w:val="0"/>
        <w:spacing w:after="60"/>
        <w:ind w:left="720" w:hanging="720"/>
        <w:rPr>
          <w:rFonts w:eastAsia="MS Mincho"/>
          <w:bCs/>
          <w:i/>
          <w:snapToGrid w:val="0"/>
          <w:color w:val="000000"/>
          <w:kern w:val="22"/>
          <w:szCs w:val="22"/>
        </w:rPr>
      </w:pPr>
      <w:r w:rsidRPr="0088780C">
        <w:rPr>
          <w:snapToGrid w:val="0"/>
          <w:kern w:val="22"/>
          <w:szCs w:val="22"/>
        </w:rPr>
        <w:t>Sultanov, E., Kerimov, T., Aliyev, S., Humbatova, S., and Agayeva, N. (2000) Potential Ramsar Sites of Azerbaijan. Baku, Wetlands International-AEME Publication, 152 p. (in Azeri and Rus.).</w:t>
      </w:r>
    </w:p>
    <w:p w14:paraId="7B339206"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r w:rsidRPr="0088780C">
        <w:rPr>
          <w:rFonts w:eastAsia="MS Mincho"/>
          <w:bCs/>
          <w:snapToGrid w:val="0"/>
          <w:kern w:val="22"/>
          <w:szCs w:val="22"/>
        </w:rPr>
        <w:br w:type="page"/>
      </w:r>
    </w:p>
    <w:p w14:paraId="0475F82E"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3CBEA3E6" w14:textId="522A21D7" w:rsidR="00A876F3" w:rsidRPr="0088780C" w:rsidRDefault="00A876F3" w:rsidP="001013AF">
      <w:pPr>
        <w:suppressLineNumbers/>
        <w:suppressAutoHyphens/>
        <w:kinsoku w:val="0"/>
        <w:overflowPunct w:val="0"/>
        <w:autoSpaceDE w:val="0"/>
        <w:autoSpaceDN w:val="0"/>
        <w:rPr>
          <w:rFonts w:eastAsia="MS Mincho"/>
          <w:b/>
          <w:snapToGrid w:val="0"/>
          <w:kern w:val="22"/>
          <w:szCs w:val="22"/>
          <w:lang w:val="ru-RU"/>
        </w:rPr>
      </w:pPr>
      <w:r w:rsidRPr="0088780C">
        <w:rPr>
          <w:rFonts w:eastAsia="MS Mincho"/>
          <w:b/>
          <w:snapToGrid w:val="0"/>
          <w:kern w:val="22"/>
          <w:szCs w:val="22"/>
          <w:lang w:val="ru-RU"/>
        </w:rPr>
        <w:t>Карты и рисунки</w:t>
      </w:r>
    </w:p>
    <w:p w14:paraId="78A28851" w14:textId="77777777" w:rsidR="00A876F3" w:rsidRPr="0088780C" w:rsidRDefault="00A876F3" w:rsidP="001013AF">
      <w:pPr>
        <w:suppressLineNumbers/>
        <w:suppressAutoHyphens/>
        <w:kinsoku w:val="0"/>
        <w:overflowPunct w:val="0"/>
        <w:autoSpaceDE w:val="0"/>
        <w:autoSpaceDN w:val="0"/>
        <w:rPr>
          <w:rFonts w:eastAsia="MS Mincho"/>
          <w:bCs/>
          <w:iCs/>
          <w:snapToGrid w:val="0"/>
          <w:kern w:val="22"/>
          <w:szCs w:val="22"/>
        </w:rPr>
      </w:pPr>
    </w:p>
    <w:p w14:paraId="0E547C7F" w14:textId="77777777" w:rsidR="00A876F3" w:rsidRPr="0088780C" w:rsidRDefault="00A876F3" w:rsidP="001013AF">
      <w:pPr>
        <w:suppressLineNumbers/>
        <w:suppressAutoHyphens/>
        <w:kinsoku w:val="0"/>
        <w:overflowPunct w:val="0"/>
        <w:autoSpaceDE w:val="0"/>
        <w:autoSpaceDN w:val="0"/>
        <w:rPr>
          <w:rFonts w:eastAsia="MS Mincho"/>
          <w:b/>
          <w:iCs/>
          <w:snapToGrid w:val="0"/>
          <w:kern w:val="22"/>
          <w:szCs w:val="22"/>
        </w:rPr>
      </w:pPr>
      <w:r w:rsidRPr="0088780C">
        <w:rPr>
          <w:noProof/>
          <w:snapToGrid w:val="0"/>
          <w:kern w:val="22"/>
          <w:szCs w:val="22"/>
          <w:lang w:eastAsia="zh-CN"/>
        </w:rPr>
        <w:drawing>
          <wp:inline distT="0" distB="0" distL="0" distR="0" wp14:anchorId="05170CDD" wp14:editId="60551CAD">
            <wp:extent cx="5486400" cy="4572000"/>
            <wp:effectExtent l="0" t="0" r="0" b="0"/>
            <wp:docPr id="64544" name="Picture 64544" descr="C:\Users\grekin\AppData\Local\Microsoft\Windows\Temporary Internet Files\Content.Word\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rekin\AppData\Local\Microsoft\Windows\Temporary Internet Files\Content.Word\28.png"/>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5A38CB5C" w14:textId="77777777" w:rsidR="00A876F3" w:rsidRPr="0088780C" w:rsidRDefault="00A876F3" w:rsidP="001013AF">
      <w:pPr>
        <w:suppressLineNumbers/>
        <w:suppressAutoHyphens/>
        <w:kinsoku w:val="0"/>
        <w:overflowPunct w:val="0"/>
        <w:autoSpaceDE w:val="0"/>
        <w:autoSpaceDN w:val="0"/>
        <w:rPr>
          <w:rFonts w:eastAsia="MS Mincho"/>
          <w:bCs/>
          <w:iCs/>
          <w:snapToGrid w:val="0"/>
          <w:kern w:val="22"/>
          <w:szCs w:val="22"/>
        </w:rPr>
      </w:pPr>
    </w:p>
    <w:p w14:paraId="4FDE5D3D" w14:textId="77777777" w:rsidR="00A876F3" w:rsidRPr="0088780C" w:rsidRDefault="00A876F3" w:rsidP="001013AF">
      <w:pPr>
        <w:suppressLineNumbers/>
        <w:suppressAutoHyphens/>
        <w:kinsoku w:val="0"/>
        <w:overflowPunct w:val="0"/>
        <w:autoSpaceDE w:val="0"/>
        <w:autoSpaceDN w:val="0"/>
        <w:rPr>
          <w:rFonts w:eastAsia="MS Mincho"/>
          <w:b/>
          <w:iCs/>
          <w:snapToGrid w:val="0"/>
          <w:kern w:val="22"/>
          <w:szCs w:val="22"/>
        </w:rPr>
      </w:pPr>
      <w:r w:rsidRPr="0088780C">
        <w:rPr>
          <w:rFonts w:eastAsia="MS Mincho"/>
          <w:b/>
          <w:iCs/>
          <w:snapToGrid w:val="0"/>
          <w:kern w:val="22"/>
          <w:szCs w:val="22"/>
        </w:rPr>
        <w:t xml:space="preserve">Figure 1. </w:t>
      </w:r>
      <w:r w:rsidRPr="0088780C">
        <w:rPr>
          <w:rFonts w:eastAsia="MS Mincho"/>
          <w:b/>
          <w:snapToGrid w:val="0"/>
          <w:color w:val="000000" w:themeColor="text1"/>
          <w:kern w:val="22"/>
          <w:szCs w:val="22"/>
        </w:rPr>
        <w:t>Area meeting the EBSA criteria</w:t>
      </w:r>
    </w:p>
    <w:p w14:paraId="20ABDEAE" w14:textId="77777777" w:rsidR="00A876F3" w:rsidRPr="0088780C" w:rsidRDefault="00A876F3" w:rsidP="001013AF">
      <w:pPr>
        <w:suppressLineNumbers/>
        <w:suppressAutoHyphens/>
        <w:kinsoku w:val="0"/>
        <w:overflowPunct w:val="0"/>
        <w:autoSpaceDE w:val="0"/>
        <w:autoSpaceDN w:val="0"/>
        <w:rPr>
          <w:rFonts w:eastAsia="MS Mincho"/>
          <w:bCs/>
          <w:iCs/>
          <w:snapToGrid w:val="0"/>
          <w:kern w:val="22"/>
          <w:szCs w:val="22"/>
        </w:rPr>
      </w:pPr>
    </w:p>
    <w:p w14:paraId="7C8A73CD" w14:textId="77777777" w:rsidR="00A876F3" w:rsidRPr="0088780C" w:rsidRDefault="00A876F3" w:rsidP="001013AF">
      <w:pPr>
        <w:suppressLineNumbers/>
        <w:suppressAutoHyphens/>
        <w:kinsoku w:val="0"/>
        <w:overflowPunct w:val="0"/>
        <w:autoSpaceDE w:val="0"/>
        <w:autoSpaceDN w:val="0"/>
        <w:rPr>
          <w:rFonts w:eastAsia="MS Mincho"/>
          <w:b/>
          <w:iCs/>
          <w:snapToGrid w:val="0"/>
          <w:kern w:val="22"/>
          <w:szCs w:val="22"/>
          <w:lang w:val="en-US"/>
        </w:rPr>
      </w:pPr>
      <w:r w:rsidRPr="0088780C">
        <w:rPr>
          <w:rFonts w:eastAsia="MS Mincho"/>
          <w:b/>
          <w:iCs/>
          <w:snapToGrid w:val="0"/>
          <w:kern w:val="22"/>
          <w:szCs w:val="22"/>
          <w:lang w:val="ru-RU"/>
        </w:rPr>
        <w:t>Карта Гызыл-Агачского комплекса</w:t>
      </w:r>
    </w:p>
    <w:p w14:paraId="17719FDB" w14:textId="7D0E5A63" w:rsidR="00AD2D03" w:rsidRPr="0088780C" w:rsidRDefault="00AD2D03">
      <w:pPr>
        <w:jc w:val="left"/>
        <w:rPr>
          <w:rFonts w:eastAsia="MS Mincho"/>
          <w:b/>
          <w:iCs/>
          <w:snapToGrid w:val="0"/>
          <w:kern w:val="22"/>
          <w:szCs w:val="22"/>
          <w:lang w:val="en-US"/>
        </w:rPr>
      </w:pPr>
      <w:r w:rsidRPr="0088780C">
        <w:rPr>
          <w:rFonts w:eastAsia="MS Mincho"/>
          <w:b/>
          <w:iCs/>
          <w:snapToGrid w:val="0"/>
          <w:kern w:val="22"/>
          <w:szCs w:val="22"/>
          <w:lang w:val="en-US"/>
        </w:rPr>
        <w:br w:type="page"/>
      </w:r>
    </w:p>
    <w:p w14:paraId="2AAE9342" w14:textId="77777777" w:rsidR="00AD2D03" w:rsidRPr="0088780C" w:rsidRDefault="00AD2D03" w:rsidP="001013AF">
      <w:pPr>
        <w:suppressLineNumbers/>
        <w:suppressAutoHyphens/>
        <w:kinsoku w:val="0"/>
        <w:overflowPunct w:val="0"/>
        <w:autoSpaceDE w:val="0"/>
        <w:autoSpaceDN w:val="0"/>
        <w:rPr>
          <w:rFonts w:eastAsia="MS Mincho"/>
          <w:b/>
          <w:iCs/>
          <w:snapToGrid w:val="0"/>
          <w:kern w:val="22"/>
          <w:szCs w:val="22"/>
          <w:lang w:val="en-US"/>
        </w:rPr>
      </w:pPr>
    </w:p>
    <w:p w14:paraId="66898152"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noProof/>
          <w:snapToGrid w:val="0"/>
          <w:kern w:val="22"/>
          <w:szCs w:val="22"/>
          <w:lang w:eastAsia="zh-CN"/>
        </w:rPr>
        <w:drawing>
          <wp:inline distT="0" distB="0" distL="0" distR="0" wp14:anchorId="3C3A0100" wp14:editId="184522E9">
            <wp:extent cx="3905250" cy="3543300"/>
            <wp:effectExtent l="0" t="0" r="0" b="0"/>
            <wp:docPr id="64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3905250" cy="3543300"/>
                    </a:xfrm>
                    <a:prstGeom prst="rect">
                      <a:avLst/>
                    </a:prstGeom>
                    <a:noFill/>
                    <a:ln>
                      <a:noFill/>
                    </a:ln>
                  </pic:spPr>
                </pic:pic>
              </a:graphicData>
            </a:graphic>
          </wp:inline>
        </w:drawing>
      </w:r>
    </w:p>
    <w:p w14:paraId="44331EC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 2. Birds of Gizilagach Bay Complex</w:t>
      </w:r>
    </w:p>
    <w:p w14:paraId="782F7E2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51083054" w14:textId="35611730" w:rsidR="00A876F3" w:rsidRPr="0088780C" w:rsidRDefault="00A876F3" w:rsidP="001013AF">
      <w:pPr>
        <w:suppressLineNumbers/>
        <w:suppressAutoHyphens/>
        <w:kinsoku w:val="0"/>
        <w:overflowPunct w:val="0"/>
        <w:autoSpaceDE w:val="0"/>
        <w:autoSpaceDN w:val="0"/>
        <w:spacing w:line="280" w:lineRule="atLeast"/>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29: Kura Delta</w:t>
      </w:r>
    </w:p>
    <w:p w14:paraId="4232F855" w14:textId="77777777" w:rsidR="00A876F3" w:rsidRPr="0088780C" w:rsidRDefault="00A876F3" w:rsidP="001013AF">
      <w:pPr>
        <w:suppressLineNumbers/>
        <w:suppressAutoHyphens/>
        <w:kinsoku w:val="0"/>
        <w:overflowPunct w:val="0"/>
        <w:autoSpaceDE w:val="0"/>
        <w:autoSpaceDN w:val="0"/>
        <w:spacing w:line="280" w:lineRule="atLeast"/>
        <w:rPr>
          <w:rFonts w:eastAsia="MS Mincho"/>
          <w:b/>
          <w:snapToGrid w:val="0"/>
          <w:kern w:val="22"/>
          <w:szCs w:val="22"/>
          <w:lang w:val="ru-RU"/>
        </w:rPr>
      </w:pPr>
      <w:r w:rsidRPr="0088780C">
        <w:rPr>
          <w:rFonts w:eastAsia="MS Mincho"/>
          <w:b/>
          <w:snapToGrid w:val="0"/>
          <w:kern w:val="22"/>
          <w:szCs w:val="22"/>
          <w:lang w:val="ru-RU"/>
        </w:rPr>
        <w:t xml:space="preserve">Наименование/название района: </w:t>
      </w:r>
      <w:r w:rsidRPr="0088780C">
        <w:rPr>
          <w:snapToGrid w:val="0"/>
          <w:kern w:val="22"/>
          <w:szCs w:val="22"/>
          <w:lang w:val="ru-RU"/>
        </w:rPr>
        <w:t>Прикуринское пространство Каспийского моря</w:t>
      </w:r>
    </w:p>
    <w:p w14:paraId="386DAB59" w14:textId="77777777" w:rsidR="00A876F3" w:rsidRPr="0088780C" w:rsidRDefault="00A876F3" w:rsidP="001013AF">
      <w:pPr>
        <w:suppressLineNumbers/>
        <w:tabs>
          <w:tab w:val="left" w:pos="2001"/>
        </w:tabs>
        <w:suppressAutoHyphens/>
        <w:kinsoku w:val="0"/>
        <w:overflowPunct w:val="0"/>
        <w:autoSpaceDE w:val="0"/>
        <w:autoSpaceDN w:val="0"/>
        <w:spacing w:line="280" w:lineRule="atLeast"/>
        <w:rPr>
          <w:rFonts w:eastAsia="MS Mincho"/>
          <w:bCs/>
          <w:snapToGrid w:val="0"/>
          <w:kern w:val="22"/>
          <w:szCs w:val="22"/>
          <w:lang w:val="ru-RU"/>
        </w:rPr>
      </w:pPr>
    </w:p>
    <w:p w14:paraId="62534055" w14:textId="77777777" w:rsidR="00A876F3" w:rsidRPr="0088780C" w:rsidRDefault="00A876F3" w:rsidP="001013AF">
      <w:pPr>
        <w:suppressLineNumbers/>
        <w:suppressAutoHyphens/>
        <w:kinsoku w:val="0"/>
        <w:overflowPunct w:val="0"/>
        <w:autoSpaceDE w:val="0"/>
        <w:autoSpaceDN w:val="0"/>
        <w:spacing w:line="280" w:lineRule="atLeast"/>
        <w:rPr>
          <w:rFonts w:eastAsia="MS Mincho"/>
          <w:i/>
          <w:snapToGrid w:val="0"/>
          <w:kern w:val="22"/>
          <w:szCs w:val="22"/>
        </w:rPr>
      </w:pPr>
      <w:r w:rsidRPr="0088780C">
        <w:rPr>
          <w:rFonts w:eastAsia="MS Mincho"/>
          <w:b/>
          <w:snapToGrid w:val="0"/>
          <w:kern w:val="22"/>
          <w:szCs w:val="22"/>
        </w:rPr>
        <w:t>Аннотация</w:t>
      </w:r>
    </w:p>
    <w:p w14:paraId="2ED7F644" w14:textId="68C35D5C" w:rsidR="00A876F3" w:rsidRPr="0088780C" w:rsidRDefault="00A876F3" w:rsidP="001013AF">
      <w:pPr>
        <w:suppressLineNumbers/>
        <w:suppressAutoHyphens/>
        <w:kinsoku w:val="0"/>
        <w:overflowPunct w:val="0"/>
        <w:autoSpaceDE w:val="0"/>
        <w:autoSpaceDN w:val="0"/>
        <w:rPr>
          <w:i/>
          <w:snapToGrid w:val="0"/>
          <w:kern w:val="22"/>
          <w:szCs w:val="22"/>
          <w:lang w:val="en-US"/>
        </w:rPr>
      </w:pPr>
      <w:r w:rsidRPr="0088780C">
        <w:rPr>
          <w:i/>
          <w:snapToGrid w:val="0"/>
          <w:kern w:val="22"/>
          <w:szCs w:val="22"/>
          <w:lang w:val="ru-RU"/>
        </w:rPr>
        <w:t>Прикуринское пространство Каспия - это район, нагула, зимовки, нерестовых миграций и размножения всех представителей семейства осетровых Каспия, кроме стерляди. Особенно ценным являются персидский осетр и щип, привязанные к реке Кура (Гадживе, Касимов, 2005). В настоящее время их численность ограничена из-за своей товарной ценности. В тоже время они являются экологической ценностью как реликты третичной эпохи. Кроме того, это обширное водно-болотное угодье с густой тростниковой растительностью, сетью дамб и большим островом является важным местом зимовки и гнездования некоторых видов птиц, особенно важно, как место временного отдыха огромного количества птиц в период перелета. По статистическим данным в период перелета численность водно-болотных птиц за один учет достигает 75000 (Sultanov, Haddow, 1997) особей. Здесь встречаются кудрявый и розовый пеликаны, малый баклан, колпица, султанка и другие редкие виды. Данное угодье не имеет охранного статуса. Основным фактором беспокойства здесь являются охота и рыболовство.</w:t>
      </w:r>
    </w:p>
    <w:p w14:paraId="2E0F4C12" w14:textId="77777777" w:rsidR="00A876F3" w:rsidRPr="0088780C" w:rsidRDefault="00A876F3" w:rsidP="001013AF">
      <w:pPr>
        <w:suppressLineNumbers/>
        <w:suppressAutoHyphens/>
        <w:kinsoku w:val="0"/>
        <w:overflowPunct w:val="0"/>
        <w:autoSpaceDE w:val="0"/>
        <w:autoSpaceDN w:val="0"/>
        <w:rPr>
          <w:iCs/>
          <w:snapToGrid w:val="0"/>
          <w:kern w:val="22"/>
          <w:szCs w:val="22"/>
        </w:rPr>
      </w:pPr>
    </w:p>
    <w:p w14:paraId="1BE61F50" w14:textId="49000CA1"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Kura River area of the Caspian Sea is an area of foraging, wintering, spawning migrations and reproduction of all species of the Caspian sturgeon family except for the sterlets. It is an especially valuable area for the Persian sturgeon and pinch, as it is associated with the Kura River. In addition, the area is home to extensive wetlands with dense reed vegetation, a network of dams and a large island that is an important wintering and nesting site for some bird species the area is especially important as a temporary resting place for a large number of birds during their flight. During the migration period, the number of waterbirds in one record reaches 75,000 individuals. </w:t>
      </w:r>
      <w:r w:rsidR="0093210B" w:rsidRPr="0088780C">
        <w:rPr>
          <w:snapToGrid w:val="0"/>
          <w:kern w:val="22"/>
          <w:szCs w:val="22"/>
        </w:rPr>
        <w:t>Large</w:t>
      </w:r>
      <w:r w:rsidRPr="0088780C">
        <w:rPr>
          <w:snapToGrid w:val="0"/>
          <w:kern w:val="22"/>
          <w:szCs w:val="22"/>
        </w:rPr>
        <w:t xml:space="preserve"> numbers of curly and pink pelicans, small cormorants, spoonbills, sultan bird and other rare species have been recorded att the site.</w:t>
      </w:r>
    </w:p>
    <w:p w14:paraId="664C128E" w14:textId="77777777" w:rsidR="00A876F3" w:rsidRPr="0088780C" w:rsidRDefault="00A876F3" w:rsidP="001013AF">
      <w:pPr>
        <w:suppressLineNumbers/>
        <w:suppressAutoHyphens/>
        <w:kinsoku w:val="0"/>
        <w:overflowPunct w:val="0"/>
        <w:autoSpaceDE w:val="0"/>
        <w:autoSpaceDN w:val="0"/>
        <w:spacing w:line="280" w:lineRule="atLeast"/>
        <w:rPr>
          <w:rFonts w:eastAsia="MS Mincho"/>
          <w:iCs/>
          <w:snapToGrid w:val="0"/>
          <w:kern w:val="22"/>
          <w:szCs w:val="22"/>
        </w:rPr>
      </w:pPr>
    </w:p>
    <w:p w14:paraId="0F70D144" w14:textId="77777777" w:rsidR="00A876F3" w:rsidRPr="0088780C" w:rsidRDefault="00A876F3" w:rsidP="001013AF">
      <w:pPr>
        <w:suppressLineNumbers/>
        <w:suppressAutoHyphens/>
        <w:kinsoku w:val="0"/>
        <w:overflowPunct w:val="0"/>
        <w:autoSpaceDE w:val="0"/>
        <w:autoSpaceDN w:val="0"/>
        <w:spacing w:line="280" w:lineRule="atLeast"/>
        <w:rPr>
          <w:rFonts w:eastAsia="MS Mincho"/>
          <w:b/>
          <w:snapToGrid w:val="0"/>
          <w:kern w:val="22"/>
          <w:szCs w:val="22"/>
        </w:rPr>
      </w:pPr>
      <w:r w:rsidRPr="0088780C">
        <w:rPr>
          <w:rFonts w:eastAsia="MS Mincho"/>
          <w:b/>
          <w:snapToGrid w:val="0"/>
          <w:kern w:val="22"/>
          <w:szCs w:val="22"/>
        </w:rPr>
        <w:t>Введение</w:t>
      </w:r>
    </w:p>
    <w:p w14:paraId="7618E4F5" w14:textId="77777777" w:rsidR="00A876F3" w:rsidRPr="0088780C" w:rsidRDefault="00A876F3" w:rsidP="001013AF">
      <w:pPr>
        <w:suppressLineNumbers/>
        <w:suppressAutoHyphens/>
        <w:kinsoku w:val="0"/>
        <w:overflowPunct w:val="0"/>
        <w:autoSpaceDE w:val="0"/>
        <w:autoSpaceDN w:val="0"/>
        <w:rPr>
          <w:i/>
          <w:snapToGrid w:val="0"/>
          <w:kern w:val="22"/>
          <w:szCs w:val="22"/>
        </w:rPr>
      </w:pPr>
      <w:r w:rsidRPr="0088780C">
        <w:rPr>
          <w:i/>
          <w:snapToGrid w:val="0"/>
          <w:kern w:val="22"/>
          <w:szCs w:val="22"/>
        </w:rPr>
        <w:t xml:space="preserve">Река Кура - самая крупная река Закавказья. Впадает в Каспийское море, протекает по территории трёх государств: Турции, Грузии, Азербайджана, является основной рекой Грузии и Азербайджана. Протяжённость Куры составляет 1364 км, площадь бассейна 188 тыс. км², длина в пределах Азербайджана 906 км. </w:t>
      </w:r>
    </w:p>
    <w:p w14:paraId="3414813E" w14:textId="77777777" w:rsidR="00A876F3" w:rsidRPr="0088780C" w:rsidRDefault="00A876F3" w:rsidP="001013AF">
      <w:pPr>
        <w:suppressLineNumbers/>
        <w:suppressAutoHyphens/>
        <w:kinsoku w:val="0"/>
        <w:overflowPunct w:val="0"/>
        <w:autoSpaceDE w:val="0"/>
        <w:autoSpaceDN w:val="0"/>
        <w:rPr>
          <w:i/>
          <w:snapToGrid w:val="0"/>
          <w:kern w:val="22"/>
          <w:szCs w:val="22"/>
        </w:rPr>
      </w:pPr>
    </w:p>
    <w:p w14:paraId="11AEF347" w14:textId="77777777" w:rsidR="00A876F3" w:rsidRPr="0088780C" w:rsidRDefault="00A876F3" w:rsidP="001013AF">
      <w:pPr>
        <w:suppressLineNumbers/>
        <w:suppressAutoHyphens/>
        <w:kinsoku w:val="0"/>
        <w:overflowPunct w:val="0"/>
        <w:autoSpaceDE w:val="0"/>
        <w:autoSpaceDN w:val="0"/>
        <w:rPr>
          <w:i/>
          <w:snapToGrid w:val="0"/>
          <w:kern w:val="22"/>
          <w:szCs w:val="22"/>
        </w:rPr>
      </w:pPr>
      <w:r w:rsidRPr="0088780C">
        <w:rPr>
          <w:i/>
          <w:snapToGrid w:val="0"/>
          <w:kern w:val="22"/>
          <w:szCs w:val="22"/>
        </w:rPr>
        <w:t>Вследствие выноса ила рекой размеры Прикуринского пространства увеличиваются в среднем на 60 м в год. Берега дельты преимущественно низкие, покрытые высокой травой и камышом. Глубины в районе дельты изменяются в зависимости от ветров и количества наносов реки. Колебания уровня воды при сгонно-нагонных явлениях здесь бывают довольно значительны.</w:t>
      </w:r>
    </w:p>
    <w:p w14:paraId="7FB7B6C4" w14:textId="77777777" w:rsidR="00A876F3" w:rsidRPr="0088780C" w:rsidRDefault="00A876F3" w:rsidP="001013AF">
      <w:pPr>
        <w:suppressLineNumbers/>
        <w:suppressAutoHyphens/>
        <w:kinsoku w:val="0"/>
        <w:overflowPunct w:val="0"/>
        <w:autoSpaceDE w:val="0"/>
        <w:autoSpaceDN w:val="0"/>
        <w:rPr>
          <w:i/>
          <w:snapToGrid w:val="0"/>
          <w:kern w:val="22"/>
          <w:szCs w:val="22"/>
        </w:rPr>
      </w:pPr>
    </w:p>
    <w:p w14:paraId="45EB8473" w14:textId="77777777" w:rsidR="00A876F3" w:rsidRPr="0088780C" w:rsidRDefault="00A876F3" w:rsidP="001013AF">
      <w:pPr>
        <w:suppressLineNumbers/>
        <w:suppressAutoHyphens/>
        <w:kinsoku w:val="0"/>
        <w:overflowPunct w:val="0"/>
        <w:autoSpaceDE w:val="0"/>
        <w:autoSpaceDN w:val="0"/>
        <w:rPr>
          <w:i/>
          <w:snapToGrid w:val="0"/>
          <w:kern w:val="22"/>
          <w:szCs w:val="22"/>
        </w:rPr>
      </w:pPr>
      <w:r w:rsidRPr="0088780C">
        <w:rPr>
          <w:i/>
          <w:snapToGrid w:val="0"/>
          <w:kern w:val="22"/>
          <w:szCs w:val="22"/>
        </w:rPr>
        <w:t>В поверхностных слоях температура воды приустьевого пространства повышается в сторону моря, а в глубинных – с севера на юг. В августе температура в месте впадения в Каспий составляет 25-26 Сº. В сентябре, когда здесь температура составляет 19-20 Сº, в море она доходит до 23-24 Сº. Соленость растет от берега в глубь моря от 10-11 до 12,5-13,5 ‰. В самой дельте соленость составляет не более 6-8 ‰, а в самом крупном рукаве – 2-3 ‰. Прозрачность воды в прибрежной полосе не более 1 м, а в море достигает 15-16 м. В маловодное время года прозрачность бывает больше.</w:t>
      </w:r>
    </w:p>
    <w:p w14:paraId="7745045E" w14:textId="77777777" w:rsidR="00A876F3" w:rsidRPr="0088780C" w:rsidRDefault="00A876F3" w:rsidP="001013AF">
      <w:pPr>
        <w:suppressLineNumbers/>
        <w:suppressAutoHyphens/>
        <w:kinsoku w:val="0"/>
        <w:overflowPunct w:val="0"/>
        <w:autoSpaceDE w:val="0"/>
        <w:autoSpaceDN w:val="0"/>
        <w:rPr>
          <w:i/>
          <w:snapToGrid w:val="0"/>
          <w:kern w:val="22"/>
          <w:szCs w:val="22"/>
        </w:rPr>
      </w:pPr>
    </w:p>
    <w:p w14:paraId="2DC58D20" w14:textId="77777777" w:rsidR="00A876F3" w:rsidRPr="0088780C" w:rsidRDefault="00A876F3" w:rsidP="001013AF">
      <w:pPr>
        <w:suppressLineNumbers/>
        <w:suppressAutoHyphens/>
        <w:kinsoku w:val="0"/>
        <w:overflowPunct w:val="0"/>
        <w:autoSpaceDE w:val="0"/>
        <w:autoSpaceDN w:val="0"/>
        <w:rPr>
          <w:i/>
          <w:snapToGrid w:val="0"/>
          <w:kern w:val="22"/>
          <w:szCs w:val="22"/>
        </w:rPr>
      </w:pPr>
      <w:r w:rsidRPr="0088780C">
        <w:rPr>
          <w:i/>
          <w:snapToGrid w:val="0"/>
          <w:kern w:val="22"/>
          <w:szCs w:val="22"/>
        </w:rPr>
        <w:t xml:space="preserve">Приустьевое пространство образовано двумя рукавами: Северо-Восточным (Норд-Ост Култук) и Юго-Восточным (Зюйд-Ост Култук), которые являются пастбищами всех видов рыб куринского происхождения осетровых, карповых, а также локальных стад и проходных сельдей, бычков, атерин и т. д. (Гадживе, Касимов, 2005). Берег дельты между устьями рукавов сравнительно приглубый. Залив Зюйд-Ост Култук вдается в берег непосредственно от дельты реки Куры. Северо-восточный и северный берега залива низкие, покрытые высокой травой; западный берег песчаный и несколько возвышенный. Залив мелководный; глубины в нем преимущественно менее 5 м, и только на небольшом участке залива вблизи входа в него глубины 5-6 м. В южной части залива грунт – ил с примесью мелкой ракушки, далее к вершине в основном ил. Залив Норд-Ост Култук шириной 1,5 мили окаймляет северо-восточную часть дельты Куры. Глубина на отмели менее 10 метров. </w:t>
      </w:r>
    </w:p>
    <w:p w14:paraId="0EC3CB96" w14:textId="77777777" w:rsidR="00A876F3" w:rsidRPr="0088780C" w:rsidRDefault="00A876F3" w:rsidP="001013AF">
      <w:pPr>
        <w:suppressLineNumbers/>
        <w:suppressAutoHyphens/>
        <w:kinsoku w:val="0"/>
        <w:overflowPunct w:val="0"/>
        <w:autoSpaceDE w:val="0"/>
        <w:autoSpaceDN w:val="0"/>
        <w:spacing w:line="280" w:lineRule="atLeast"/>
        <w:rPr>
          <w:snapToGrid w:val="0"/>
          <w:kern w:val="22"/>
          <w:szCs w:val="22"/>
        </w:rPr>
      </w:pPr>
    </w:p>
    <w:p w14:paraId="0865ED7F" w14:textId="77777777" w:rsidR="00A876F3" w:rsidRPr="0088780C" w:rsidRDefault="00A876F3" w:rsidP="001013AF">
      <w:pPr>
        <w:suppressLineNumbers/>
        <w:suppressAutoHyphens/>
        <w:kinsoku w:val="0"/>
        <w:overflowPunct w:val="0"/>
        <w:autoSpaceDE w:val="0"/>
        <w:autoSpaceDN w:val="0"/>
        <w:spacing w:line="280" w:lineRule="atLeast"/>
        <w:rPr>
          <w:rFonts w:eastAsia="MS Mincho"/>
          <w:b/>
          <w:snapToGrid w:val="0"/>
          <w:kern w:val="22"/>
          <w:szCs w:val="22"/>
        </w:rPr>
      </w:pPr>
      <w:r w:rsidRPr="0088780C">
        <w:rPr>
          <w:rFonts w:eastAsia="MS Mincho"/>
          <w:b/>
          <w:snapToGrid w:val="0"/>
          <w:kern w:val="22"/>
          <w:szCs w:val="22"/>
        </w:rPr>
        <w:t>Местонахождение</w:t>
      </w:r>
      <w:r w:rsidRPr="0088780C">
        <w:rPr>
          <w:i/>
          <w:snapToGrid w:val="0"/>
          <w:kern w:val="22"/>
          <w:szCs w:val="22"/>
        </w:rPr>
        <w:t>Географические координаты приустьевого пространства (см. карту ниже) - 39°16' – 39°25' с.ш.; 49°19' – 49°28' в.д. Географическое положение - Место впадения реки Куры в Каспийское море на территории Нефтечалинского района в 10 км к востоку и юго-востоку от г. Нефтечала. Площадь около 15000 га.Высота над уровнем моря - около –28 м.Тип водно-болотного угодья согласно Рамсарской конвенции F, Tp, Sp. Критерий включения в список - 1a, 2a, 2c, 3a (основные 2c, 3a). Данное угодье не имеет охранного статуса.</w:t>
      </w:r>
    </w:p>
    <w:p w14:paraId="4954D6DC" w14:textId="77777777" w:rsidR="00A876F3" w:rsidRPr="0088780C" w:rsidRDefault="00A876F3" w:rsidP="001013AF">
      <w:pPr>
        <w:suppressLineNumbers/>
        <w:suppressAutoHyphens/>
        <w:kinsoku w:val="0"/>
        <w:overflowPunct w:val="0"/>
        <w:autoSpaceDE w:val="0"/>
        <w:autoSpaceDN w:val="0"/>
        <w:rPr>
          <w:snapToGrid w:val="0"/>
          <w:color w:val="1F497D"/>
          <w:kern w:val="22"/>
          <w:szCs w:val="22"/>
        </w:rPr>
      </w:pPr>
    </w:p>
    <w:p w14:paraId="56C398D3" w14:textId="21F16ADC"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area is located where the Kura River flows into the Caspian Sea in the Neftechalinsky region, 10 km to the east and </w:t>
      </w:r>
      <w:r w:rsidR="00953367" w:rsidRPr="0088780C">
        <w:rPr>
          <w:snapToGrid w:val="0"/>
          <w:kern w:val="22"/>
          <w:szCs w:val="22"/>
        </w:rPr>
        <w:t>south-east</w:t>
      </w:r>
      <w:r w:rsidRPr="0088780C">
        <w:rPr>
          <w:snapToGrid w:val="0"/>
          <w:kern w:val="22"/>
          <w:szCs w:val="22"/>
        </w:rPr>
        <w:t xml:space="preserve"> of the city of Neftechal. The area measures about 15 000 hectares. The altitude above sea level is about 28 m. The geographical coordinates of the near-shore space are 39°16 '- 39 °25' N; 49 °19 '- 49 °28' E.</w:t>
      </w:r>
    </w:p>
    <w:p w14:paraId="28CACDDD" w14:textId="77777777" w:rsidR="00A876F3" w:rsidRPr="0088780C" w:rsidRDefault="00A876F3" w:rsidP="001013AF">
      <w:pPr>
        <w:suppressLineNumbers/>
        <w:suppressAutoHyphens/>
        <w:kinsoku w:val="0"/>
        <w:overflowPunct w:val="0"/>
        <w:autoSpaceDE w:val="0"/>
        <w:autoSpaceDN w:val="0"/>
        <w:spacing w:line="280" w:lineRule="atLeast"/>
        <w:rPr>
          <w:i/>
          <w:snapToGrid w:val="0"/>
          <w:kern w:val="22"/>
          <w:szCs w:val="22"/>
        </w:rPr>
      </w:pPr>
    </w:p>
    <w:p w14:paraId="074870C1" w14:textId="77777777" w:rsidR="00A876F3" w:rsidRPr="0088780C" w:rsidRDefault="00A876F3" w:rsidP="001013AF">
      <w:pPr>
        <w:suppressLineNumbers/>
        <w:suppressAutoHyphens/>
        <w:kinsoku w:val="0"/>
        <w:overflowPunct w:val="0"/>
        <w:autoSpaceDE w:val="0"/>
        <w:autoSpaceDN w:val="0"/>
        <w:spacing w:line="280" w:lineRule="atLeast"/>
        <w:rPr>
          <w:snapToGrid w:val="0"/>
          <w:kern w:val="22"/>
          <w:szCs w:val="22"/>
        </w:rPr>
      </w:pPr>
      <w:r w:rsidRPr="0088780C">
        <w:rPr>
          <w:rFonts w:eastAsia="MS Mincho"/>
          <w:b/>
          <w:snapToGrid w:val="0"/>
          <w:kern w:val="22"/>
          <w:szCs w:val="22"/>
        </w:rPr>
        <w:t xml:space="preserve">Описание особенностей предлагаемого района </w:t>
      </w:r>
    </w:p>
    <w:p w14:paraId="011A4AF3" w14:textId="77777777" w:rsidR="00A876F3" w:rsidRPr="0088780C" w:rsidRDefault="00A876F3" w:rsidP="001013AF">
      <w:pPr>
        <w:suppressLineNumbers/>
        <w:suppressAutoHyphens/>
        <w:kinsoku w:val="0"/>
        <w:overflowPunct w:val="0"/>
        <w:autoSpaceDE w:val="0"/>
        <w:autoSpaceDN w:val="0"/>
        <w:rPr>
          <w:i/>
          <w:snapToGrid w:val="0"/>
          <w:kern w:val="22"/>
          <w:szCs w:val="22"/>
        </w:rPr>
      </w:pPr>
      <w:r w:rsidRPr="0088780C">
        <w:rPr>
          <w:i/>
          <w:snapToGrid w:val="0"/>
          <w:kern w:val="22"/>
          <w:szCs w:val="22"/>
        </w:rPr>
        <w:t>В Прикуринском пространстве выявлено 34 вида зоопланктона с биомассой 0,03-0,05 г/ м</w:t>
      </w:r>
      <w:r w:rsidRPr="0088780C">
        <w:rPr>
          <w:i/>
          <w:snapToGrid w:val="0"/>
          <w:kern w:val="22"/>
          <w:szCs w:val="22"/>
          <w:vertAlign w:val="superscript"/>
        </w:rPr>
        <w:t>3</w:t>
      </w:r>
      <w:r w:rsidRPr="0088780C">
        <w:rPr>
          <w:i/>
          <w:snapToGrid w:val="0"/>
          <w:kern w:val="22"/>
          <w:szCs w:val="22"/>
        </w:rPr>
        <w:t>, 83 вида бентических организмов с биомассой 0,7 г/ м</w:t>
      </w:r>
      <w:r w:rsidRPr="0088780C">
        <w:rPr>
          <w:i/>
          <w:snapToGrid w:val="0"/>
          <w:kern w:val="22"/>
          <w:szCs w:val="22"/>
          <w:vertAlign w:val="superscript"/>
        </w:rPr>
        <w:t>2</w:t>
      </w:r>
      <w:r w:rsidRPr="0088780C">
        <w:rPr>
          <w:i/>
          <w:snapToGrid w:val="0"/>
          <w:kern w:val="22"/>
          <w:szCs w:val="22"/>
        </w:rPr>
        <w:t xml:space="preserve">. Данное угодье имеет великолепные кормовые и защитные условия для водно-болотных птиц во все сезоны года, однако фактор беспокойства значителен. Это ценный рыбопромысловый район, где встречаются практически все ценные виды рыб Азербайджана, в общем около 70 видов рыб, причем большинство имеют промысловое значение. Среди них особенно ценные куринский осетр, русский осетр, белуга, севрюга (северо-каспийская и южно-каспийская), каспийский лосось и другие. Прибрежные мелководья западного шельфа Южного Каспия до 10 метровой глубины являются пастбищами молоди рыб, взрослые особи распределяются в основном до 50-70 м, единичные особи крупных рыб до 100 м изобаты. Особенностью каспийской ихтиофауны является большое количество эндемиков, т.е. форм свойственных только этому водоему. Наибольшее количество эндемичных видов и подвидов относятся к семействам сельдевых и бычковых (Гадживе, Касимов, 2005). </w:t>
      </w:r>
    </w:p>
    <w:p w14:paraId="68B9ED8B" w14:textId="77777777" w:rsidR="00A876F3" w:rsidRPr="0088780C" w:rsidRDefault="00A876F3" w:rsidP="001013AF">
      <w:pPr>
        <w:suppressLineNumbers/>
        <w:suppressAutoHyphens/>
        <w:kinsoku w:val="0"/>
        <w:overflowPunct w:val="0"/>
        <w:autoSpaceDE w:val="0"/>
        <w:autoSpaceDN w:val="0"/>
        <w:rPr>
          <w:i/>
          <w:snapToGrid w:val="0"/>
          <w:kern w:val="22"/>
          <w:szCs w:val="22"/>
        </w:rPr>
      </w:pPr>
    </w:p>
    <w:p w14:paraId="3FDAE036" w14:textId="77777777" w:rsidR="00A876F3" w:rsidRPr="0088780C" w:rsidRDefault="00A876F3" w:rsidP="001013AF">
      <w:pPr>
        <w:suppressLineNumbers/>
        <w:suppressAutoHyphens/>
        <w:kinsoku w:val="0"/>
        <w:overflowPunct w:val="0"/>
        <w:autoSpaceDE w:val="0"/>
        <w:autoSpaceDN w:val="0"/>
        <w:rPr>
          <w:i/>
          <w:snapToGrid w:val="0"/>
          <w:kern w:val="22"/>
          <w:szCs w:val="22"/>
        </w:rPr>
      </w:pPr>
      <w:r w:rsidRPr="0088780C">
        <w:rPr>
          <w:i/>
          <w:snapToGrid w:val="0"/>
          <w:kern w:val="22"/>
          <w:szCs w:val="22"/>
        </w:rPr>
        <w:t>Д.Г. Туаев (1975) отмечает здесь 66 видов водно-болотных птиц. Исследования, проведенные в 1995-1996 годах (Sultanov, Haddow, 1997; Султанов, 1997; Султанов Э.Г, Мусаев А.М.), включая вертолетные учеты, показали, что в весенне-летний период выявлено 68 видов водно-болотных птиц, в том числе 2 колонии голенастых и веслоногих птиц. Результаты пеших учетов и учетов с моторной лодки показали, что в этот период общая численность птиц, подсчитанных за один-два дня, составляет 5092-5163 (исключая птиц, скрывающихся в тростнике). Из редких и исчезающих видов мирового значения здесь выявлены кудрявый пеликан P. crispus (в декабре 1995года 108 особей), малый баклан Ph. pygmaeus (884 в гнездовой период), мраморный чирок M. angustirostris, белоглазый нырок A. nyroca, савка O. leucocephala. Из видов, занесенных в Красную книгу Азербайджана – лебедь-шипун C. olor, колпица P. leucorodia, султанка P. porphyrio, розовый пеликан P. onocrotalus (в январе 1996 года 410 вместе с кудрявым пеликаном), белохвостая пигалица Ch. leucura. Среди видов европейского значения – рыжая и желтая цапли, каравайка, серая утка, чирок-трескунок, красноголовый нырок, большой веретенник, шилоклювка, луговая тиркушка, черноголовый хохотун, большой кроншнеп, чеграва, белощека крачка, малая крачка, пестроносая крачка и другие. Результаты вертолетных учетов 1996 года показывают, что численность птиц на зимовке и в период перелета колеблется в пределах 7778 – 74810 особей. Здесь встречаются типичные для Азербайджана водолюбивые виды растений, среди которых основное место занимает тростник.</w:t>
      </w:r>
    </w:p>
    <w:p w14:paraId="4AD86071" w14:textId="77777777" w:rsidR="00A876F3" w:rsidRPr="0088780C" w:rsidRDefault="00A876F3" w:rsidP="001013AF">
      <w:pPr>
        <w:suppressLineNumbers/>
        <w:suppressAutoHyphens/>
        <w:kinsoku w:val="0"/>
        <w:overflowPunct w:val="0"/>
        <w:autoSpaceDE w:val="0"/>
        <w:autoSpaceDN w:val="0"/>
        <w:spacing w:line="280" w:lineRule="atLeast"/>
        <w:rPr>
          <w:snapToGrid w:val="0"/>
          <w:kern w:val="22"/>
          <w:szCs w:val="22"/>
        </w:rPr>
      </w:pPr>
    </w:p>
    <w:p w14:paraId="69F8AD4F" w14:textId="77777777" w:rsidR="00A876F3" w:rsidRPr="0088780C" w:rsidRDefault="00A876F3" w:rsidP="0058765B">
      <w:pPr>
        <w:keepNext/>
        <w:suppressLineNumbers/>
        <w:suppressAutoHyphens/>
        <w:kinsoku w:val="0"/>
        <w:overflowPunct w:val="0"/>
        <w:autoSpaceDE w:val="0"/>
        <w:autoSpaceDN w:val="0"/>
        <w:spacing w:line="280" w:lineRule="atLeast"/>
        <w:rPr>
          <w:rFonts w:eastAsia="MS Mincho"/>
          <w:b/>
          <w:snapToGrid w:val="0"/>
          <w:kern w:val="22"/>
          <w:szCs w:val="22"/>
        </w:rPr>
      </w:pPr>
      <w:r w:rsidRPr="0088780C">
        <w:rPr>
          <w:rFonts w:eastAsia="MS Mincho"/>
          <w:b/>
          <w:snapToGrid w:val="0"/>
          <w:kern w:val="22"/>
          <w:szCs w:val="22"/>
        </w:rPr>
        <w:t>Состояние объекта и перспективы относительно предлагаемого района</w:t>
      </w:r>
    </w:p>
    <w:p w14:paraId="041D9CE0" w14:textId="68AF7533" w:rsidR="00A876F3" w:rsidRPr="0088780C" w:rsidRDefault="00A876F3" w:rsidP="001013AF">
      <w:pPr>
        <w:suppressLineNumbers/>
        <w:suppressAutoHyphens/>
        <w:kinsoku w:val="0"/>
        <w:overflowPunct w:val="0"/>
        <w:autoSpaceDE w:val="0"/>
        <w:autoSpaceDN w:val="0"/>
        <w:rPr>
          <w:i/>
          <w:snapToGrid w:val="0"/>
          <w:kern w:val="22"/>
          <w:szCs w:val="22"/>
        </w:rPr>
      </w:pPr>
      <w:r w:rsidRPr="0088780C">
        <w:rPr>
          <w:i/>
          <w:snapToGrid w:val="0"/>
          <w:kern w:val="22"/>
          <w:szCs w:val="22"/>
        </w:rPr>
        <w:t>Западное прибрежье Южного Каспия является районом местообитания восстановления численности и запасов, находящихся под угрозой исчезновения видов: осетровых, каспийского лосося, сельдевых. Под отрицательным воздействием антропогенной деятельности, включающей, хроническое нефтяное загрязнение увеличивается количество видов фауны моря и районов моря, имеющих промысловое значение и входящих в разряд исчезающих и сокращающих численностью. Вследствие антропогенной деятельности были потеряны нерестилища осетровых и каспийского лосося, расположенные в среднем течении реки Кура в результате строительства Мингечаурской ГЭС. Площади нерестилищ характеризовались оптимальными скоростями течения речной воды и каменистыми грунтами. В настоящее время нерестилища, расположенные ниже Мингечаурской плотины имеют заиленные площади нерестилищ, а водный режим реки регулируется пропусками воды с ГЭС, срок проведение которых не совпадают с сезоном нереста. Строительство Мингячевирского гидроузла, водохозяйственных сооружений, являющиеся по своему масштабу и народно-хозяйственному значению одними из весьма крупных объектов гидротехнического строительства в бывшем СССР, предусматривало разрешение всех основных задач, связанных с использованием водных ресурсов бассейна реки Куры. Значительной задачей строительства Мингячевирского гидроузла являлось устранение постоянной угрозы затопления около 125 тыс. га земель. В связи с ликвидацией наводнений резко улучшалось санитарное состояние населенных пунктов, прилегающих районов Кура-Аразской низменности. Зарегулированием стока создавались благоприятные условия судоходства по Куре, обусловленные увеличением меженных расходов воды и сокращением минимальных глубин. Одновременно с этим устранялись препятствия для плавания судов, связанные с опасностью подмыва валов волнением. Интенсивность эрозионно-аккумулятивной деятельности реки Куры снизится, русло приобретет большую поперечную устойчивость, заградительные валы станут более устойчивыми от подмыва. В целом строительство Мингячевирского гидроузла, положительно разрешая потребности энергетики, ирригации, здравоохранения и судоходства, в то же время нарушало самые основы Каспийско-Куринского рыбного хозяйства, нанося огромный ущерб естественному размножению рыб. Очевиден тот факт, что Мингячевирская и Варваринская плотины на Куре и Баграмтапинская плотина на Аразе представляют непреодолимую преграду для миграции рыб вверх по рекам, прекращается естественное размножение рыб, нерестующих в горных участках бассейнов обоих рек. Вместе с тем, отрезается большая половина площадей нерестилищ осетровых рыб. Воздействие всех изменений режима рек Кура и Араз в результате зарегулирования стоков на условия воспроизводства рыбных запасов сводилось к катастрофическому уменьшению уло</w:t>
      </w:r>
      <w:r w:rsidR="0058765B" w:rsidRPr="0088780C">
        <w:rPr>
          <w:i/>
          <w:snapToGrid w:val="0"/>
          <w:kern w:val="22"/>
          <w:szCs w:val="22"/>
        </w:rPr>
        <w:t>вов всех промысловых видов рыб.</w:t>
      </w:r>
    </w:p>
    <w:p w14:paraId="527D2404"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5DB8FB0" w14:textId="06C59863" w:rsidR="00A876F3" w:rsidRPr="0088780C" w:rsidRDefault="00A876F3" w:rsidP="0058765B">
      <w:pPr>
        <w:suppressLineNumbers/>
        <w:suppressAutoHyphens/>
        <w:kinsoku w:val="0"/>
        <w:overflowPunct w:val="0"/>
        <w:autoSpaceDE w:val="0"/>
        <w:autoSpaceDN w:val="0"/>
        <w:spacing w:line="280" w:lineRule="atLeast"/>
        <w:jc w:val="left"/>
        <w:rPr>
          <w:rFonts w:eastAsia="MS Mincho"/>
          <w:b/>
          <w:snapToGrid w:val="0"/>
          <w:kern w:val="22"/>
          <w:szCs w:val="22"/>
        </w:rPr>
      </w:pPr>
      <w:r w:rsidRPr="0088780C">
        <w:rPr>
          <w:rFonts w:eastAsia="MS Mincho"/>
          <w:b/>
          <w:snapToGrid w:val="0"/>
          <w:kern w:val="22"/>
          <w:szCs w:val="22"/>
        </w:rPr>
        <w:t>Оценка района по критериям выявления экологически или биологически значимых морских районов (ЭБЗР), разработанным в рамках Конвенции о б</w:t>
      </w:r>
      <w:r w:rsidR="0058765B" w:rsidRPr="0088780C">
        <w:rPr>
          <w:rFonts w:eastAsia="MS Mincho"/>
          <w:b/>
          <w:snapToGrid w:val="0"/>
          <w:kern w:val="22"/>
          <w:szCs w:val="22"/>
        </w:rPr>
        <w:t>иологическом разнообразии (КБР)</w:t>
      </w:r>
    </w:p>
    <w:p w14:paraId="73240B6E" w14:textId="77777777" w:rsidR="00A876F3" w:rsidRPr="0088780C" w:rsidRDefault="00A876F3" w:rsidP="0058765B">
      <w:pPr>
        <w:suppressLineNumber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2665"/>
        <w:gridCol w:w="43"/>
        <w:gridCol w:w="1491"/>
        <w:gridCol w:w="240"/>
        <w:gridCol w:w="27"/>
        <w:gridCol w:w="690"/>
        <w:gridCol w:w="151"/>
        <w:gridCol w:w="918"/>
        <w:gridCol w:w="119"/>
        <w:gridCol w:w="976"/>
      </w:tblGrid>
      <w:tr w:rsidR="00A876F3" w:rsidRPr="0088780C" w14:paraId="065FEEDC" w14:textId="77777777" w:rsidTr="006972AD">
        <w:tc>
          <w:tcPr>
            <w:tcW w:w="779" w:type="pct"/>
            <w:vMerge w:val="restart"/>
            <w:shd w:val="clear" w:color="auto" w:fill="auto"/>
          </w:tcPr>
          <w:p w14:paraId="48D77984" w14:textId="77777777" w:rsidR="00A876F3" w:rsidRPr="0088780C" w:rsidRDefault="00A876F3" w:rsidP="0058765B">
            <w:pPr>
              <w:suppressLineNumbers/>
              <w:suppressAutoHyphens/>
              <w:kinsoku w:val="0"/>
              <w:overflowPunct w:val="0"/>
              <w:autoSpaceDE w:val="0"/>
              <w:autoSpaceDN w:val="0"/>
              <w:adjustRightInd w:val="0"/>
              <w:jc w:val="left"/>
              <w:rPr>
                <w:rFonts w:eastAsia="MS Mincho"/>
                <w:b/>
                <w:bCs/>
                <w:snapToGrid w:val="0"/>
                <w:color w:val="000000"/>
                <w:kern w:val="22"/>
                <w:szCs w:val="22"/>
                <w:lang w:val="ru-RU"/>
              </w:rPr>
            </w:pPr>
            <w:r w:rsidRPr="0088780C">
              <w:rPr>
                <w:rFonts w:eastAsia="MS Mincho"/>
                <w:b/>
                <w:bCs/>
                <w:snapToGrid w:val="0"/>
                <w:color w:val="000000"/>
                <w:kern w:val="22"/>
                <w:szCs w:val="22"/>
                <w:lang w:val="ru-RU"/>
              </w:rPr>
              <w:t xml:space="preserve">Критерии КБР по выявлению ЭБЗР </w:t>
            </w:r>
          </w:p>
          <w:p w14:paraId="0D5D8EDA" w14:textId="77777777" w:rsidR="00A876F3" w:rsidRPr="0088780C" w:rsidRDefault="00A876F3" w:rsidP="0058765B">
            <w:pPr>
              <w:suppressLineNumber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rFonts w:eastAsia="MS Mincho"/>
                <w:bCs/>
                <w:snapToGrid w:val="0"/>
                <w:color w:val="000000"/>
                <w:kern w:val="22"/>
                <w:szCs w:val="22"/>
                <w:lang w:val="ru-RU"/>
              </w:rPr>
              <w:t>(Приложение I к решению IX/20)</w:t>
            </w:r>
          </w:p>
        </w:tc>
        <w:tc>
          <w:tcPr>
            <w:tcW w:w="2280" w:type="pct"/>
            <w:vMerge w:val="restart"/>
            <w:shd w:val="clear" w:color="auto" w:fill="auto"/>
          </w:tcPr>
          <w:p w14:paraId="593E0920"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jc w:val="center"/>
              <w:rPr>
                <w:rFonts w:eastAsia="MS Mincho"/>
                <w:b/>
                <w:bCs/>
                <w:snapToGrid w:val="0"/>
                <w:kern w:val="22"/>
                <w:szCs w:val="22"/>
                <w:lang w:val="ru-RU"/>
              </w:rPr>
            </w:pPr>
            <w:r w:rsidRPr="0088780C">
              <w:rPr>
                <w:rFonts w:eastAsia="MS Mincho"/>
                <w:b/>
                <w:bCs/>
                <w:snapToGrid w:val="0"/>
                <w:kern w:val="22"/>
                <w:szCs w:val="22"/>
                <w:lang w:val="ru-RU"/>
              </w:rPr>
              <w:t>Описание</w:t>
            </w:r>
          </w:p>
          <w:p w14:paraId="3BF0F8DA" w14:textId="77777777" w:rsidR="00A876F3" w:rsidRPr="0088780C" w:rsidRDefault="00A876F3" w:rsidP="0058765B">
            <w:pPr>
              <w:suppressLineNumbers/>
              <w:suppressAutoHyphens/>
              <w:kinsoku w:val="0"/>
              <w:overflowPunct w:val="0"/>
              <w:autoSpaceDE w:val="0"/>
              <w:autoSpaceDN w:val="0"/>
              <w:adjustRightInd w:val="0"/>
              <w:jc w:val="center"/>
              <w:rPr>
                <w:rFonts w:eastAsia="MS Mincho"/>
                <w:bCs/>
                <w:snapToGrid w:val="0"/>
                <w:kern w:val="22"/>
                <w:szCs w:val="22"/>
                <w:lang w:val="ru-RU"/>
              </w:rPr>
            </w:pPr>
            <w:r w:rsidRPr="0088780C">
              <w:rPr>
                <w:rFonts w:eastAsia="MS Mincho"/>
                <w:bCs/>
                <w:snapToGrid w:val="0"/>
                <w:color w:val="000000"/>
                <w:kern w:val="22"/>
                <w:szCs w:val="22"/>
                <w:lang w:val="ru-RU"/>
              </w:rPr>
              <w:t>(Приложение I к решению IX/20)</w:t>
            </w:r>
          </w:p>
        </w:tc>
        <w:tc>
          <w:tcPr>
            <w:tcW w:w="1940" w:type="pct"/>
            <w:gridSpan w:val="9"/>
            <w:shd w:val="clear" w:color="auto" w:fill="auto"/>
          </w:tcPr>
          <w:p w14:paraId="26879013"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Ранжирование актуальности критериев</w:t>
            </w:r>
          </w:p>
          <w:p w14:paraId="39AEEA51"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Cs/>
                <w:snapToGrid w:val="0"/>
                <w:color w:val="000000"/>
                <w:spacing w:val="-4"/>
                <w:kern w:val="22"/>
                <w:szCs w:val="22"/>
                <w:lang w:val="ru-RU"/>
              </w:rPr>
            </w:pPr>
            <w:r w:rsidRPr="0088780C">
              <w:rPr>
                <w:rFonts w:eastAsia="MS Mincho"/>
                <w:bCs/>
                <w:snapToGrid w:val="0"/>
                <w:color w:val="000000"/>
                <w:spacing w:val="-4"/>
                <w:kern w:val="22"/>
                <w:szCs w:val="22"/>
                <w:lang w:val="ru-RU"/>
              </w:rPr>
              <w:t>(просьба поставить в одной из колонок букву X)</w:t>
            </w:r>
          </w:p>
        </w:tc>
      </w:tr>
      <w:tr w:rsidR="00A876F3" w:rsidRPr="0088780C" w14:paraId="4F2D2BD3" w14:textId="77777777" w:rsidTr="006972AD">
        <w:tc>
          <w:tcPr>
            <w:tcW w:w="779" w:type="pct"/>
            <w:vMerge/>
            <w:shd w:val="clear" w:color="auto" w:fill="auto"/>
          </w:tcPr>
          <w:p w14:paraId="295B21B3"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p>
        </w:tc>
        <w:tc>
          <w:tcPr>
            <w:tcW w:w="2280" w:type="pct"/>
            <w:vMerge/>
            <w:shd w:val="clear" w:color="auto" w:fill="auto"/>
          </w:tcPr>
          <w:p w14:paraId="28289736"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kern w:val="22"/>
                <w:szCs w:val="22"/>
                <w:lang w:val="ru-RU"/>
              </w:rPr>
            </w:pPr>
          </w:p>
        </w:tc>
        <w:tc>
          <w:tcPr>
            <w:tcW w:w="547" w:type="pct"/>
            <w:gridSpan w:val="2"/>
            <w:shd w:val="clear" w:color="auto" w:fill="auto"/>
          </w:tcPr>
          <w:p w14:paraId="383DBB86"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Информации нет</w:t>
            </w:r>
          </w:p>
        </w:tc>
        <w:tc>
          <w:tcPr>
            <w:tcW w:w="547" w:type="pct"/>
            <w:gridSpan w:val="3"/>
            <w:shd w:val="clear" w:color="auto" w:fill="auto"/>
          </w:tcPr>
          <w:p w14:paraId="334FD368"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 xml:space="preserve">Низкая </w:t>
            </w:r>
          </w:p>
        </w:tc>
        <w:tc>
          <w:tcPr>
            <w:tcW w:w="411" w:type="pct"/>
            <w:gridSpan w:val="2"/>
            <w:shd w:val="clear" w:color="auto" w:fill="auto"/>
          </w:tcPr>
          <w:p w14:paraId="186DFA73"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 xml:space="preserve">Средняя </w:t>
            </w:r>
          </w:p>
        </w:tc>
        <w:tc>
          <w:tcPr>
            <w:tcW w:w="436" w:type="pct"/>
            <w:gridSpan w:val="2"/>
            <w:shd w:val="clear" w:color="auto" w:fill="auto"/>
          </w:tcPr>
          <w:p w14:paraId="4E2DD40F"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 xml:space="preserve">Высокая </w:t>
            </w:r>
          </w:p>
        </w:tc>
      </w:tr>
      <w:tr w:rsidR="00A876F3" w:rsidRPr="0088780C" w14:paraId="258E758F" w14:textId="77777777" w:rsidTr="006972AD">
        <w:tc>
          <w:tcPr>
            <w:tcW w:w="779" w:type="pct"/>
            <w:shd w:val="clear" w:color="auto" w:fill="auto"/>
          </w:tcPr>
          <w:p w14:paraId="12F71878"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b/>
                <w:snapToGrid w:val="0"/>
                <w:kern w:val="22"/>
                <w:szCs w:val="22"/>
                <w:lang w:val="ru-RU"/>
              </w:rPr>
              <w:t>Уникальность или малая распространённость</w:t>
            </w:r>
          </w:p>
        </w:tc>
        <w:tc>
          <w:tcPr>
            <w:tcW w:w="2280" w:type="pct"/>
            <w:shd w:val="clear" w:color="auto" w:fill="auto"/>
          </w:tcPr>
          <w:p w14:paraId="2C726CC4" w14:textId="77777777" w:rsidR="00A876F3" w:rsidRPr="0088780C" w:rsidRDefault="00A876F3" w:rsidP="0058765B">
            <w:pPr>
              <w:suppressLineNumber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snapToGrid w:val="0"/>
                <w:kern w:val="22"/>
                <w:szCs w:val="22"/>
                <w:lang w:val="ru-RU"/>
              </w:rPr>
              <w:t>Район, в котором присутствуют либо i) уникальные (единственные в своем роде), редкие (встречаются только в нескольких местах) или эндемичные виды, популяции или сообщества; и/или ii) уникальные, редкие или особые места обитания или экосистемы; и/или iii) уникальные или необычные геоморфологические или океанографические элементы</w:t>
            </w:r>
            <w:r w:rsidRPr="0088780C">
              <w:rPr>
                <w:rFonts w:eastAsia="MS Mincho"/>
                <w:bCs/>
                <w:snapToGrid w:val="0"/>
                <w:color w:val="000000"/>
                <w:kern w:val="22"/>
                <w:szCs w:val="22"/>
                <w:lang w:val="ru-RU"/>
              </w:rPr>
              <w:t>.</w:t>
            </w:r>
          </w:p>
        </w:tc>
        <w:tc>
          <w:tcPr>
            <w:tcW w:w="547" w:type="pct"/>
            <w:gridSpan w:val="2"/>
            <w:shd w:val="clear" w:color="auto" w:fill="auto"/>
          </w:tcPr>
          <w:p w14:paraId="3CC36562"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547" w:type="pct"/>
            <w:gridSpan w:val="3"/>
            <w:shd w:val="clear" w:color="auto" w:fill="auto"/>
          </w:tcPr>
          <w:p w14:paraId="2F1533B3"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11" w:type="pct"/>
            <w:gridSpan w:val="2"/>
            <w:shd w:val="clear" w:color="auto" w:fill="auto"/>
          </w:tcPr>
          <w:p w14:paraId="5B6D1E5C"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36" w:type="pct"/>
            <w:gridSpan w:val="2"/>
            <w:shd w:val="clear" w:color="auto" w:fill="auto"/>
          </w:tcPr>
          <w:p w14:paraId="0432A271"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r>
      <w:tr w:rsidR="00A876F3" w:rsidRPr="0088780C" w14:paraId="00C8860B" w14:textId="77777777" w:rsidTr="006972AD">
        <w:tc>
          <w:tcPr>
            <w:tcW w:w="5000" w:type="pct"/>
            <w:gridSpan w:val="11"/>
            <w:shd w:val="clear" w:color="auto" w:fill="auto"/>
          </w:tcPr>
          <w:p w14:paraId="6540C4BD" w14:textId="77777777" w:rsidR="00A876F3" w:rsidRPr="0088780C" w:rsidRDefault="00A876F3" w:rsidP="0058765B">
            <w:pPr>
              <w:suppressLineNumbers/>
              <w:suppressAutoHyphens/>
              <w:kinsoku w:val="0"/>
              <w:overflowPunct w:val="0"/>
              <w:autoSpaceDE w:val="0"/>
              <w:autoSpaceDN w:val="0"/>
              <w:adjustRightInd w:val="0"/>
              <w:rPr>
                <w:rFonts w:eastAsia="MS Mincho"/>
                <w:snapToGrid w:val="0"/>
                <w:color w:val="000000"/>
                <w:kern w:val="22"/>
                <w:szCs w:val="22"/>
                <w:lang w:val="ru-RU"/>
              </w:rPr>
            </w:pPr>
            <w:r w:rsidRPr="0088780C">
              <w:rPr>
                <w:i/>
                <w:snapToGrid w:val="0"/>
                <w:kern w:val="22"/>
                <w:szCs w:val="22"/>
                <w:lang w:val="ru-RU"/>
              </w:rPr>
              <w:t xml:space="preserve">Из редких и исчезающих видов мирового значения здесь выявлены кудрявый пеликан P. crispus, малый баклан Ph. pygmaeus, мраморный чирок M. angustirostris, белоглазый нырок A. nyroca, савка O. leucocephala. Из видов, занесенных в Красную книгу Азербайджана – лебедь-шипун C. olor, колпица P. leucorodia, султанка P. porphyrio, розовый пеликан P. onocrotalus, белохвостая пигалица Ch. Leucura (Sultanov, Haddow, 1997; Султанов, 1997; Султанов Э.Г, Мусаев А.М.). </w:t>
            </w:r>
          </w:p>
        </w:tc>
      </w:tr>
      <w:tr w:rsidR="00A876F3" w:rsidRPr="0088780C" w14:paraId="2822F094" w14:textId="77777777" w:rsidTr="006972AD">
        <w:tc>
          <w:tcPr>
            <w:tcW w:w="779" w:type="pct"/>
            <w:shd w:val="clear" w:color="auto" w:fill="auto"/>
          </w:tcPr>
          <w:p w14:paraId="27CAFF62" w14:textId="77777777" w:rsidR="00A876F3" w:rsidRPr="0088780C" w:rsidRDefault="00A876F3" w:rsidP="0058765B">
            <w:pPr>
              <w:suppressLineNumbers/>
              <w:suppressAutoHyphens/>
              <w:kinsoku w:val="0"/>
              <w:overflowPunct w:val="0"/>
              <w:autoSpaceDE w:val="0"/>
              <w:autoSpaceDN w:val="0"/>
              <w:adjustRightInd w:val="0"/>
              <w:jc w:val="left"/>
              <w:rPr>
                <w:rFonts w:eastAsia="MS Mincho"/>
                <w:b/>
                <w:bCs/>
                <w:snapToGrid w:val="0"/>
                <w:color w:val="000000"/>
                <w:kern w:val="22"/>
                <w:szCs w:val="22"/>
                <w:lang w:val="ru-RU"/>
              </w:rPr>
            </w:pPr>
            <w:r w:rsidRPr="0088780C">
              <w:rPr>
                <w:b/>
                <w:snapToGrid w:val="0"/>
                <w:kern w:val="22"/>
                <w:szCs w:val="22"/>
                <w:lang w:val="ru-RU"/>
              </w:rPr>
              <w:t>Особо важное значение для этапов цикла развития видов</w:t>
            </w:r>
          </w:p>
        </w:tc>
        <w:tc>
          <w:tcPr>
            <w:tcW w:w="2280" w:type="pct"/>
            <w:shd w:val="clear" w:color="auto" w:fill="auto"/>
          </w:tcPr>
          <w:p w14:paraId="31B40C99"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Cs/>
                <w:snapToGrid w:val="0"/>
                <w:color w:val="000000"/>
                <w:kern w:val="22"/>
                <w:szCs w:val="22"/>
                <w:lang w:val="ru-RU"/>
              </w:rPr>
            </w:pPr>
            <w:r w:rsidRPr="0088780C">
              <w:rPr>
                <w:snapToGrid w:val="0"/>
                <w:kern w:val="22"/>
                <w:szCs w:val="22"/>
                <w:lang w:val="ru-RU"/>
              </w:rPr>
              <w:t>Район, необходимый для выживания и успешного обитания популяции.</w:t>
            </w:r>
          </w:p>
        </w:tc>
        <w:tc>
          <w:tcPr>
            <w:tcW w:w="684" w:type="pct"/>
            <w:gridSpan w:val="3"/>
            <w:shd w:val="clear" w:color="auto" w:fill="auto"/>
          </w:tcPr>
          <w:p w14:paraId="63541F30"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10" w:type="pct"/>
            <w:gridSpan w:val="2"/>
            <w:shd w:val="clear" w:color="auto" w:fill="auto"/>
          </w:tcPr>
          <w:p w14:paraId="2D3D4F37"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11" w:type="pct"/>
            <w:gridSpan w:val="2"/>
            <w:shd w:val="clear" w:color="auto" w:fill="auto"/>
          </w:tcPr>
          <w:p w14:paraId="2414B9D0"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36" w:type="pct"/>
            <w:gridSpan w:val="2"/>
            <w:shd w:val="clear" w:color="auto" w:fill="auto"/>
          </w:tcPr>
          <w:p w14:paraId="4A292951"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r>
      <w:tr w:rsidR="00A876F3" w:rsidRPr="0088780C" w14:paraId="05896963" w14:textId="77777777" w:rsidTr="006972AD">
        <w:tc>
          <w:tcPr>
            <w:tcW w:w="5000" w:type="pct"/>
            <w:gridSpan w:val="11"/>
            <w:shd w:val="clear" w:color="auto" w:fill="auto"/>
          </w:tcPr>
          <w:p w14:paraId="5F7423AC"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i/>
                <w:snapToGrid w:val="0"/>
                <w:kern w:val="22"/>
                <w:szCs w:val="22"/>
                <w:lang w:val="ru-RU"/>
              </w:rPr>
              <w:t>Это ценный рыбопромысловый район, где встречаются практически все ценные виды рыб Азербайджана, в общем около 70 видов рыб (</w:t>
            </w:r>
            <w:r w:rsidRPr="0088780C">
              <w:rPr>
                <w:rFonts w:eastAsia="MS Mincho"/>
                <w:bCs/>
                <w:i/>
                <w:snapToGrid w:val="0"/>
                <w:color w:val="000000"/>
                <w:kern w:val="22"/>
                <w:szCs w:val="22"/>
                <w:lang w:val="ru-RU"/>
              </w:rPr>
              <w:t>Гаджиев</w:t>
            </w:r>
            <w:r w:rsidRPr="0088780C">
              <w:rPr>
                <w:i/>
                <w:snapToGrid w:val="0"/>
                <w:kern w:val="22"/>
                <w:szCs w:val="22"/>
                <w:lang w:val="ru-RU"/>
              </w:rPr>
              <w:t>, Касимов, 2005).</w:t>
            </w:r>
          </w:p>
        </w:tc>
      </w:tr>
      <w:tr w:rsidR="00A876F3" w:rsidRPr="0088780C" w14:paraId="4E68CA39" w14:textId="77777777" w:rsidTr="006972AD">
        <w:trPr>
          <w:trHeight w:val="1817"/>
        </w:trPr>
        <w:tc>
          <w:tcPr>
            <w:tcW w:w="779" w:type="pct"/>
            <w:shd w:val="clear" w:color="auto" w:fill="auto"/>
          </w:tcPr>
          <w:p w14:paraId="039C9DA9" w14:textId="77777777" w:rsidR="00A876F3" w:rsidRPr="0088780C" w:rsidRDefault="00A876F3" w:rsidP="0058765B">
            <w:pPr>
              <w:suppressLineNumbers/>
              <w:suppressAutoHyphens/>
              <w:kinsoku w:val="0"/>
              <w:overflowPunct w:val="0"/>
              <w:autoSpaceDE w:val="0"/>
              <w:autoSpaceDN w:val="0"/>
              <w:adjustRightInd w:val="0"/>
              <w:jc w:val="left"/>
              <w:rPr>
                <w:rFonts w:eastAsia="MS Mincho"/>
                <w:b/>
                <w:bCs/>
                <w:snapToGrid w:val="0"/>
                <w:color w:val="000000"/>
                <w:kern w:val="22"/>
                <w:szCs w:val="22"/>
                <w:lang w:val="ru-RU"/>
              </w:rPr>
            </w:pPr>
            <w:r w:rsidRPr="0088780C">
              <w:rPr>
                <w:b/>
                <w:snapToGrid w:val="0"/>
                <w:kern w:val="22"/>
                <w:szCs w:val="22"/>
                <w:lang w:val="ru-RU"/>
              </w:rPr>
              <w:t>Важное значение для угрожаемых, находящихся под угрозой исчезновения или исчезающих видов и/или мест обитания</w:t>
            </w:r>
          </w:p>
        </w:tc>
        <w:tc>
          <w:tcPr>
            <w:tcW w:w="2280" w:type="pct"/>
            <w:shd w:val="clear" w:color="auto" w:fill="auto"/>
          </w:tcPr>
          <w:p w14:paraId="2A5913B1" w14:textId="77777777" w:rsidR="00A876F3" w:rsidRPr="0088780C" w:rsidRDefault="00A876F3" w:rsidP="0058765B">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snapToGrid w:val="0"/>
                <w:kern w:val="22"/>
                <w:szCs w:val="22"/>
                <w:lang w:val="ru-RU"/>
              </w:rPr>
              <w:t xml:space="preserve">Район, </w:t>
            </w:r>
            <w:r w:rsidRPr="0088780C">
              <w:rPr>
                <w:snapToGrid w:val="0"/>
                <w:kern w:val="22"/>
                <w:szCs w:val="22"/>
                <w:lang w:val="ru-RU" w:eastAsia="ko-KR"/>
              </w:rPr>
              <w:t>содержащий место обитания для выживания или восстановления</w:t>
            </w:r>
            <w:r w:rsidRPr="0088780C">
              <w:rPr>
                <w:snapToGrid w:val="0"/>
                <w:kern w:val="22"/>
                <w:szCs w:val="22"/>
                <w:lang w:val="ru-RU"/>
              </w:rPr>
              <w:t xml:space="preserve"> находящихся под угрозой исчезновения, угрожаемых или исчезающих видов; или район, содержащий значительные сообщества таких видов</w:t>
            </w:r>
            <w:r w:rsidRPr="0088780C">
              <w:rPr>
                <w:rFonts w:eastAsia="MS Mincho"/>
                <w:bCs/>
                <w:snapToGrid w:val="0"/>
                <w:color w:val="000000"/>
                <w:kern w:val="22"/>
                <w:szCs w:val="22"/>
                <w:lang w:val="ru-RU"/>
              </w:rPr>
              <w:t>.</w:t>
            </w:r>
          </w:p>
        </w:tc>
        <w:tc>
          <w:tcPr>
            <w:tcW w:w="684" w:type="pct"/>
            <w:gridSpan w:val="3"/>
            <w:shd w:val="clear" w:color="auto" w:fill="auto"/>
          </w:tcPr>
          <w:p w14:paraId="36554917"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10" w:type="pct"/>
            <w:gridSpan w:val="2"/>
            <w:shd w:val="clear" w:color="auto" w:fill="auto"/>
          </w:tcPr>
          <w:p w14:paraId="00E1BE64"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11" w:type="pct"/>
            <w:gridSpan w:val="2"/>
            <w:shd w:val="clear" w:color="auto" w:fill="auto"/>
          </w:tcPr>
          <w:p w14:paraId="6F51BD4B"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36" w:type="pct"/>
            <w:gridSpan w:val="2"/>
            <w:shd w:val="clear" w:color="auto" w:fill="auto"/>
          </w:tcPr>
          <w:p w14:paraId="2DD7E494"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r>
      <w:tr w:rsidR="00A876F3" w:rsidRPr="0088780C" w14:paraId="401F71F1" w14:textId="77777777" w:rsidTr="006972AD">
        <w:tc>
          <w:tcPr>
            <w:tcW w:w="5000" w:type="pct"/>
            <w:gridSpan w:val="11"/>
            <w:shd w:val="clear" w:color="auto" w:fill="auto"/>
          </w:tcPr>
          <w:p w14:paraId="2522B8FC" w14:textId="77777777" w:rsidR="00A876F3" w:rsidRPr="0088780C" w:rsidRDefault="00A876F3" w:rsidP="001013AF">
            <w:pPr>
              <w:suppressLineNumbers/>
              <w:suppressAutoHyphens/>
              <w:kinsoku w:val="0"/>
              <w:overflowPunct w:val="0"/>
              <w:autoSpaceDE w:val="0"/>
              <w:autoSpaceDN w:val="0"/>
              <w:rPr>
                <w:i/>
                <w:snapToGrid w:val="0"/>
                <w:kern w:val="22"/>
                <w:szCs w:val="22"/>
                <w:lang w:val="ru-RU"/>
              </w:rPr>
            </w:pPr>
            <w:r w:rsidRPr="0088780C">
              <w:rPr>
                <w:i/>
                <w:snapToGrid w:val="0"/>
                <w:kern w:val="22"/>
                <w:szCs w:val="22"/>
                <w:lang w:val="ru-RU"/>
              </w:rPr>
              <w:t>В Прикуринском пространстве особенно ценными и на который введен мораторий видами являются: куринский осетр, русский осетр, белуга, севрюга (северо-каспийская и южно-каспийская). Они являются экологической ценностью как реликты третичной эпохи (</w:t>
            </w:r>
            <w:r w:rsidRPr="0088780C">
              <w:rPr>
                <w:rFonts w:eastAsia="MS Mincho"/>
                <w:bCs/>
                <w:i/>
                <w:snapToGrid w:val="0"/>
                <w:color w:val="000000"/>
                <w:kern w:val="22"/>
                <w:szCs w:val="22"/>
                <w:lang w:val="ru-RU"/>
              </w:rPr>
              <w:t>Гаджиев</w:t>
            </w:r>
            <w:r w:rsidRPr="0088780C">
              <w:rPr>
                <w:i/>
                <w:snapToGrid w:val="0"/>
                <w:kern w:val="22"/>
                <w:szCs w:val="22"/>
                <w:lang w:val="ru-RU"/>
              </w:rPr>
              <w:t>, Касимов, 2005).</w:t>
            </w:r>
          </w:p>
        </w:tc>
      </w:tr>
      <w:tr w:rsidR="00A876F3" w:rsidRPr="0088780C" w14:paraId="4FB3B2F4" w14:textId="77777777" w:rsidTr="006972AD">
        <w:tc>
          <w:tcPr>
            <w:tcW w:w="779" w:type="pct"/>
            <w:shd w:val="clear" w:color="auto" w:fill="auto"/>
          </w:tcPr>
          <w:p w14:paraId="1162EE97" w14:textId="77777777" w:rsidR="00A876F3" w:rsidRPr="0088780C" w:rsidRDefault="00A876F3" w:rsidP="0058765B">
            <w:pPr>
              <w:suppressLineNumbers/>
              <w:suppressAutoHyphens/>
              <w:kinsoku w:val="0"/>
              <w:overflowPunct w:val="0"/>
              <w:autoSpaceDE w:val="0"/>
              <w:autoSpaceDN w:val="0"/>
              <w:adjustRightInd w:val="0"/>
              <w:jc w:val="left"/>
              <w:rPr>
                <w:rFonts w:eastAsia="MS Mincho"/>
                <w:b/>
                <w:bCs/>
                <w:snapToGrid w:val="0"/>
                <w:color w:val="000000"/>
                <w:kern w:val="22"/>
                <w:szCs w:val="22"/>
                <w:lang w:val="ru-RU"/>
              </w:rPr>
            </w:pPr>
            <w:r w:rsidRPr="0088780C">
              <w:rPr>
                <w:b/>
                <w:snapToGrid w:val="0"/>
                <w:kern w:val="22"/>
                <w:szCs w:val="22"/>
                <w:lang w:val="ru-RU"/>
              </w:rPr>
              <w:t>Уязвимость, хрупкость, чувствительность или медленные темпы восстановления</w:t>
            </w:r>
          </w:p>
        </w:tc>
        <w:tc>
          <w:tcPr>
            <w:tcW w:w="2280" w:type="pct"/>
            <w:shd w:val="clear" w:color="auto" w:fill="auto"/>
          </w:tcPr>
          <w:p w14:paraId="1B67C7A3" w14:textId="77777777" w:rsidR="00A876F3" w:rsidRPr="0088780C" w:rsidRDefault="00A876F3" w:rsidP="0058765B">
            <w:pPr>
              <w:suppressLineNumber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snapToGrid w:val="0"/>
                <w:kern w:val="22"/>
                <w:szCs w:val="22"/>
                <w:lang w:val="ru-RU"/>
              </w:rPr>
              <w:t>Район, содержащий относительно большое число чувствительных мест обитания, биотопов или видов, функционально хрупких (чрезвычайно подверженных деградации или истощению вследствие антропогенной деятельности или природных событий) или отличающихся медленными темпами восстановления</w:t>
            </w:r>
            <w:r w:rsidRPr="0088780C">
              <w:rPr>
                <w:rFonts w:eastAsia="MS Mincho"/>
                <w:bCs/>
                <w:snapToGrid w:val="0"/>
                <w:color w:val="000000"/>
                <w:kern w:val="22"/>
                <w:szCs w:val="22"/>
                <w:lang w:val="ru-RU"/>
              </w:rPr>
              <w:t>.</w:t>
            </w:r>
          </w:p>
        </w:tc>
        <w:tc>
          <w:tcPr>
            <w:tcW w:w="684" w:type="pct"/>
            <w:gridSpan w:val="3"/>
            <w:shd w:val="clear" w:color="auto" w:fill="auto"/>
          </w:tcPr>
          <w:p w14:paraId="77627534" w14:textId="77777777" w:rsidR="00A876F3" w:rsidRPr="0088780C" w:rsidRDefault="00A876F3" w:rsidP="0058765B">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10" w:type="pct"/>
            <w:gridSpan w:val="2"/>
            <w:shd w:val="clear" w:color="auto" w:fill="auto"/>
          </w:tcPr>
          <w:p w14:paraId="1737468D" w14:textId="77777777" w:rsidR="00A876F3" w:rsidRPr="0088780C" w:rsidRDefault="00A876F3" w:rsidP="0058765B">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11" w:type="pct"/>
            <w:gridSpan w:val="2"/>
            <w:shd w:val="clear" w:color="auto" w:fill="auto"/>
          </w:tcPr>
          <w:p w14:paraId="3E9A5009" w14:textId="77777777" w:rsidR="00A876F3" w:rsidRPr="0088780C" w:rsidRDefault="00A876F3" w:rsidP="0058765B">
            <w:pPr>
              <w:suppressLineNumbers/>
              <w:suppressAutoHyphens/>
              <w:kinsoku w:val="0"/>
              <w:overflowPunct w:val="0"/>
              <w:autoSpaceDE w:val="0"/>
              <w:autoSpaceDN w:val="0"/>
              <w:adjustRightInd w:val="0"/>
              <w:rPr>
                <w:rFonts w:eastAsia="MS Mincho"/>
                <w:snapToGrid w:val="0"/>
                <w:color w:val="000000"/>
                <w:kern w:val="22"/>
                <w:szCs w:val="22"/>
                <w:lang w:val="ru-RU"/>
              </w:rPr>
            </w:pPr>
          </w:p>
        </w:tc>
        <w:tc>
          <w:tcPr>
            <w:tcW w:w="436" w:type="pct"/>
            <w:gridSpan w:val="2"/>
            <w:shd w:val="clear" w:color="auto" w:fill="auto"/>
          </w:tcPr>
          <w:p w14:paraId="40FD47AE" w14:textId="77777777" w:rsidR="00A876F3" w:rsidRPr="0088780C" w:rsidRDefault="00A876F3" w:rsidP="0058765B">
            <w:pPr>
              <w:suppressLineNumber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r>
      <w:tr w:rsidR="00A876F3" w:rsidRPr="0088780C" w14:paraId="60D08784" w14:textId="77777777" w:rsidTr="0058765B">
        <w:trPr>
          <w:cantSplit/>
        </w:trPr>
        <w:tc>
          <w:tcPr>
            <w:tcW w:w="5000" w:type="pct"/>
            <w:gridSpan w:val="11"/>
            <w:shd w:val="clear" w:color="auto" w:fill="auto"/>
          </w:tcPr>
          <w:p w14:paraId="3BE52530" w14:textId="77777777" w:rsidR="00A876F3" w:rsidRPr="0088780C" w:rsidRDefault="00A876F3" w:rsidP="001013AF">
            <w:pPr>
              <w:suppressLineNumbers/>
              <w:suppressAutoHyphens/>
              <w:kinsoku w:val="0"/>
              <w:overflowPunct w:val="0"/>
              <w:autoSpaceDE w:val="0"/>
              <w:autoSpaceDN w:val="0"/>
              <w:rPr>
                <w:i/>
                <w:snapToGrid w:val="0"/>
                <w:kern w:val="22"/>
                <w:szCs w:val="22"/>
                <w:lang w:val="ru-RU"/>
              </w:rPr>
            </w:pPr>
            <w:r w:rsidRPr="0088780C">
              <w:rPr>
                <w:i/>
                <w:snapToGrid w:val="0"/>
                <w:kern w:val="22"/>
                <w:szCs w:val="22"/>
                <w:lang w:val="ru-RU"/>
              </w:rPr>
              <w:t>Плотина представляет непреодолимую преграду для миграции рыб вверх по рекам, прекращается естественное размножение рыб, нерестующих в горных участках бассейнов рек. Вместе с тем, отрезается большая половина площадей нерестилищ осетровых рыб. Воздействие всех изменений режима рек Кура и Араз в результате зарегулирования стоков на условия воспроизводства рыбных запасов сводилось к катастрофическому уменьшению уловов всех промысловых видов рыб (Абдурахманов, 1976)</w:t>
            </w:r>
          </w:p>
        </w:tc>
      </w:tr>
      <w:tr w:rsidR="00A876F3" w:rsidRPr="0088780C" w14:paraId="25AC3B1A" w14:textId="77777777" w:rsidTr="006972AD">
        <w:tc>
          <w:tcPr>
            <w:tcW w:w="779" w:type="pct"/>
            <w:shd w:val="clear" w:color="auto" w:fill="auto"/>
          </w:tcPr>
          <w:p w14:paraId="3AEBAE11"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b/>
                <w:snapToGrid w:val="0"/>
                <w:kern w:val="22"/>
                <w:szCs w:val="22"/>
                <w:lang w:val="ru-RU"/>
              </w:rPr>
              <w:t>Биологическая производительность</w:t>
            </w:r>
          </w:p>
        </w:tc>
        <w:tc>
          <w:tcPr>
            <w:tcW w:w="2280" w:type="pct"/>
            <w:shd w:val="clear" w:color="auto" w:fill="auto"/>
          </w:tcPr>
          <w:p w14:paraId="7E819737" w14:textId="77777777" w:rsidR="00A876F3" w:rsidRPr="0088780C" w:rsidRDefault="00A876F3" w:rsidP="0058765B">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snapToGrid w:val="0"/>
                <w:kern w:val="22"/>
                <w:szCs w:val="22"/>
                <w:lang w:val="ru-RU"/>
              </w:rPr>
              <w:t>Район, в котором содержатся виды, популяции или сообщества, обладающие сравнительно высокой естественной биологической производительностью</w:t>
            </w:r>
            <w:r w:rsidRPr="0088780C">
              <w:rPr>
                <w:rFonts w:eastAsia="MS Mincho"/>
                <w:bCs/>
                <w:snapToGrid w:val="0"/>
                <w:color w:val="000000"/>
                <w:kern w:val="22"/>
                <w:szCs w:val="22"/>
                <w:lang w:val="ru-RU"/>
              </w:rPr>
              <w:t>.</w:t>
            </w:r>
          </w:p>
        </w:tc>
        <w:tc>
          <w:tcPr>
            <w:tcW w:w="684" w:type="pct"/>
            <w:gridSpan w:val="3"/>
            <w:shd w:val="clear" w:color="auto" w:fill="auto"/>
          </w:tcPr>
          <w:p w14:paraId="4C931F67"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10" w:type="pct"/>
            <w:gridSpan w:val="2"/>
            <w:shd w:val="clear" w:color="auto" w:fill="auto"/>
          </w:tcPr>
          <w:p w14:paraId="43288729"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11" w:type="pct"/>
            <w:gridSpan w:val="2"/>
            <w:shd w:val="clear" w:color="auto" w:fill="auto"/>
          </w:tcPr>
          <w:p w14:paraId="04D61A72"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c>
          <w:tcPr>
            <w:tcW w:w="436" w:type="pct"/>
            <w:gridSpan w:val="2"/>
            <w:shd w:val="clear" w:color="auto" w:fill="auto"/>
          </w:tcPr>
          <w:p w14:paraId="24C14622"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r>
      <w:tr w:rsidR="00A876F3" w:rsidRPr="0088780C" w14:paraId="2C988078" w14:textId="77777777" w:rsidTr="006972AD">
        <w:tc>
          <w:tcPr>
            <w:tcW w:w="5000" w:type="pct"/>
            <w:gridSpan w:val="11"/>
            <w:shd w:val="clear" w:color="auto" w:fill="auto"/>
          </w:tcPr>
          <w:p w14:paraId="5B64297D" w14:textId="77777777" w:rsidR="00A876F3" w:rsidRPr="0088780C" w:rsidRDefault="00A876F3" w:rsidP="001013AF">
            <w:pPr>
              <w:suppressLineNumbers/>
              <w:suppressAutoHyphens/>
              <w:kinsoku w:val="0"/>
              <w:overflowPunct w:val="0"/>
              <w:autoSpaceDE w:val="0"/>
              <w:autoSpaceDN w:val="0"/>
              <w:rPr>
                <w:rFonts w:eastAsia="MS Mincho"/>
                <w:snapToGrid w:val="0"/>
                <w:color w:val="000000"/>
                <w:kern w:val="22"/>
                <w:szCs w:val="22"/>
                <w:lang w:val="ru-RU"/>
              </w:rPr>
            </w:pPr>
            <w:r w:rsidRPr="0088780C">
              <w:rPr>
                <w:i/>
                <w:snapToGrid w:val="0"/>
                <w:kern w:val="22"/>
                <w:szCs w:val="22"/>
                <w:lang w:val="ru-RU"/>
              </w:rPr>
              <w:t>Это водно-болотное угодье с густой тростниковой растительностью, сетью дамб и большим островом является важным местом зимовки и гнездования некоторых видов птиц, особенно важно, как место временного отдыха огромного количества птиц в период перелета. По статистическим данным в период перелета численность водно-болотных птиц за один учет достигает 75000 особей. Здесь встречаются кудрявый и розовый пеликаны, малый баклан, колпица, султанка и другие редкие виды. (Sultanov, Haddow, 1997; Султанов, 1997; Султанов Э.Г, Мусаев А.М.).</w:t>
            </w:r>
          </w:p>
        </w:tc>
      </w:tr>
      <w:tr w:rsidR="00A876F3" w:rsidRPr="0088780C" w14:paraId="4643E538" w14:textId="77777777" w:rsidTr="006972AD">
        <w:tc>
          <w:tcPr>
            <w:tcW w:w="779" w:type="pct"/>
            <w:shd w:val="clear" w:color="auto" w:fill="auto"/>
          </w:tcPr>
          <w:p w14:paraId="7185502F"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b/>
                <w:snapToGrid w:val="0"/>
                <w:kern w:val="22"/>
                <w:szCs w:val="22"/>
                <w:lang w:val="ru-RU"/>
              </w:rPr>
              <w:t>Биологическое разнообразие</w:t>
            </w:r>
          </w:p>
        </w:tc>
        <w:tc>
          <w:tcPr>
            <w:tcW w:w="2280" w:type="pct"/>
            <w:shd w:val="clear" w:color="auto" w:fill="auto"/>
          </w:tcPr>
          <w:p w14:paraId="22621E0D" w14:textId="77777777" w:rsidR="00A876F3" w:rsidRPr="0088780C" w:rsidRDefault="00A876F3" w:rsidP="0058765B">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jc w:val="left"/>
              <w:rPr>
                <w:rFonts w:eastAsia="MS Mincho"/>
                <w:bCs/>
                <w:snapToGrid w:val="0"/>
                <w:color w:val="000000"/>
                <w:kern w:val="22"/>
                <w:szCs w:val="22"/>
                <w:lang w:val="ru-RU"/>
              </w:rPr>
            </w:pPr>
            <w:r w:rsidRPr="0088780C">
              <w:rPr>
                <w:snapToGrid w:val="0"/>
                <w:kern w:val="22"/>
                <w:szCs w:val="22"/>
                <w:lang w:val="ru-RU"/>
              </w:rPr>
              <w:t xml:space="preserve">Район, отличающийся </w:t>
            </w:r>
            <w:r w:rsidRPr="0088780C">
              <w:rPr>
                <w:snapToGrid w:val="0"/>
                <w:kern w:val="22"/>
                <w:szCs w:val="22"/>
                <w:lang w:val="ru-RU" w:eastAsia="ko-KR"/>
              </w:rPr>
              <w:t xml:space="preserve">сравнительно высоким разнообразием экосистем, мест обитания, сообществ или видов </w:t>
            </w:r>
            <w:r w:rsidRPr="0088780C">
              <w:rPr>
                <w:snapToGrid w:val="0"/>
                <w:kern w:val="22"/>
                <w:szCs w:val="22"/>
                <w:lang w:val="ru-RU"/>
              </w:rPr>
              <w:t xml:space="preserve">или </w:t>
            </w:r>
            <w:r w:rsidRPr="0088780C">
              <w:rPr>
                <w:snapToGrid w:val="0"/>
                <w:kern w:val="22"/>
                <w:szCs w:val="22"/>
                <w:lang w:val="ru-RU" w:eastAsia="ko-KR"/>
              </w:rPr>
              <w:t>более высоким генетическим разнообразием</w:t>
            </w:r>
            <w:r w:rsidRPr="0088780C">
              <w:rPr>
                <w:rFonts w:eastAsia="MS Mincho"/>
                <w:bCs/>
                <w:snapToGrid w:val="0"/>
                <w:color w:val="000000"/>
                <w:kern w:val="22"/>
                <w:szCs w:val="22"/>
                <w:lang w:val="ru-RU"/>
              </w:rPr>
              <w:t>.</w:t>
            </w:r>
          </w:p>
        </w:tc>
        <w:tc>
          <w:tcPr>
            <w:tcW w:w="684" w:type="pct"/>
            <w:gridSpan w:val="3"/>
            <w:shd w:val="clear" w:color="auto" w:fill="auto"/>
          </w:tcPr>
          <w:p w14:paraId="29279FAE"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10" w:type="pct"/>
            <w:gridSpan w:val="2"/>
            <w:shd w:val="clear" w:color="auto" w:fill="auto"/>
          </w:tcPr>
          <w:p w14:paraId="7025B092"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11" w:type="pct"/>
            <w:gridSpan w:val="2"/>
            <w:shd w:val="clear" w:color="auto" w:fill="auto"/>
          </w:tcPr>
          <w:p w14:paraId="70F3D37D"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lang w:val="ru-RU"/>
              </w:rPr>
            </w:pPr>
          </w:p>
        </w:tc>
        <w:tc>
          <w:tcPr>
            <w:tcW w:w="436" w:type="pct"/>
            <w:gridSpan w:val="2"/>
            <w:shd w:val="clear" w:color="auto" w:fill="auto"/>
          </w:tcPr>
          <w:p w14:paraId="55054564"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lang w:val="ru-RU"/>
              </w:rPr>
            </w:pPr>
            <w:r w:rsidRPr="0088780C">
              <w:rPr>
                <w:rFonts w:eastAsia="MS Mincho"/>
                <w:b/>
                <w:bCs/>
                <w:snapToGrid w:val="0"/>
                <w:color w:val="000000"/>
                <w:kern w:val="22"/>
                <w:szCs w:val="22"/>
                <w:lang w:val="ru-RU"/>
              </w:rPr>
              <w:t>X</w:t>
            </w:r>
          </w:p>
        </w:tc>
      </w:tr>
      <w:tr w:rsidR="00A876F3" w:rsidRPr="0088780C" w14:paraId="78CB322A" w14:textId="77777777" w:rsidTr="006972AD">
        <w:tc>
          <w:tcPr>
            <w:tcW w:w="5000" w:type="pct"/>
            <w:gridSpan w:val="11"/>
            <w:shd w:val="clear" w:color="auto" w:fill="auto"/>
          </w:tcPr>
          <w:p w14:paraId="35BD71A8" w14:textId="77777777" w:rsidR="00A876F3" w:rsidRPr="0088780C" w:rsidRDefault="00A876F3" w:rsidP="001A5518">
            <w:pPr>
              <w:suppressLineNumbers/>
              <w:suppressAutoHyphens/>
              <w:kinsoku w:val="0"/>
              <w:overflowPunct w:val="0"/>
              <w:autoSpaceDE w:val="0"/>
              <w:autoSpaceDN w:val="0"/>
              <w:adjustRightInd w:val="0"/>
              <w:rPr>
                <w:rFonts w:eastAsia="MS Mincho"/>
                <w:i/>
                <w:snapToGrid w:val="0"/>
                <w:color w:val="000000"/>
                <w:kern w:val="22"/>
                <w:szCs w:val="22"/>
                <w:lang w:val="ru-RU"/>
              </w:rPr>
            </w:pPr>
            <w:r w:rsidRPr="0088780C">
              <w:rPr>
                <w:rFonts w:eastAsia="MS Mincho"/>
                <w:i/>
                <w:snapToGrid w:val="0"/>
                <w:color w:val="000000"/>
                <w:kern w:val="22"/>
                <w:szCs w:val="22"/>
                <w:lang w:val="ru-RU"/>
              </w:rPr>
              <w:t>Объяснение ранжирования</w:t>
            </w:r>
          </w:p>
          <w:p w14:paraId="3FBE0B7B" w14:textId="77777777" w:rsidR="00A876F3" w:rsidRPr="0088780C" w:rsidRDefault="00A876F3" w:rsidP="001A5518">
            <w:pPr>
              <w:suppressLineNumbers/>
              <w:suppressAutoHyphens/>
              <w:kinsoku w:val="0"/>
              <w:overflowPunct w:val="0"/>
              <w:autoSpaceDE w:val="0"/>
              <w:autoSpaceDN w:val="0"/>
              <w:adjustRightInd w:val="0"/>
              <w:rPr>
                <w:rFonts w:eastAsia="MS Mincho"/>
                <w:snapToGrid w:val="0"/>
                <w:color w:val="000000"/>
                <w:kern w:val="22"/>
                <w:szCs w:val="22"/>
                <w:lang w:val="ru-RU"/>
              </w:rPr>
            </w:pPr>
            <w:r w:rsidRPr="0088780C">
              <w:rPr>
                <w:i/>
                <w:snapToGrid w:val="0"/>
                <w:kern w:val="22"/>
                <w:szCs w:val="22"/>
                <w:lang w:val="ru-RU"/>
              </w:rPr>
              <w:t>Прикуринское пространство является пастбищами всех видов рыб куринского происхождения осетровых, карповых, а также локальных стад и проходных сельдей, бычков, атерин и т. д.(Гадживе, Касимов, 2005)</w:t>
            </w:r>
          </w:p>
        </w:tc>
      </w:tr>
      <w:tr w:rsidR="00A876F3" w:rsidRPr="0088780C" w14:paraId="6EA22538" w14:textId="77777777" w:rsidTr="006972AD">
        <w:tc>
          <w:tcPr>
            <w:tcW w:w="783" w:type="pct"/>
            <w:shd w:val="clear" w:color="auto" w:fill="auto"/>
          </w:tcPr>
          <w:p w14:paraId="26507636"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snapToGrid w:val="0"/>
                <w:color w:val="000000"/>
                <w:kern w:val="22"/>
                <w:szCs w:val="22"/>
                <w:lang w:val="ru-RU"/>
              </w:rPr>
            </w:pPr>
            <w:r w:rsidRPr="0088780C">
              <w:rPr>
                <w:b/>
                <w:snapToGrid w:val="0"/>
                <w:kern w:val="22"/>
                <w:szCs w:val="22"/>
                <w:lang w:val="ru-RU"/>
              </w:rPr>
              <w:t>Естественность</w:t>
            </w:r>
          </w:p>
        </w:tc>
        <w:tc>
          <w:tcPr>
            <w:tcW w:w="2295" w:type="pct"/>
            <w:gridSpan w:val="2"/>
            <w:shd w:val="clear" w:color="auto" w:fill="auto"/>
          </w:tcPr>
          <w:p w14:paraId="77D3C051" w14:textId="77777777" w:rsidR="00A876F3" w:rsidRPr="0088780C" w:rsidRDefault="00A876F3" w:rsidP="0058765B">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jc w:val="left"/>
              <w:rPr>
                <w:rFonts w:eastAsia="MS Mincho"/>
                <w:snapToGrid w:val="0"/>
                <w:color w:val="000000"/>
                <w:kern w:val="22"/>
                <w:szCs w:val="22"/>
                <w:lang w:val="ru-RU"/>
              </w:rPr>
            </w:pPr>
            <w:r w:rsidRPr="0088780C">
              <w:rPr>
                <w:snapToGrid w:val="0"/>
                <w:kern w:val="22"/>
                <w:szCs w:val="22"/>
                <w:lang w:val="ru-RU"/>
              </w:rPr>
              <w:t>Район, отличающийся сравнительно высокой степенью естественности благодаря отсутствию или низкому уровню антропогенных нарушений или деградации</w:t>
            </w:r>
            <w:r w:rsidRPr="0088780C">
              <w:rPr>
                <w:rFonts w:eastAsia="MS Mincho"/>
                <w:snapToGrid w:val="0"/>
                <w:color w:val="000000"/>
                <w:kern w:val="22"/>
                <w:szCs w:val="22"/>
                <w:lang w:val="ru-RU"/>
              </w:rPr>
              <w:t>.</w:t>
            </w:r>
          </w:p>
        </w:tc>
        <w:tc>
          <w:tcPr>
            <w:tcW w:w="684" w:type="pct"/>
            <w:gridSpan w:val="3"/>
            <w:shd w:val="clear" w:color="auto" w:fill="auto"/>
          </w:tcPr>
          <w:p w14:paraId="1185E74D"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i/>
                <w:snapToGrid w:val="0"/>
                <w:color w:val="000000"/>
                <w:kern w:val="22"/>
                <w:szCs w:val="22"/>
                <w:lang w:val="ru-RU"/>
              </w:rPr>
            </w:pPr>
          </w:p>
        </w:tc>
        <w:tc>
          <w:tcPr>
            <w:tcW w:w="453" w:type="pct"/>
            <w:gridSpan w:val="2"/>
            <w:shd w:val="clear" w:color="auto" w:fill="auto"/>
          </w:tcPr>
          <w:p w14:paraId="590742D2"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i/>
                <w:snapToGrid w:val="0"/>
                <w:color w:val="000000"/>
                <w:kern w:val="22"/>
                <w:szCs w:val="22"/>
                <w:lang w:val="ru-RU"/>
              </w:rPr>
            </w:pPr>
            <w:r w:rsidRPr="0088780C">
              <w:rPr>
                <w:rFonts w:eastAsia="MS Mincho"/>
                <w:b/>
                <w:snapToGrid w:val="0"/>
                <w:color w:val="000000"/>
                <w:kern w:val="22"/>
                <w:szCs w:val="22"/>
                <w:lang w:val="ru-RU"/>
              </w:rPr>
              <w:t>X</w:t>
            </w:r>
          </w:p>
        </w:tc>
        <w:tc>
          <w:tcPr>
            <w:tcW w:w="400" w:type="pct"/>
            <w:gridSpan w:val="2"/>
            <w:shd w:val="clear" w:color="auto" w:fill="auto"/>
          </w:tcPr>
          <w:p w14:paraId="069B67EE"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Cs/>
                <w:snapToGrid w:val="0"/>
                <w:color w:val="000000"/>
                <w:kern w:val="22"/>
                <w:szCs w:val="22"/>
                <w:lang w:val="ru-RU"/>
              </w:rPr>
            </w:pPr>
          </w:p>
        </w:tc>
        <w:tc>
          <w:tcPr>
            <w:tcW w:w="385" w:type="pct"/>
            <w:shd w:val="clear" w:color="auto" w:fill="auto"/>
          </w:tcPr>
          <w:p w14:paraId="12EECFAF"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i/>
                <w:snapToGrid w:val="0"/>
                <w:color w:val="000000"/>
                <w:kern w:val="22"/>
                <w:szCs w:val="22"/>
                <w:lang w:val="ru-RU"/>
              </w:rPr>
            </w:pPr>
          </w:p>
        </w:tc>
      </w:tr>
      <w:tr w:rsidR="00A876F3" w:rsidRPr="0088780C" w14:paraId="12AD81B8" w14:textId="77777777" w:rsidTr="006972AD">
        <w:tc>
          <w:tcPr>
            <w:tcW w:w="5000" w:type="pct"/>
            <w:gridSpan w:val="11"/>
            <w:shd w:val="clear" w:color="auto" w:fill="auto"/>
          </w:tcPr>
          <w:p w14:paraId="5D7ABB78"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i/>
                <w:snapToGrid w:val="0"/>
                <w:color w:val="000000"/>
                <w:kern w:val="22"/>
                <w:szCs w:val="22"/>
                <w:lang w:val="ru-RU"/>
              </w:rPr>
            </w:pPr>
            <w:r w:rsidRPr="0088780C">
              <w:rPr>
                <w:rFonts w:eastAsia="MS Mincho"/>
                <w:i/>
                <w:snapToGrid w:val="0"/>
                <w:color w:val="000000"/>
                <w:kern w:val="22"/>
                <w:szCs w:val="22"/>
                <w:lang w:val="ru-RU"/>
              </w:rPr>
              <w:t>Объяснение ранжирования</w:t>
            </w:r>
          </w:p>
          <w:p w14:paraId="4876DA9D" w14:textId="77777777" w:rsidR="00A876F3" w:rsidRPr="0088780C" w:rsidRDefault="00A876F3" w:rsidP="001013AF">
            <w:pPr>
              <w:suppressLineNumbers/>
              <w:suppressAutoHyphens/>
              <w:kinsoku w:val="0"/>
              <w:overflowPunct w:val="0"/>
              <w:autoSpaceDE w:val="0"/>
              <w:autoSpaceDN w:val="0"/>
              <w:rPr>
                <w:rFonts w:eastAsia="MS Mincho"/>
                <w:i/>
                <w:snapToGrid w:val="0"/>
                <w:color w:val="000000"/>
                <w:kern w:val="22"/>
                <w:szCs w:val="22"/>
                <w:lang w:val="ru-RU"/>
              </w:rPr>
            </w:pPr>
            <w:r w:rsidRPr="0088780C">
              <w:rPr>
                <w:i/>
                <w:snapToGrid w:val="0"/>
                <w:kern w:val="22"/>
                <w:szCs w:val="22"/>
                <w:lang w:val="ru-RU"/>
              </w:rPr>
              <w:t>Вследствие строительства Мингечаурской ГЭС были потеряны нерестилища осетровых и каспийского лосося, расположенные в среднем течении реки Кура. Строительство Мингячевирского гидроузла нарушало самые основы Каспийско-Куринского рыбного хозяйства, нанося огромный ущерб естественному размножению рыб. (Абдурахманов, 1976)</w:t>
            </w:r>
          </w:p>
        </w:tc>
      </w:tr>
    </w:tbl>
    <w:p w14:paraId="25562AA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lang w:val="ru-RU"/>
        </w:rPr>
      </w:pPr>
    </w:p>
    <w:p w14:paraId="69AC5B8A" w14:textId="77777777" w:rsidR="00A876F3" w:rsidRPr="0088780C" w:rsidRDefault="00A876F3" w:rsidP="001A5518">
      <w:pPr>
        <w:keepNext/>
        <w:suppressLineNumbers/>
        <w:suppressAutoHyphens/>
        <w:kinsoku w:val="0"/>
        <w:overflowPunct w:val="0"/>
        <w:autoSpaceDE w:val="0"/>
        <w:autoSpaceDN w:val="0"/>
        <w:spacing w:after="60" w:line="280" w:lineRule="atLeast"/>
        <w:rPr>
          <w:rFonts w:eastAsia="MS Mincho"/>
          <w:bCs/>
          <w:i/>
          <w:snapToGrid w:val="0"/>
          <w:color w:val="000000"/>
          <w:kern w:val="22"/>
          <w:szCs w:val="22"/>
          <w:lang w:val="ru-RU"/>
        </w:rPr>
      </w:pPr>
      <w:r w:rsidRPr="0088780C">
        <w:rPr>
          <w:rFonts w:eastAsia="MS Mincho"/>
          <w:b/>
          <w:snapToGrid w:val="0"/>
          <w:kern w:val="22"/>
          <w:szCs w:val="22"/>
          <w:lang w:val="ru-RU"/>
        </w:rPr>
        <w:t>Библиография</w:t>
      </w:r>
    </w:p>
    <w:p w14:paraId="1440B027" w14:textId="77777777" w:rsidR="00A876F3" w:rsidRPr="0088780C" w:rsidRDefault="00A876F3" w:rsidP="001A5518">
      <w:pPr>
        <w:suppressLineNumbers/>
        <w:suppressAutoHyphens/>
        <w:kinsoku w:val="0"/>
        <w:overflowPunct w:val="0"/>
        <w:autoSpaceDE w:val="0"/>
        <w:autoSpaceDN w:val="0"/>
        <w:spacing w:after="60"/>
        <w:ind w:left="720" w:hanging="720"/>
        <w:rPr>
          <w:rFonts w:eastAsia="MS Mincho"/>
          <w:bCs/>
          <w:i/>
          <w:snapToGrid w:val="0"/>
          <w:color w:val="000000"/>
          <w:kern w:val="22"/>
          <w:szCs w:val="22"/>
          <w:lang w:val="ru-RU"/>
        </w:rPr>
      </w:pPr>
      <w:r w:rsidRPr="0088780C">
        <w:rPr>
          <w:i/>
          <w:snapToGrid w:val="0"/>
          <w:kern w:val="22"/>
          <w:szCs w:val="22"/>
          <w:lang w:val="ru-RU"/>
        </w:rPr>
        <w:t>Абдурахманов Ю.А. Фауна Азербайджана, т. 7, (Рыбы), Баку, Элм, 1976, 222с (на азерб яз.).</w:t>
      </w:r>
    </w:p>
    <w:p w14:paraId="10B274AE" w14:textId="77777777" w:rsidR="00A876F3" w:rsidRPr="0088780C" w:rsidRDefault="00A876F3" w:rsidP="001A5518">
      <w:pPr>
        <w:suppressLineNumbers/>
        <w:suppressAutoHyphens/>
        <w:kinsoku w:val="0"/>
        <w:overflowPunct w:val="0"/>
        <w:autoSpaceDE w:val="0"/>
        <w:autoSpaceDN w:val="0"/>
        <w:spacing w:after="60"/>
        <w:ind w:left="720" w:hanging="720"/>
        <w:rPr>
          <w:rFonts w:eastAsia="MS Mincho"/>
          <w:bCs/>
          <w:i/>
          <w:snapToGrid w:val="0"/>
          <w:color w:val="000000"/>
          <w:kern w:val="22"/>
          <w:szCs w:val="22"/>
          <w:lang w:val="ru-RU"/>
        </w:rPr>
      </w:pPr>
      <w:r w:rsidRPr="0088780C">
        <w:rPr>
          <w:rFonts w:eastAsia="MS Mincho"/>
          <w:bCs/>
          <w:i/>
          <w:snapToGrid w:val="0"/>
          <w:color w:val="000000"/>
          <w:kern w:val="22"/>
          <w:szCs w:val="22"/>
          <w:lang w:val="ru-RU"/>
        </w:rPr>
        <w:t xml:space="preserve">Гаджиев Р.В., Касимов Р.Ю. Осетровые и лососевые Купмнско-каспийского региона, их биологические группы и эколого-физиологические особенности. Баку 2005. </w:t>
      </w:r>
    </w:p>
    <w:p w14:paraId="2932E6A4" w14:textId="565A6A44" w:rsidR="00A876F3" w:rsidRPr="0088780C" w:rsidRDefault="00E7219D" w:rsidP="001A5518">
      <w:pPr>
        <w:suppressLineNumbers/>
        <w:suppressAutoHyphens/>
        <w:kinsoku w:val="0"/>
        <w:overflowPunct w:val="0"/>
        <w:autoSpaceDE w:val="0"/>
        <w:autoSpaceDN w:val="0"/>
        <w:spacing w:after="60"/>
        <w:ind w:left="720" w:hanging="720"/>
        <w:rPr>
          <w:rFonts w:eastAsia="MS Mincho"/>
          <w:bCs/>
          <w:i/>
          <w:snapToGrid w:val="0"/>
          <w:color w:val="000000"/>
          <w:kern w:val="22"/>
          <w:szCs w:val="22"/>
          <w:lang w:val="ru-RU"/>
        </w:rPr>
      </w:pPr>
      <w:hyperlink r:id="rId315" w:history="1">
        <w:r w:rsidR="00A876F3" w:rsidRPr="0088780C">
          <w:rPr>
            <w:rFonts w:eastAsia="MS Mincho"/>
            <w:bCs/>
            <w:i/>
            <w:snapToGrid w:val="0"/>
            <w:color w:val="000000"/>
            <w:kern w:val="22"/>
            <w:szCs w:val="22"/>
          </w:rPr>
          <w:t>Kura River Discharge at Surra</w:t>
        </w:r>
      </w:hyperlink>
      <w:r w:rsidR="00E9196B" w:rsidRPr="0088780C">
        <w:rPr>
          <w:rFonts w:eastAsia="MS Mincho"/>
          <w:bCs/>
          <w:i/>
          <w:snapToGrid w:val="0"/>
          <w:color w:val="000000"/>
          <w:kern w:val="22"/>
          <w:szCs w:val="22"/>
        </w:rPr>
        <w:t xml:space="preserve"> (англ.). </w:t>
      </w:r>
      <w:r w:rsidR="00A876F3" w:rsidRPr="0088780C">
        <w:rPr>
          <w:rFonts w:eastAsia="MS Mincho"/>
          <w:bCs/>
          <w:i/>
          <w:snapToGrid w:val="0"/>
          <w:color w:val="000000"/>
          <w:kern w:val="22"/>
          <w:szCs w:val="22"/>
        </w:rPr>
        <w:t xml:space="preserve">River Discharge Database. Center for Sustainability and the </w:t>
      </w:r>
      <w:r w:rsidR="00E9196B" w:rsidRPr="0088780C">
        <w:rPr>
          <w:rFonts w:eastAsia="MS Mincho"/>
          <w:bCs/>
          <w:i/>
          <w:snapToGrid w:val="0"/>
          <w:color w:val="000000"/>
          <w:kern w:val="22"/>
          <w:szCs w:val="22"/>
        </w:rPr>
        <w:t xml:space="preserve">Global Environment (1930-1984). </w:t>
      </w:r>
      <w:r w:rsidR="00A876F3" w:rsidRPr="0088780C">
        <w:rPr>
          <w:rFonts w:eastAsia="MS Mincho"/>
          <w:bCs/>
          <w:i/>
          <w:snapToGrid w:val="0"/>
          <w:color w:val="000000"/>
          <w:kern w:val="22"/>
          <w:szCs w:val="22"/>
          <w:lang w:val="ru-RU"/>
        </w:rPr>
        <w:t>Проверено 12 марта 2010.</w:t>
      </w:r>
      <w:r w:rsidR="00E9196B" w:rsidRPr="0088780C">
        <w:rPr>
          <w:rFonts w:eastAsia="MS Mincho"/>
          <w:bCs/>
          <w:i/>
          <w:snapToGrid w:val="0"/>
          <w:color w:val="000000"/>
          <w:kern w:val="22"/>
          <w:szCs w:val="22"/>
          <w:lang w:val="en-US"/>
        </w:rPr>
        <w:t xml:space="preserve"> </w:t>
      </w:r>
      <w:hyperlink r:id="rId316" w:history="1">
        <w:r w:rsidR="00A876F3" w:rsidRPr="0088780C">
          <w:rPr>
            <w:rFonts w:eastAsia="MS Mincho"/>
            <w:bCs/>
            <w:i/>
            <w:snapToGrid w:val="0"/>
            <w:color w:val="000000"/>
            <w:kern w:val="22"/>
            <w:szCs w:val="22"/>
            <w:lang w:val="ru-RU"/>
          </w:rPr>
          <w:t>Архивировано из первоисточника 26 августа 2011</w:t>
        </w:r>
      </w:hyperlink>
      <w:r w:rsidR="00A876F3" w:rsidRPr="0088780C">
        <w:rPr>
          <w:rFonts w:eastAsia="MS Mincho"/>
          <w:bCs/>
          <w:i/>
          <w:snapToGrid w:val="0"/>
          <w:color w:val="000000"/>
          <w:kern w:val="22"/>
          <w:szCs w:val="22"/>
          <w:lang w:val="ru-RU"/>
        </w:rPr>
        <w:t>.</w:t>
      </w:r>
    </w:p>
    <w:p w14:paraId="20C6FA98" w14:textId="77777777" w:rsidR="00A876F3" w:rsidRPr="0088780C" w:rsidRDefault="00E7219D" w:rsidP="001A5518">
      <w:pPr>
        <w:suppressLineNumbers/>
        <w:suppressAutoHyphens/>
        <w:kinsoku w:val="0"/>
        <w:overflowPunct w:val="0"/>
        <w:autoSpaceDE w:val="0"/>
        <w:autoSpaceDN w:val="0"/>
        <w:spacing w:after="60"/>
        <w:ind w:left="720" w:hanging="720"/>
        <w:rPr>
          <w:rFonts w:eastAsia="MS Mincho"/>
          <w:bCs/>
          <w:i/>
          <w:snapToGrid w:val="0"/>
          <w:color w:val="000000"/>
          <w:kern w:val="22"/>
          <w:szCs w:val="22"/>
          <w:lang w:val="ru-RU"/>
        </w:rPr>
      </w:pPr>
      <w:hyperlink r:id="rId317" w:tooltip="s:ЭСБЕ/Кура, река на Кавказе" w:history="1">
        <w:r w:rsidR="00A876F3" w:rsidRPr="0088780C">
          <w:rPr>
            <w:rFonts w:eastAsia="MS Mincho"/>
            <w:bCs/>
            <w:i/>
            <w:snapToGrid w:val="0"/>
            <w:color w:val="000000"/>
            <w:kern w:val="22"/>
            <w:szCs w:val="22"/>
            <w:lang w:val="ru-RU"/>
          </w:rPr>
          <w:t>Кура, река на Кавказе</w:t>
        </w:r>
      </w:hyperlink>
      <w:r w:rsidR="00A876F3" w:rsidRPr="0088780C">
        <w:rPr>
          <w:rFonts w:eastAsia="MS Mincho"/>
          <w:bCs/>
          <w:i/>
          <w:snapToGrid w:val="0"/>
          <w:color w:val="000000"/>
          <w:kern w:val="22"/>
          <w:szCs w:val="22"/>
          <w:lang w:val="ru-RU"/>
        </w:rPr>
        <w:t> // </w:t>
      </w:r>
      <w:hyperlink r:id="rId318" w:tooltip="Энциклопедический словарь Брокгауза и Ефрона" w:history="1">
        <w:r w:rsidR="00A876F3" w:rsidRPr="0088780C">
          <w:rPr>
            <w:rFonts w:eastAsia="MS Mincho"/>
            <w:bCs/>
            <w:i/>
            <w:snapToGrid w:val="0"/>
            <w:color w:val="000000"/>
            <w:kern w:val="22"/>
            <w:szCs w:val="22"/>
            <w:lang w:val="ru-RU"/>
          </w:rPr>
          <w:t>Энциклопедический словарь Брокгауза и Ефрона</w:t>
        </w:r>
      </w:hyperlink>
      <w:r w:rsidR="00A876F3" w:rsidRPr="0088780C">
        <w:rPr>
          <w:rFonts w:eastAsia="MS Mincho"/>
          <w:bCs/>
          <w:i/>
          <w:snapToGrid w:val="0"/>
          <w:color w:val="000000"/>
          <w:kern w:val="22"/>
          <w:szCs w:val="22"/>
          <w:lang w:val="ru-RU"/>
        </w:rPr>
        <w:t> : в 86 т. (82 т. и 4 доп.). — СПб.,1890—1907.</w:t>
      </w:r>
    </w:p>
    <w:p w14:paraId="0C886AF8" w14:textId="77777777" w:rsidR="00A876F3" w:rsidRPr="0088780C" w:rsidRDefault="00A876F3" w:rsidP="001A5518">
      <w:pPr>
        <w:suppressLineNumbers/>
        <w:shd w:val="clear" w:color="auto" w:fill="FFFFFF"/>
        <w:suppressAutoHyphens/>
        <w:kinsoku w:val="0"/>
        <w:overflowPunct w:val="0"/>
        <w:autoSpaceDE w:val="0"/>
        <w:autoSpaceDN w:val="0"/>
        <w:spacing w:after="60"/>
        <w:ind w:left="720" w:hanging="720"/>
        <w:textAlignment w:val="baseline"/>
        <w:rPr>
          <w:rFonts w:eastAsia="MS Mincho"/>
          <w:bCs/>
          <w:i/>
          <w:snapToGrid w:val="0"/>
          <w:color w:val="000000"/>
          <w:kern w:val="22"/>
          <w:szCs w:val="22"/>
          <w:lang w:val="ru-RU"/>
        </w:rPr>
      </w:pPr>
      <w:r w:rsidRPr="0088780C">
        <w:rPr>
          <w:i/>
          <w:snapToGrid w:val="0"/>
          <w:kern w:val="22"/>
          <w:szCs w:val="22"/>
          <w:lang w:val="ru-RU"/>
        </w:rPr>
        <w:t>Касымов А.Г. Донная фауна прудов Устеь-Куринского и Алибайрамлинского рыбхозов. Биологические ресурсы внутренних водоемов Азербайджана, Элм, Баку, 1975,с. 72-101</w:t>
      </w:r>
    </w:p>
    <w:p w14:paraId="687C6616" w14:textId="77777777" w:rsidR="00A876F3" w:rsidRPr="0088780C" w:rsidRDefault="00A876F3" w:rsidP="001A5518">
      <w:pPr>
        <w:suppressLineNumbers/>
        <w:shd w:val="clear" w:color="auto" w:fill="FFFFFF"/>
        <w:suppressAutoHyphens/>
        <w:kinsoku w:val="0"/>
        <w:overflowPunct w:val="0"/>
        <w:autoSpaceDE w:val="0"/>
        <w:autoSpaceDN w:val="0"/>
        <w:spacing w:after="60"/>
        <w:ind w:left="720" w:hanging="720"/>
        <w:textAlignment w:val="baseline"/>
        <w:rPr>
          <w:rFonts w:eastAsia="MS Mincho"/>
          <w:bCs/>
          <w:i/>
          <w:snapToGrid w:val="0"/>
          <w:color w:val="000000"/>
          <w:kern w:val="22"/>
          <w:szCs w:val="22"/>
          <w:lang w:val="ru-RU"/>
        </w:rPr>
      </w:pPr>
      <w:r w:rsidRPr="0088780C">
        <w:rPr>
          <w:i/>
          <w:snapToGrid w:val="0"/>
          <w:kern w:val="22"/>
          <w:szCs w:val="22"/>
          <w:lang w:val="ru-RU"/>
        </w:rPr>
        <w:t>Лиходеева Н.Ф. Зоопланктон Усть-Куринского Нерестово-выростного хозяйства. Известия АН Азерб. ССР, 1968, № 4, с. 55-60.</w:t>
      </w:r>
    </w:p>
    <w:p w14:paraId="07654A77" w14:textId="77777777" w:rsidR="00A876F3" w:rsidRPr="0088780C" w:rsidRDefault="00A876F3" w:rsidP="001A5518">
      <w:pPr>
        <w:suppressLineNumbers/>
        <w:suppressAutoHyphens/>
        <w:kinsoku w:val="0"/>
        <w:overflowPunct w:val="0"/>
        <w:autoSpaceDE w:val="0"/>
        <w:autoSpaceDN w:val="0"/>
        <w:spacing w:after="60"/>
        <w:ind w:left="720" w:hanging="720"/>
        <w:rPr>
          <w:rFonts w:eastAsia="MS Mincho"/>
          <w:i/>
          <w:snapToGrid w:val="0"/>
          <w:kern w:val="22"/>
          <w:szCs w:val="22"/>
          <w:lang w:val="ru-RU"/>
        </w:rPr>
      </w:pPr>
      <w:r w:rsidRPr="0088780C">
        <w:rPr>
          <w:rFonts w:eastAsia="MS Mincho"/>
          <w:i/>
          <w:snapToGrid w:val="0"/>
          <w:kern w:val="22"/>
          <w:szCs w:val="22"/>
          <w:lang w:val="ru-RU"/>
        </w:rPr>
        <w:t>Отчет Росгидромет Каспийский Морской Научно-Исследовательский Центр, 2006</w:t>
      </w:r>
    </w:p>
    <w:p w14:paraId="53E65CFE" w14:textId="3D16AEDF" w:rsidR="00A876F3" w:rsidRPr="0088780C" w:rsidRDefault="00A876F3" w:rsidP="001A5518">
      <w:pPr>
        <w:suppressLineNumbers/>
        <w:shd w:val="clear" w:color="auto" w:fill="FFFFFF"/>
        <w:suppressAutoHyphens/>
        <w:kinsoku w:val="0"/>
        <w:overflowPunct w:val="0"/>
        <w:autoSpaceDE w:val="0"/>
        <w:autoSpaceDN w:val="0"/>
        <w:spacing w:after="60"/>
        <w:ind w:left="720" w:hanging="720"/>
        <w:textAlignment w:val="baseline"/>
        <w:rPr>
          <w:rFonts w:eastAsia="MS Mincho"/>
          <w:bCs/>
          <w:i/>
          <w:snapToGrid w:val="0"/>
          <w:color w:val="000000"/>
          <w:kern w:val="22"/>
          <w:szCs w:val="22"/>
          <w:lang w:val="ru-RU"/>
        </w:rPr>
      </w:pPr>
      <w:r w:rsidRPr="0088780C">
        <w:rPr>
          <w:i/>
          <w:snapToGrid w:val="0"/>
          <w:kern w:val="22"/>
          <w:szCs w:val="22"/>
          <w:lang w:val="ru-RU"/>
        </w:rPr>
        <w:t xml:space="preserve">Султанов Э.Г. Основные итоги авиаучета водных птиц в Азербайджане в 1996 г. </w:t>
      </w:r>
      <w:r w:rsidR="00D8482D" w:rsidRPr="0088780C">
        <w:rPr>
          <w:i/>
          <w:snapToGrid w:val="0"/>
          <w:kern w:val="22"/>
          <w:szCs w:val="22"/>
          <w:lang w:val="ru-RU"/>
        </w:rPr>
        <w:t>“</w:t>
      </w:r>
      <w:r w:rsidRPr="0088780C">
        <w:rPr>
          <w:i/>
          <w:snapToGrid w:val="0"/>
          <w:kern w:val="22"/>
          <w:szCs w:val="22"/>
          <w:lang w:val="ru-RU"/>
        </w:rPr>
        <w:t>Научное наследие Н.Я. Динника и его роль в развитии современного естествознания</w:t>
      </w:r>
      <w:r w:rsidR="00D8482D" w:rsidRPr="0088780C">
        <w:rPr>
          <w:i/>
          <w:snapToGrid w:val="0"/>
          <w:kern w:val="22"/>
          <w:szCs w:val="22"/>
          <w:lang w:val="ru-RU"/>
        </w:rPr>
        <w:t>”</w:t>
      </w:r>
      <w:r w:rsidRPr="0088780C">
        <w:rPr>
          <w:i/>
          <w:snapToGrid w:val="0"/>
          <w:kern w:val="22"/>
          <w:szCs w:val="22"/>
          <w:lang w:val="ru-RU"/>
        </w:rPr>
        <w:t>, Ставрополь,1997, с. 123-125.</w:t>
      </w:r>
    </w:p>
    <w:p w14:paraId="478A6B18" w14:textId="77777777" w:rsidR="00A876F3" w:rsidRPr="0088780C" w:rsidRDefault="00A876F3" w:rsidP="001A5518">
      <w:pPr>
        <w:suppressLineNumbers/>
        <w:shd w:val="clear" w:color="auto" w:fill="FFFFFF"/>
        <w:suppressAutoHyphens/>
        <w:kinsoku w:val="0"/>
        <w:overflowPunct w:val="0"/>
        <w:autoSpaceDE w:val="0"/>
        <w:autoSpaceDN w:val="0"/>
        <w:spacing w:after="60"/>
        <w:ind w:left="720" w:hanging="720"/>
        <w:textAlignment w:val="baseline"/>
        <w:rPr>
          <w:rFonts w:eastAsia="MS Mincho"/>
          <w:bCs/>
          <w:i/>
          <w:snapToGrid w:val="0"/>
          <w:color w:val="000000"/>
          <w:kern w:val="22"/>
          <w:szCs w:val="22"/>
          <w:lang w:val="ru-RU"/>
        </w:rPr>
      </w:pPr>
      <w:r w:rsidRPr="0088780C">
        <w:rPr>
          <w:i/>
          <w:snapToGrid w:val="0"/>
          <w:kern w:val="22"/>
          <w:szCs w:val="22"/>
          <w:lang w:val="ru-RU"/>
        </w:rPr>
        <w:t>Туаев Д.Г. Материалы по фауне и экологии водоплавающих и болотных птиц Кура-Араксинской низменности в современных условиях. Материалы по фауне и экологии наземных позвоночных Азербайджана. Баку, Элм, 1975., с. 151-188.</w:t>
      </w:r>
    </w:p>
    <w:p w14:paraId="243B43FF" w14:textId="77777777" w:rsidR="00A876F3" w:rsidRPr="0088780C" w:rsidRDefault="00A876F3" w:rsidP="001A5518">
      <w:pPr>
        <w:suppressLineNumbers/>
        <w:shd w:val="clear" w:color="auto" w:fill="FFFFFF"/>
        <w:suppressAutoHyphens/>
        <w:kinsoku w:val="0"/>
        <w:overflowPunct w:val="0"/>
        <w:autoSpaceDE w:val="0"/>
        <w:autoSpaceDN w:val="0"/>
        <w:spacing w:after="60"/>
        <w:ind w:left="720" w:hanging="720"/>
        <w:textAlignment w:val="baseline"/>
        <w:rPr>
          <w:rFonts w:eastAsia="MS Mincho"/>
          <w:bCs/>
          <w:i/>
          <w:snapToGrid w:val="0"/>
          <w:color w:val="000000"/>
          <w:kern w:val="22"/>
          <w:szCs w:val="22"/>
          <w:lang w:val="ru-RU"/>
        </w:rPr>
      </w:pPr>
      <w:r w:rsidRPr="0088780C">
        <w:rPr>
          <w:i/>
          <w:snapToGrid w:val="0"/>
          <w:kern w:val="22"/>
          <w:szCs w:val="22"/>
          <w:lang w:val="ru-RU"/>
        </w:rPr>
        <w:t xml:space="preserve">Sultanov Elchin, Haddow Caroline (1997): </w:t>
      </w:r>
      <w:r w:rsidRPr="0088780C">
        <w:rPr>
          <w:i/>
          <w:snapToGrid w:val="0"/>
          <w:kern w:val="22"/>
          <w:szCs w:val="22"/>
        </w:rPr>
        <w:t>AIOC ornithological surveys in Azerbaijan. December 1995 to February 1997. – Proceeding of the fourth Baku International congress on energy, ecology, economy. Baku, Sept., 23-26, p. 134-141</w:t>
      </w:r>
      <w:r w:rsidRPr="0088780C">
        <w:rPr>
          <w:i/>
          <w:snapToGrid w:val="0"/>
          <w:kern w:val="22"/>
          <w:szCs w:val="22"/>
          <w:lang w:val="ru-RU"/>
        </w:rPr>
        <w:t>.</w:t>
      </w:r>
    </w:p>
    <w:p w14:paraId="10AC6408" w14:textId="77777777" w:rsidR="00A876F3" w:rsidRPr="0088780C" w:rsidRDefault="00A876F3" w:rsidP="001013AF">
      <w:pPr>
        <w:suppressLineNumbers/>
        <w:shd w:val="clear" w:color="auto" w:fill="FFFFFF"/>
        <w:suppressAutoHyphens/>
        <w:kinsoku w:val="0"/>
        <w:overflowPunct w:val="0"/>
        <w:autoSpaceDE w:val="0"/>
        <w:autoSpaceDN w:val="0"/>
        <w:ind w:left="720"/>
        <w:textAlignment w:val="baseline"/>
        <w:rPr>
          <w:rFonts w:eastAsia="MS Mincho"/>
          <w:bCs/>
          <w:i/>
          <w:snapToGrid w:val="0"/>
          <w:color w:val="000000"/>
          <w:kern w:val="22"/>
          <w:szCs w:val="22"/>
        </w:rPr>
      </w:pPr>
    </w:p>
    <w:p w14:paraId="40864AF1" w14:textId="77777777" w:rsidR="00A876F3" w:rsidRPr="0088780C" w:rsidRDefault="00A876F3" w:rsidP="001013AF">
      <w:pPr>
        <w:pStyle w:val="ListParagraph"/>
        <w:suppressLineNumbers/>
        <w:suppressAutoHyphens/>
        <w:kinsoku w:val="0"/>
        <w:overflowPunct w:val="0"/>
        <w:autoSpaceDE w:val="0"/>
        <w:autoSpaceDN w:val="0"/>
        <w:spacing w:line="280" w:lineRule="atLeast"/>
        <w:ind w:left="880"/>
        <w:rPr>
          <w:rFonts w:eastAsia="MS Mincho"/>
          <w:bCs/>
          <w:i/>
          <w:snapToGrid w:val="0"/>
          <w:color w:val="000000"/>
          <w:kern w:val="22"/>
          <w:szCs w:val="22"/>
        </w:rPr>
      </w:pPr>
      <w:r w:rsidRPr="0088780C">
        <w:rPr>
          <w:rFonts w:eastAsia="MS Mincho"/>
          <w:bCs/>
          <w:i/>
          <w:snapToGrid w:val="0"/>
          <w:color w:val="000000"/>
          <w:kern w:val="22"/>
          <w:szCs w:val="22"/>
        </w:rPr>
        <w:br w:type="page"/>
      </w:r>
    </w:p>
    <w:p w14:paraId="06102C7B" w14:textId="0614E65F" w:rsidR="00A876F3" w:rsidRPr="0088780C" w:rsidRDefault="00916ED1" w:rsidP="001013AF">
      <w:pPr>
        <w:suppressLineNumbers/>
        <w:suppressAutoHyphens/>
        <w:kinsoku w:val="0"/>
        <w:overflowPunct w:val="0"/>
        <w:autoSpaceDE w:val="0"/>
        <w:autoSpaceDN w:val="0"/>
        <w:spacing w:line="280" w:lineRule="atLeast"/>
        <w:rPr>
          <w:rFonts w:eastAsia="MS Mincho"/>
          <w:b/>
          <w:snapToGrid w:val="0"/>
          <w:kern w:val="22"/>
          <w:szCs w:val="22"/>
          <w:lang w:val="ru-RU"/>
        </w:rPr>
      </w:pPr>
      <w:r w:rsidRPr="0088780C">
        <w:rPr>
          <w:rFonts w:eastAsia="MS Mincho"/>
          <w:b/>
          <w:snapToGrid w:val="0"/>
          <w:kern w:val="22"/>
          <w:szCs w:val="22"/>
          <w:lang w:val="ru-RU"/>
        </w:rPr>
        <w:t>Карты и рисунки</w:t>
      </w:r>
    </w:p>
    <w:p w14:paraId="358712FF" w14:textId="77777777" w:rsidR="00A876F3" w:rsidRPr="0088780C" w:rsidRDefault="00A876F3" w:rsidP="001013AF">
      <w:pPr>
        <w:suppressLineNumbers/>
        <w:suppressAutoHyphens/>
        <w:kinsoku w:val="0"/>
        <w:overflowPunct w:val="0"/>
        <w:autoSpaceDE w:val="0"/>
        <w:autoSpaceDN w:val="0"/>
        <w:spacing w:line="280" w:lineRule="atLeast"/>
        <w:rPr>
          <w:rFonts w:eastAsia="MS Mincho"/>
          <w:b/>
          <w:snapToGrid w:val="0"/>
          <w:kern w:val="22"/>
          <w:szCs w:val="22"/>
          <w:lang w:val="ru-RU"/>
        </w:rPr>
      </w:pPr>
      <w:r w:rsidRPr="0088780C">
        <w:rPr>
          <w:rFonts w:eastAsia="MS Mincho"/>
          <w:b/>
          <w:snapToGrid w:val="0"/>
          <w:kern w:val="22"/>
          <w:szCs w:val="22"/>
          <w:lang w:val="ru-RU"/>
        </w:rPr>
        <w:t>Права и разрешения</w:t>
      </w:r>
    </w:p>
    <w:p w14:paraId="19F08FD7"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3CCADE5B"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noProof/>
          <w:snapToGrid w:val="0"/>
          <w:kern w:val="22"/>
          <w:szCs w:val="22"/>
          <w:lang w:eastAsia="zh-CN"/>
        </w:rPr>
        <w:drawing>
          <wp:inline distT="0" distB="0" distL="0" distR="0" wp14:anchorId="2F590A2E" wp14:editId="05E84FC5">
            <wp:extent cx="5486400" cy="4572000"/>
            <wp:effectExtent l="0" t="0" r="0" b="0"/>
            <wp:docPr id="13320" name="Picture 13320" descr="C:\Users\grekin\AppData\Local\Microsoft\Windows\Temporary Internet Files\Content.Word\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rekin\AppData\Local\Microsoft\Windows\Temporary Internet Files\Content.Word\29.png"/>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4DC12C3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p>
    <w:p w14:paraId="06C91332" w14:textId="6AD685DA" w:rsidR="00916ED1" w:rsidRPr="0088780C" w:rsidRDefault="00916ED1">
      <w:pPr>
        <w:jc w:val="left"/>
        <w:rPr>
          <w:rFonts w:eastAsia="MS Mincho"/>
          <w:iCs/>
          <w:snapToGrid w:val="0"/>
          <w:kern w:val="22"/>
          <w:szCs w:val="22"/>
        </w:rPr>
      </w:pPr>
      <w:r w:rsidRPr="0088780C">
        <w:rPr>
          <w:rFonts w:eastAsia="MS Mincho"/>
          <w:iCs/>
          <w:snapToGrid w:val="0"/>
          <w:kern w:val="22"/>
          <w:szCs w:val="22"/>
        </w:rPr>
        <w:br w:type="page"/>
      </w:r>
    </w:p>
    <w:p w14:paraId="379563DC" w14:textId="77777777" w:rsidR="00A876F3" w:rsidRPr="0088780C" w:rsidRDefault="00A876F3" w:rsidP="001013AF">
      <w:pPr>
        <w:suppressLineNumbers/>
        <w:suppressAutoHyphens/>
        <w:kinsoku w:val="0"/>
        <w:overflowPunct w:val="0"/>
        <w:autoSpaceDE w:val="0"/>
        <w:autoSpaceDN w:val="0"/>
        <w:rPr>
          <w:rFonts w:eastAsia="MS Mincho"/>
          <w:iCs/>
          <w:snapToGrid w:val="0"/>
          <w:kern w:val="22"/>
          <w:szCs w:val="22"/>
        </w:rPr>
      </w:pPr>
    </w:p>
    <w:p w14:paraId="7924C6BC"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i/>
          <w:noProof/>
          <w:snapToGrid w:val="0"/>
          <w:kern w:val="22"/>
          <w:szCs w:val="22"/>
          <w:lang w:eastAsia="zh-CN"/>
        </w:rPr>
        <w:drawing>
          <wp:inline distT="0" distB="0" distL="0" distR="0" wp14:anchorId="3C48EFDD" wp14:editId="5526CD12">
            <wp:extent cx="5760085" cy="3362150"/>
            <wp:effectExtent l="19050" t="0" r="0" b="0"/>
            <wp:docPr id="64531" name="Picture 64531" descr="D:\Users\elnara.jafarova\Downloads\Kurariver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elnara.jafarova\Downloads\Kurarivermap.jpg"/>
                    <pic:cNvPicPr>
                      <a:picLocks noChangeAspect="1" noChangeArrowheads="1"/>
                    </pic:cNvPicPr>
                  </pic:nvPicPr>
                  <pic:blipFill>
                    <a:blip r:embed="rId320" cstate="print"/>
                    <a:srcRect/>
                    <a:stretch>
                      <a:fillRect/>
                    </a:stretch>
                  </pic:blipFill>
                  <pic:spPr bwMode="auto">
                    <a:xfrm>
                      <a:off x="0" y="0"/>
                      <a:ext cx="5760085" cy="3362150"/>
                    </a:xfrm>
                    <a:prstGeom prst="rect">
                      <a:avLst/>
                    </a:prstGeom>
                    <a:noFill/>
                    <a:ln w="9525">
                      <a:noFill/>
                      <a:miter lim="800000"/>
                      <a:headEnd/>
                      <a:tailEnd/>
                    </a:ln>
                  </pic:spPr>
                </pic:pic>
              </a:graphicData>
            </a:graphic>
          </wp:inline>
        </w:drawing>
      </w:r>
    </w:p>
    <w:p w14:paraId="3EE5B01D" w14:textId="77777777" w:rsidR="00916ED1"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 2. Kura River and its drainage basin</w:t>
      </w:r>
    </w:p>
    <w:p w14:paraId="12E91602" w14:textId="0CA21EB5"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12FDFA02" w14:textId="77777777" w:rsidR="00A876F3" w:rsidRPr="0088780C" w:rsidRDefault="00A876F3" w:rsidP="001013AF">
      <w:pPr>
        <w:suppressLineNumbers/>
        <w:suppressAutoHyphens/>
        <w:kinsoku w:val="0"/>
        <w:overflowPunct w:val="0"/>
        <w:autoSpaceDE w:val="0"/>
        <w:autoSpaceDN w:val="0"/>
        <w:ind w:left="720" w:hanging="720"/>
        <w:jc w:val="center"/>
        <w:rPr>
          <w:rFonts w:eastAsia="MS Mincho"/>
          <w:b/>
          <w:snapToGrid w:val="0"/>
          <w:kern w:val="22"/>
          <w:szCs w:val="22"/>
        </w:rPr>
      </w:pPr>
      <w:r w:rsidRPr="0088780C">
        <w:rPr>
          <w:rFonts w:eastAsia="MS Mincho"/>
          <w:b/>
          <w:snapToGrid w:val="0"/>
          <w:kern w:val="22"/>
          <w:szCs w:val="22"/>
        </w:rPr>
        <w:t>Area No. 30: Samur - Yalama</w:t>
      </w:r>
    </w:p>
    <w:p w14:paraId="346CE9C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1525DD3"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Abstract</w:t>
      </w:r>
    </w:p>
    <w:p w14:paraId="5FE64742" w14:textId="5EA8259B"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Samur – Yalama includes the deepest nearshore area in the Caspian Sea, with a steep underwater slope. The area is highly important for the life history stages of at least 20 species of fish, and it is a critically important migration corridor and feeding ground for both juveniles and adults. It is also an important bird area, serving as a flyway segment and critical stopover and nesting area for waterfowl. It is also highly significant for all five species of critically endangered sturgeon species (IUCN Red List) and several other protect</w:t>
      </w:r>
      <w:r w:rsidR="00916ED1" w:rsidRPr="0088780C">
        <w:rPr>
          <w:rFonts w:eastAsia="MS Mincho"/>
          <w:snapToGrid w:val="0"/>
          <w:kern w:val="22"/>
          <w:szCs w:val="22"/>
        </w:rPr>
        <w:t>ed species of fishes and birds.</w:t>
      </w:r>
    </w:p>
    <w:p w14:paraId="2048A67D"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E27D86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Introduction</w:t>
      </w:r>
    </w:p>
    <w:p w14:paraId="79A512A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 xml:space="preserve">The deep-water basin is closer to the shore in the </w:t>
      </w:r>
      <w:r w:rsidRPr="0088780C">
        <w:rPr>
          <w:rFonts w:eastAsia="MS Mincho"/>
          <w:snapToGrid w:val="0"/>
          <w:kern w:val="22"/>
          <w:szCs w:val="22"/>
        </w:rPr>
        <w:t xml:space="preserve">Samur – Yalama area </w:t>
      </w:r>
      <w:r w:rsidRPr="0088780C">
        <w:rPr>
          <w:snapToGrid w:val="0"/>
          <w:kern w:val="22"/>
          <w:szCs w:val="22"/>
        </w:rPr>
        <w:t>than anywhere else in the Caspian, and the shelf and submarine slope of the Caspian Sea are characterized by the greatest steepness. These features and the stability of the sea currents give the region exceptional importance as a migratory corridor and feeding grounds for a number of fish species from the populations of both the northern and southern Caspian. Thisis a transboundary area between Azerbaijan and the Russian Federation. Materials for the description of the area were provided on the basis of studies conducted in the last 20 years. It should be noted that the publications used (Guseynova, 2013) cover a wider water area than the area.</w:t>
      </w:r>
    </w:p>
    <w:p w14:paraId="4CCA3FF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6053E74" w14:textId="38617758" w:rsidR="00A876F3" w:rsidRPr="0088780C" w:rsidRDefault="00A876F3" w:rsidP="001013AF">
      <w:pPr>
        <w:suppressLineNumbers/>
        <w:suppressAutoHyphens/>
        <w:kinsoku w:val="0"/>
        <w:overflowPunct w:val="0"/>
        <w:autoSpaceDE w:val="0"/>
        <w:autoSpaceDN w:val="0"/>
        <w:rPr>
          <w:rFonts w:eastAsia="MS Mincho"/>
          <w:snapToGrid w:val="0"/>
          <w:kern w:val="22"/>
          <w:szCs w:val="22"/>
          <w:lang w:val="en-US"/>
        </w:rPr>
      </w:pPr>
      <w:r w:rsidRPr="0088780C">
        <w:rPr>
          <w:rFonts w:eastAsia="MS Mincho"/>
          <w:snapToGrid w:val="0"/>
          <w:kern w:val="22"/>
          <w:szCs w:val="22"/>
          <w:lang w:val="ru-RU"/>
        </w:rPr>
        <w:t xml:space="preserve">В прибрежной зоне на границе Азербайджана и Российской Федерации (Республика Дагестан) (в районе устья р. Самур) в районе, где глубоководная котловина ближе, чем где-либо на Каспии подходит к берегу, а шельф и подводный склон впадины Каспийского моря характеризуются наибольшей крутизной. Эти особенности и устойчивость морских течений придают району исключительную важность как миграционного коридора и места откорма целого ряда видов рыб из популяций как Северного, так и Южного Каспия, зоной контакта которых район является. Район предложен азербайджанскими и российскими экспертами как трансграничный между Азербайджаном и Россией. Материалы для описания района предоставлены азербайджанскими и российскими экспертами на базе исследований, проводившихся в последнее двадцатилетие. Необходимо учитывать, что использованные публикации (Гусейнова, 2013) охватывают более широкую акваторию, чем предложенный район, и детализация </w:t>
      </w:r>
      <w:r w:rsidR="00D8169B" w:rsidRPr="0088780C">
        <w:rPr>
          <w:rFonts w:eastAsia="MS Mincho"/>
          <w:snapToGrid w:val="0"/>
          <w:kern w:val="22"/>
          <w:szCs w:val="22"/>
          <w:lang w:val="ru-RU"/>
        </w:rPr>
        <w:t>их в будущем весьма желательна.</w:t>
      </w:r>
    </w:p>
    <w:p w14:paraId="12399972"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6C071D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5FDB6319"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Samur-Yalama covers an area of 1,250 km</w:t>
      </w:r>
      <w:r w:rsidRPr="0088780C">
        <w:rPr>
          <w:snapToGrid w:val="0"/>
          <w:kern w:val="22"/>
          <w:szCs w:val="22"/>
          <w:vertAlign w:val="superscript"/>
        </w:rPr>
        <w:t>2</w:t>
      </w:r>
      <w:r w:rsidRPr="0088780C">
        <w:rPr>
          <w:snapToGrid w:val="0"/>
          <w:kern w:val="22"/>
          <w:szCs w:val="22"/>
        </w:rPr>
        <w:t>, is located in the coastal zone on both sides of the Russian-Azerbaijani border, along which the Samur River flows, and which eventually flows into the Caspian Sea. The site includes the mouth of the Samur River and a number of smaller rivers that start in the mountains of the Caucasus Range; the marine area consists only of the 200 m isobath.</w:t>
      </w:r>
    </w:p>
    <w:p w14:paraId="7E759FCD" w14:textId="0E2C48EF" w:rsidR="00A876F3" w:rsidRPr="0088780C" w:rsidRDefault="00A876F3" w:rsidP="001013AF">
      <w:pPr>
        <w:suppressLineNumbers/>
        <w:suppressAutoHyphens/>
        <w:kinsoku w:val="0"/>
        <w:overflowPunct w:val="0"/>
        <w:autoSpaceDE w:val="0"/>
        <w:autoSpaceDN w:val="0"/>
        <w:rPr>
          <w:snapToGrid w:val="0"/>
          <w:kern w:val="22"/>
          <w:szCs w:val="22"/>
        </w:rPr>
      </w:pPr>
    </w:p>
    <w:p w14:paraId="018086FE"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Samur-Yalama covers an area of 1,250 km</w:t>
      </w:r>
      <w:r w:rsidRPr="0088780C">
        <w:rPr>
          <w:snapToGrid w:val="0"/>
          <w:kern w:val="22"/>
          <w:szCs w:val="22"/>
          <w:vertAlign w:val="superscript"/>
        </w:rPr>
        <w:t>2</w:t>
      </w:r>
      <w:r w:rsidRPr="0088780C">
        <w:rPr>
          <w:snapToGrid w:val="0"/>
          <w:kern w:val="22"/>
          <w:szCs w:val="22"/>
        </w:rPr>
        <w:t xml:space="preserve"> along both sides of the Russian-Azerbaijani border, following the flow of the Samur River, which eventually meets the Caspian Sea. The site includes the mouth of the Samur River and a number of smaller rivers that start in the mountains of the Caucasus Range; its marine area consists only of the 200 m isobath.</w:t>
      </w:r>
    </w:p>
    <w:p w14:paraId="3AC77A24" w14:textId="77777777" w:rsidR="00A876F3" w:rsidRPr="0088780C" w:rsidRDefault="00A876F3" w:rsidP="001013AF">
      <w:pPr>
        <w:suppressLineNumbers/>
        <w:suppressAutoHyphens/>
        <w:kinsoku w:val="0"/>
        <w:overflowPunct w:val="0"/>
        <w:autoSpaceDE w:val="0"/>
        <w:autoSpaceDN w:val="0"/>
        <w:rPr>
          <w:snapToGrid w:val="0"/>
          <w:color w:val="1F497D"/>
          <w:kern w:val="22"/>
          <w:szCs w:val="22"/>
        </w:rPr>
      </w:pPr>
    </w:p>
    <w:p w14:paraId="11A595F1" w14:textId="37F52663" w:rsidR="00A876F3" w:rsidRPr="0088780C" w:rsidRDefault="00A876F3" w:rsidP="001013AF">
      <w:pPr>
        <w:suppressLineNumbers/>
        <w:suppressAutoHyphens/>
        <w:kinsoku w:val="0"/>
        <w:overflowPunct w:val="0"/>
        <w:autoSpaceDE w:val="0"/>
        <w:autoSpaceDN w:val="0"/>
        <w:rPr>
          <w:snapToGrid w:val="0"/>
          <w:kern w:val="22"/>
          <w:szCs w:val="22"/>
          <w:lang w:val="en-US"/>
        </w:rPr>
      </w:pPr>
      <w:r w:rsidRPr="0088780C">
        <w:rPr>
          <w:snapToGrid w:val="0"/>
          <w:kern w:val="22"/>
          <w:szCs w:val="22"/>
          <w:lang w:val="ru-RU"/>
        </w:rPr>
        <w:t xml:space="preserve">Морской участок Самур-Ялама площадью </w:t>
      </w:r>
      <w:r w:rsidRPr="0088780C">
        <w:rPr>
          <w:rFonts w:eastAsia="MS Mincho"/>
          <w:snapToGrid w:val="0"/>
          <w:kern w:val="22"/>
          <w:szCs w:val="22"/>
          <w:lang w:val="ru-RU"/>
        </w:rPr>
        <w:t>1250 km</w:t>
      </w:r>
      <w:r w:rsidRPr="0088780C">
        <w:rPr>
          <w:rFonts w:eastAsia="MS Mincho"/>
          <w:snapToGrid w:val="0"/>
          <w:kern w:val="22"/>
          <w:szCs w:val="22"/>
          <w:vertAlign w:val="superscript"/>
          <w:lang w:val="ru-RU"/>
        </w:rPr>
        <w:t>2</w:t>
      </w:r>
      <w:r w:rsidRPr="0088780C">
        <w:rPr>
          <w:rFonts w:eastAsia="MS Mincho"/>
          <w:snapToGrid w:val="0"/>
          <w:kern w:val="22"/>
          <w:szCs w:val="22"/>
          <w:lang w:val="ru-RU"/>
        </w:rPr>
        <w:t xml:space="preserve"> </w:t>
      </w:r>
      <w:r w:rsidRPr="0088780C">
        <w:rPr>
          <w:snapToGrid w:val="0"/>
          <w:kern w:val="22"/>
          <w:szCs w:val="22"/>
          <w:lang w:val="ru-RU"/>
        </w:rPr>
        <w:t>находится по обе стороны от российско-азербайджанской границы вдоль которой протекает река Самур, впадающая в Каспий. Участок включает устье р.Самур и ряда более мелких рек, берущих свое на</w:t>
      </w:r>
      <w:r w:rsidRPr="0088780C">
        <w:rPr>
          <w:snapToGrid w:val="0"/>
          <w:kern w:val="22"/>
          <w:szCs w:val="22"/>
          <w:lang w:val="ru-RU"/>
        </w:rPr>
        <w:softHyphen/>
        <w:t>чало в горах Кавказского хребта, а в мористой части ограничивается</w:t>
      </w:r>
      <w:r w:rsidR="00D8169B" w:rsidRPr="0088780C">
        <w:rPr>
          <w:snapToGrid w:val="0"/>
          <w:kern w:val="22"/>
          <w:szCs w:val="22"/>
          <w:lang w:val="ru-RU"/>
        </w:rPr>
        <w:t xml:space="preserve"> изобатой 200 м.</w:t>
      </w:r>
    </w:p>
    <w:p w14:paraId="1875FBD8"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25FEF0C" w14:textId="77777777" w:rsidR="00A876F3" w:rsidRPr="0088780C" w:rsidRDefault="00A876F3" w:rsidP="00D8169B">
      <w:pPr>
        <w:keepNext/>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7562784C" w14:textId="77777777" w:rsidR="00A876F3" w:rsidRPr="0088780C" w:rsidRDefault="00A876F3" w:rsidP="00D8169B">
      <w:pPr>
        <w:keepNext/>
        <w:suppressLineNumbers/>
        <w:suppressAutoHyphens/>
        <w:kinsoku w:val="0"/>
        <w:overflowPunct w:val="0"/>
        <w:autoSpaceDE w:val="0"/>
        <w:autoSpaceDN w:val="0"/>
        <w:rPr>
          <w:rFonts w:eastAsia="MS Mincho"/>
          <w:snapToGrid w:val="0"/>
          <w:kern w:val="22"/>
          <w:szCs w:val="22"/>
        </w:rPr>
      </w:pPr>
      <w:r w:rsidRPr="0088780C">
        <w:rPr>
          <w:rFonts w:eastAsia="MS Mincho"/>
          <w:bCs/>
          <w:i/>
          <w:snapToGrid w:val="0"/>
          <w:kern w:val="22"/>
          <w:szCs w:val="22"/>
          <w:u w:val="single"/>
        </w:rPr>
        <w:t>Geographical characteristics</w:t>
      </w:r>
    </w:p>
    <w:p w14:paraId="5DADF837"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marine area of Samur-Yalama is located along the western coast of the middle Caspian. The middle part of the Caspian Sea is a separate basin, known as the Derbent Depression, charcaterized by the maximum depth of 788 m, and the average depth of 190 m. The western slope of the Derbent Depression is narrow and steep, and the eastern slope is greatly stretched. The bottom of the depression is a weakly inclined plain with depths mainly reaching from 400 to 600 m.</w:t>
      </w:r>
    </w:p>
    <w:p w14:paraId="76183284"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956D84F"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characteristic features of the climate are the prevalence of anticyclonic atmospheric circulation, strong temperature changes throughout the year, a fairly cold and windy winter and a hot, dry and relatively calm summer. The dominant winds and wave propagation are in the north-west and south-east directions (Zhindarev et al., 2013).</w:t>
      </w:r>
    </w:p>
    <w:p w14:paraId="33B506F9"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2D941B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The shores are mostly alluvial, and in some areas abrasion shores are observed. The shelf sediments are dominated fine-grained terrigenous deposits. In a relatively shallow coastal zone (with depths of up to 100 m) shell debris, and coarse and fine sand predominate. At depths of 100-200 m, sediments are dominated by fine sand and silt fraction mixed with shell (Zhindarev et al., 2013).</w:t>
      </w:r>
    </w:p>
    <w:p w14:paraId="23BBF436"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C947B74"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Samur River is one of the four rivers flowing into the Caspian Sea that are the main suppliers of terrigenous sedimentary material. Its  water is characterized by an exceptional turbidity (Zhindarev et al., 2013). The slope is characterized by considerable erosion activity associated with turbidity flows, which supply the basin bed with sediments (Lebedev et al., 1973).</w:t>
      </w:r>
    </w:p>
    <w:p w14:paraId="6751080D"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2AAEBEC1" w14:textId="6ADD117C"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 xml:space="preserve">Water circulation is determined by dominating winds and is characterized by considerable seasonal variability. In accordance with the prevailing wind direction, the Samur-Yalama region is characterized by relatively </w:t>
      </w:r>
      <w:r w:rsidR="00D8169B" w:rsidRPr="0088780C">
        <w:rPr>
          <w:snapToGrid w:val="0"/>
          <w:kern w:val="22"/>
          <w:szCs w:val="22"/>
        </w:rPr>
        <w:t xml:space="preserve">stable south-easterly currents </w:t>
      </w:r>
      <w:r w:rsidRPr="0088780C">
        <w:rPr>
          <w:snapToGrid w:val="0"/>
          <w:kern w:val="22"/>
          <w:szCs w:val="22"/>
        </w:rPr>
        <w:t>(Dobrovolsky and Zalogin, 1982; Fig. 1). The main stream of about 30 – 40 cm sec-1 velocity follows the isobaths 50-70 m, and the maximum velocity can reach 80-100 cm / s (Zhindarev et al., 2013). Wave mixing and surge play a major role in the formation of the coastal zone regime (Zhindarev et al., 2013).</w:t>
      </w:r>
    </w:p>
    <w:p w14:paraId="0CD8B866" w14:textId="77777777" w:rsidR="00A876F3" w:rsidRPr="0088780C" w:rsidRDefault="00A876F3" w:rsidP="001013AF">
      <w:pPr>
        <w:suppressLineNumbers/>
        <w:suppressAutoHyphens/>
        <w:kinsoku w:val="0"/>
        <w:overflowPunct w:val="0"/>
        <w:autoSpaceDE w:val="0"/>
        <w:autoSpaceDN w:val="0"/>
        <w:rPr>
          <w:rFonts w:eastAsia="MS Mincho"/>
          <w:bCs/>
          <w:iCs/>
          <w:snapToGrid w:val="0"/>
          <w:kern w:val="22"/>
          <w:szCs w:val="22"/>
        </w:rPr>
      </w:pPr>
    </w:p>
    <w:p w14:paraId="7126E310" w14:textId="77777777" w:rsidR="00A876F3" w:rsidRPr="0088780C" w:rsidRDefault="00A876F3" w:rsidP="001013AF">
      <w:pPr>
        <w:suppressLineNumbers/>
        <w:suppressAutoHyphens/>
        <w:kinsoku w:val="0"/>
        <w:overflowPunct w:val="0"/>
        <w:autoSpaceDE w:val="0"/>
        <w:autoSpaceDN w:val="0"/>
        <w:rPr>
          <w:rFonts w:eastAsia="MS Mincho"/>
          <w:bCs/>
          <w:i/>
          <w:snapToGrid w:val="0"/>
          <w:kern w:val="22"/>
          <w:szCs w:val="22"/>
          <w:u w:val="single"/>
        </w:rPr>
      </w:pPr>
      <w:r w:rsidRPr="0088780C">
        <w:rPr>
          <w:rFonts w:eastAsia="MS Mincho"/>
          <w:bCs/>
          <w:i/>
          <w:snapToGrid w:val="0"/>
          <w:kern w:val="22"/>
          <w:szCs w:val="22"/>
          <w:u w:val="single"/>
        </w:rPr>
        <w:t>Plankton communities</w:t>
      </w:r>
    </w:p>
    <w:p w14:paraId="7BE1DDF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A high concentration of nutrients creates generally favourable conditions for phytoplankton development in the coastal zone. Phytoplankton biomass in vegetational season is somewhat lower than in the northern Caspian but higher than in the deep waters (Guseynova, 2013).</w:t>
      </w:r>
    </w:p>
    <w:p w14:paraId="3DF4C3E6" w14:textId="77777777" w:rsidR="00D8169B" w:rsidRPr="0088780C" w:rsidRDefault="00D8169B" w:rsidP="001013AF">
      <w:pPr>
        <w:suppressLineNumbers/>
        <w:suppressAutoHyphens/>
        <w:kinsoku w:val="0"/>
        <w:overflowPunct w:val="0"/>
        <w:autoSpaceDE w:val="0"/>
        <w:autoSpaceDN w:val="0"/>
        <w:rPr>
          <w:rFonts w:eastAsia="MS Mincho"/>
          <w:snapToGrid w:val="0"/>
          <w:kern w:val="22"/>
          <w:szCs w:val="22"/>
        </w:rPr>
      </w:pPr>
    </w:p>
    <w:p w14:paraId="230E1272"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snapToGrid w:val="0"/>
          <w:kern w:val="22"/>
          <w:szCs w:val="22"/>
        </w:rPr>
        <w:t xml:space="preserve">Phytoplankton of the middle Caspian consists of 225 species, three times greater than in the southern Caspian. </w:t>
      </w:r>
      <w:r w:rsidRPr="0088780C">
        <w:rPr>
          <w:snapToGrid w:val="0"/>
          <w:kern w:val="22"/>
          <w:szCs w:val="22"/>
        </w:rPr>
        <w:t>Directly in the Samur – Yalama area, 71 species was recorded, with diatoms comprising 42%, while dynophytes and cyanobacteria hold the second and the third ranks, respectively (Guseynova, 2013).</w:t>
      </w:r>
    </w:p>
    <w:p w14:paraId="6DE669AA"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3B709F2F"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Zooplankton biomass is relatively stable, usually not exceeding 300 mg m-3, which is clearly less than in the northern Caspian. These data refer to early  to mid-2000s, when zooplankton was heavily predated by the invasive ctenophore </w:t>
      </w:r>
      <w:r w:rsidRPr="0088780C">
        <w:rPr>
          <w:rFonts w:eastAsia="MS Mincho"/>
          <w:i/>
          <w:snapToGrid w:val="0"/>
          <w:kern w:val="22"/>
          <w:szCs w:val="22"/>
        </w:rPr>
        <w:t>Mnemiopsis leydi</w:t>
      </w:r>
      <w:r w:rsidRPr="0088780C">
        <w:rPr>
          <w:rFonts w:eastAsia="MS Mincho"/>
          <w:snapToGrid w:val="0"/>
          <w:kern w:val="22"/>
          <w:szCs w:val="22"/>
        </w:rPr>
        <w:t xml:space="preserve">. Zooplankton of the Caspian Sea consists of 316 species, while the number of species in the middle Caspian, including the Samur – Yalama area, amounts to 197, including 112 species of ciliates, two species of cnidarinas and ctenophores, nine rotifers, </w:t>
      </w:r>
      <w:r w:rsidRPr="0088780C">
        <w:rPr>
          <w:snapToGrid w:val="0"/>
          <w:kern w:val="22"/>
          <w:szCs w:val="22"/>
        </w:rPr>
        <w:t>38 cladoceran species, 10 copepods, six mysids, five cumaceans and six amphipods (Guseynova, 2013).</w:t>
      </w:r>
    </w:p>
    <w:p w14:paraId="6A97B4CC" w14:textId="77777777" w:rsidR="00A876F3" w:rsidRPr="0088780C" w:rsidRDefault="00A876F3" w:rsidP="001013AF">
      <w:pPr>
        <w:suppressLineNumbers/>
        <w:suppressAutoHyphens/>
        <w:kinsoku w:val="0"/>
        <w:overflowPunct w:val="0"/>
        <w:autoSpaceDE w:val="0"/>
        <w:autoSpaceDN w:val="0"/>
        <w:rPr>
          <w:bCs/>
          <w:iCs/>
          <w:snapToGrid w:val="0"/>
          <w:kern w:val="22"/>
          <w:szCs w:val="22"/>
        </w:rPr>
      </w:pPr>
    </w:p>
    <w:p w14:paraId="58FFF76F" w14:textId="77777777" w:rsidR="00A876F3" w:rsidRPr="0088780C" w:rsidRDefault="00A876F3" w:rsidP="001013AF">
      <w:pPr>
        <w:suppressLineNumbers/>
        <w:suppressAutoHyphens/>
        <w:kinsoku w:val="0"/>
        <w:overflowPunct w:val="0"/>
        <w:autoSpaceDE w:val="0"/>
        <w:autoSpaceDN w:val="0"/>
        <w:rPr>
          <w:bCs/>
          <w:i/>
          <w:snapToGrid w:val="0"/>
          <w:kern w:val="22"/>
          <w:szCs w:val="22"/>
          <w:u w:val="single"/>
        </w:rPr>
      </w:pPr>
      <w:r w:rsidRPr="0088780C">
        <w:rPr>
          <w:bCs/>
          <w:i/>
          <w:snapToGrid w:val="0"/>
          <w:kern w:val="22"/>
          <w:szCs w:val="22"/>
          <w:u w:val="single"/>
        </w:rPr>
        <w:t>Benthos</w:t>
      </w:r>
    </w:p>
    <w:p w14:paraId="6EC44ACB" w14:textId="0CC76921" w:rsidR="00A876F3" w:rsidRPr="0088780C" w:rsidRDefault="00D8169B" w:rsidP="001013AF">
      <w:pPr>
        <w:suppressLineNumbers/>
        <w:suppressAutoHyphens/>
        <w:kinsoku w:val="0"/>
        <w:overflowPunct w:val="0"/>
        <w:autoSpaceDE w:val="0"/>
        <w:autoSpaceDN w:val="0"/>
        <w:rPr>
          <w:rFonts w:eastAsia="MS Mincho"/>
          <w:snapToGrid w:val="0"/>
          <w:kern w:val="22"/>
          <w:szCs w:val="22"/>
        </w:rPr>
      </w:pPr>
      <w:r w:rsidRPr="0088780C">
        <w:rPr>
          <w:snapToGrid w:val="0"/>
          <w:kern w:val="22"/>
          <w:szCs w:val="22"/>
        </w:rPr>
        <w:t>O</w:t>
      </w:r>
      <w:r w:rsidR="00A876F3" w:rsidRPr="0088780C">
        <w:rPr>
          <w:snapToGrid w:val="0"/>
          <w:kern w:val="22"/>
          <w:szCs w:val="22"/>
        </w:rPr>
        <w:t>f the 380 species of macrozoobenthos</w:t>
      </w:r>
      <w:r w:rsidRPr="0088780C">
        <w:rPr>
          <w:snapToGrid w:val="0"/>
          <w:kern w:val="22"/>
          <w:szCs w:val="22"/>
        </w:rPr>
        <w:t>, 356</w:t>
      </w:r>
      <w:r w:rsidR="00A876F3" w:rsidRPr="0088780C">
        <w:rPr>
          <w:snapToGrid w:val="0"/>
          <w:kern w:val="22"/>
          <w:szCs w:val="22"/>
        </w:rPr>
        <w:t xml:space="preserve"> have been recorded in the middle Caspian. The bulk of the fauna consists of autochtonous Caspian species representing remnants of the marine Tertiary fauna, which have survived and evolved through numerous changes of the hydrological regime of the Caspian basin. Species diversity and biomass of benthos decline with increasing depth. Abundance and biomass of zoobenthos in the middle Caspian is decreasing from west to east (Karpinsky, 2002). In the macrobenthos of the Dagestan part of Samur – Yalama area, 45 species have been recorded, seven of which are invasive alien species from the Azov – Black Sea basin. Benthic biomass is relatively high (&gt; 100 g/m</w:t>
      </w:r>
      <w:r w:rsidR="00A876F3" w:rsidRPr="0088780C">
        <w:rPr>
          <w:snapToGrid w:val="0"/>
          <w:kern w:val="22"/>
          <w:szCs w:val="22"/>
          <w:vertAlign w:val="superscript"/>
        </w:rPr>
        <w:t>3</w:t>
      </w:r>
      <w:r w:rsidR="00A876F3" w:rsidRPr="0088780C">
        <w:rPr>
          <w:snapToGrid w:val="0"/>
          <w:kern w:val="22"/>
          <w:szCs w:val="22"/>
        </w:rPr>
        <w:t>), providing appropriate resources for benthic-feeding fish, including sturgeons (Guseynova, 2013).</w:t>
      </w:r>
    </w:p>
    <w:p w14:paraId="7B76360B" w14:textId="77777777" w:rsidR="00A876F3" w:rsidRPr="0088780C" w:rsidRDefault="00A876F3" w:rsidP="001013AF">
      <w:pPr>
        <w:suppressLineNumbers/>
        <w:suppressAutoHyphens/>
        <w:kinsoku w:val="0"/>
        <w:overflowPunct w:val="0"/>
        <w:autoSpaceDE w:val="0"/>
        <w:autoSpaceDN w:val="0"/>
        <w:rPr>
          <w:bCs/>
          <w:iCs/>
          <w:snapToGrid w:val="0"/>
          <w:kern w:val="22"/>
          <w:szCs w:val="22"/>
        </w:rPr>
      </w:pPr>
    </w:p>
    <w:p w14:paraId="01043E35" w14:textId="77777777" w:rsidR="00A876F3" w:rsidRPr="0088780C" w:rsidRDefault="00A876F3" w:rsidP="00D8169B">
      <w:pPr>
        <w:keepNext/>
        <w:suppressLineNumbers/>
        <w:suppressAutoHyphens/>
        <w:kinsoku w:val="0"/>
        <w:overflowPunct w:val="0"/>
        <w:autoSpaceDE w:val="0"/>
        <w:autoSpaceDN w:val="0"/>
        <w:rPr>
          <w:bCs/>
          <w:snapToGrid w:val="0"/>
          <w:kern w:val="22"/>
          <w:szCs w:val="22"/>
          <w:u w:val="single"/>
        </w:rPr>
      </w:pPr>
      <w:r w:rsidRPr="0088780C">
        <w:rPr>
          <w:bCs/>
          <w:i/>
          <w:snapToGrid w:val="0"/>
          <w:kern w:val="22"/>
          <w:szCs w:val="22"/>
          <w:u w:val="single"/>
        </w:rPr>
        <w:t>Ichtyofauna</w:t>
      </w:r>
    </w:p>
    <w:p w14:paraId="1AD3349F" w14:textId="35870910"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F</w:t>
      </w:r>
      <w:r w:rsidR="000E6D78" w:rsidRPr="0088780C">
        <w:rPr>
          <w:snapToGrid w:val="0"/>
          <w:kern w:val="22"/>
          <w:szCs w:val="22"/>
        </w:rPr>
        <w:t xml:space="preserve">or a relatively small area of </w:t>
      </w:r>
      <w:r w:rsidRPr="0088780C">
        <w:rPr>
          <w:snapToGrid w:val="0"/>
          <w:kern w:val="22"/>
          <w:szCs w:val="22"/>
        </w:rPr>
        <w:t xml:space="preserve">the Samursky Reserve, including the lower part of the river ,60 fish species—including many Caspian endemics—have been recorded (Barkhalov, Rabadanaliev, 2014). Clupeids (Caspian herring), cyprinids, and gobiids comprise 75% of the ichtyofauna. All Caspian marine sturgeon species are recorded (Barkhalov et al., 2012; </w:t>
      </w:r>
      <w:r w:rsidRPr="0088780C">
        <w:rPr>
          <w:rFonts w:eastAsia="MS Mincho"/>
          <w:snapToGrid w:val="0"/>
          <w:color w:val="000000"/>
          <w:kern w:val="22"/>
          <w:szCs w:val="22"/>
        </w:rPr>
        <w:t>Barhalov, Rabadanaliev, 2014</w:t>
      </w:r>
      <w:r w:rsidRPr="0088780C">
        <w:rPr>
          <w:snapToGrid w:val="0"/>
          <w:kern w:val="22"/>
          <w:szCs w:val="22"/>
        </w:rPr>
        <w:t>).</w:t>
      </w:r>
    </w:p>
    <w:p w14:paraId="18736BB4" w14:textId="77777777" w:rsidR="000E6D78" w:rsidRPr="0088780C" w:rsidRDefault="000E6D78" w:rsidP="001013AF">
      <w:pPr>
        <w:suppressLineNumbers/>
        <w:suppressAutoHyphens/>
        <w:kinsoku w:val="0"/>
        <w:overflowPunct w:val="0"/>
        <w:autoSpaceDE w:val="0"/>
        <w:autoSpaceDN w:val="0"/>
        <w:rPr>
          <w:snapToGrid w:val="0"/>
          <w:kern w:val="22"/>
          <w:szCs w:val="22"/>
        </w:rPr>
      </w:pPr>
    </w:p>
    <w:p w14:paraId="33968889"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Samur-Yalama area is importnat as a wintering and feeding ground and, especially as a migration route for fish, including Caspian clupeids (</w:t>
      </w:r>
      <w:r w:rsidRPr="0088780C">
        <w:rPr>
          <w:i/>
          <w:snapToGrid w:val="0"/>
          <w:kern w:val="22"/>
          <w:szCs w:val="22"/>
        </w:rPr>
        <w:t>Clupeonella grimmi, Clupeonella delicatula caspia, Alosa brashnikovi brashnikovi, Alosa saposhnikovii, Alosa caspia caspia</w:t>
      </w:r>
      <w:r w:rsidRPr="0088780C">
        <w:rPr>
          <w:snapToGrid w:val="0"/>
          <w:kern w:val="22"/>
          <w:szCs w:val="22"/>
        </w:rPr>
        <w:t xml:space="preserve">), kutum and sturgeons (M. Ahundov, pers. comm., Fig. 2). </w:t>
      </w:r>
      <w:r w:rsidRPr="0088780C">
        <w:rPr>
          <w:rFonts w:eastAsia="MS Mincho"/>
          <w:snapToGrid w:val="0"/>
          <w:color w:val="000000"/>
          <w:kern w:val="22"/>
          <w:szCs w:val="22"/>
        </w:rPr>
        <w:t>The area is a critically important migration corridor and feeding ground for juvenile and adult Caspian lamprey (</w:t>
      </w:r>
      <w:r w:rsidRPr="0088780C">
        <w:rPr>
          <w:rFonts w:eastAsia="MS Mincho"/>
          <w:i/>
          <w:snapToGrid w:val="0"/>
          <w:color w:val="000000"/>
          <w:kern w:val="22"/>
          <w:szCs w:val="22"/>
        </w:rPr>
        <w:t>Caspiomyzon wagneri</w:t>
      </w:r>
      <w:r w:rsidRPr="0088780C">
        <w:rPr>
          <w:rFonts w:eastAsia="MS Mincho"/>
          <w:snapToGrid w:val="0"/>
          <w:color w:val="000000"/>
          <w:kern w:val="22"/>
          <w:szCs w:val="22"/>
        </w:rPr>
        <w:t>, IUCN Red List, near threatened, Red Data Books of Russia), beluga sturgeon (</w:t>
      </w:r>
      <w:r w:rsidRPr="0088780C">
        <w:rPr>
          <w:rFonts w:eastAsia="MS Mincho"/>
          <w:i/>
          <w:snapToGrid w:val="0"/>
          <w:color w:val="000000"/>
          <w:kern w:val="22"/>
          <w:szCs w:val="22"/>
        </w:rPr>
        <w:t>Huso huso</w:t>
      </w:r>
      <w:r w:rsidRPr="0088780C">
        <w:rPr>
          <w:rFonts w:eastAsia="MS Mincho"/>
          <w:snapToGrid w:val="0"/>
          <w:color w:val="000000"/>
          <w:kern w:val="22"/>
          <w:szCs w:val="22"/>
        </w:rPr>
        <w:t>, IUCN Red List, critically endangered), Russian sturgeon (</w:t>
      </w:r>
      <w:r w:rsidRPr="0088780C">
        <w:rPr>
          <w:rFonts w:eastAsia="MS Mincho"/>
          <w:i/>
          <w:snapToGrid w:val="0"/>
          <w:color w:val="000000"/>
          <w:kern w:val="22"/>
          <w:szCs w:val="22"/>
        </w:rPr>
        <w:t>Acipenser gueldenstaedtii</w:t>
      </w:r>
      <w:r w:rsidRPr="0088780C">
        <w:rPr>
          <w:rFonts w:eastAsia="MS Mincho"/>
          <w:snapToGrid w:val="0"/>
          <w:color w:val="000000"/>
          <w:kern w:val="22"/>
          <w:szCs w:val="22"/>
        </w:rPr>
        <w:t>, IUCN Red List, critically endangered), starry sturgeon (</w:t>
      </w:r>
      <w:r w:rsidRPr="0088780C">
        <w:rPr>
          <w:rFonts w:eastAsia="MS Mincho"/>
          <w:i/>
          <w:snapToGrid w:val="0"/>
          <w:color w:val="000000"/>
          <w:kern w:val="22"/>
          <w:szCs w:val="22"/>
        </w:rPr>
        <w:t>Acipenser stellatus</w:t>
      </w:r>
      <w:r w:rsidRPr="0088780C">
        <w:rPr>
          <w:rFonts w:eastAsia="MS Mincho"/>
          <w:snapToGrid w:val="0"/>
          <w:color w:val="000000"/>
          <w:kern w:val="22"/>
          <w:szCs w:val="22"/>
        </w:rPr>
        <w:t>, IUCN Red List, critically endangered), Persian sturgeon (</w:t>
      </w:r>
      <w:r w:rsidRPr="0088780C">
        <w:rPr>
          <w:rFonts w:eastAsia="MS Mincho"/>
          <w:i/>
          <w:snapToGrid w:val="0"/>
          <w:color w:val="000000"/>
          <w:kern w:val="22"/>
          <w:szCs w:val="22"/>
        </w:rPr>
        <w:t>Acipenser gueldenstaedti, persicus</w:t>
      </w:r>
      <w:r w:rsidRPr="0088780C">
        <w:rPr>
          <w:rFonts w:eastAsia="MS Mincho"/>
          <w:snapToGrid w:val="0"/>
          <w:color w:val="000000"/>
          <w:kern w:val="22"/>
          <w:szCs w:val="22"/>
        </w:rPr>
        <w:t>; IUCN Red List, critically endangered), ship (</w:t>
      </w:r>
      <w:r w:rsidRPr="0088780C">
        <w:rPr>
          <w:rFonts w:eastAsia="MS Mincho"/>
          <w:i/>
          <w:snapToGrid w:val="0"/>
          <w:color w:val="000000"/>
          <w:kern w:val="22"/>
          <w:szCs w:val="22"/>
        </w:rPr>
        <w:t>Acipenser nudiventris</w:t>
      </w:r>
      <w:r w:rsidRPr="0088780C">
        <w:rPr>
          <w:rFonts w:eastAsia="MS Mincho"/>
          <w:snapToGrid w:val="0"/>
          <w:color w:val="000000"/>
          <w:kern w:val="22"/>
          <w:szCs w:val="22"/>
        </w:rPr>
        <w:t>; critically endangered, IUCN, Red Data Books of Azerbajan and Russia) and Caspian trout (</w:t>
      </w:r>
      <w:r w:rsidRPr="0088780C">
        <w:rPr>
          <w:rFonts w:eastAsia="MS Mincho"/>
          <w:i/>
          <w:snapToGrid w:val="0"/>
          <w:color w:val="000000"/>
          <w:kern w:val="22"/>
          <w:szCs w:val="22"/>
        </w:rPr>
        <w:t>Salmo caspium</w:t>
      </w:r>
      <w:r w:rsidRPr="0088780C">
        <w:rPr>
          <w:rFonts w:eastAsia="MS Mincho"/>
          <w:snapToGrid w:val="0"/>
          <w:color w:val="000000"/>
          <w:kern w:val="22"/>
          <w:szCs w:val="22"/>
        </w:rPr>
        <w:t>; Red Data Book of Azerbaijan) (Barhalov, Rabadanaliev, 2014).</w:t>
      </w:r>
    </w:p>
    <w:p w14:paraId="3100CDC5" w14:textId="77777777" w:rsidR="00A876F3" w:rsidRPr="0088780C" w:rsidRDefault="00A876F3" w:rsidP="001013AF">
      <w:pPr>
        <w:suppressLineNumbers/>
        <w:suppressAutoHyphens/>
        <w:kinsoku w:val="0"/>
        <w:overflowPunct w:val="0"/>
        <w:autoSpaceDE w:val="0"/>
        <w:autoSpaceDN w:val="0"/>
        <w:rPr>
          <w:bCs/>
          <w:iCs/>
          <w:snapToGrid w:val="0"/>
          <w:kern w:val="22"/>
          <w:szCs w:val="22"/>
        </w:rPr>
      </w:pPr>
    </w:p>
    <w:p w14:paraId="06E2C02C" w14:textId="77777777" w:rsidR="00A876F3" w:rsidRPr="0088780C" w:rsidRDefault="00A876F3" w:rsidP="001013AF">
      <w:pPr>
        <w:suppressLineNumbers/>
        <w:suppressAutoHyphens/>
        <w:kinsoku w:val="0"/>
        <w:overflowPunct w:val="0"/>
        <w:autoSpaceDE w:val="0"/>
        <w:autoSpaceDN w:val="0"/>
        <w:rPr>
          <w:bCs/>
          <w:snapToGrid w:val="0"/>
          <w:kern w:val="22"/>
          <w:szCs w:val="22"/>
          <w:u w:val="single"/>
        </w:rPr>
      </w:pPr>
      <w:r w:rsidRPr="0088780C">
        <w:rPr>
          <w:bCs/>
          <w:i/>
          <w:snapToGrid w:val="0"/>
          <w:kern w:val="22"/>
          <w:szCs w:val="22"/>
          <w:u w:val="single"/>
        </w:rPr>
        <w:t>Marine mammals, aquatic birds and waterfowl</w:t>
      </w:r>
    </w:p>
    <w:p w14:paraId="43F2F94A"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Caspian seals occur in the area round year, but their abundance increases during seasonal migrations in spring and autumn (M. Ahundov, pers. comm.). About 80 species of birds of different migratory status (more than 70 species of migratory species, 15 nesting species, 2 local species and nine– wintering species) occur in the coastal zone of Samur-Yalama. Rare and endangered bird species occur seasonally, including 12 that are listed in the Red Data Book of Azerbaijan and 10 are on the IUCN Red List. A large accumulation of wintering birds is concentrated on Lake Agzybir (Divichinsky Liman) (M. Ahundov, pers. comm.).The main migration routes of many species of waterfowl pass through the western coast of the middle Caspian. The autumn migration of birds along the Caspian coast is longer and can continue, depending on the weather conditions, for five months — from August to December. The most intensive migration takes place in October and November. The spring migration of birds covers the period from February to April, with a maximum number of birds passing by from February to March. The number of migrating birds decreases in April. During the spring and autumn migration, half a million to a million waterfowl can congregate in the mouth of the River Samur (Dzhamirzoev, Bukreev, 2009).</w:t>
      </w:r>
    </w:p>
    <w:p w14:paraId="5B526EE6"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4755C01" w14:textId="1B784168" w:rsidR="00A876F3" w:rsidRPr="0088780C" w:rsidRDefault="00A876F3" w:rsidP="002B2917">
      <w:pPr>
        <w:suppressLineNumbers/>
        <w:suppressAutoHyphens/>
        <w:kinsoku w:val="0"/>
        <w:overflowPunct w:val="0"/>
        <w:autoSpaceDE w:val="0"/>
        <w:autoSpaceDN w:val="0"/>
        <w:spacing w:after="120"/>
        <w:rPr>
          <w:snapToGrid w:val="0"/>
          <w:kern w:val="22"/>
          <w:szCs w:val="22"/>
          <w:lang w:val="ru-RU"/>
        </w:rPr>
      </w:pPr>
      <w:r w:rsidRPr="0088780C">
        <w:rPr>
          <w:b/>
          <w:bCs/>
          <w:i/>
          <w:iCs/>
          <w:snapToGrid w:val="0"/>
          <w:kern w:val="22"/>
          <w:szCs w:val="22"/>
          <w:lang w:val="ru-RU"/>
        </w:rPr>
        <w:t>Физико-географическая характеристика участка.</w:t>
      </w:r>
      <w:r w:rsidRPr="0088780C">
        <w:rPr>
          <w:snapToGrid w:val="0"/>
          <w:kern w:val="22"/>
          <w:szCs w:val="22"/>
          <w:lang w:val="ru-RU"/>
        </w:rPr>
        <w:t xml:space="preserve"> Морской участок Самур-Ялама находится вдоль западного побережья Среднего Каспия. Средняя часть Каспийского моря представляет собой обособленную котловину, область максимальных глубин которой, Дербентская впадина, смещена к за</w:t>
      </w:r>
      <w:r w:rsidRPr="0088780C">
        <w:rPr>
          <w:snapToGrid w:val="0"/>
          <w:kern w:val="22"/>
          <w:szCs w:val="22"/>
          <w:lang w:val="ru-RU"/>
        </w:rPr>
        <w:softHyphen/>
        <w:t>падному берегу. Средняя глубина этой части моря – 190 м, наибольшая – 788 м. Западный склон Дербентской впадины узкий и крутой, восточный склон сильно растянут. Дно впадины представляет собой слабонаклоненную равнину с глубинам</w:t>
      </w:r>
      <w:r w:rsidR="000E6D78" w:rsidRPr="0088780C">
        <w:rPr>
          <w:snapToGrid w:val="0"/>
          <w:kern w:val="22"/>
          <w:szCs w:val="22"/>
          <w:lang w:val="ru-RU"/>
        </w:rPr>
        <w:t>и, в основном, от 400 до 600 м.</w:t>
      </w:r>
    </w:p>
    <w:p w14:paraId="25573BCD" w14:textId="77777777" w:rsidR="00A876F3" w:rsidRPr="0088780C" w:rsidRDefault="00A876F3" w:rsidP="002B2917">
      <w:pPr>
        <w:suppressLineNumbers/>
        <w:suppressAutoHyphens/>
        <w:kinsoku w:val="0"/>
        <w:overflowPunct w:val="0"/>
        <w:autoSpaceDE w:val="0"/>
        <w:autoSpaceDN w:val="0"/>
        <w:spacing w:after="120"/>
        <w:rPr>
          <w:snapToGrid w:val="0"/>
          <w:kern w:val="22"/>
          <w:szCs w:val="22"/>
          <w:lang w:val="ru-RU"/>
        </w:rPr>
      </w:pPr>
      <w:r w:rsidRPr="0088780C">
        <w:rPr>
          <w:snapToGrid w:val="0"/>
          <w:kern w:val="22"/>
          <w:szCs w:val="22"/>
          <w:lang w:val="ru-RU"/>
        </w:rPr>
        <w:t>Характерные черты климата – преобладание антицикло</w:t>
      </w:r>
      <w:r w:rsidRPr="0088780C">
        <w:rPr>
          <w:snapToGrid w:val="0"/>
          <w:kern w:val="22"/>
          <w:szCs w:val="22"/>
          <w:lang w:val="ru-RU"/>
        </w:rPr>
        <w:softHyphen/>
        <w:t>нальных условий погоды, резкие перепады температуры в течение года, достаточно холодная и ветреная зима и жаркое, сухое и относительно спокойное лето. Преобладающие ветры и волнение имеют северо-западное и юго-восточное направления (Жиндарев и др., 2013).</w:t>
      </w:r>
    </w:p>
    <w:p w14:paraId="1E9DEC1C" w14:textId="77777777" w:rsidR="00A876F3" w:rsidRPr="0088780C" w:rsidRDefault="00A876F3" w:rsidP="002B2917">
      <w:pPr>
        <w:suppressLineNumbers/>
        <w:suppressAutoHyphens/>
        <w:kinsoku w:val="0"/>
        <w:overflowPunct w:val="0"/>
        <w:autoSpaceDE w:val="0"/>
        <w:autoSpaceDN w:val="0"/>
        <w:spacing w:after="120"/>
        <w:rPr>
          <w:snapToGrid w:val="0"/>
          <w:kern w:val="22"/>
          <w:szCs w:val="22"/>
          <w:lang w:val="ru-RU"/>
        </w:rPr>
      </w:pPr>
      <w:r w:rsidRPr="0088780C">
        <w:rPr>
          <w:snapToGrid w:val="0"/>
          <w:kern w:val="22"/>
          <w:szCs w:val="22"/>
          <w:lang w:val="ru-RU"/>
        </w:rPr>
        <w:t>Бе</w:t>
      </w:r>
      <w:r w:rsidRPr="0088780C">
        <w:rPr>
          <w:snapToGrid w:val="0"/>
          <w:kern w:val="22"/>
          <w:szCs w:val="22"/>
          <w:lang w:val="ru-RU"/>
        </w:rPr>
        <w:softHyphen/>
        <w:t>рега большей частью аллювиальные, лишь на отдельных участках – абразионные. Шельф сложен из мелкозернистых терригенных отложений. В сравнительно мелководной прибреж</w:t>
      </w:r>
      <w:r w:rsidRPr="0088780C">
        <w:rPr>
          <w:snapToGrid w:val="0"/>
          <w:kern w:val="22"/>
          <w:szCs w:val="22"/>
          <w:lang w:val="ru-RU"/>
        </w:rPr>
        <w:softHyphen/>
        <w:t>ной зоне (с глубинами до 100 м) преоб</w:t>
      </w:r>
      <w:r w:rsidRPr="0088780C">
        <w:rPr>
          <w:snapToGrid w:val="0"/>
          <w:kern w:val="22"/>
          <w:szCs w:val="22"/>
          <w:lang w:val="ru-RU"/>
        </w:rPr>
        <w:softHyphen/>
        <w:t>ладает крупная и мелкая ракуша, круп</w:t>
      </w:r>
      <w:r w:rsidRPr="0088780C">
        <w:rPr>
          <w:snapToGrid w:val="0"/>
          <w:kern w:val="22"/>
          <w:szCs w:val="22"/>
          <w:lang w:val="ru-RU"/>
        </w:rPr>
        <w:softHyphen/>
        <w:t>ный и мелкий песок. На участке с глуби</w:t>
      </w:r>
      <w:r w:rsidRPr="0088780C">
        <w:rPr>
          <w:snapToGrid w:val="0"/>
          <w:kern w:val="22"/>
          <w:szCs w:val="22"/>
          <w:lang w:val="ru-RU"/>
        </w:rPr>
        <w:softHyphen/>
        <w:t>нами 100-200 м – мелкие пес</w:t>
      </w:r>
      <w:r w:rsidRPr="0088780C">
        <w:rPr>
          <w:snapToGrid w:val="0"/>
          <w:kern w:val="22"/>
          <w:szCs w:val="22"/>
          <w:lang w:val="ru-RU"/>
        </w:rPr>
        <w:softHyphen/>
        <w:t>чаные фрак</w:t>
      </w:r>
      <w:r w:rsidRPr="0088780C">
        <w:rPr>
          <w:snapToGrid w:val="0"/>
          <w:kern w:val="22"/>
          <w:szCs w:val="22"/>
          <w:lang w:val="ru-RU"/>
        </w:rPr>
        <w:softHyphen/>
        <w:t>ции и ил, частично цельная и битая мел</w:t>
      </w:r>
      <w:r w:rsidRPr="0088780C">
        <w:rPr>
          <w:snapToGrid w:val="0"/>
          <w:kern w:val="22"/>
          <w:szCs w:val="22"/>
          <w:lang w:val="ru-RU"/>
        </w:rPr>
        <w:softHyphen/>
        <w:t>кая ракуша (Жиндарев и др., 2013).</w:t>
      </w:r>
    </w:p>
    <w:p w14:paraId="2B77B056" w14:textId="2A999A71" w:rsidR="00A876F3" w:rsidRPr="0088780C" w:rsidRDefault="00A876F3" w:rsidP="002B2917">
      <w:pPr>
        <w:suppressLineNumbers/>
        <w:suppressAutoHyphens/>
        <w:kinsoku w:val="0"/>
        <w:overflowPunct w:val="0"/>
        <w:autoSpaceDE w:val="0"/>
        <w:autoSpaceDN w:val="0"/>
        <w:spacing w:after="120"/>
        <w:rPr>
          <w:rFonts w:eastAsia="MS Mincho"/>
          <w:snapToGrid w:val="0"/>
          <w:spacing w:val="-4"/>
          <w:kern w:val="22"/>
          <w:szCs w:val="22"/>
          <w:lang w:val="ru-RU"/>
        </w:rPr>
      </w:pPr>
      <w:r w:rsidRPr="0088780C">
        <w:rPr>
          <w:rFonts w:eastAsia="MS Mincho"/>
          <w:snapToGrid w:val="0"/>
          <w:spacing w:val="-4"/>
          <w:kern w:val="22"/>
          <w:szCs w:val="22"/>
          <w:lang w:val="ru-RU"/>
        </w:rPr>
        <w:t>Река Самур входит в число четырех рек Каспия, являющихся основными поставщиками терригенного осадочного материала в море. Самурская вода характеризуется исключительной мутностью (Жиндарев и др., 2013)</w:t>
      </w:r>
      <w:r w:rsidRPr="0088780C">
        <w:rPr>
          <w:snapToGrid w:val="0"/>
          <w:spacing w:val="-4"/>
          <w:kern w:val="22"/>
          <w:szCs w:val="22"/>
          <w:lang w:val="ru-RU"/>
        </w:rPr>
        <w:t xml:space="preserve">. </w:t>
      </w:r>
      <w:r w:rsidRPr="0088780C">
        <w:rPr>
          <w:rFonts w:eastAsia="MS Mincho"/>
          <w:snapToGrid w:val="0"/>
          <w:spacing w:val="-4"/>
          <w:kern w:val="22"/>
          <w:szCs w:val="22"/>
          <w:lang w:val="ru-RU"/>
        </w:rPr>
        <w:t>Для склона характерна значительная эрозионная активность, связанная с мутьевыми потоками, которые заполняют осадками ложе к</w:t>
      </w:r>
      <w:r w:rsidR="000E6D78" w:rsidRPr="0088780C">
        <w:rPr>
          <w:rFonts w:eastAsia="MS Mincho"/>
          <w:snapToGrid w:val="0"/>
          <w:spacing w:val="-4"/>
          <w:kern w:val="22"/>
          <w:szCs w:val="22"/>
          <w:lang w:val="ru-RU"/>
        </w:rPr>
        <w:t>отловины (Лебедев и др., 1973).</w:t>
      </w:r>
    </w:p>
    <w:p w14:paraId="29B495A1" w14:textId="0BA51DDC" w:rsidR="00A876F3" w:rsidRPr="0088780C" w:rsidRDefault="00A876F3" w:rsidP="002B2917">
      <w:pPr>
        <w:suppressLineNumbers/>
        <w:suppressAutoHyphens/>
        <w:kinsoku w:val="0"/>
        <w:overflowPunct w:val="0"/>
        <w:autoSpaceDE w:val="0"/>
        <w:autoSpaceDN w:val="0"/>
        <w:spacing w:after="120"/>
        <w:rPr>
          <w:rFonts w:eastAsia="MS Mincho"/>
          <w:snapToGrid w:val="0"/>
          <w:kern w:val="22"/>
          <w:szCs w:val="22"/>
          <w:lang w:val="ru-RU"/>
        </w:rPr>
      </w:pPr>
      <w:r w:rsidRPr="0088780C">
        <w:rPr>
          <w:rFonts w:eastAsia="MS Mincho"/>
          <w:snapToGrid w:val="0"/>
          <w:kern w:val="22"/>
          <w:szCs w:val="22"/>
          <w:lang w:val="ru-RU"/>
        </w:rPr>
        <w:t xml:space="preserve">Циркуляция вод связана с преобладающими ветрами и характеризуется значительной сезонной изменчивостью. В соответствии с преобладающим направлением ветров для данного района Самур - Ялама характерны относительно устойчивые течения юго-восточного направления (Рис. 1). </w:t>
      </w:r>
      <w:r w:rsidRPr="0088780C">
        <w:rPr>
          <w:snapToGrid w:val="0"/>
          <w:kern w:val="22"/>
          <w:szCs w:val="22"/>
          <w:lang w:val="ru-RU"/>
        </w:rPr>
        <w:t xml:space="preserve">Стрежень течения следует вдоль изобаты 50–70 м со скоростями 30–40 см/с, максимальные скорости по натурным наблюдениям могут достигать 80–100 см/с (Жиндарев и др., 2013). </w:t>
      </w:r>
      <w:r w:rsidRPr="0088780C">
        <w:rPr>
          <w:rFonts w:eastAsia="MS Mincho"/>
          <w:snapToGrid w:val="0"/>
          <w:kern w:val="22"/>
          <w:szCs w:val="22"/>
          <w:lang w:val="ru-RU"/>
        </w:rPr>
        <w:t>Большую роль в формировании режима береговой зоны играет частое волнение и сгоны/ наго</w:t>
      </w:r>
      <w:r w:rsidR="002B2917" w:rsidRPr="0088780C">
        <w:rPr>
          <w:rFonts w:eastAsia="MS Mincho"/>
          <w:snapToGrid w:val="0"/>
          <w:kern w:val="22"/>
          <w:szCs w:val="22"/>
          <w:lang w:val="ru-RU"/>
        </w:rPr>
        <w:t>ны воды (Жиндарев и др., 2013).</w:t>
      </w:r>
    </w:p>
    <w:p w14:paraId="0FDD18C8" w14:textId="77777777" w:rsidR="00A876F3" w:rsidRPr="0088780C" w:rsidRDefault="00A876F3" w:rsidP="002B2917">
      <w:pPr>
        <w:suppressLineNumbers/>
        <w:suppressAutoHyphens/>
        <w:kinsoku w:val="0"/>
        <w:overflowPunct w:val="0"/>
        <w:autoSpaceDE w:val="0"/>
        <w:autoSpaceDN w:val="0"/>
        <w:spacing w:after="120"/>
        <w:rPr>
          <w:rFonts w:eastAsia="MS Mincho"/>
          <w:snapToGrid w:val="0"/>
          <w:kern w:val="22"/>
          <w:szCs w:val="22"/>
          <w:lang w:val="ru-RU"/>
        </w:rPr>
      </w:pPr>
      <w:r w:rsidRPr="0088780C">
        <w:rPr>
          <w:rFonts w:eastAsia="MS Mincho"/>
          <w:b/>
          <w:snapToGrid w:val="0"/>
          <w:kern w:val="22"/>
          <w:szCs w:val="22"/>
          <w:lang w:val="ru-RU"/>
        </w:rPr>
        <w:t>Планктонные сообщества</w:t>
      </w:r>
      <w:r w:rsidRPr="0088780C">
        <w:rPr>
          <w:rFonts w:eastAsia="MS Mincho"/>
          <w:snapToGrid w:val="0"/>
          <w:kern w:val="22"/>
          <w:szCs w:val="22"/>
          <w:lang w:val="ru-RU"/>
        </w:rPr>
        <w:t>. Высокая концентрация биогенов создает в целом благоприятные условия для развития фитопланктона в прибрежной зоне, биомасса которого в вегетационный сезон несколько меньше, чем в Северном Каспии, но больше, чем в области глубоководной котловины (Гусейнова, 2013).</w:t>
      </w:r>
    </w:p>
    <w:p w14:paraId="300C7B96" w14:textId="77777777" w:rsidR="00A876F3" w:rsidRPr="0088780C" w:rsidRDefault="00A876F3" w:rsidP="002B2917">
      <w:pPr>
        <w:suppressLineNumbers/>
        <w:suppressAutoHyphens/>
        <w:kinsoku w:val="0"/>
        <w:overflowPunct w:val="0"/>
        <w:autoSpaceDE w:val="0"/>
        <w:autoSpaceDN w:val="0"/>
        <w:spacing w:after="120"/>
        <w:rPr>
          <w:snapToGrid w:val="0"/>
          <w:kern w:val="22"/>
          <w:szCs w:val="22"/>
          <w:lang w:val="ru-RU"/>
        </w:rPr>
      </w:pPr>
      <w:r w:rsidRPr="0088780C">
        <w:rPr>
          <w:snapToGrid w:val="0"/>
          <w:kern w:val="22"/>
          <w:szCs w:val="22"/>
          <w:lang w:val="ru-RU"/>
        </w:rPr>
        <w:t>В фитопланктоне Среднего Каспия отмечено 225 видов водорослей, почти в 2 раза меньше, чем в Северном Каспии, но в 3 раза больше, чем Южном. При этом непосредственно в районе Самур – Ямала отмечен 71 вид, преобладают диатомовые (42%), а второе и третье места занимают динофитовые и цианобактерии (Гусейнова, 2013).</w:t>
      </w:r>
    </w:p>
    <w:p w14:paraId="69EDF58B" w14:textId="77777777" w:rsidR="00A876F3" w:rsidRPr="0088780C" w:rsidRDefault="00A876F3" w:rsidP="002B2917">
      <w:pPr>
        <w:suppressLineNumbers/>
        <w:suppressAutoHyphens/>
        <w:kinsoku w:val="0"/>
        <w:overflowPunct w:val="0"/>
        <w:autoSpaceDE w:val="0"/>
        <w:autoSpaceDN w:val="0"/>
        <w:spacing w:after="120"/>
        <w:rPr>
          <w:snapToGrid w:val="0"/>
          <w:kern w:val="22"/>
          <w:szCs w:val="22"/>
          <w:lang w:val="ru-RU"/>
        </w:rPr>
      </w:pPr>
      <w:r w:rsidRPr="0088780C">
        <w:rPr>
          <w:rFonts w:eastAsia="MS Mincho"/>
          <w:snapToGrid w:val="0"/>
          <w:kern w:val="22"/>
          <w:szCs w:val="22"/>
          <w:lang w:val="ru-RU"/>
        </w:rPr>
        <w:t xml:space="preserve">Концентрация зоопланктона в различные сезоны года характеризуется стабильностью и обычно не превышает 300 мг/ м3, что заметно меньше, чем в северном Каспии. Следует, однако, учитывать, что эти данные относятся к первой половине – середине 2000-х гг., когда зоопланктон подвергался особенно значительному выеданию видом-вселенцем – гребневиком </w:t>
      </w:r>
      <w:r w:rsidRPr="0088780C">
        <w:rPr>
          <w:rFonts w:eastAsia="MS Mincho"/>
          <w:i/>
          <w:snapToGrid w:val="0"/>
          <w:kern w:val="22"/>
          <w:szCs w:val="22"/>
          <w:lang w:val="ru-RU"/>
        </w:rPr>
        <w:t>Mnemiopsis leydi</w:t>
      </w:r>
      <w:r w:rsidRPr="0088780C">
        <w:rPr>
          <w:rFonts w:eastAsia="MS Mincho"/>
          <w:snapToGrid w:val="0"/>
          <w:kern w:val="22"/>
          <w:szCs w:val="22"/>
          <w:lang w:val="ru-RU"/>
        </w:rPr>
        <w:t xml:space="preserve"> (Гусейнова, 2013). </w:t>
      </w:r>
      <w:r w:rsidRPr="0088780C">
        <w:rPr>
          <w:snapToGrid w:val="0"/>
          <w:kern w:val="22"/>
          <w:szCs w:val="22"/>
          <w:lang w:val="ru-RU"/>
        </w:rPr>
        <w:t>В зоопланктоне Кас</w:t>
      </w:r>
      <w:r w:rsidRPr="0088780C">
        <w:rPr>
          <w:snapToGrid w:val="0"/>
          <w:kern w:val="22"/>
          <w:szCs w:val="22"/>
          <w:lang w:val="ru-RU"/>
        </w:rPr>
        <w:softHyphen/>
        <w:t>пийского моря обнаружено 316, а в акватории участка EBSA Самур-Ялама, как и во всем Среднем Каспии – 197 видов и подвидов животных орга</w:t>
      </w:r>
      <w:r w:rsidRPr="0088780C">
        <w:rPr>
          <w:snapToGrid w:val="0"/>
          <w:kern w:val="22"/>
          <w:szCs w:val="22"/>
          <w:lang w:val="ru-RU"/>
        </w:rPr>
        <w:softHyphen/>
        <w:t>низмов, из которых инфузории – 112 видов, кишечнополостные – 1, коловратки – 9, ветви</w:t>
      </w:r>
      <w:r w:rsidRPr="0088780C">
        <w:rPr>
          <w:snapToGrid w:val="0"/>
          <w:kern w:val="22"/>
          <w:szCs w:val="22"/>
          <w:lang w:val="ru-RU"/>
        </w:rPr>
        <w:softHyphen/>
        <w:t>стоусые рачки – 38, веслоногие рачки – 10, мизиды – 6, кумовые – 5, амефиподы – 6, изо</w:t>
      </w:r>
      <w:r w:rsidRPr="0088780C">
        <w:rPr>
          <w:snapToGrid w:val="0"/>
          <w:kern w:val="22"/>
          <w:szCs w:val="22"/>
          <w:lang w:val="ru-RU"/>
        </w:rPr>
        <w:softHyphen/>
        <w:t>поды – 1, клещи – 1, гребневики – 1 и прочие (личинки донных организмов) (Гусейнова, 2013).</w:t>
      </w:r>
    </w:p>
    <w:p w14:paraId="68F1BD58" w14:textId="77777777" w:rsidR="00A876F3" w:rsidRPr="0088780C" w:rsidRDefault="00A876F3" w:rsidP="002B2917">
      <w:pPr>
        <w:suppressLineNumbers/>
        <w:suppressAutoHyphens/>
        <w:kinsoku w:val="0"/>
        <w:overflowPunct w:val="0"/>
        <w:autoSpaceDE w:val="0"/>
        <w:autoSpaceDN w:val="0"/>
        <w:spacing w:after="120"/>
        <w:rPr>
          <w:snapToGrid w:val="0"/>
          <w:spacing w:val="-2"/>
          <w:kern w:val="22"/>
          <w:szCs w:val="22"/>
          <w:lang w:val="ru-RU"/>
        </w:rPr>
      </w:pPr>
      <w:r w:rsidRPr="0088780C">
        <w:rPr>
          <w:rFonts w:eastAsia="MS Mincho"/>
          <w:b/>
          <w:snapToGrid w:val="0"/>
          <w:spacing w:val="-2"/>
          <w:kern w:val="22"/>
          <w:szCs w:val="22"/>
          <w:lang w:val="ru-RU"/>
        </w:rPr>
        <w:t>Бентос</w:t>
      </w:r>
      <w:r w:rsidRPr="0088780C">
        <w:rPr>
          <w:rFonts w:eastAsia="MS Mincho"/>
          <w:snapToGrid w:val="0"/>
          <w:spacing w:val="-2"/>
          <w:kern w:val="22"/>
          <w:szCs w:val="22"/>
          <w:lang w:val="ru-RU"/>
        </w:rPr>
        <w:t xml:space="preserve">. </w:t>
      </w:r>
      <w:r w:rsidRPr="0088780C">
        <w:rPr>
          <w:snapToGrid w:val="0"/>
          <w:spacing w:val="-2"/>
          <w:kern w:val="22"/>
          <w:szCs w:val="22"/>
          <w:lang w:val="ru-RU"/>
        </w:rPr>
        <w:t>Из 380 видов макрозообентоса (донных животных), обитающих в Каспийском море, в Среднем Каспии представлено 356 видов. Среди них преобладают виды автохтонного каспийского ком</w:t>
      </w:r>
      <w:r w:rsidRPr="0088780C">
        <w:rPr>
          <w:snapToGrid w:val="0"/>
          <w:spacing w:val="-2"/>
          <w:kern w:val="22"/>
          <w:szCs w:val="22"/>
          <w:lang w:val="ru-RU"/>
        </w:rPr>
        <w:softHyphen/>
        <w:t>плекса (287 видов), представляю</w:t>
      </w:r>
      <w:r w:rsidRPr="0088780C">
        <w:rPr>
          <w:snapToGrid w:val="0"/>
          <w:spacing w:val="-2"/>
          <w:kern w:val="22"/>
          <w:szCs w:val="22"/>
          <w:lang w:val="ru-RU"/>
        </w:rPr>
        <w:softHyphen/>
        <w:t>щие собой остатки морской третичной фауны, претерпевшей многократные изменения гидро</w:t>
      </w:r>
      <w:r w:rsidRPr="0088780C">
        <w:rPr>
          <w:snapToGrid w:val="0"/>
          <w:spacing w:val="-2"/>
          <w:kern w:val="22"/>
          <w:szCs w:val="22"/>
          <w:lang w:val="ru-RU"/>
        </w:rPr>
        <w:softHyphen/>
        <w:t>логического режима водоема. Видовое разнообразие и био</w:t>
      </w:r>
      <w:r w:rsidRPr="0088780C">
        <w:rPr>
          <w:snapToGrid w:val="0"/>
          <w:spacing w:val="-2"/>
          <w:kern w:val="22"/>
          <w:szCs w:val="22"/>
          <w:lang w:val="ru-RU"/>
        </w:rPr>
        <w:softHyphen/>
        <w:t xml:space="preserve">масса макробентической фауны значительно уменьшается с увеличением глубины. Максимальные плотность и биомасса макробентоса наблюдаются в западном, а минимальные – в восточном направлении (Карпинский, 2002). </w:t>
      </w:r>
      <w:r w:rsidRPr="0088780C">
        <w:rPr>
          <w:rFonts w:eastAsia="MS Mincho"/>
          <w:snapToGrid w:val="0"/>
          <w:spacing w:val="-2"/>
          <w:kern w:val="22"/>
          <w:szCs w:val="22"/>
          <w:lang w:val="ru-RU"/>
        </w:rPr>
        <w:t>В составе макрозообентоса дагестанской части EBSA указывается около 45 видов, семь из которых приходится на долю вселенцев из Азово-Черноморского бассейна. Биомасса бентоса достигает достаточно высоких значений (более 100 г/ м3), что создает хорошую кормовую базу для бентосоядных рыб, включая осетровых (Гусейнова, 2013).</w:t>
      </w:r>
    </w:p>
    <w:p w14:paraId="1CF9CFBC" w14:textId="71A1B77C" w:rsidR="00A876F3" w:rsidRPr="0088780C" w:rsidRDefault="00A876F3" w:rsidP="002B2917">
      <w:pPr>
        <w:suppressLineNumbers/>
        <w:suppressAutoHyphens/>
        <w:kinsoku w:val="0"/>
        <w:overflowPunct w:val="0"/>
        <w:autoSpaceDE w:val="0"/>
        <w:autoSpaceDN w:val="0"/>
        <w:spacing w:after="120"/>
        <w:rPr>
          <w:snapToGrid w:val="0"/>
          <w:kern w:val="22"/>
          <w:szCs w:val="22"/>
          <w:lang w:val="en-US"/>
        </w:rPr>
      </w:pPr>
      <w:r w:rsidRPr="0088780C">
        <w:rPr>
          <w:b/>
          <w:snapToGrid w:val="0"/>
          <w:kern w:val="22"/>
          <w:szCs w:val="22"/>
          <w:lang w:val="ru-RU"/>
        </w:rPr>
        <w:t>Ихтиофауна</w:t>
      </w:r>
      <w:r w:rsidR="00AA75EE" w:rsidRPr="0088780C">
        <w:rPr>
          <w:snapToGrid w:val="0"/>
          <w:kern w:val="22"/>
          <w:szCs w:val="22"/>
          <w:lang w:val="ru-RU"/>
        </w:rPr>
        <w:t xml:space="preserve">. </w:t>
      </w:r>
      <w:r w:rsidRPr="0088780C">
        <w:rPr>
          <w:snapToGrid w:val="0"/>
          <w:kern w:val="22"/>
          <w:szCs w:val="22"/>
          <w:lang w:val="ru-RU"/>
        </w:rPr>
        <w:t>Морской участок EBSA Самур-Ялама имеет важное зна</w:t>
      </w:r>
      <w:r w:rsidRPr="0088780C">
        <w:rPr>
          <w:snapToGrid w:val="0"/>
          <w:kern w:val="22"/>
          <w:szCs w:val="22"/>
          <w:lang w:val="ru-RU"/>
        </w:rPr>
        <w:softHyphen/>
        <w:t>чение для зимующих и нагуливающихся здесь рыб, а также охватывает уча</w:t>
      </w:r>
      <w:r w:rsidRPr="0088780C">
        <w:rPr>
          <w:snapToGrid w:val="0"/>
          <w:kern w:val="22"/>
          <w:szCs w:val="22"/>
          <w:lang w:val="ru-RU"/>
        </w:rPr>
        <w:softHyphen/>
        <w:t>стки миграцион</w:t>
      </w:r>
      <w:r w:rsidRPr="0088780C">
        <w:rPr>
          <w:snapToGrid w:val="0"/>
          <w:kern w:val="22"/>
          <w:szCs w:val="22"/>
          <w:lang w:val="ru-RU"/>
        </w:rPr>
        <w:softHyphen/>
        <w:t>ных путей проходных и морских видов рыб. Для сравнительно небольшого участка заказника «Самурский» с учетом нижней части реки указывается 60 видов рыб, включая много каспийских эндемиков (Бархалов, Рабаданалиев, 2014). По количеству форм (видов и подвидов) преобладают рыбы из семейств сельдевых, карповых и бычковых, которые в сово</w:t>
      </w:r>
      <w:r w:rsidRPr="0088780C">
        <w:rPr>
          <w:snapToGrid w:val="0"/>
          <w:kern w:val="22"/>
          <w:szCs w:val="22"/>
          <w:lang w:val="ru-RU"/>
        </w:rPr>
        <w:softHyphen/>
        <w:t>купности составляют около 75 % всех видов рыб участка. Из них все осетровые рассматриваются в Красном списке IUCN как critically endangered; в Красную книгу Азербай</w:t>
      </w:r>
      <w:r w:rsidRPr="0088780C">
        <w:rPr>
          <w:snapToGrid w:val="0"/>
          <w:kern w:val="22"/>
          <w:szCs w:val="22"/>
          <w:lang w:val="ru-RU"/>
        </w:rPr>
        <w:softHyphen/>
        <w:t>джана и России вне</w:t>
      </w:r>
      <w:r w:rsidRPr="0088780C">
        <w:rPr>
          <w:snapToGrid w:val="0"/>
          <w:kern w:val="22"/>
          <w:szCs w:val="22"/>
          <w:lang w:val="ru-RU"/>
        </w:rPr>
        <w:softHyphen/>
        <w:t xml:space="preserve">сены шип </w:t>
      </w:r>
      <w:r w:rsidRPr="0088780C">
        <w:rPr>
          <w:i/>
          <w:snapToGrid w:val="0"/>
          <w:kern w:val="22"/>
          <w:szCs w:val="22"/>
          <w:lang w:val="ru-RU"/>
        </w:rPr>
        <w:t>Acipenser nudiventris derjavini</w:t>
      </w:r>
      <w:r w:rsidRPr="0088780C">
        <w:rPr>
          <w:snapToGrid w:val="0"/>
          <w:kern w:val="22"/>
          <w:szCs w:val="22"/>
          <w:lang w:val="ru-RU"/>
        </w:rPr>
        <w:t>, в Красную Книгу России – каспийская минога (</w:t>
      </w:r>
      <w:r w:rsidRPr="0088780C">
        <w:rPr>
          <w:i/>
          <w:snapToGrid w:val="0"/>
          <w:kern w:val="22"/>
          <w:szCs w:val="22"/>
          <w:lang w:val="ru-RU"/>
        </w:rPr>
        <w:t>Caspiomyzon wagneri</w:t>
      </w:r>
      <w:r w:rsidRPr="0088780C">
        <w:rPr>
          <w:snapToGrid w:val="0"/>
          <w:kern w:val="22"/>
          <w:szCs w:val="22"/>
          <w:lang w:val="ru-RU"/>
        </w:rPr>
        <w:t xml:space="preserve">), а в Красную Книгу Азербайджана кроме того – каспийский лосось </w:t>
      </w:r>
      <w:r w:rsidRPr="0088780C">
        <w:rPr>
          <w:i/>
          <w:snapToGrid w:val="0"/>
          <w:kern w:val="22"/>
          <w:szCs w:val="22"/>
          <w:lang w:val="ru-RU"/>
        </w:rPr>
        <w:t>Salmo сaspium</w:t>
      </w:r>
      <w:r w:rsidR="002B2917" w:rsidRPr="0088780C">
        <w:rPr>
          <w:snapToGrid w:val="0"/>
          <w:kern w:val="22"/>
          <w:szCs w:val="22"/>
          <w:lang w:val="ru-RU"/>
        </w:rPr>
        <w:t>.</w:t>
      </w:r>
    </w:p>
    <w:p w14:paraId="36A30EF4" w14:textId="32112B26" w:rsidR="00A876F3" w:rsidRPr="0088780C" w:rsidRDefault="00A876F3" w:rsidP="002B2917">
      <w:pPr>
        <w:suppressLineNumbers/>
        <w:suppressAutoHyphens/>
        <w:kinsoku w:val="0"/>
        <w:overflowPunct w:val="0"/>
        <w:autoSpaceDE w:val="0"/>
        <w:autoSpaceDN w:val="0"/>
        <w:spacing w:after="120"/>
        <w:rPr>
          <w:snapToGrid w:val="0"/>
          <w:kern w:val="22"/>
          <w:szCs w:val="22"/>
          <w:lang w:val="en-US"/>
        </w:rPr>
      </w:pPr>
      <w:r w:rsidRPr="0088780C">
        <w:rPr>
          <w:b/>
          <w:snapToGrid w:val="0"/>
          <w:kern w:val="22"/>
          <w:szCs w:val="22"/>
          <w:lang w:val="ru-RU"/>
        </w:rPr>
        <w:t>Морские млекопитающие и птицы</w:t>
      </w:r>
      <w:r w:rsidRPr="0088780C">
        <w:rPr>
          <w:snapToGrid w:val="0"/>
          <w:kern w:val="22"/>
          <w:szCs w:val="22"/>
          <w:lang w:val="ru-RU"/>
        </w:rPr>
        <w:t>. На морском участке EBSA Самур-Ялама тюлени обитают круглый год, но их численность относительно возрастает в основном во время сезонн</w:t>
      </w:r>
      <w:r w:rsidR="002B2917" w:rsidRPr="0088780C">
        <w:rPr>
          <w:snapToGrid w:val="0"/>
          <w:kern w:val="22"/>
          <w:szCs w:val="22"/>
          <w:lang w:val="ru-RU"/>
        </w:rPr>
        <w:t>ых миграций весной и осенью ().</w:t>
      </w:r>
    </w:p>
    <w:p w14:paraId="28816E33" w14:textId="71E26A8D" w:rsidR="00A876F3" w:rsidRPr="0088780C" w:rsidRDefault="00A876F3" w:rsidP="002B2917">
      <w:pPr>
        <w:suppressLineNumbers/>
        <w:suppressAutoHyphens/>
        <w:kinsoku w:val="0"/>
        <w:overflowPunct w:val="0"/>
        <w:autoSpaceDE w:val="0"/>
        <w:autoSpaceDN w:val="0"/>
        <w:spacing w:after="120"/>
        <w:rPr>
          <w:snapToGrid w:val="0"/>
          <w:kern w:val="22"/>
          <w:szCs w:val="22"/>
          <w:lang w:val="en-US"/>
        </w:rPr>
      </w:pPr>
      <w:r w:rsidRPr="0088780C">
        <w:rPr>
          <w:snapToGrid w:val="0"/>
          <w:kern w:val="22"/>
          <w:szCs w:val="22"/>
          <w:lang w:val="ru-RU"/>
        </w:rPr>
        <w:t>На морском участке Самур-Ялама и прилегающей к ней прибрежной территории представ</w:t>
      </w:r>
      <w:r w:rsidRPr="0088780C">
        <w:rPr>
          <w:snapToGrid w:val="0"/>
          <w:kern w:val="22"/>
          <w:szCs w:val="22"/>
          <w:lang w:val="ru-RU"/>
        </w:rPr>
        <w:softHyphen/>
        <w:t>лено примерно 80 видами птиц, имеющими смешанный характер пребывания (более 70 ви</w:t>
      </w:r>
      <w:r w:rsidRPr="0088780C">
        <w:rPr>
          <w:snapToGrid w:val="0"/>
          <w:kern w:val="22"/>
          <w:szCs w:val="22"/>
          <w:lang w:val="ru-RU"/>
        </w:rPr>
        <w:softHyphen/>
        <w:t>дов пролетные, 15 видов – гнездящиеся, 2 – оседлые и 9 – зимующие). В различные сезоны года здесь обитают редкие и находящиеся под угрозой исчезновения виды птиц, из ко</w:t>
      </w:r>
      <w:r w:rsidRPr="0088780C">
        <w:rPr>
          <w:snapToGrid w:val="0"/>
          <w:kern w:val="22"/>
          <w:szCs w:val="22"/>
          <w:lang w:val="ru-RU"/>
        </w:rPr>
        <w:softHyphen/>
        <w:t>торых 12 занесены в Красную Книгу Азербайджана и 10 – в Красный спиоск IUCN. Очень большое скопление зимую</w:t>
      </w:r>
      <w:r w:rsidRPr="0088780C">
        <w:rPr>
          <w:snapToGrid w:val="0"/>
          <w:kern w:val="22"/>
          <w:szCs w:val="22"/>
          <w:lang w:val="ru-RU"/>
        </w:rPr>
        <w:softHyphen/>
        <w:t>щих птиц сосредоточено на оз.Агз</w:t>
      </w:r>
      <w:r w:rsidR="002B2917" w:rsidRPr="0088780C">
        <w:rPr>
          <w:snapToGrid w:val="0"/>
          <w:kern w:val="22"/>
          <w:szCs w:val="22"/>
          <w:lang w:val="ru-RU"/>
        </w:rPr>
        <w:t>ыбир (Дивичинский лиман) (REF).</w:t>
      </w:r>
    </w:p>
    <w:p w14:paraId="086D5FEA" w14:textId="77777777" w:rsidR="00A876F3" w:rsidRPr="0088780C" w:rsidRDefault="00A876F3" w:rsidP="001013AF">
      <w:pPr>
        <w:suppressLineNumbers/>
        <w:suppressAutoHyphens/>
        <w:kinsoku w:val="0"/>
        <w:overflowPunct w:val="0"/>
        <w:autoSpaceDE w:val="0"/>
        <w:autoSpaceDN w:val="0"/>
        <w:rPr>
          <w:snapToGrid w:val="0"/>
          <w:kern w:val="22"/>
          <w:szCs w:val="22"/>
          <w:lang w:val="ru-RU"/>
        </w:rPr>
      </w:pPr>
      <w:r w:rsidRPr="0088780C">
        <w:rPr>
          <w:snapToGrid w:val="0"/>
          <w:kern w:val="22"/>
          <w:szCs w:val="22"/>
          <w:lang w:val="ru-RU"/>
        </w:rPr>
        <w:t>Через западное побережье Среднего Каспия проходят основные миграционные пути многих видов водоплавающих и болотных птиц. Осенний пролет птиц вдоль Каспийского побережья более длительный и продолжается в зависимости от погодных усло</w:t>
      </w:r>
      <w:r w:rsidRPr="0088780C">
        <w:rPr>
          <w:snapToGrid w:val="0"/>
          <w:kern w:val="22"/>
          <w:szCs w:val="22"/>
          <w:lang w:val="ru-RU"/>
        </w:rPr>
        <w:softHyphen/>
        <w:t>вий пять меся</w:t>
      </w:r>
      <w:r w:rsidRPr="0088780C">
        <w:rPr>
          <w:snapToGrid w:val="0"/>
          <w:kern w:val="22"/>
          <w:szCs w:val="22"/>
          <w:lang w:val="ru-RU"/>
        </w:rPr>
        <w:softHyphen/>
        <w:t>цев – с августа до декабря. Интенсивный пролет с максимальной численностью птиц проис</w:t>
      </w:r>
      <w:r w:rsidRPr="0088780C">
        <w:rPr>
          <w:snapToGrid w:val="0"/>
          <w:kern w:val="22"/>
          <w:szCs w:val="22"/>
          <w:lang w:val="ru-RU"/>
        </w:rPr>
        <w:softHyphen/>
        <w:t>ходит в течение октября и ноября. Весенний пролет птиц охватывает период с февраля по ап</w:t>
      </w:r>
      <w:r w:rsidRPr="0088780C">
        <w:rPr>
          <w:snapToGrid w:val="0"/>
          <w:kern w:val="22"/>
          <w:szCs w:val="22"/>
          <w:lang w:val="ru-RU"/>
        </w:rPr>
        <w:softHyphen/>
        <w:t>рель, с максимальной численностью птиц с февраля по март. Интенсивность весеннего про</w:t>
      </w:r>
      <w:r w:rsidRPr="0088780C">
        <w:rPr>
          <w:snapToGrid w:val="0"/>
          <w:kern w:val="22"/>
          <w:szCs w:val="22"/>
          <w:lang w:val="ru-RU"/>
        </w:rPr>
        <w:softHyphen/>
        <w:t>лета птиц затухает в апреле. На весеннем и осеннем пролете в устье р. Самур может концентрироваться от полумиллиона до миллиона водоплавающих птиц (Джамирзоев, Букреев, 2009).</w:t>
      </w:r>
    </w:p>
    <w:p w14:paraId="67054F2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1B96487"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50526A15" w14:textId="186260C6"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shelf area off the mouth of the River Samur retains many features of the natural state of the marine ecosystem. Two branches of the river delta are diverted from the lower part of Samur: to the north (Samur-Dagestan) and to the south (Samur-Apsheronsky), but this does not have much influence on the river discharge, which remains the main supplier of fresh water and terrigenous material in the middle part of the western coast of the Caspian. The area is currently devoted mainly to agriculture on the coast and fisheries (Djamirzoev and Bukreev, 2009; Zhindarev et al., 2013). The main seaports and oil production areas are located far beyond the region. Pollution from terrestrial sources, carried to the sea bythe River Samur, is much less than what is delivered by the rivers of the northern Caspian, and the coastal waters of the south of Dagestan are estimated as </w:t>
      </w:r>
      <w:r w:rsidR="00D8482D" w:rsidRPr="0088780C">
        <w:rPr>
          <w:snapToGrid w:val="0"/>
          <w:kern w:val="22"/>
          <w:szCs w:val="22"/>
        </w:rPr>
        <w:t>“</w:t>
      </w:r>
      <w:r w:rsidRPr="0088780C">
        <w:rPr>
          <w:snapToGrid w:val="0"/>
          <w:kern w:val="22"/>
          <w:szCs w:val="22"/>
        </w:rPr>
        <w:t>moderately polluted</w:t>
      </w:r>
      <w:r w:rsidR="00D8482D" w:rsidRPr="0088780C">
        <w:rPr>
          <w:snapToGrid w:val="0"/>
          <w:kern w:val="22"/>
          <w:szCs w:val="22"/>
        </w:rPr>
        <w:t>”</w:t>
      </w:r>
      <w:r w:rsidRPr="0088780C">
        <w:rPr>
          <w:snapToGrid w:val="0"/>
          <w:kern w:val="22"/>
          <w:szCs w:val="22"/>
        </w:rPr>
        <w:t xml:space="preserve"> or even </w:t>
      </w:r>
      <w:r w:rsidR="00D8482D" w:rsidRPr="0088780C">
        <w:rPr>
          <w:snapToGrid w:val="0"/>
          <w:kern w:val="22"/>
          <w:szCs w:val="22"/>
        </w:rPr>
        <w:t>“</w:t>
      </w:r>
      <w:r w:rsidRPr="0088780C">
        <w:rPr>
          <w:snapToGrid w:val="0"/>
          <w:kern w:val="22"/>
          <w:szCs w:val="22"/>
        </w:rPr>
        <w:t>clean</w:t>
      </w:r>
      <w:r w:rsidR="00D8482D" w:rsidRPr="0088780C">
        <w:rPr>
          <w:snapToGrid w:val="0"/>
          <w:kern w:val="22"/>
          <w:szCs w:val="22"/>
        </w:rPr>
        <w:t>”</w:t>
      </w:r>
      <w:r w:rsidRPr="0088780C">
        <w:rPr>
          <w:snapToGrid w:val="0"/>
          <w:kern w:val="22"/>
          <w:szCs w:val="22"/>
        </w:rPr>
        <w:t xml:space="preserve"> (Guseynova, 2013). Marine fishing is limited in comparison with other areas due to difficult hydrometeorological conditions, and passing through the state border between Russia and Azerbaijan creates the prerequisites for regular control of sturgeon poaching. At the same time, the marine ecosystem in the area under consideration, as elsewhere in the Middle Caspian, has undergone a significant change due to the introduction of invasive alien species that created new communities of macrobenthos, in particular the dominance of such attached mollusks as </w:t>
      </w:r>
      <w:r w:rsidRPr="0088780C">
        <w:rPr>
          <w:i/>
          <w:snapToGrid w:val="0"/>
          <w:kern w:val="22"/>
          <w:szCs w:val="22"/>
        </w:rPr>
        <w:t>Mytilaster lineatus</w:t>
      </w:r>
      <w:r w:rsidRPr="0088780C">
        <w:rPr>
          <w:snapToGrid w:val="0"/>
          <w:kern w:val="22"/>
          <w:szCs w:val="22"/>
        </w:rPr>
        <w:t xml:space="preserve">, </w:t>
      </w:r>
      <w:r w:rsidRPr="0088780C">
        <w:rPr>
          <w:i/>
          <w:snapToGrid w:val="0"/>
          <w:kern w:val="22"/>
          <w:szCs w:val="22"/>
        </w:rPr>
        <w:t>Abra segmenta</w:t>
      </w:r>
      <w:r w:rsidRPr="0088780C">
        <w:rPr>
          <w:snapToGrid w:val="0"/>
          <w:kern w:val="22"/>
          <w:szCs w:val="22"/>
        </w:rPr>
        <w:t xml:space="preserve">, the barancle </w:t>
      </w:r>
      <w:r w:rsidRPr="0088780C">
        <w:rPr>
          <w:i/>
          <w:snapToGrid w:val="0"/>
          <w:kern w:val="22"/>
          <w:szCs w:val="22"/>
        </w:rPr>
        <w:t>Balanus improvisus</w:t>
      </w:r>
      <w:r w:rsidRPr="0088780C">
        <w:rPr>
          <w:snapToGrid w:val="0"/>
          <w:kern w:val="22"/>
          <w:szCs w:val="22"/>
        </w:rPr>
        <w:t xml:space="preserve"> (Karpinsky, 2002, 2010; Guseynova, 2013). In the late 1990ss to the early 2000's, an invasion of the ctenophore </w:t>
      </w:r>
      <w:r w:rsidRPr="0088780C">
        <w:rPr>
          <w:i/>
          <w:snapToGrid w:val="0"/>
          <w:kern w:val="22"/>
          <w:szCs w:val="22"/>
        </w:rPr>
        <w:t>Mnemiopsis leydi</w:t>
      </w:r>
      <w:r w:rsidRPr="0088780C">
        <w:rPr>
          <w:snapToGrid w:val="0"/>
          <w:kern w:val="22"/>
          <w:szCs w:val="22"/>
        </w:rPr>
        <w:t xml:space="preserve"> (Guseynova, 2013), which entered the Caspian Sea from ballast water, had a significant impact on plankton communities and planktonic larvae of fish and benthic invertebrates . It can be assumed that invasions of alien species will continue to be an important factor affecting ecosystems in the region.</w:t>
      </w:r>
    </w:p>
    <w:p w14:paraId="04BC75B5"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4CFC5E92" w14:textId="4706E3EF" w:rsidR="00A876F3" w:rsidRPr="0088780C" w:rsidRDefault="00A876F3" w:rsidP="001013AF">
      <w:pPr>
        <w:suppressLineNumbers/>
        <w:suppressAutoHyphens/>
        <w:kinsoku w:val="0"/>
        <w:overflowPunct w:val="0"/>
        <w:autoSpaceDE w:val="0"/>
        <w:autoSpaceDN w:val="0"/>
        <w:rPr>
          <w:snapToGrid w:val="0"/>
          <w:kern w:val="22"/>
          <w:szCs w:val="22"/>
          <w:lang w:val="en-US"/>
        </w:rPr>
      </w:pPr>
      <w:r w:rsidRPr="0088780C">
        <w:rPr>
          <w:snapToGrid w:val="0"/>
          <w:kern w:val="22"/>
          <w:szCs w:val="22"/>
          <w:lang w:val="ru-RU"/>
        </w:rPr>
        <w:t xml:space="preserve">Шельфовый участок в районе устья р. Самур сохраняет много черт естественного состояния морской экосистемы. От нижнего участка Самура отведены два канала - на север (Самуро-Дагестанский) и на юг (Самуро-Апшеронский), но это не оказывает большого влияния на сток реки, остающейся основным поставщиком пресной воды и терригенного материала средней части западного побережья Каспия. Хозяйственная деятельность пока ограничивается, в основном, сельским хозяйством на побережье и рыболовством (Джамирзоев, Букреев, 2009; Жиндарев и др., 2013). Основные морские порты и районы добычи нефти расположены далеко за пределами района. Загрязнение от наземных источников, выносимое в море р. Самур существенно меньше того, что доставляется реками Северного Каспия, а прибрежные воды юга Дагестана оцениваются как «умеренно загрязненные» или «чистые»; (Гусейнова, 2013). Морское рыболовство ограничено по сравнению с другими районами из-за сложных гидрометеорологических условий, а прохождение в районе государственной границы между Россией и Азербайджаном создает предпосылки для постоянного эффективного контроля браконьерства осетровых рыб. В то же время морская экосистема на рассматриваемом участке, как и повсеместно в Среднем Каспии, подверглась значительному изменению за счет интродукции чужеродных видов, создавших новые сообщества макробентоса, в частности с доминированием таких прикрепленных и малоподвижных средообразующих </w:t>
      </w:r>
      <w:r w:rsidRPr="0088780C">
        <w:rPr>
          <w:i/>
          <w:snapToGrid w:val="0"/>
          <w:kern w:val="22"/>
          <w:szCs w:val="22"/>
          <w:lang w:val="ru-RU"/>
        </w:rPr>
        <w:t>Mytilaster lineatus</w:t>
      </w:r>
      <w:r w:rsidRPr="0088780C">
        <w:rPr>
          <w:snapToGrid w:val="0"/>
          <w:kern w:val="22"/>
          <w:szCs w:val="22"/>
          <w:lang w:val="ru-RU"/>
        </w:rPr>
        <w:t xml:space="preserve">, </w:t>
      </w:r>
      <w:r w:rsidRPr="0088780C">
        <w:rPr>
          <w:i/>
          <w:snapToGrid w:val="0"/>
          <w:kern w:val="22"/>
          <w:szCs w:val="22"/>
          <w:lang w:val="ru-RU"/>
        </w:rPr>
        <w:t>Abra segmenta</w:t>
      </w:r>
      <w:r w:rsidRPr="0088780C">
        <w:rPr>
          <w:snapToGrid w:val="0"/>
          <w:kern w:val="22"/>
          <w:szCs w:val="22"/>
          <w:lang w:val="ru-RU"/>
        </w:rPr>
        <w:t xml:space="preserve">, </w:t>
      </w:r>
      <w:r w:rsidRPr="0088780C">
        <w:rPr>
          <w:i/>
          <w:snapToGrid w:val="0"/>
          <w:kern w:val="22"/>
          <w:szCs w:val="22"/>
          <w:lang w:val="ru-RU"/>
        </w:rPr>
        <w:t>Balanus improvisus</w:t>
      </w:r>
      <w:r w:rsidRPr="0088780C">
        <w:rPr>
          <w:snapToGrid w:val="0"/>
          <w:kern w:val="22"/>
          <w:szCs w:val="22"/>
          <w:lang w:val="ru-RU"/>
        </w:rPr>
        <w:t xml:space="preserve"> (Карпинский, 2002; Гусейнова, 2013). В конце 1990-х – начале 2000-х гг. значительное воздействие на планктонные сообщества и личиночные гемипопуляции рыб и донных беспозвоночных было оказано вселившимся в Каспийское море с балластными водами гребневиком </w:t>
      </w:r>
      <w:r w:rsidRPr="0088780C">
        <w:rPr>
          <w:i/>
          <w:snapToGrid w:val="0"/>
          <w:kern w:val="22"/>
          <w:szCs w:val="22"/>
          <w:lang w:val="ru-RU"/>
        </w:rPr>
        <w:t>Mnemiopsis leydi</w:t>
      </w:r>
      <w:r w:rsidRPr="0088780C">
        <w:rPr>
          <w:snapToGrid w:val="0"/>
          <w:kern w:val="22"/>
          <w:szCs w:val="22"/>
          <w:lang w:val="ru-RU"/>
        </w:rPr>
        <w:t xml:space="preserve"> (Гусейнова, 2013). Можно предполагать, что инвазии чужеродных видов и в дальнейшем останутся существенным фактором,</w:t>
      </w:r>
      <w:r w:rsidR="00AA75EE" w:rsidRPr="0088780C">
        <w:rPr>
          <w:snapToGrid w:val="0"/>
          <w:kern w:val="22"/>
          <w:szCs w:val="22"/>
          <w:lang w:val="ru-RU"/>
        </w:rPr>
        <w:t xml:space="preserve"> влияющим на экосистемы района.</w:t>
      </w:r>
    </w:p>
    <w:p w14:paraId="08C4DB43"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0AD34BB" w14:textId="6B1AF36C" w:rsidR="00A876F3" w:rsidRPr="0088780C" w:rsidRDefault="00A876F3" w:rsidP="00AA75EE">
      <w:pPr>
        <w:keepNext/>
        <w:suppressLineNumbers/>
        <w:suppressAutoHyphens/>
        <w:kinsoku w:val="0"/>
        <w:overflowPunct w:val="0"/>
        <w:autoSpaceDE w:val="0"/>
        <w:autoSpaceDN w:val="0"/>
        <w:rPr>
          <w:rFonts w:eastAsia="MS Mincho"/>
          <w:b/>
          <w:snapToGrid w:val="0"/>
          <w:kern w:val="22"/>
          <w:szCs w:val="22"/>
        </w:rPr>
      </w:pPr>
      <w:r w:rsidRPr="0088780C">
        <w:rPr>
          <w:rFonts w:eastAsia="MS Mincho"/>
          <w:bCs/>
          <w:snapToGrid w:val="0"/>
          <w:kern w:val="22"/>
          <w:szCs w:val="22"/>
          <w:u w:val="single"/>
        </w:rPr>
        <w:t>Specially protected areas</w:t>
      </w:r>
    </w:p>
    <w:p w14:paraId="3FCCE8CA" w14:textId="71481629"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На территории России в районе впадающего в море рукава дельты Самура Малый Самур существует государственный федеральный заказник Самурский, находящийся под управлением государственного природного заповедника Дагестанский и включающий морскую акваторию до изобаты 20 м (на расстоянии 500 м от береговой линии). Существует проект создания национального парка на базе заказника с</w:t>
      </w:r>
      <w:r w:rsidR="00AA75EE" w:rsidRPr="0088780C">
        <w:rPr>
          <w:rFonts w:eastAsia="MS Mincho"/>
          <w:snapToGrid w:val="0"/>
          <w:kern w:val="22"/>
          <w:szCs w:val="22"/>
        </w:rPr>
        <w:t xml:space="preserve"> сохранением морской акватории.</w:t>
      </w:r>
    </w:p>
    <w:p w14:paraId="330B6BB8"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58303F9E" w14:textId="5A7A3D5A"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w:t>
      </w:r>
      <w:r w:rsidR="00AA75EE" w:rsidRPr="0088780C">
        <w:rPr>
          <w:rFonts w:eastAsia="MS Mincho"/>
          <w:b/>
          <w:snapToGrid w:val="0"/>
          <w:kern w:val="22"/>
          <w:szCs w:val="22"/>
        </w:rPr>
        <w:t xml:space="preserve"> area against CBD EBSA Criteria</w:t>
      </w:r>
    </w:p>
    <w:p w14:paraId="4E057F11"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52B08008" w14:textId="77777777" w:rsidTr="006972AD">
        <w:tc>
          <w:tcPr>
            <w:tcW w:w="779" w:type="pct"/>
            <w:vMerge w:val="restart"/>
            <w:shd w:val="clear" w:color="auto" w:fill="auto"/>
          </w:tcPr>
          <w:p w14:paraId="43E893E1" w14:textId="77777777" w:rsidR="00A876F3" w:rsidRPr="0088780C" w:rsidRDefault="00A876F3" w:rsidP="00AA75EE">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4C7DFD5F" w14:textId="77777777" w:rsidR="00A876F3" w:rsidRPr="0088780C" w:rsidRDefault="00A876F3" w:rsidP="00AA75EE">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186E0F2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5148761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63E6C37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26E5A32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44918F4D" w14:textId="77777777" w:rsidTr="006972AD">
        <w:tc>
          <w:tcPr>
            <w:tcW w:w="779" w:type="pct"/>
            <w:vMerge/>
            <w:shd w:val="clear" w:color="auto" w:fill="auto"/>
          </w:tcPr>
          <w:p w14:paraId="582C989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41E678A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41AE6C9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5B87B35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7FF8FBE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0DE5D10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59E5477A" w14:textId="77777777" w:rsidTr="006972AD">
        <w:tc>
          <w:tcPr>
            <w:tcW w:w="779" w:type="pct"/>
            <w:shd w:val="clear" w:color="auto" w:fill="auto"/>
          </w:tcPr>
          <w:p w14:paraId="1F3363E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118D449B" w14:textId="2A4AE3DC"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738DA90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1C9B412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B1F182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X</w:t>
            </w:r>
          </w:p>
        </w:tc>
        <w:tc>
          <w:tcPr>
            <w:tcW w:w="436" w:type="pct"/>
            <w:gridSpan w:val="2"/>
            <w:shd w:val="clear" w:color="auto" w:fill="auto"/>
          </w:tcPr>
          <w:p w14:paraId="42EEB01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58524257" w14:textId="77777777" w:rsidTr="006972AD">
        <w:tc>
          <w:tcPr>
            <w:tcW w:w="5000" w:type="pct"/>
            <w:gridSpan w:val="11"/>
            <w:shd w:val="clear" w:color="auto" w:fill="auto"/>
          </w:tcPr>
          <w:p w14:paraId="4BF40237"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6B05CB3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The area is remarkable for its bathymetric features, as it has a steep slope and a deep Derbent Depression located in close vicinity to the shore and marine currents that are relatively stable for the Caspian Sea (Zhindarev et al., 2013). These conditions make the area a unique interaction zone for fish populations from the north and the south of the Caspian Sea.</w:t>
            </w:r>
          </w:p>
        </w:tc>
      </w:tr>
      <w:tr w:rsidR="00A876F3" w:rsidRPr="0088780C" w14:paraId="1BF96BBF" w14:textId="77777777" w:rsidTr="006972AD">
        <w:tc>
          <w:tcPr>
            <w:tcW w:w="779" w:type="pct"/>
            <w:shd w:val="clear" w:color="auto" w:fill="auto"/>
          </w:tcPr>
          <w:p w14:paraId="66C7EE87" w14:textId="77777777" w:rsidR="00A876F3" w:rsidRPr="0088780C" w:rsidRDefault="00A876F3" w:rsidP="00AA75EE">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1F16929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4002E47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A030D0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218C6E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3B93463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2C7D48BC" w14:textId="77777777" w:rsidTr="006972AD">
        <w:tc>
          <w:tcPr>
            <w:tcW w:w="5000" w:type="pct"/>
            <w:gridSpan w:val="11"/>
            <w:shd w:val="clear" w:color="auto" w:fill="auto"/>
          </w:tcPr>
          <w:p w14:paraId="4AA747F7"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0E80B6C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spacing w:val="-2"/>
                <w:kern w:val="22"/>
                <w:szCs w:val="22"/>
              </w:rPr>
            </w:pPr>
            <w:r w:rsidRPr="0088780C">
              <w:rPr>
                <w:bCs/>
                <w:snapToGrid w:val="0"/>
                <w:spacing w:val="-2"/>
                <w:kern w:val="22"/>
                <w:szCs w:val="22"/>
              </w:rPr>
              <w:t>The area is important as a wintering and feeding ground and, especially as a migration route for fish, including such as Caspian clupeids (</w:t>
            </w:r>
            <w:r w:rsidRPr="0088780C">
              <w:rPr>
                <w:bCs/>
                <w:i/>
                <w:snapToGrid w:val="0"/>
                <w:spacing w:val="-2"/>
                <w:kern w:val="22"/>
                <w:szCs w:val="22"/>
              </w:rPr>
              <w:t>Clupeonella grimmi, Clupeonella delicatula caspia, Alosa brashnikovi brashnikovi, Alosa saposhnikovii, Alosa caspia caspia</w:t>
            </w:r>
            <w:r w:rsidRPr="0088780C">
              <w:rPr>
                <w:bCs/>
                <w:snapToGrid w:val="0"/>
                <w:spacing w:val="-2"/>
                <w:kern w:val="22"/>
                <w:szCs w:val="22"/>
              </w:rPr>
              <w:t>), kutum and sturgeons (</w:t>
            </w:r>
            <w:r w:rsidRPr="0088780C">
              <w:rPr>
                <w:rFonts w:eastAsia="MS Mincho"/>
                <w:bCs/>
                <w:snapToGrid w:val="0"/>
                <w:color w:val="000000"/>
                <w:spacing w:val="-2"/>
                <w:kern w:val="22"/>
                <w:szCs w:val="22"/>
              </w:rPr>
              <w:t xml:space="preserve">Ahundov, 2008; Ahundov et al. 2013; Ahundov et al. 2008; </w:t>
            </w:r>
            <w:r w:rsidRPr="0088780C">
              <w:rPr>
                <w:bCs/>
                <w:snapToGrid w:val="0"/>
                <w:spacing w:val="-2"/>
                <w:kern w:val="22"/>
                <w:szCs w:val="22"/>
              </w:rPr>
              <w:t>Barhalov et al., 2012</w:t>
            </w:r>
            <w:r w:rsidRPr="0088780C">
              <w:rPr>
                <w:rFonts w:eastAsia="MS Mincho"/>
                <w:bCs/>
                <w:snapToGrid w:val="0"/>
                <w:color w:val="000000"/>
                <w:spacing w:val="-2"/>
                <w:kern w:val="22"/>
                <w:szCs w:val="22"/>
              </w:rPr>
              <w:t>)</w:t>
            </w:r>
          </w:p>
          <w:p w14:paraId="7AF1E22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spacing w:val="-2"/>
                <w:kern w:val="22"/>
                <w:szCs w:val="22"/>
              </w:rPr>
              <w:t xml:space="preserve">The area is a critically important migration corridor and feeding ground for juveniles and adults of at least 20 species of fishes (Ahundov, 2008; Ahundov et al. 2013; Ahundov et al. 2008). Samur – Yalama and the adjacent coastal zone contain habitats for at least 80 species of waterfowl and associated with waterbirds (more than 70 migrating, species 15 nesting species, 2 resident species, 9 wintering species) </w:t>
            </w:r>
            <w:r w:rsidRPr="0088780C">
              <w:rPr>
                <w:bCs/>
                <w:snapToGrid w:val="0"/>
                <w:spacing w:val="-2"/>
                <w:kern w:val="22"/>
                <w:szCs w:val="22"/>
              </w:rPr>
              <w:t>(Dzhamirzoev and Bukreev, 2009)</w:t>
            </w:r>
            <w:r w:rsidRPr="0088780C">
              <w:rPr>
                <w:rFonts w:eastAsia="MS Mincho"/>
                <w:bCs/>
                <w:snapToGrid w:val="0"/>
                <w:color w:val="000000"/>
                <w:spacing w:val="-2"/>
                <w:kern w:val="22"/>
                <w:szCs w:val="22"/>
              </w:rPr>
              <w:t xml:space="preserve">. During the spring and autumn migrations the Samur mouth wetland harbours from 0.5 million to 1.0 million waterfowl; the area is of particular importance for the great cormorant </w:t>
            </w:r>
            <w:r w:rsidRPr="0088780C">
              <w:rPr>
                <w:bCs/>
                <w:snapToGrid w:val="0"/>
                <w:spacing w:val="-2"/>
                <w:kern w:val="22"/>
                <w:szCs w:val="22"/>
              </w:rPr>
              <w:t>(</w:t>
            </w:r>
            <w:r w:rsidRPr="0088780C">
              <w:rPr>
                <w:bCs/>
                <w:i/>
                <w:snapToGrid w:val="0"/>
                <w:spacing w:val="-2"/>
                <w:kern w:val="22"/>
                <w:szCs w:val="22"/>
              </w:rPr>
              <w:t>Phalacrocorax carbo</w:t>
            </w:r>
            <w:r w:rsidRPr="0088780C">
              <w:rPr>
                <w:bCs/>
                <w:snapToGrid w:val="0"/>
                <w:spacing w:val="-2"/>
                <w:kern w:val="22"/>
                <w:szCs w:val="22"/>
              </w:rPr>
              <w:t xml:space="preserve">) </w:t>
            </w:r>
            <w:r w:rsidRPr="0088780C">
              <w:rPr>
                <w:rFonts w:eastAsia="MS Mincho"/>
                <w:bCs/>
                <w:snapToGrid w:val="0"/>
                <w:color w:val="000000"/>
                <w:spacing w:val="-2"/>
                <w:kern w:val="22"/>
                <w:szCs w:val="22"/>
              </w:rPr>
              <w:t xml:space="preserve">and swans </w:t>
            </w:r>
            <w:r w:rsidRPr="0088780C">
              <w:rPr>
                <w:bCs/>
                <w:snapToGrid w:val="0"/>
                <w:spacing w:val="-2"/>
                <w:kern w:val="22"/>
                <w:szCs w:val="22"/>
              </w:rPr>
              <w:t>(</w:t>
            </w:r>
            <w:r w:rsidRPr="0088780C">
              <w:rPr>
                <w:bCs/>
                <w:i/>
                <w:snapToGrid w:val="0"/>
                <w:spacing w:val="-2"/>
                <w:kern w:val="22"/>
                <w:szCs w:val="22"/>
              </w:rPr>
              <w:t>Cygnys cygnys</w:t>
            </w:r>
            <w:r w:rsidRPr="0088780C">
              <w:rPr>
                <w:bCs/>
                <w:snapToGrid w:val="0"/>
                <w:spacing w:val="-2"/>
                <w:kern w:val="22"/>
                <w:szCs w:val="22"/>
              </w:rPr>
              <w:t xml:space="preserve">, </w:t>
            </w:r>
            <w:r w:rsidRPr="0088780C">
              <w:rPr>
                <w:bCs/>
                <w:i/>
                <w:snapToGrid w:val="0"/>
                <w:spacing w:val="-2"/>
                <w:kern w:val="22"/>
                <w:szCs w:val="22"/>
              </w:rPr>
              <w:t>Cygnus olor</w:t>
            </w:r>
            <w:r w:rsidRPr="0088780C">
              <w:rPr>
                <w:bCs/>
                <w:snapToGrid w:val="0"/>
                <w:spacing w:val="-2"/>
                <w:kern w:val="22"/>
                <w:szCs w:val="22"/>
              </w:rPr>
              <w:t>) (Dzhamirzoev and Bukreev, 2009).</w:t>
            </w:r>
          </w:p>
        </w:tc>
      </w:tr>
      <w:tr w:rsidR="00A876F3" w:rsidRPr="0088780C" w14:paraId="6D03D672" w14:textId="77777777" w:rsidTr="00AA75EE">
        <w:trPr>
          <w:cantSplit/>
        </w:trPr>
        <w:tc>
          <w:tcPr>
            <w:tcW w:w="779" w:type="pct"/>
            <w:shd w:val="clear" w:color="auto" w:fill="auto"/>
          </w:tcPr>
          <w:p w14:paraId="5D5C1D0D" w14:textId="77777777" w:rsidR="00A876F3" w:rsidRPr="0088780C" w:rsidRDefault="00A876F3" w:rsidP="009D1087">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31D363E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15AB4E4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7E70C0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5C63E2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414AC8B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63588988" w14:textId="77777777" w:rsidTr="006972AD">
        <w:tc>
          <w:tcPr>
            <w:tcW w:w="5000" w:type="pct"/>
            <w:gridSpan w:val="11"/>
            <w:shd w:val="clear" w:color="auto" w:fill="auto"/>
          </w:tcPr>
          <w:p w14:paraId="4746C0CF"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005FA68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The area is a critically important migration corridor and feeding ground for juvenile and adult Caspian lamprey (</w:t>
            </w:r>
            <w:r w:rsidRPr="0088780C">
              <w:rPr>
                <w:rFonts w:eastAsia="MS Mincho"/>
                <w:bCs/>
                <w:i/>
                <w:snapToGrid w:val="0"/>
                <w:color w:val="000000"/>
                <w:kern w:val="22"/>
                <w:szCs w:val="22"/>
              </w:rPr>
              <w:t>Caspiomyzon wagneri</w:t>
            </w:r>
            <w:r w:rsidRPr="0088780C">
              <w:rPr>
                <w:rFonts w:eastAsia="MS Mincho"/>
                <w:bCs/>
                <w:snapToGrid w:val="0"/>
                <w:color w:val="000000"/>
                <w:kern w:val="22"/>
                <w:szCs w:val="22"/>
              </w:rPr>
              <w:t>, IUCN Red List, near threatened, Red Data Books of Russia), beluga sturgeon (</w:t>
            </w:r>
            <w:r w:rsidRPr="0088780C">
              <w:rPr>
                <w:rFonts w:eastAsia="MS Mincho"/>
                <w:bCs/>
                <w:i/>
                <w:snapToGrid w:val="0"/>
                <w:color w:val="000000"/>
                <w:kern w:val="22"/>
                <w:szCs w:val="22"/>
              </w:rPr>
              <w:t>Huso huso</w:t>
            </w:r>
            <w:r w:rsidRPr="0088780C">
              <w:rPr>
                <w:rFonts w:eastAsia="MS Mincho"/>
                <w:bCs/>
                <w:snapToGrid w:val="0"/>
                <w:color w:val="000000"/>
                <w:kern w:val="22"/>
                <w:szCs w:val="22"/>
              </w:rPr>
              <w:t>, IUCN Red List, critically endangered), Russian sturgeon (</w:t>
            </w:r>
            <w:r w:rsidRPr="0088780C">
              <w:rPr>
                <w:rFonts w:eastAsia="MS Mincho"/>
                <w:bCs/>
                <w:i/>
                <w:snapToGrid w:val="0"/>
                <w:color w:val="000000"/>
                <w:kern w:val="22"/>
                <w:szCs w:val="22"/>
              </w:rPr>
              <w:t>Acipenser gueldenstaedtii</w:t>
            </w:r>
            <w:r w:rsidRPr="0088780C">
              <w:rPr>
                <w:rFonts w:eastAsia="MS Mincho"/>
                <w:bCs/>
                <w:snapToGrid w:val="0"/>
                <w:color w:val="000000"/>
                <w:kern w:val="22"/>
                <w:szCs w:val="22"/>
              </w:rPr>
              <w:t>, IUCN Red List, critically endangered), starry sturgeon (</w:t>
            </w:r>
            <w:r w:rsidRPr="0088780C">
              <w:rPr>
                <w:rFonts w:eastAsia="MS Mincho"/>
                <w:bCs/>
                <w:i/>
                <w:snapToGrid w:val="0"/>
                <w:color w:val="000000"/>
                <w:kern w:val="22"/>
                <w:szCs w:val="22"/>
              </w:rPr>
              <w:t>Acipenser stellatus</w:t>
            </w:r>
            <w:r w:rsidRPr="0088780C">
              <w:rPr>
                <w:rFonts w:eastAsia="MS Mincho"/>
                <w:bCs/>
                <w:snapToGrid w:val="0"/>
                <w:color w:val="000000"/>
                <w:kern w:val="22"/>
                <w:szCs w:val="22"/>
              </w:rPr>
              <w:t>, IUCN Red List, critically endangered), Persian sturgeon (</w:t>
            </w:r>
            <w:r w:rsidRPr="0088780C">
              <w:rPr>
                <w:rFonts w:eastAsia="MS Mincho"/>
                <w:bCs/>
                <w:i/>
                <w:snapToGrid w:val="0"/>
                <w:color w:val="000000"/>
                <w:kern w:val="22"/>
                <w:szCs w:val="22"/>
              </w:rPr>
              <w:t>Acipenser gueldenstaedti, persicus</w:t>
            </w:r>
            <w:r w:rsidRPr="0088780C">
              <w:rPr>
                <w:rFonts w:eastAsia="MS Mincho"/>
                <w:bCs/>
                <w:snapToGrid w:val="0"/>
                <w:color w:val="000000"/>
                <w:kern w:val="22"/>
                <w:szCs w:val="22"/>
              </w:rPr>
              <w:t>; IUCN Red List, critically endangered), ship (</w:t>
            </w:r>
            <w:r w:rsidRPr="0088780C">
              <w:rPr>
                <w:rFonts w:eastAsia="MS Mincho"/>
                <w:bCs/>
                <w:i/>
                <w:snapToGrid w:val="0"/>
                <w:color w:val="000000"/>
                <w:kern w:val="22"/>
                <w:szCs w:val="22"/>
              </w:rPr>
              <w:t>Acipenser nudiventris</w:t>
            </w:r>
            <w:r w:rsidRPr="0088780C">
              <w:rPr>
                <w:rFonts w:eastAsia="MS Mincho"/>
                <w:bCs/>
                <w:snapToGrid w:val="0"/>
                <w:color w:val="000000"/>
                <w:kern w:val="22"/>
                <w:szCs w:val="22"/>
              </w:rPr>
              <w:t>; critically endangered, IUCN, Red Data Books of Azerbajan and Russia), Caspian trout (</w:t>
            </w:r>
            <w:r w:rsidRPr="0088780C">
              <w:rPr>
                <w:rFonts w:eastAsia="MS Mincho"/>
                <w:bCs/>
                <w:i/>
                <w:snapToGrid w:val="0"/>
                <w:color w:val="000000"/>
                <w:kern w:val="22"/>
                <w:szCs w:val="22"/>
              </w:rPr>
              <w:t>Salmo caspium</w:t>
            </w:r>
            <w:r w:rsidRPr="0088780C">
              <w:rPr>
                <w:rFonts w:eastAsia="MS Mincho"/>
                <w:bCs/>
                <w:snapToGrid w:val="0"/>
                <w:color w:val="000000"/>
                <w:kern w:val="22"/>
                <w:szCs w:val="22"/>
              </w:rPr>
              <w:t>; Red Data Book of Azerbaijan) (Barhalov and Rabadanaliev, 2014).</w:t>
            </w:r>
          </w:p>
          <w:p w14:paraId="7084875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p w14:paraId="274A2AC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Coastal wetlands are home to rare and endangered bird species, with 12 species listed in the Red Data Book of Azerbajan and 10 species listed in the IUCN Red List (Dzhamirsoev and Bukreev, 2009; (Ahundov, 2008; Ahundov et al. 2013; Ahundov et al. 2008). Nesting colonies of the Dalmatian pelican are of particular importance (Dzhamirsoev and Bukreev, 2009).</w:t>
            </w:r>
          </w:p>
        </w:tc>
      </w:tr>
      <w:tr w:rsidR="00A876F3" w:rsidRPr="0088780C" w14:paraId="493AC731" w14:textId="77777777" w:rsidTr="006972AD">
        <w:tc>
          <w:tcPr>
            <w:tcW w:w="779" w:type="pct"/>
            <w:shd w:val="clear" w:color="auto" w:fill="auto"/>
          </w:tcPr>
          <w:p w14:paraId="56A113CD" w14:textId="77777777" w:rsidR="00A876F3" w:rsidRPr="0088780C" w:rsidRDefault="00A876F3" w:rsidP="009D1087">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7C8180C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0F3736C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43E39E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2402E2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c>
          <w:tcPr>
            <w:tcW w:w="436" w:type="pct"/>
            <w:gridSpan w:val="2"/>
            <w:shd w:val="clear" w:color="auto" w:fill="auto"/>
          </w:tcPr>
          <w:p w14:paraId="23387DB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5463241B" w14:textId="77777777" w:rsidTr="006972AD">
        <w:tc>
          <w:tcPr>
            <w:tcW w:w="5000" w:type="pct"/>
            <w:gridSpan w:val="11"/>
            <w:shd w:val="clear" w:color="auto" w:fill="auto"/>
          </w:tcPr>
          <w:p w14:paraId="6EF87F1C"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4E314CFB" w14:textId="2ED0C711"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The importance of the area is largely related to its use by five species of sturgeon, each being highly vulnerable as long maturing and long-living. On the other hand, these species are migratory and are able to move to other regions. Other components of biological diversity are dynamic and have been able to survive the significant transformation of the Caspian Sea ecosystem in recent decades (Karpinsky, 2002, 2010; Guseynova, 2013).</w:t>
            </w:r>
          </w:p>
        </w:tc>
      </w:tr>
      <w:tr w:rsidR="00A876F3" w:rsidRPr="0088780C" w14:paraId="328670BC" w14:textId="77777777" w:rsidTr="006972AD">
        <w:tc>
          <w:tcPr>
            <w:tcW w:w="779" w:type="pct"/>
            <w:shd w:val="clear" w:color="auto" w:fill="auto"/>
          </w:tcPr>
          <w:p w14:paraId="7A6D015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42DA39A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48E2B90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3CE0F09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C7AFA1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c>
          <w:tcPr>
            <w:tcW w:w="436" w:type="pct"/>
            <w:gridSpan w:val="2"/>
            <w:shd w:val="clear" w:color="auto" w:fill="auto"/>
          </w:tcPr>
          <w:p w14:paraId="34DA374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4EAFBC9F" w14:textId="77777777" w:rsidTr="006972AD">
        <w:tc>
          <w:tcPr>
            <w:tcW w:w="5000" w:type="pct"/>
            <w:gridSpan w:val="11"/>
            <w:shd w:val="clear" w:color="auto" w:fill="auto"/>
          </w:tcPr>
          <w:p w14:paraId="6A9FB802"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0C630B2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Contemporary data on chlorophyll a distribution, phytoplankton, zooplankton and macrobenthos biomass (Guseynova, 2013) indicate the area to be productive but not highly productive at the scale of the Caspian Sea (Karpinsky, 2002; Guseynova, 2013).</w:t>
            </w:r>
          </w:p>
        </w:tc>
      </w:tr>
      <w:tr w:rsidR="00A876F3" w:rsidRPr="0088780C" w14:paraId="4B7703A7" w14:textId="77777777" w:rsidTr="006972AD">
        <w:tc>
          <w:tcPr>
            <w:tcW w:w="779" w:type="pct"/>
            <w:shd w:val="clear" w:color="auto" w:fill="auto"/>
          </w:tcPr>
          <w:p w14:paraId="46E3F75A"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32951E8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1DBFD01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29E058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6346CE5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2E67496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2AFEAE9C" w14:textId="77777777" w:rsidTr="006972AD">
        <w:tc>
          <w:tcPr>
            <w:tcW w:w="5000" w:type="pct"/>
            <w:gridSpan w:val="11"/>
            <w:shd w:val="clear" w:color="auto" w:fill="auto"/>
          </w:tcPr>
          <w:p w14:paraId="2FD3E959"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6FABC057" w14:textId="1A71996A"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In this area, there is a combination of various biotopes within a relatively small area (Karpinsky, 2002), i.e. from the river delta to deep-water habitats (Dzhamirzoev and Bukreev, 2009; Zhindarev et al., 2013), a significant number of fish species, and an interaction zone of populations from the northern and the southern part of the Caspian (Barhalov and Rabadanaliev, 2014) (indication of genetic diversity). This makes it possible to consider the area a spot of high biological diversity at the regional scale.</w:t>
            </w:r>
          </w:p>
        </w:tc>
      </w:tr>
      <w:tr w:rsidR="00A876F3" w:rsidRPr="0088780C" w14:paraId="23AFB981" w14:textId="77777777" w:rsidTr="009D1087">
        <w:trPr>
          <w:cantSplit/>
        </w:trPr>
        <w:tc>
          <w:tcPr>
            <w:tcW w:w="783" w:type="pct"/>
            <w:shd w:val="clear" w:color="auto" w:fill="auto"/>
          </w:tcPr>
          <w:p w14:paraId="077D6AD2"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7177AD16"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17382B0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60D7F6D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5824CE7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 xml:space="preserve">X </w:t>
            </w:r>
          </w:p>
        </w:tc>
        <w:tc>
          <w:tcPr>
            <w:tcW w:w="385" w:type="pct"/>
            <w:shd w:val="clear" w:color="auto" w:fill="auto"/>
          </w:tcPr>
          <w:p w14:paraId="1711DF4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A876F3" w:rsidRPr="0088780C" w14:paraId="09E118AB" w14:textId="77777777" w:rsidTr="006972AD">
        <w:tc>
          <w:tcPr>
            <w:tcW w:w="5000" w:type="pct"/>
            <w:gridSpan w:val="11"/>
            <w:shd w:val="clear" w:color="auto" w:fill="auto"/>
          </w:tcPr>
          <w:p w14:paraId="276C565E"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023A1916"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 xml:space="preserve">Although the plankton and benthic communities of the Middle Caspian have been affected by alien species invasions (Karpinsky, 2010; Guseynova, 2013), and fish stocks are impacted by general fisheries in the Caspian Sea, economic activities around the area are concentrated onshore, where protected areas are established (Dzhamirzoevand Bukreev, 2009; Zhindarev et al., 2013). The area is distant from </w:t>
            </w:r>
            <w:r w:rsidRPr="0088780C">
              <w:rPr>
                <w:rFonts w:eastAsia="MS Mincho"/>
                <w:snapToGrid w:val="0"/>
                <w:kern w:val="22"/>
                <w:szCs w:val="22"/>
              </w:rPr>
              <w:t>main seaports, intensive shipping routes and oil production zones in the region, which makes it relatively natural at the regional scale.</w:t>
            </w:r>
          </w:p>
        </w:tc>
      </w:tr>
    </w:tbl>
    <w:p w14:paraId="1B7C0A07"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009977F8" w14:textId="77777777" w:rsidR="00A876F3" w:rsidRPr="0088780C" w:rsidRDefault="00A876F3" w:rsidP="00824392">
      <w:pPr>
        <w:keepNext/>
        <w:suppressLineNumbers/>
        <w:suppressAutoHyphens/>
        <w:kinsoku w:val="0"/>
        <w:overflowPunct w:val="0"/>
        <w:autoSpaceDE w:val="0"/>
        <w:autoSpaceDN w:val="0"/>
        <w:spacing w:after="60"/>
        <w:rPr>
          <w:snapToGrid w:val="0"/>
          <w:kern w:val="22"/>
          <w:szCs w:val="22"/>
        </w:rPr>
      </w:pPr>
      <w:r w:rsidRPr="0088780C">
        <w:rPr>
          <w:rFonts w:eastAsia="MS Mincho"/>
          <w:b/>
          <w:snapToGrid w:val="0"/>
          <w:kern w:val="22"/>
          <w:szCs w:val="22"/>
        </w:rPr>
        <w:t>References</w:t>
      </w:r>
    </w:p>
    <w:p w14:paraId="1A9C09A0" w14:textId="3F5D677B"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Akhundov M (2008) Present state of the Caspian ecosystem and bioresources. Volume I. Bakı: Elm, 2008. In: Proceedings of the Azerbaijan Zoological Society, v.1, Baku</w:t>
      </w:r>
      <w:r w:rsidR="00824392" w:rsidRPr="0088780C">
        <w:rPr>
          <w:snapToGrid w:val="0"/>
          <w:kern w:val="22"/>
          <w:szCs w:val="22"/>
        </w:rPr>
        <w:t>, Nauka. pp. 400–407.</w:t>
      </w:r>
    </w:p>
    <w:p w14:paraId="6F29F483" w14:textId="0BB8EC87"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Akhundov M, Zarbalyeva T, Gadjiev R, Kasmov A (2008) State of bioresources and Caspian ecosystem based on recent investigations. Complex approach to preservation and recovery of Caspian bioresources. In: Proceedings of Scientific Conference, Astrakhan, pp 33–36</w:t>
      </w:r>
      <w:r w:rsidR="00824392" w:rsidRPr="0088780C">
        <w:rPr>
          <w:snapToGrid w:val="0"/>
          <w:kern w:val="22"/>
          <w:szCs w:val="22"/>
        </w:rPr>
        <w:t>.</w:t>
      </w:r>
    </w:p>
    <w:p w14:paraId="379627D2" w14:textId="2066B2FA"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Akhundov M. et al. 2013. Preservation and restoration of biological resources of the Caspian Sea (devoted to 100th anniversary of Azerbaijan Fisheries Research Institute). Collection of articles. - Baku: </w:t>
      </w:r>
      <w:r w:rsidR="00D8482D" w:rsidRPr="0088780C">
        <w:rPr>
          <w:snapToGrid w:val="0"/>
          <w:kern w:val="22"/>
          <w:szCs w:val="22"/>
        </w:rPr>
        <w:t>“</w:t>
      </w:r>
      <w:r w:rsidRPr="0088780C">
        <w:rPr>
          <w:snapToGrid w:val="0"/>
          <w:kern w:val="22"/>
          <w:szCs w:val="22"/>
        </w:rPr>
        <w:t>Elm</w:t>
      </w:r>
      <w:r w:rsidR="00D8482D" w:rsidRPr="0088780C">
        <w:rPr>
          <w:snapToGrid w:val="0"/>
          <w:kern w:val="22"/>
          <w:szCs w:val="22"/>
        </w:rPr>
        <w:t>”</w:t>
      </w:r>
      <w:r w:rsidRPr="0088780C">
        <w:rPr>
          <w:snapToGrid w:val="0"/>
          <w:kern w:val="22"/>
          <w:szCs w:val="22"/>
        </w:rPr>
        <w:t>, 532 p.</w:t>
      </w:r>
    </w:p>
    <w:p w14:paraId="1682823A" w14:textId="77777777"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Бархалов Р.М., Рабаданалиев З.Р. 2014. Инвентаризация рыб и рыбообразных участков заповедника и подведомственных заказников ГПЗ «Дагестанский». </w:t>
      </w:r>
      <w:r w:rsidRPr="0088780C">
        <w:rPr>
          <w:rFonts w:eastAsia="Times New Roman"/>
          <w:snapToGrid w:val="0"/>
          <w:kern w:val="22"/>
          <w:szCs w:val="22"/>
          <w:lang w:eastAsia="ru-RU"/>
        </w:rPr>
        <w:t xml:space="preserve">Труды государственного природного заповедника «Дагестанский». Вып. 9.Махачкала: АЛЕФ. </w:t>
      </w:r>
      <w:r w:rsidRPr="0088780C">
        <w:rPr>
          <w:snapToGrid w:val="0"/>
          <w:kern w:val="22"/>
          <w:szCs w:val="22"/>
        </w:rPr>
        <w:t>С. 124–132.</w:t>
      </w:r>
    </w:p>
    <w:p w14:paraId="27CAA3DE" w14:textId="77777777"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(Barhalov H.M. and Rabadanaliev Z.R. 2014. Inventory of fishes and cyclostomes of the Dagaestanskiy Zapovednik and subordinated reservers. In: Trudy (Proceedings) of the State Nature Zapovednik Dagestanskiy. Vol. 9. Mahachkala: Alef, pp. 124–132).</w:t>
      </w:r>
    </w:p>
    <w:p w14:paraId="23FD495A" w14:textId="77777777"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Бархалов Р.М.,Мирзоев М.З., Куняев К.М. 2012. Рыбы заповедника «Дагестанский». Махачкала: Алеф, 230 с.</w:t>
      </w:r>
    </w:p>
    <w:p w14:paraId="46F3C308" w14:textId="7E515C83"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(Barhalov R.M., Mirzoev M.Z. and Kuliev K.M. 2012. Fishes of Zapovednik </w:t>
      </w:r>
      <w:r w:rsidR="00D8482D" w:rsidRPr="0088780C">
        <w:rPr>
          <w:snapToGrid w:val="0"/>
          <w:kern w:val="22"/>
          <w:szCs w:val="22"/>
        </w:rPr>
        <w:t>“</w:t>
      </w:r>
      <w:r w:rsidRPr="0088780C">
        <w:rPr>
          <w:snapToGrid w:val="0"/>
          <w:kern w:val="22"/>
          <w:szCs w:val="22"/>
        </w:rPr>
        <w:t>Dagestanskiy</w:t>
      </w:r>
      <w:r w:rsidR="00D8482D" w:rsidRPr="0088780C">
        <w:rPr>
          <w:snapToGrid w:val="0"/>
          <w:kern w:val="22"/>
          <w:szCs w:val="22"/>
        </w:rPr>
        <w:t>”</w:t>
      </w:r>
      <w:r w:rsidRPr="0088780C">
        <w:rPr>
          <w:snapToGrid w:val="0"/>
          <w:kern w:val="22"/>
          <w:szCs w:val="22"/>
        </w:rPr>
        <w:t>. Mahachkala: Alef, 230 p.)</w:t>
      </w:r>
    </w:p>
    <w:p w14:paraId="108DF2BC" w14:textId="77777777"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Добровольский А.Д., Залогин Б.С. 1982. Моря СССР. М.: Изд-во МГУ. 180 с.</w:t>
      </w:r>
    </w:p>
    <w:p w14:paraId="30A5CE32" w14:textId="33BED22F"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(Dobrovolsky A.D. and Zalogin B.S. 1982. Seas of USSR. Moscow: Mo</w:t>
      </w:r>
      <w:r w:rsidR="00824392" w:rsidRPr="0088780C">
        <w:rPr>
          <w:snapToGrid w:val="0"/>
          <w:kern w:val="22"/>
          <w:szCs w:val="22"/>
        </w:rPr>
        <w:t>scow University Publishing, 180 pp.)</w:t>
      </w:r>
    </w:p>
    <w:p w14:paraId="63E41AF8" w14:textId="77777777"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Джамирзоев Г.С., Букреев С.А. 2009. Устье реки Самур. В кн. Ключевые орнитологические территории России. Т. 3. Ключевые орнитологические территории международного значения в Кавказском регионе. Под ред. Г.С. Джамирзоева и С.А. Букреева.М.: Wetlands International. С. 207 – 208.</w:t>
      </w:r>
    </w:p>
    <w:p w14:paraId="40EB8EE2" w14:textId="3A921EF4" w:rsidR="00A876F3" w:rsidRPr="0088780C" w:rsidRDefault="00A876F3" w:rsidP="00824392">
      <w:pPr>
        <w:suppressLineNumbers/>
        <w:suppressAutoHyphens/>
        <w:kinsoku w:val="0"/>
        <w:overflowPunct w:val="0"/>
        <w:autoSpaceDE w:val="0"/>
        <w:autoSpaceDN w:val="0"/>
        <w:adjustRightInd w:val="0"/>
        <w:spacing w:after="60"/>
        <w:ind w:left="720" w:hanging="720"/>
        <w:rPr>
          <w:rFonts w:eastAsia="MS Mincho"/>
          <w:b/>
          <w:snapToGrid w:val="0"/>
          <w:kern w:val="22"/>
          <w:szCs w:val="22"/>
        </w:rPr>
      </w:pPr>
      <w:r w:rsidRPr="0088780C">
        <w:rPr>
          <w:snapToGrid w:val="0"/>
          <w:kern w:val="22"/>
          <w:szCs w:val="22"/>
        </w:rPr>
        <w:t>Dzhamirzoev G.S. and Bukreev S.A. 2009. Samur Mouth. In: Important Bird Areas of Russia. Vol. 3. Important Bird Areas in the Caucasian Region. Edited by G.S. Dzhamirzoev and S.A. Bukreev. Wetlands International. pp. 207 – 208.</w:t>
      </w:r>
    </w:p>
    <w:p w14:paraId="27D5586F" w14:textId="113E09E4" w:rsidR="00A876F3" w:rsidRPr="0088780C" w:rsidRDefault="00A876F3" w:rsidP="00824392">
      <w:pPr>
        <w:pStyle w:val="Default"/>
        <w:widowControl/>
        <w:suppressLineNumbers/>
        <w:suppressAutoHyphens/>
        <w:kinsoku w:val="0"/>
        <w:overflowPunct w:val="0"/>
        <w:spacing w:after="60"/>
        <w:ind w:left="720" w:hanging="720"/>
        <w:jc w:val="both"/>
        <w:rPr>
          <w:snapToGrid w:val="0"/>
          <w:kern w:val="22"/>
          <w:sz w:val="22"/>
          <w:szCs w:val="22"/>
          <w:lang w:eastAsia="ru-RU"/>
        </w:rPr>
      </w:pPr>
      <w:r w:rsidRPr="0088780C">
        <w:rPr>
          <w:snapToGrid w:val="0"/>
          <w:kern w:val="22"/>
          <w:sz w:val="22"/>
          <w:szCs w:val="22"/>
          <w:lang w:val="ru-RU" w:eastAsia="ru-RU"/>
        </w:rPr>
        <w:t>Жиндарев Л.А., Игнатов Е.И., Бадюкова Е.Н., Лукьянова С.А., Соловьева Г.Д., Шипилова Л.М. 2013. Научное обеспечение сбалансированного планирования хозяйственной деятельности на уникальных морских береговых ландшафтах и предложения по его использованию на примере Азово-Черноморского побережья. Том. 6. Каспийское море. Геленджик: Южное</w:t>
      </w:r>
      <w:r w:rsidR="00824392" w:rsidRPr="0088780C">
        <w:rPr>
          <w:snapToGrid w:val="0"/>
          <w:kern w:val="22"/>
          <w:sz w:val="22"/>
          <w:szCs w:val="22"/>
          <w:lang w:val="ru-RU" w:eastAsia="ru-RU"/>
        </w:rPr>
        <w:t xml:space="preserve"> отделение ИО РАН. С. 940–1066.</w:t>
      </w:r>
    </w:p>
    <w:p w14:paraId="3EAE561E" w14:textId="77777777"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Гусейнова С.А. 2013. Оценка современного экологического состояния Каспийского моря и возможные последствия при эксплуатации нефтегазовых месторождений. М.: Товарищество научных изданий КМК. 165 с.</w:t>
      </w:r>
    </w:p>
    <w:p w14:paraId="412A94CA" w14:textId="48A154A6"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(Guseynova S.A. 2013. Assessment of the contemporary environmental condition of the Caspian Sea and possible consequence of oil and gas development. Moscow: KMK, 165 p</w:t>
      </w:r>
      <w:r w:rsidR="00824392" w:rsidRPr="0088780C">
        <w:rPr>
          <w:snapToGrid w:val="0"/>
          <w:kern w:val="22"/>
          <w:szCs w:val="22"/>
        </w:rPr>
        <w:t>p</w:t>
      </w:r>
      <w:r w:rsidRPr="0088780C">
        <w:rPr>
          <w:snapToGrid w:val="0"/>
          <w:kern w:val="22"/>
          <w:szCs w:val="22"/>
        </w:rPr>
        <w:t>.</w:t>
      </w:r>
      <w:r w:rsidR="00824392" w:rsidRPr="0088780C">
        <w:rPr>
          <w:snapToGrid w:val="0"/>
          <w:kern w:val="22"/>
          <w:szCs w:val="22"/>
        </w:rPr>
        <w:t>)</w:t>
      </w:r>
    </w:p>
    <w:p w14:paraId="199AE5B2" w14:textId="77777777" w:rsidR="00A876F3" w:rsidRPr="0088780C" w:rsidRDefault="00A876F3" w:rsidP="00824392">
      <w:pPr>
        <w:suppressLineNumbers/>
        <w:suppressAutoHyphens/>
        <w:kinsoku w:val="0"/>
        <w:overflowPunct w:val="0"/>
        <w:autoSpaceDE w:val="0"/>
        <w:autoSpaceDN w:val="0"/>
        <w:adjustRightInd w:val="0"/>
        <w:spacing w:after="60"/>
        <w:ind w:left="720" w:hanging="720"/>
        <w:rPr>
          <w:rFonts w:eastAsia="TimesNewRomanPSMT"/>
          <w:snapToGrid w:val="0"/>
          <w:kern w:val="22"/>
          <w:szCs w:val="22"/>
          <w:lang w:val="ru-RU" w:eastAsia="ru-RU"/>
        </w:rPr>
      </w:pPr>
      <w:r w:rsidRPr="0088780C">
        <w:rPr>
          <w:rFonts w:eastAsia="TimesNewRomanPSMT"/>
          <w:snapToGrid w:val="0"/>
          <w:kern w:val="22"/>
          <w:szCs w:val="22"/>
          <w:lang w:val="ru-RU" w:eastAsia="ru-RU"/>
        </w:rPr>
        <w:t>Карпинский М.Г. 2002. Экология бентоса Среднего и Южного Каспия. М.: Изд. ВНИРО. 283 с</w:t>
      </w:r>
    </w:p>
    <w:p w14:paraId="666AAF1C" w14:textId="77777777" w:rsidR="00A876F3" w:rsidRPr="0088780C" w:rsidRDefault="00A876F3" w:rsidP="00824392">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TimesNewRomanPSMT"/>
          <w:snapToGrid w:val="0"/>
          <w:kern w:val="22"/>
          <w:szCs w:val="22"/>
          <w:lang w:eastAsia="ru-RU"/>
        </w:rPr>
        <w:t>(Karpinsky M.G. 2002. Ecology of benthos of the Middle and the Southern Caspian. Moscow: VNIRO, 283 p.)</w:t>
      </w:r>
    </w:p>
    <w:p w14:paraId="25CCB006" w14:textId="77777777" w:rsidR="00A876F3" w:rsidRPr="0088780C" w:rsidRDefault="00A876F3" w:rsidP="00824392">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Karpinsky, M.G. 2010. On peculiarities of introductions of marine species into the Caspian Sea. Russian Journal of Biological Invasions. 2010 (1): 1–7.</w:t>
      </w:r>
    </w:p>
    <w:p w14:paraId="38898A68" w14:textId="77777777"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Khodorevskaya R. et al. (2014) State and Dynamics of the Bioresources in the Caspian Sea. In:  The Handbook of Environmental Chemistry. Springer, Berlin, Heidelberg, p.1-84</w:t>
      </w:r>
    </w:p>
    <w:p w14:paraId="0F8F826A" w14:textId="77777777" w:rsidR="00A876F3" w:rsidRPr="0088780C" w:rsidRDefault="00A876F3" w:rsidP="00824392">
      <w:pPr>
        <w:suppressLineNumbers/>
        <w:suppressAutoHyphens/>
        <w:kinsoku w:val="0"/>
        <w:overflowPunct w:val="0"/>
        <w:autoSpaceDE w:val="0"/>
        <w:autoSpaceDN w:val="0"/>
        <w:adjustRightInd w:val="0"/>
        <w:spacing w:after="60"/>
        <w:ind w:left="720" w:hanging="720"/>
        <w:rPr>
          <w:rFonts w:eastAsia="MS Mincho"/>
          <w:snapToGrid w:val="0"/>
          <w:kern w:val="22"/>
          <w:szCs w:val="22"/>
          <w:lang w:val="ru-RU"/>
        </w:rPr>
      </w:pPr>
      <w:r w:rsidRPr="0088780C">
        <w:rPr>
          <w:rFonts w:eastAsia="MS Mincho"/>
          <w:snapToGrid w:val="0"/>
          <w:kern w:val="22"/>
          <w:szCs w:val="22"/>
          <w:lang w:val="ru-RU"/>
        </w:rPr>
        <w:t>Лебедев Л.И., Маев И.Г., Бордовский О.К., Кулакова Л.С. 1973. Осадки Каспийского моря. М.: Наука. 119 с.</w:t>
      </w:r>
    </w:p>
    <w:p w14:paraId="0F8ACCB1" w14:textId="3B2C92FC" w:rsidR="00A876F3" w:rsidRPr="0088780C" w:rsidRDefault="00A876F3" w:rsidP="00824392">
      <w:pPr>
        <w:suppressLineNumbers/>
        <w:suppressAutoHyphens/>
        <w:kinsoku w:val="0"/>
        <w:overflowPunct w:val="0"/>
        <w:autoSpaceDE w:val="0"/>
        <w:autoSpaceDN w:val="0"/>
        <w:adjustRightInd w:val="0"/>
        <w:spacing w:after="60"/>
        <w:ind w:left="720" w:hanging="720"/>
        <w:rPr>
          <w:rFonts w:eastAsia="MS Mincho"/>
          <w:snapToGrid w:val="0"/>
          <w:kern w:val="22"/>
          <w:szCs w:val="22"/>
        </w:rPr>
      </w:pPr>
      <w:r w:rsidRPr="0088780C">
        <w:rPr>
          <w:rFonts w:eastAsia="MS Mincho"/>
          <w:snapToGrid w:val="0"/>
          <w:kern w:val="22"/>
          <w:szCs w:val="22"/>
        </w:rPr>
        <w:t>(Lebedev L.I., Maev I.G., Bordovsky O.K. and Kulakova L.S. 1973. Sediments of the Caspian Sea. Moscow: Nauka, 119 p</w:t>
      </w:r>
      <w:r w:rsidR="00824392" w:rsidRPr="0088780C">
        <w:rPr>
          <w:rFonts w:eastAsia="MS Mincho"/>
          <w:snapToGrid w:val="0"/>
          <w:kern w:val="22"/>
          <w:szCs w:val="22"/>
        </w:rPr>
        <w:t>p</w:t>
      </w:r>
      <w:r w:rsidRPr="0088780C">
        <w:rPr>
          <w:rFonts w:eastAsia="MS Mincho"/>
          <w:snapToGrid w:val="0"/>
          <w:kern w:val="22"/>
          <w:szCs w:val="22"/>
        </w:rPr>
        <w:t>.)</w:t>
      </w:r>
    </w:p>
    <w:p w14:paraId="5ADB4DE8" w14:textId="327B31A7" w:rsidR="00A876F3" w:rsidRPr="0088780C" w:rsidRDefault="00A876F3" w:rsidP="00824392">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Mammadov E. et al. (2016) Management of Caspian Biodiversity Protection and Conservation. In: The Handbook of Environmental Chemistry. Springer, Berlin, Heidelberg, p</w:t>
      </w:r>
      <w:r w:rsidR="00824392" w:rsidRPr="0088780C">
        <w:rPr>
          <w:snapToGrid w:val="0"/>
          <w:kern w:val="22"/>
          <w:szCs w:val="22"/>
        </w:rPr>
        <w:t>p</w:t>
      </w:r>
      <w:r w:rsidRPr="0088780C">
        <w:rPr>
          <w:snapToGrid w:val="0"/>
          <w:kern w:val="22"/>
          <w:szCs w:val="22"/>
        </w:rPr>
        <w:t>.1-34</w:t>
      </w:r>
      <w:r w:rsidR="00824392" w:rsidRPr="0088780C">
        <w:rPr>
          <w:snapToGrid w:val="0"/>
          <w:kern w:val="22"/>
          <w:szCs w:val="22"/>
        </w:rPr>
        <w:t>.</w:t>
      </w:r>
    </w:p>
    <w:p w14:paraId="2A48B28C" w14:textId="77777777" w:rsidR="00A876F3" w:rsidRPr="0088780C" w:rsidRDefault="00A876F3" w:rsidP="00824392">
      <w:pPr>
        <w:pStyle w:val="Default"/>
        <w:widowControl/>
        <w:suppressLineNumbers/>
        <w:suppressAutoHyphens/>
        <w:kinsoku w:val="0"/>
        <w:overflowPunct w:val="0"/>
        <w:spacing w:after="60"/>
        <w:ind w:left="720" w:hanging="720"/>
        <w:jc w:val="both"/>
        <w:rPr>
          <w:snapToGrid w:val="0"/>
          <w:kern w:val="22"/>
          <w:sz w:val="22"/>
          <w:szCs w:val="22"/>
          <w:lang w:val="en-GB" w:eastAsia="ru-RU"/>
        </w:rPr>
      </w:pPr>
      <w:r w:rsidRPr="0088780C">
        <w:rPr>
          <w:snapToGrid w:val="0"/>
          <w:kern w:val="22"/>
          <w:sz w:val="22"/>
          <w:szCs w:val="22"/>
          <w:lang w:val="en-GB" w:eastAsia="ru-RU"/>
        </w:rPr>
        <w:t>Zhindarev L.A., Ignatov E.I., Badyukova E.N., Lukyuanova S.A., Solovyeva G.D. and Shipilova L.M. 2013. Scientific basis for balanced planning of economic activity in unique maritime coastal landscapes and perspectives of resources use exemplified by the Azov – Black Sea Coast. Vol. 6. Caspian Sea. Gelendzhik: Southern Branch of the Shirshov Institute of Oceanology. P. 940–1066).</w:t>
      </w:r>
    </w:p>
    <w:p w14:paraId="41F6629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24317B3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1950116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2FB9110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4C9618EF" wp14:editId="35476A28">
            <wp:extent cx="5486400" cy="4572000"/>
            <wp:effectExtent l="0" t="0" r="0" b="0"/>
            <wp:docPr id="13332" name="Picture 13332" descr="C:\Users\grekin\AppData\Local\Microsoft\Windows\Temporary Internet Files\Content.Word\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grekin\AppData\Local\Microsoft\Windows\Temporary Internet Files\Content.Word\30.png"/>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69D0487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p>
    <w:p w14:paraId="7678B2C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0F705DCF" w14:textId="77777777" w:rsidR="00A876F3" w:rsidRPr="0088780C" w:rsidRDefault="00E7219D" w:rsidP="001013AF">
      <w:pPr>
        <w:suppressLineNumbers/>
        <w:suppressAutoHyphens/>
        <w:kinsoku w:val="0"/>
        <w:overflowPunct w:val="0"/>
        <w:autoSpaceDE w:val="0"/>
        <w:autoSpaceDN w:val="0"/>
        <w:rPr>
          <w:rFonts w:eastAsia="MS Mincho"/>
          <w:bCs/>
          <w:snapToGrid w:val="0"/>
          <w:color w:val="000000"/>
          <w:kern w:val="22"/>
          <w:szCs w:val="22"/>
        </w:rPr>
      </w:pPr>
      <w:r>
        <w:rPr>
          <w:rFonts w:eastAsia="MS Mincho"/>
          <w:bCs/>
          <w:snapToGrid w:val="0"/>
          <w:color w:val="000000"/>
          <w:kern w:val="22"/>
          <w:szCs w:val="22"/>
          <w:lang w:eastAsia="ru-RU"/>
        </w:rPr>
        <w:object w:dxaOrig="1440" w:dyaOrig="1440" w14:anchorId="66D5E30E">
          <v:group id="_x0000_s1029" style="position:absolute;left:0;text-align:left;margin-left:139.4pt;margin-top:2.35pt;width:125.15pt;height:220.5pt;z-index:-251648000" coordorigin="6561,2394" coordsize="4410,8280" wrapcoords="-147 -39 -147 21600 21306 21600 21306 20622 21673 19996 21673 -39 -147 -39">
            <v:shapetype id="_x0000_t202" coordsize="21600,21600" o:spt="202" path="m,l,21600r21600,l21600,xe">
              <v:stroke joinstyle="miter"/>
              <v:path gradientshapeok="t" o:connecttype="rect"/>
            </v:shapetype>
            <v:shape id="_x0000_s1030" type="#_x0000_t202" style="position:absolute;left:6561;top:9954;width:4320;height:720" stroked="f">
              <v:textbox style="mso-next-textbox:#_x0000_s1030">
                <w:txbxContent>
                  <w:p w14:paraId="3BDEA627" w14:textId="77777777" w:rsidR="00E86E20" w:rsidRPr="003C7D10" w:rsidRDefault="00E86E20" w:rsidP="006972AD"/>
                </w:txbxContent>
              </v:textbox>
            </v:shape>
            <v:shape id="_x0000_s1031" type="#_x0000_t75" style="position:absolute;left:6561;top:2394;width:4410;height:7665;mso-wrap-edited:f" wrapcoords="-73 0 -73 21558 21600 21558 21600 0 -73 0">
              <v:imagedata r:id="rId322" o:title=""/>
            </v:shape>
            <w10:wrap type="tight"/>
          </v:group>
          <o:OLEObject Type="Embed" ProgID="PBrush" ShapeID="_x0000_s1031" DrawAspect="Content" ObjectID="_1590581880" r:id="rId323"/>
        </w:object>
      </w:r>
    </w:p>
    <w:p w14:paraId="64CB8113"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6E239C8D"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6739C794"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2EAA6A6F"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5AC1ECDA"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5CA860CD"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4296911B"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2549A395"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15155EC0"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6FE0BA7F"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1B5F96AC"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3D23F3C4"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274B7148"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1445B126"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50A9B80D"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1A069BDF"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6CFA9AE4" w14:textId="77777777" w:rsidR="00A876F3" w:rsidRPr="0088780C" w:rsidRDefault="00A876F3" w:rsidP="001013AF">
      <w:pPr>
        <w:suppressLineNumbers/>
        <w:suppressAutoHyphens/>
        <w:kinsoku w:val="0"/>
        <w:overflowPunct w:val="0"/>
        <w:autoSpaceDE w:val="0"/>
        <w:autoSpaceDN w:val="0"/>
        <w:rPr>
          <w:rFonts w:eastAsia="MS Mincho"/>
          <w:bCs/>
          <w:snapToGrid w:val="0"/>
          <w:color w:val="000000"/>
          <w:kern w:val="22"/>
          <w:szCs w:val="22"/>
        </w:rPr>
      </w:pPr>
    </w:p>
    <w:p w14:paraId="65150174" w14:textId="7EDCA381" w:rsidR="00A876F3" w:rsidRPr="0088780C" w:rsidRDefault="00A876F3" w:rsidP="001013AF">
      <w:pPr>
        <w:suppressLineNumbers/>
        <w:suppressAutoHyphens/>
        <w:kinsoku w:val="0"/>
        <w:overflowPunct w:val="0"/>
        <w:autoSpaceDE w:val="0"/>
        <w:autoSpaceDN w:val="0"/>
        <w:rPr>
          <w:rFonts w:eastAsia="MS Mincho"/>
          <w:b/>
          <w:snapToGrid w:val="0"/>
          <w:color w:val="000000"/>
          <w:kern w:val="22"/>
          <w:szCs w:val="22"/>
        </w:rPr>
      </w:pPr>
      <w:r w:rsidRPr="0088780C">
        <w:rPr>
          <w:rFonts w:eastAsia="MS Mincho"/>
          <w:b/>
          <w:snapToGrid w:val="0"/>
          <w:color w:val="000000"/>
          <w:kern w:val="22"/>
          <w:szCs w:val="22"/>
        </w:rPr>
        <w:t>Figure 2. A scheme of surface circulation of the Caspian Sea (</w:t>
      </w:r>
      <w:r w:rsidR="003A1B43" w:rsidRPr="0088780C">
        <w:rPr>
          <w:rFonts w:eastAsia="MS Mincho"/>
          <w:b/>
          <w:snapToGrid w:val="0"/>
          <w:color w:val="000000"/>
          <w:kern w:val="22"/>
          <w:szCs w:val="22"/>
        </w:rPr>
        <w:t>Dobrovolsky and Zalogin, 1982)</w:t>
      </w:r>
    </w:p>
    <w:p w14:paraId="71E5BD3E" w14:textId="71799295" w:rsidR="003A1B43" w:rsidRPr="0088780C" w:rsidRDefault="003A1B43">
      <w:pPr>
        <w:jc w:val="left"/>
        <w:rPr>
          <w:rFonts w:eastAsia="MS Mincho"/>
          <w:bCs/>
          <w:snapToGrid w:val="0"/>
          <w:color w:val="000000"/>
          <w:kern w:val="22"/>
          <w:szCs w:val="22"/>
        </w:rPr>
      </w:pPr>
      <w:r w:rsidRPr="0088780C">
        <w:rPr>
          <w:rFonts w:eastAsia="MS Mincho"/>
          <w:bCs/>
          <w:snapToGrid w:val="0"/>
          <w:color w:val="000000"/>
          <w:kern w:val="22"/>
          <w:szCs w:val="22"/>
        </w:rPr>
        <w:br w:type="page"/>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19"/>
        <w:gridCol w:w="4820"/>
      </w:tblGrid>
      <w:tr w:rsidR="00A876F3" w:rsidRPr="0088780C" w14:paraId="06D732FF" w14:textId="77777777" w:rsidTr="003A1B43">
        <w:trPr>
          <w:trHeight w:val="544"/>
        </w:trPr>
        <w:tc>
          <w:tcPr>
            <w:tcW w:w="4819" w:type="dxa"/>
          </w:tcPr>
          <w:p w14:paraId="4C702C2E"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0FC05880" wp14:editId="610FE36A">
                  <wp:extent cx="3048000" cy="1390650"/>
                  <wp:effectExtent l="19050" t="0" r="0" b="0"/>
                  <wp:docPr id="13333" name="Рисунок 2" descr="FIS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SH11"/>
                          <pic:cNvPicPr>
                            <a:picLocks noChangeAspect="1" noChangeArrowheads="1"/>
                          </pic:cNvPicPr>
                        </pic:nvPicPr>
                        <pic:blipFill>
                          <a:blip r:embed="rId324" cstate="print"/>
                          <a:srcRect/>
                          <a:stretch>
                            <a:fillRect/>
                          </a:stretch>
                        </pic:blipFill>
                        <pic:spPr bwMode="auto">
                          <a:xfrm>
                            <a:off x="0" y="0"/>
                            <a:ext cx="3048000" cy="1390650"/>
                          </a:xfrm>
                          <a:prstGeom prst="rect">
                            <a:avLst/>
                          </a:prstGeom>
                          <a:noFill/>
                          <a:ln w="9525">
                            <a:noFill/>
                            <a:miter lim="800000"/>
                            <a:headEnd/>
                            <a:tailEnd/>
                          </a:ln>
                        </pic:spPr>
                      </pic:pic>
                    </a:graphicData>
                  </a:graphic>
                </wp:inline>
              </w:drawing>
            </w:r>
            <w:r w:rsidRPr="0088780C">
              <w:rPr>
                <w:snapToGrid w:val="0"/>
                <w:kern w:val="22"/>
                <w:szCs w:val="22"/>
              </w:rPr>
              <w:t xml:space="preserve"> Большеглазая килька </w:t>
            </w:r>
            <w:r w:rsidRPr="0088780C">
              <w:rPr>
                <w:i/>
                <w:snapToGrid w:val="0"/>
                <w:kern w:val="22"/>
                <w:szCs w:val="22"/>
              </w:rPr>
              <w:t>Clupeonella grimmi</w:t>
            </w:r>
          </w:p>
        </w:tc>
        <w:tc>
          <w:tcPr>
            <w:tcW w:w="4820" w:type="dxa"/>
          </w:tcPr>
          <w:p w14:paraId="065BB263" w14:textId="77777777" w:rsidR="00A876F3" w:rsidRPr="0088780C" w:rsidRDefault="00A876F3" w:rsidP="001013AF">
            <w:pPr>
              <w:suppressLineNumbers/>
              <w:suppressAutoHyphens/>
              <w:kinsoku w:val="0"/>
              <w:overflowPunct w:val="0"/>
              <w:autoSpaceDE w:val="0"/>
              <w:autoSpaceDN w:val="0"/>
              <w:jc w:val="right"/>
              <w:rPr>
                <w:snapToGrid w:val="0"/>
                <w:kern w:val="22"/>
                <w:szCs w:val="22"/>
              </w:rPr>
            </w:pPr>
            <w:r w:rsidRPr="0088780C">
              <w:rPr>
                <w:noProof/>
                <w:snapToGrid w:val="0"/>
                <w:kern w:val="22"/>
                <w:szCs w:val="22"/>
                <w:lang w:eastAsia="zh-CN"/>
              </w:rPr>
              <w:drawing>
                <wp:inline distT="0" distB="0" distL="0" distR="0" wp14:anchorId="39944D33" wp14:editId="09626264">
                  <wp:extent cx="3057525" cy="1390650"/>
                  <wp:effectExtent l="19050" t="0" r="9525" b="0"/>
                  <wp:docPr id="13334" name="Рисунок 3" descr="FISH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SH12"/>
                          <pic:cNvPicPr>
                            <a:picLocks noChangeAspect="1" noChangeArrowheads="1"/>
                          </pic:cNvPicPr>
                        </pic:nvPicPr>
                        <pic:blipFill>
                          <a:blip r:embed="rId325" cstate="print"/>
                          <a:srcRect/>
                          <a:stretch>
                            <a:fillRect/>
                          </a:stretch>
                        </pic:blipFill>
                        <pic:spPr bwMode="auto">
                          <a:xfrm>
                            <a:off x="0" y="0"/>
                            <a:ext cx="3057525" cy="1390650"/>
                          </a:xfrm>
                          <a:prstGeom prst="rect">
                            <a:avLst/>
                          </a:prstGeom>
                          <a:noFill/>
                          <a:ln w="9525">
                            <a:noFill/>
                            <a:miter lim="800000"/>
                            <a:headEnd/>
                            <a:tailEnd/>
                          </a:ln>
                        </pic:spPr>
                      </pic:pic>
                    </a:graphicData>
                  </a:graphic>
                </wp:inline>
              </w:drawing>
            </w:r>
            <w:r w:rsidRPr="0088780C">
              <w:rPr>
                <w:snapToGrid w:val="0"/>
                <w:kern w:val="22"/>
                <w:szCs w:val="22"/>
              </w:rPr>
              <w:t xml:space="preserve"> Обыкновенная килька </w:t>
            </w:r>
            <w:r w:rsidRPr="0088780C">
              <w:rPr>
                <w:i/>
                <w:snapToGrid w:val="0"/>
                <w:kern w:val="22"/>
                <w:szCs w:val="22"/>
              </w:rPr>
              <w:t>Clupeonella delicatula caspia</w:t>
            </w:r>
          </w:p>
        </w:tc>
      </w:tr>
      <w:tr w:rsidR="00A876F3" w:rsidRPr="0088780C" w14:paraId="36EAA397" w14:textId="77777777" w:rsidTr="003A1B43">
        <w:trPr>
          <w:trHeight w:val="544"/>
        </w:trPr>
        <w:tc>
          <w:tcPr>
            <w:tcW w:w="4819" w:type="dxa"/>
          </w:tcPr>
          <w:p w14:paraId="08CC0881" w14:textId="77777777" w:rsidR="00A876F3" w:rsidRPr="0088780C" w:rsidRDefault="00A876F3" w:rsidP="001013AF">
            <w:pPr>
              <w:suppressLineNumbers/>
              <w:suppressAutoHyphens/>
              <w:kinsoku w:val="0"/>
              <w:overflowPunct w:val="0"/>
              <w:autoSpaceDE w:val="0"/>
              <w:autoSpaceDN w:val="0"/>
              <w:ind w:right="-57"/>
              <w:rPr>
                <w:snapToGrid w:val="0"/>
                <w:kern w:val="22"/>
                <w:szCs w:val="22"/>
              </w:rPr>
            </w:pPr>
            <w:r w:rsidRPr="0088780C">
              <w:rPr>
                <w:noProof/>
                <w:snapToGrid w:val="0"/>
                <w:kern w:val="22"/>
                <w:szCs w:val="22"/>
                <w:lang w:eastAsia="zh-CN"/>
              </w:rPr>
              <w:drawing>
                <wp:inline distT="0" distB="0" distL="0" distR="0" wp14:anchorId="1E654709" wp14:editId="2E62DA4B">
                  <wp:extent cx="3038475" cy="1352550"/>
                  <wp:effectExtent l="19050" t="0" r="9525" b="0"/>
                  <wp:docPr id="13335" name="Рисунок 4" descr="FISH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SH13"/>
                          <pic:cNvPicPr>
                            <a:picLocks noChangeAspect="1" noChangeArrowheads="1"/>
                          </pic:cNvPicPr>
                        </pic:nvPicPr>
                        <pic:blipFill>
                          <a:blip r:embed="rId326" cstate="print"/>
                          <a:srcRect/>
                          <a:stretch>
                            <a:fillRect/>
                          </a:stretch>
                        </pic:blipFill>
                        <pic:spPr bwMode="auto">
                          <a:xfrm>
                            <a:off x="0" y="0"/>
                            <a:ext cx="3038475" cy="1352550"/>
                          </a:xfrm>
                          <a:prstGeom prst="rect">
                            <a:avLst/>
                          </a:prstGeom>
                          <a:noFill/>
                          <a:ln w="9525">
                            <a:noFill/>
                            <a:miter lim="800000"/>
                            <a:headEnd/>
                            <a:tailEnd/>
                          </a:ln>
                        </pic:spPr>
                      </pic:pic>
                    </a:graphicData>
                  </a:graphic>
                </wp:inline>
              </w:drawing>
            </w:r>
            <w:r w:rsidRPr="0088780C">
              <w:rPr>
                <w:snapToGrid w:val="0"/>
                <w:kern w:val="22"/>
                <w:szCs w:val="22"/>
              </w:rPr>
              <w:t xml:space="preserve"> Долгинская сельдь </w:t>
            </w:r>
            <w:r w:rsidRPr="0088780C">
              <w:rPr>
                <w:i/>
                <w:snapToGrid w:val="0"/>
                <w:kern w:val="22"/>
                <w:szCs w:val="22"/>
              </w:rPr>
              <w:t>Alosa brashnikovi brashnikovi</w:t>
            </w:r>
          </w:p>
        </w:tc>
        <w:tc>
          <w:tcPr>
            <w:tcW w:w="4820" w:type="dxa"/>
          </w:tcPr>
          <w:p w14:paraId="166EE241" w14:textId="77777777" w:rsidR="00A876F3" w:rsidRPr="0088780C" w:rsidRDefault="00A876F3" w:rsidP="001013AF">
            <w:pPr>
              <w:suppressLineNumbers/>
              <w:suppressAutoHyphens/>
              <w:kinsoku w:val="0"/>
              <w:overflowPunct w:val="0"/>
              <w:autoSpaceDE w:val="0"/>
              <w:autoSpaceDN w:val="0"/>
              <w:ind w:right="-58"/>
              <w:jc w:val="right"/>
              <w:rPr>
                <w:snapToGrid w:val="0"/>
                <w:kern w:val="22"/>
                <w:szCs w:val="22"/>
              </w:rPr>
            </w:pPr>
            <w:r w:rsidRPr="0088780C">
              <w:rPr>
                <w:noProof/>
                <w:snapToGrid w:val="0"/>
                <w:kern w:val="22"/>
                <w:szCs w:val="22"/>
                <w:lang w:eastAsia="zh-CN"/>
              </w:rPr>
              <w:drawing>
                <wp:inline distT="0" distB="0" distL="0" distR="0" wp14:anchorId="215D47AA" wp14:editId="12930520">
                  <wp:extent cx="3048000" cy="1390650"/>
                  <wp:effectExtent l="19050" t="0" r="0" b="0"/>
                  <wp:docPr id="13336" name="Рисунок 5" descr="FISH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SH14"/>
                          <pic:cNvPicPr>
                            <a:picLocks noChangeAspect="1" noChangeArrowheads="1"/>
                          </pic:cNvPicPr>
                        </pic:nvPicPr>
                        <pic:blipFill>
                          <a:blip r:embed="rId327" cstate="print"/>
                          <a:srcRect/>
                          <a:stretch>
                            <a:fillRect/>
                          </a:stretch>
                        </pic:blipFill>
                        <pic:spPr bwMode="auto">
                          <a:xfrm>
                            <a:off x="0" y="0"/>
                            <a:ext cx="3048000" cy="1390650"/>
                          </a:xfrm>
                          <a:prstGeom prst="rect">
                            <a:avLst/>
                          </a:prstGeom>
                          <a:noFill/>
                          <a:ln w="9525">
                            <a:noFill/>
                            <a:miter lim="800000"/>
                            <a:headEnd/>
                            <a:tailEnd/>
                          </a:ln>
                        </pic:spPr>
                      </pic:pic>
                    </a:graphicData>
                  </a:graphic>
                </wp:inline>
              </w:drawing>
            </w:r>
            <w:r w:rsidRPr="0088780C">
              <w:rPr>
                <w:snapToGrid w:val="0"/>
                <w:kern w:val="22"/>
                <w:szCs w:val="22"/>
              </w:rPr>
              <w:t xml:space="preserve"> Большеглазый пузанок </w:t>
            </w:r>
            <w:r w:rsidRPr="0088780C">
              <w:rPr>
                <w:i/>
                <w:snapToGrid w:val="0"/>
                <w:kern w:val="22"/>
                <w:szCs w:val="22"/>
              </w:rPr>
              <w:t>Alosa saposhnikovii</w:t>
            </w:r>
          </w:p>
        </w:tc>
      </w:tr>
      <w:tr w:rsidR="00A876F3" w:rsidRPr="0088780C" w14:paraId="13DB5D5B" w14:textId="77777777" w:rsidTr="003A1B43">
        <w:trPr>
          <w:trHeight w:val="544"/>
        </w:trPr>
        <w:tc>
          <w:tcPr>
            <w:tcW w:w="4819" w:type="dxa"/>
          </w:tcPr>
          <w:p w14:paraId="6292B8BC"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noProof/>
                <w:snapToGrid w:val="0"/>
                <w:kern w:val="22"/>
                <w:szCs w:val="22"/>
                <w:lang w:eastAsia="zh-CN"/>
              </w:rPr>
              <w:drawing>
                <wp:inline distT="0" distB="0" distL="0" distR="0" wp14:anchorId="2D38513A" wp14:editId="6490E52D">
                  <wp:extent cx="3057525" cy="1352550"/>
                  <wp:effectExtent l="19050" t="0" r="9525" b="0"/>
                  <wp:docPr id="13337" name="Рисунок 6" descr="FISH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SH15"/>
                          <pic:cNvPicPr>
                            <a:picLocks noChangeAspect="1" noChangeArrowheads="1"/>
                          </pic:cNvPicPr>
                        </pic:nvPicPr>
                        <pic:blipFill>
                          <a:blip r:embed="rId328" cstate="print"/>
                          <a:srcRect/>
                          <a:stretch>
                            <a:fillRect/>
                          </a:stretch>
                        </pic:blipFill>
                        <pic:spPr bwMode="auto">
                          <a:xfrm>
                            <a:off x="0" y="0"/>
                            <a:ext cx="3057525" cy="1352550"/>
                          </a:xfrm>
                          <a:prstGeom prst="rect">
                            <a:avLst/>
                          </a:prstGeom>
                          <a:noFill/>
                          <a:ln w="9525">
                            <a:noFill/>
                            <a:miter lim="800000"/>
                            <a:headEnd/>
                            <a:tailEnd/>
                          </a:ln>
                        </pic:spPr>
                      </pic:pic>
                    </a:graphicData>
                  </a:graphic>
                </wp:inline>
              </w:drawing>
            </w:r>
            <w:r w:rsidRPr="0088780C">
              <w:rPr>
                <w:snapToGrid w:val="0"/>
                <w:kern w:val="22"/>
                <w:szCs w:val="22"/>
              </w:rPr>
              <w:t xml:space="preserve"> Каспийский пузанок </w:t>
            </w:r>
            <w:r w:rsidRPr="0088780C">
              <w:rPr>
                <w:i/>
                <w:snapToGrid w:val="0"/>
                <w:kern w:val="22"/>
                <w:szCs w:val="22"/>
              </w:rPr>
              <w:t>Alosa caspia caspia</w:t>
            </w:r>
          </w:p>
        </w:tc>
        <w:tc>
          <w:tcPr>
            <w:tcW w:w="4820" w:type="dxa"/>
          </w:tcPr>
          <w:p w14:paraId="31C5FF2E" w14:textId="77777777" w:rsidR="00A876F3" w:rsidRPr="0088780C" w:rsidRDefault="00A876F3" w:rsidP="001013AF">
            <w:pPr>
              <w:suppressLineNumbers/>
              <w:suppressAutoHyphens/>
              <w:kinsoku w:val="0"/>
              <w:overflowPunct w:val="0"/>
              <w:autoSpaceDE w:val="0"/>
              <w:autoSpaceDN w:val="0"/>
              <w:jc w:val="right"/>
              <w:rPr>
                <w:snapToGrid w:val="0"/>
                <w:kern w:val="22"/>
                <w:szCs w:val="22"/>
              </w:rPr>
            </w:pPr>
            <w:r w:rsidRPr="0088780C">
              <w:rPr>
                <w:noProof/>
                <w:snapToGrid w:val="0"/>
                <w:kern w:val="22"/>
                <w:szCs w:val="22"/>
                <w:lang w:eastAsia="zh-CN"/>
              </w:rPr>
              <w:drawing>
                <wp:inline distT="0" distB="0" distL="0" distR="0" wp14:anchorId="25B4D7A6" wp14:editId="25C1CF27">
                  <wp:extent cx="3057525" cy="1352550"/>
                  <wp:effectExtent l="19050" t="0" r="9525" b="0"/>
                  <wp:docPr id="13338" name="Рисунок 7" descr="FISH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SH21"/>
                          <pic:cNvPicPr>
                            <a:picLocks noChangeAspect="1" noChangeArrowheads="1"/>
                          </pic:cNvPicPr>
                        </pic:nvPicPr>
                        <pic:blipFill>
                          <a:blip r:embed="rId329" cstate="print"/>
                          <a:srcRect/>
                          <a:stretch>
                            <a:fillRect/>
                          </a:stretch>
                        </pic:blipFill>
                        <pic:spPr bwMode="auto">
                          <a:xfrm>
                            <a:off x="0" y="0"/>
                            <a:ext cx="3057525" cy="1352550"/>
                          </a:xfrm>
                          <a:prstGeom prst="rect">
                            <a:avLst/>
                          </a:prstGeom>
                          <a:noFill/>
                          <a:ln w="9525">
                            <a:noFill/>
                            <a:miter lim="800000"/>
                            <a:headEnd/>
                            <a:tailEnd/>
                          </a:ln>
                        </pic:spPr>
                      </pic:pic>
                    </a:graphicData>
                  </a:graphic>
                </wp:inline>
              </w:drawing>
            </w:r>
            <w:r w:rsidRPr="0088780C">
              <w:rPr>
                <w:snapToGrid w:val="0"/>
                <w:kern w:val="22"/>
                <w:szCs w:val="22"/>
              </w:rPr>
              <w:t xml:space="preserve"> Каспийский лосось (кумжа) </w:t>
            </w:r>
            <w:r w:rsidRPr="0088780C">
              <w:rPr>
                <w:i/>
                <w:snapToGrid w:val="0"/>
                <w:kern w:val="22"/>
                <w:szCs w:val="22"/>
              </w:rPr>
              <w:t>Salmo trurra caspius</w:t>
            </w:r>
          </w:p>
        </w:tc>
      </w:tr>
      <w:tr w:rsidR="00A876F3" w:rsidRPr="0088780C" w14:paraId="6831BFFF" w14:textId="77777777" w:rsidTr="003A1B43">
        <w:trPr>
          <w:trHeight w:val="544"/>
        </w:trPr>
        <w:tc>
          <w:tcPr>
            <w:tcW w:w="4819" w:type="dxa"/>
          </w:tcPr>
          <w:p w14:paraId="61993723" w14:textId="77777777" w:rsidR="00A876F3" w:rsidRPr="0088780C" w:rsidRDefault="00A876F3" w:rsidP="001013AF">
            <w:pPr>
              <w:suppressLineNumbers/>
              <w:suppressAutoHyphens/>
              <w:kinsoku w:val="0"/>
              <w:overflowPunct w:val="0"/>
              <w:autoSpaceDE w:val="0"/>
              <w:autoSpaceDN w:val="0"/>
              <w:ind w:right="-57"/>
              <w:rPr>
                <w:snapToGrid w:val="0"/>
                <w:kern w:val="22"/>
                <w:szCs w:val="22"/>
              </w:rPr>
            </w:pPr>
            <w:r w:rsidRPr="0088780C">
              <w:rPr>
                <w:noProof/>
                <w:snapToGrid w:val="0"/>
                <w:kern w:val="22"/>
                <w:szCs w:val="22"/>
                <w:lang w:eastAsia="zh-CN"/>
              </w:rPr>
              <w:drawing>
                <wp:inline distT="0" distB="0" distL="0" distR="0" wp14:anchorId="1734C876" wp14:editId="5EFB20AC">
                  <wp:extent cx="3048000" cy="1504950"/>
                  <wp:effectExtent l="19050" t="0" r="0" b="0"/>
                  <wp:docPr id="15361" name="Рисунок 8" descr="FISH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SH22"/>
                          <pic:cNvPicPr>
                            <a:picLocks noChangeAspect="1" noChangeArrowheads="1"/>
                          </pic:cNvPicPr>
                        </pic:nvPicPr>
                        <pic:blipFill>
                          <a:blip r:embed="rId330" cstate="print"/>
                          <a:srcRect/>
                          <a:stretch>
                            <a:fillRect/>
                          </a:stretch>
                        </pic:blipFill>
                        <pic:spPr bwMode="auto">
                          <a:xfrm>
                            <a:off x="0" y="0"/>
                            <a:ext cx="3048000" cy="1504950"/>
                          </a:xfrm>
                          <a:prstGeom prst="rect">
                            <a:avLst/>
                          </a:prstGeom>
                          <a:noFill/>
                          <a:ln w="9525">
                            <a:noFill/>
                            <a:miter lim="800000"/>
                            <a:headEnd/>
                            <a:tailEnd/>
                          </a:ln>
                        </pic:spPr>
                      </pic:pic>
                    </a:graphicData>
                  </a:graphic>
                </wp:inline>
              </w:drawing>
            </w:r>
            <w:r w:rsidRPr="0088780C">
              <w:rPr>
                <w:snapToGrid w:val="0"/>
                <w:kern w:val="22"/>
                <w:szCs w:val="22"/>
              </w:rPr>
              <w:t xml:space="preserve"> Белуга </w:t>
            </w:r>
            <w:r w:rsidRPr="0088780C">
              <w:rPr>
                <w:i/>
                <w:snapToGrid w:val="0"/>
                <w:kern w:val="22"/>
                <w:szCs w:val="22"/>
              </w:rPr>
              <w:t>Huso huso</w:t>
            </w:r>
          </w:p>
        </w:tc>
        <w:tc>
          <w:tcPr>
            <w:tcW w:w="4820" w:type="dxa"/>
          </w:tcPr>
          <w:p w14:paraId="4DE513B4" w14:textId="77777777" w:rsidR="00A876F3" w:rsidRPr="0088780C" w:rsidRDefault="00A876F3" w:rsidP="001013AF">
            <w:pPr>
              <w:suppressLineNumbers/>
              <w:suppressAutoHyphens/>
              <w:kinsoku w:val="0"/>
              <w:overflowPunct w:val="0"/>
              <w:autoSpaceDE w:val="0"/>
              <w:autoSpaceDN w:val="0"/>
              <w:ind w:right="-57"/>
              <w:jc w:val="right"/>
              <w:rPr>
                <w:snapToGrid w:val="0"/>
                <w:kern w:val="22"/>
                <w:szCs w:val="22"/>
              </w:rPr>
            </w:pPr>
            <w:r w:rsidRPr="0088780C">
              <w:rPr>
                <w:noProof/>
                <w:snapToGrid w:val="0"/>
                <w:kern w:val="22"/>
                <w:szCs w:val="22"/>
                <w:lang w:eastAsia="zh-CN"/>
              </w:rPr>
              <w:drawing>
                <wp:inline distT="0" distB="0" distL="0" distR="0" wp14:anchorId="63213D1A" wp14:editId="0D31E763">
                  <wp:extent cx="3048000" cy="1504950"/>
                  <wp:effectExtent l="19050" t="0" r="0" b="0"/>
                  <wp:docPr id="15363" name="Рисунок 9" descr="FISH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SH23"/>
                          <pic:cNvPicPr>
                            <a:picLocks noChangeAspect="1" noChangeArrowheads="1"/>
                          </pic:cNvPicPr>
                        </pic:nvPicPr>
                        <pic:blipFill>
                          <a:blip r:embed="rId331" cstate="print"/>
                          <a:srcRect/>
                          <a:stretch>
                            <a:fillRect/>
                          </a:stretch>
                        </pic:blipFill>
                        <pic:spPr bwMode="auto">
                          <a:xfrm>
                            <a:off x="0" y="0"/>
                            <a:ext cx="3048000" cy="1504950"/>
                          </a:xfrm>
                          <a:prstGeom prst="rect">
                            <a:avLst/>
                          </a:prstGeom>
                          <a:noFill/>
                          <a:ln w="9525">
                            <a:noFill/>
                            <a:miter lim="800000"/>
                            <a:headEnd/>
                            <a:tailEnd/>
                          </a:ln>
                        </pic:spPr>
                      </pic:pic>
                    </a:graphicData>
                  </a:graphic>
                </wp:inline>
              </w:drawing>
            </w:r>
            <w:r w:rsidRPr="0088780C">
              <w:rPr>
                <w:snapToGrid w:val="0"/>
                <w:kern w:val="22"/>
                <w:szCs w:val="22"/>
              </w:rPr>
              <w:t xml:space="preserve"> Кутум </w:t>
            </w:r>
            <w:r w:rsidRPr="0088780C">
              <w:rPr>
                <w:i/>
                <w:snapToGrid w:val="0"/>
                <w:kern w:val="22"/>
                <w:szCs w:val="22"/>
              </w:rPr>
              <w:t>Rutilus frisii kutum</w:t>
            </w:r>
          </w:p>
        </w:tc>
      </w:tr>
      <w:tr w:rsidR="00A876F3" w:rsidRPr="0088780C" w14:paraId="7939165D" w14:textId="77777777" w:rsidTr="003A1B43">
        <w:trPr>
          <w:trHeight w:val="544"/>
        </w:trPr>
        <w:tc>
          <w:tcPr>
            <w:tcW w:w="4819" w:type="dxa"/>
          </w:tcPr>
          <w:p w14:paraId="579F9125" w14:textId="77777777" w:rsidR="00A876F3" w:rsidRPr="0088780C" w:rsidRDefault="00A876F3" w:rsidP="001013AF">
            <w:pPr>
              <w:suppressLineNumbers/>
              <w:suppressAutoHyphens/>
              <w:kinsoku w:val="0"/>
              <w:overflowPunct w:val="0"/>
              <w:autoSpaceDE w:val="0"/>
              <w:autoSpaceDN w:val="0"/>
              <w:ind w:right="-57"/>
              <w:rPr>
                <w:snapToGrid w:val="0"/>
                <w:kern w:val="22"/>
                <w:szCs w:val="22"/>
              </w:rPr>
            </w:pPr>
            <w:r w:rsidRPr="0088780C">
              <w:rPr>
                <w:noProof/>
                <w:snapToGrid w:val="0"/>
                <w:kern w:val="22"/>
                <w:szCs w:val="22"/>
                <w:lang w:eastAsia="zh-CN"/>
              </w:rPr>
              <w:drawing>
                <wp:inline distT="0" distB="0" distL="0" distR="0" wp14:anchorId="4E868BBE" wp14:editId="1AABDC81">
                  <wp:extent cx="3057525" cy="1552575"/>
                  <wp:effectExtent l="19050" t="0" r="9525" b="0"/>
                  <wp:docPr id="15364" name="Рисунок 10" descr="FISH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SH24"/>
                          <pic:cNvPicPr>
                            <a:picLocks noChangeAspect="1" noChangeArrowheads="1"/>
                          </pic:cNvPicPr>
                        </pic:nvPicPr>
                        <pic:blipFill>
                          <a:blip r:embed="rId332" cstate="print"/>
                          <a:srcRect/>
                          <a:stretch>
                            <a:fillRect/>
                          </a:stretch>
                        </pic:blipFill>
                        <pic:spPr bwMode="auto">
                          <a:xfrm>
                            <a:off x="0" y="0"/>
                            <a:ext cx="3057525" cy="1552575"/>
                          </a:xfrm>
                          <a:prstGeom prst="rect">
                            <a:avLst/>
                          </a:prstGeom>
                          <a:noFill/>
                          <a:ln w="9525">
                            <a:noFill/>
                            <a:miter lim="800000"/>
                            <a:headEnd/>
                            <a:tailEnd/>
                          </a:ln>
                        </pic:spPr>
                      </pic:pic>
                    </a:graphicData>
                  </a:graphic>
                </wp:inline>
              </w:drawing>
            </w:r>
            <w:r w:rsidRPr="0088780C">
              <w:rPr>
                <w:snapToGrid w:val="0"/>
                <w:kern w:val="22"/>
                <w:szCs w:val="22"/>
              </w:rPr>
              <w:t xml:space="preserve"> Русский осетр </w:t>
            </w:r>
            <w:r w:rsidRPr="0088780C">
              <w:rPr>
                <w:i/>
                <w:snapToGrid w:val="0"/>
                <w:kern w:val="22"/>
                <w:szCs w:val="22"/>
              </w:rPr>
              <w:t>Acipenser guldenstadti</w:t>
            </w:r>
          </w:p>
        </w:tc>
        <w:tc>
          <w:tcPr>
            <w:tcW w:w="4820" w:type="dxa"/>
          </w:tcPr>
          <w:p w14:paraId="1F902DC8" w14:textId="77777777" w:rsidR="00A876F3" w:rsidRPr="0088780C" w:rsidRDefault="00A876F3" w:rsidP="001013AF">
            <w:pPr>
              <w:suppressLineNumbers/>
              <w:suppressAutoHyphens/>
              <w:kinsoku w:val="0"/>
              <w:overflowPunct w:val="0"/>
              <w:autoSpaceDE w:val="0"/>
              <w:autoSpaceDN w:val="0"/>
              <w:ind w:right="-57"/>
              <w:jc w:val="right"/>
              <w:rPr>
                <w:snapToGrid w:val="0"/>
                <w:kern w:val="22"/>
                <w:szCs w:val="22"/>
              </w:rPr>
            </w:pPr>
            <w:r w:rsidRPr="0088780C">
              <w:rPr>
                <w:noProof/>
                <w:snapToGrid w:val="0"/>
                <w:kern w:val="22"/>
                <w:szCs w:val="22"/>
                <w:lang w:eastAsia="zh-CN"/>
              </w:rPr>
              <w:drawing>
                <wp:inline distT="0" distB="0" distL="0" distR="0" wp14:anchorId="4E370A98" wp14:editId="309E38DE">
                  <wp:extent cx="3048000" cy="1562100"/>
                  <wp:effectExtent l="19050" t="0" r="0" b="0"/>
                  <wp:docPr id="15365" name="Рисунок 11" descr="FISH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25"/>
                          <pic:cNvPicPr>
                            <a:picLocks noChangeAspect="1" noChangeArrowheads="1"/>
                          </pic:cNvPicPr>
                        </pic:nvPicPr>
                        <pic:blipFill>
                          <a:blip r:embed="rId333" cstate="print"/>
                          <a:srcRect/>
                          <a:stretch>
                            <a:fillRect/>
                          </a:stretch>
                        </pic:blipFill>
                        <pic:spPr bwMode="auto">
                          <a:xfrm>
                            <a:off x="0" y="0"/>
                            <a:ext cx="3048000" cy="1562100"/>
                          </a:xfrm>
                          <a:prstGeom prst="rect">
                            <a:avLst/>
                          </a:prstGeom>
                          <a:noFill/>
                          <a:ln w="9525">
                            <a:noFill/>
                            <a:miter lim="800000"/>
                            <a:headEnd/>
                            <a:tailEnd/>
                          </a:ln>
                        </pic:spPr>
                      </pic:pic>
                    </a:graphicData>
                  </a:graphic>
                </wp:inline>
              </w:drawing>
            </w:r>
            <w:r w:rsidRPr="0088780C">
              <w:rPr>
                <w:snapToGrid w:val="0"/>
                <w:kern w:val="22"/>
                <w:szCs w:val="22"/>
              </w:rPr>
              <w:t xml:space="preserve"> Севрюга </w:t>
            </w:r>
            <w:r w:rsidRPr="0088780C">
              <w:rPr>
                <w:i/>
                <w:snapToGrid w:val="0"/>
                <w:kern w:val="22"/>
                <w:szCs w:val="22"/>
              </w:rPr>
              <w:t>Acipenser stellatus</w:t>
            </w:r>
          </w:p>
        </w:tc>
      </w:tr>
    </w:tbl>
    <w:p w14:paraId="09E2F3E7" w14:textId="16DEFB43" w:rsidR="00A876F3" w:rsidRPr="0088780C" w:rsidRDefault="00A876F3" w:rsidP="003A1B43">
      <w:pPr>
        <w:suppressLineNumbers/>
        <w:suppressAutoHyphens/>
        <w:kinsoku w:val="0"/>
        <w:overflowPunct w:val="0"/>
        <w:autoSpaceDE w:val="0"/>
        <w:autoSpaceDN w:val="0"/>
        <w:spacing w:before="60"/>
        <w:rPr>
          <w:rFonts w:eastAsia="MS Mincho"/>
          <w:snapToGrid w:val="0"/>
          <w:kern w:val="22"/>
          <w:szCs w:val="22"/>
        </w:rPr>
      </w:pPr>
      <w:r w:rsidRPr="0088780C">
        <w:rPr>
          <w:rFonts w:eastAsia="MS Mincho"/>
          <w:b/>
          <w:bCs/>
          <w:snapToGrid w:val="0"/>
          <w:kern w:val="22"/>
          <w:szCs w:val="22"/>
        </w:rPr>
        <w:t>Figure 3. Key fish spec</w:t>
      </w:r>
      <w:r w:rsidR="003A1B43" w:rsidRPr="0088780C">
        <w:rPr>
          <w:rFonts w:eastAsia="MS Mincho"/>
          <w:b/>
          <w:bCs/>
          <w:snapToGrid w:val="0"/>
          <w:kern w:val="22"/>
          <w:szCs w:val="22"/>
        </w:rPr>
        <w:t>ies for the Samur – Yalama area</w:t>
      </w:r>
    </w:p>
    <w:p w14:paraId="62B3AC53" w14:textId="12570148"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snapToGrid w:val="0"/>
          <w:kern w:val="22"/>
          <w:szCs w:val="22"/>
        </w:rPr>
        <w:br w:type="page"/>
      </w: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31: Kizlyar Bay</w:t>
      </w:r>
    </w:p>
    <w:p w14:paraId="21E6C9F7" w14:textId="77777777" w:rsidR="00A876F3" w:rsidRPr="0088780C" w:rsidRDefault="00A876F3" w:rsidP="003A1B43">
      <w:pPr>
        <w:suppressLineNumbers/>
        <w:suppressAutoHyphens/>
        <w:kinsoku w:val="0"/>
        <w:overflowPunct w:val="0"/>
        <w:autoSpaceDE w:val="0"/>
        <w:autoSpaceDN w:val="0"/>
        <w:rPr>
          <w:rFonts w:eastAsia="MS Mincho"/>
          <w:snapToGrid w:val="0"/>
          <w:kern w:val="22"/>
          <w:szCs w:val="22"/>
        </w:rPr>
      </w:pPr>
    </w:p>
    <w:p w14:paraId="2DDECC18" w14:textId="77777777"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Abstract</w:t>
      </w:r>
    </w:p>
    <w:p w14:paraId="57487382" w14:textId="035A0625"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area is the most northerly sea bay on the western coast of the Caspian Sea. This area is of key importance for seasonal migrations of waterfowl and waterbirds moving from western Siberia and Eastern Europe, flying through, or wintering on this coast. Species composition of birds is represented by 250 species, most of them waterfowl. This is a key area for such rare species of birds such as the </w:t>
      </w:r>
      <w:r w:rsidRPr="0088780C">
        <w:rPr>
          <w:snapToGrid w:val="0"/>
          <w:kern w:val="22"/>
          <w:szCs w:val="22"/>
          <w:shd w:val="clear" w:color="auto" w:fill="FFFFFF"/>
        </w:rPr>
        <w:t>Dalmatian pelican</w:t>
      </w:r>
      <w:r w:rsidRPr="0088780C">
        <w:rPr>
          <w:snapToGrid w:val="0"/>
          <w:kern w:val="22"/>
          <w:szCs w:val="22"/>
        </w:rPr>
        <w:t xml:space="preserve"> (</w:t>
      </w:r>
      <w:r w:rsidRPr="0088780C">
        <w:rPr>
          <w:i/>
          <w:snapToGrid w:val="0"/>
          <w:kern w:val="22"/>
          <w:szCs w:val="22"/>
          <w:shd w:val="clear" w:color="auto" w:fill="FFFFFF"/>
        </w:rPr>
        <w:t>Pelecanus crispus</w:t>
      </w:r>
      <w:r w:rsidRPr="0088780C">
        <w:rPr>
          <w:snapToGrid w:val="0"/>
          <w:kern w:val="22"/>
          <w:szCs w:val="22"/>
          <w:shd w:val="clear" w:color="auto" w:fill="FFFFFF"/>
        </w:rPr>
        <w:t>)</w:t>
      </w:r>
      <w:r w:rsidRPr="0088780C">
        <w:rPr>
          <w:snapToGrid w:val="0"/>
          <w:kern w:val="22"/>
          <w:szCs w:val="22"/>
        </w:rPr>
        <w:t>, as well as many common species (e.g., coot, gray goose, different species of ducks). The area serves as a breeding, foraging and migration ground for more than 60 species of fish. Kizlyar Bay is an important habitat for endangered species, such as sturgeons (</w:t>
      </w:r>
      <w:r w:rsidRPr="0088780C">
        <w:rPr>
          <w:i/>
          <w:snapToGrid w:val="0"/>
          <w:kern w:val="22"/>
          <w:szCs w:val="22"/>
        </w:rPr>
        <w:t>Huso huso</w:t>
      </w:r>
      <w:r w:rsidRPr="0088780C">
        <w:rPr>
          <w:snapToGrid w:val="0"/>
          <w:kern w:val="22"/>
          <w:szCs w:val="22"/>
        </w:rPr>
        <w:t xml:space="preserve">, </w:t>
      </w:r>
      <w:r w:rsidRPr="0088780C">
        <w:rPr>
          <w:i/>
          <w:snapToGrid w:val="0"/>
          <w:kern w:val="22"/>
          <w:szCs w:val="22"/>
          <w:shd w:val="clear" w:color="auto" w:fill="FFFFFF"/>
        </w:rPr>
        <w:t>Acipenser gueldenstaedtii</w:t>
      </w:r>
      <w:r w:rsidRPr="0088780C">
        <w:rPr>
          <w:snapToGrid w:val="0"/>
          <w:kern w:val="22"/>
          <w:szCs w:val="22"/>
          <w:shd w:val="clear" w:color="auto" w:fill="FFFFFF"/>
        </w:rPr>
        <w:t>,</w:t>
      </w:r>
      <w:r w:rsidRPr="0088780C">
        <w:rPr>
          <w:rStyle w:val="apple-converted-space"/>
          <w:snapToGrid w:val="0"/>
          <w:kern w:val="22"/>
          <w:szCs w:val="22"/>
          <w:shd w:val="clear" w:color="auto" w:fill="FFFFFF"/>
        </w:rPr>
        <w:t> </w:t>
      </w:r>
      <w:r w:rsidRPr="0088780C">
        <w:rPr>
          <w:i/>
          <w:snapToGrid w:val="0"/>
          <w:kern w:val="22"/>
          <w:szCs w:val="22"/>
          <w:shd w:val="clear" w:color="auto" w:fill="FFFFFF"/>
        </w:rPr>
        <w:t>Acipenser stellatus</w:t>
      </w:r>
      <w:r w:rsidRPr="0088780C">
        <w:rPr>
          <w:snapToGrid w:val="0"/>
          <w:kern w:val="22"/>
          <w:szCs w:val="22"/>
        </w:rPr>
        <w:t>). The islands that are located within the area are sites of seasonal aggregation of the Caspian seal (</w:t>
      </w:r>
      <w:r w:rsidRPr="0088780C">
        <w:rPr>
          <w:i/>
          <w:snapToGrid w:val="0"/>
          <w:kern w:val="22"/>
          <w:szCs w:val="22"/>
          <w:shd w:val="clear" w:color="auto" w:fill="FFFFFF"/>
        </w:rPr>
        <w:t>Phoca caspica</w:t>
      </w:r>
      <w:r w:rsidRPr="0088780C">
        <w:rPr>
          <w:snapToGrid w:val="0"/>
          <w:kern w:val="22"/>
          <w:szCs w:val="22"/>
        </w:rPr>
        <w:t xml:space="preserve">). In 2017, the territory was partially included in the UNESCO Biosphere Reserve </w:t>
      </w:r>
      <w:r w:rsidR="00D8482D" w:rsidRPr="0088780C">
        <w:rPr>
          <w:snapToGrid w:val="0"/>
          <w:kern w:val="22"/>
          <w:szCs w:val="22"/>
        </w:rPr>
        <w:t>“</w:t>
      </w:r>
      <w:r w:rsidRPr="0088780C">
        <w:rPr>
          <w:snapToGrid w:val="0"/>
          <w:kern w:val="22"/>
          <w:szCs w:val="22"/>
        </w:rPr>
        <w:t>Kizlyar Bay</w:t>
      </w:r>
      <w:r w:rsidR="00D8482D" w:rsidRPr="0088780C">
        <w:rPr>
          <w:snapToGrid w:val="0"/>
          <w:kern w:val="22"/>
          <w:szCs w:val="22"/>
        </w:rPr>
        <w:t>”</w:t>
      </w:r>
      <w:r w:rsidR="003A1B43" w:rsidRPr="0088780C">
        <w:rPr>
          <w:snapToGrid w:val="0"/>
          <w:kern w:val="22"/>
          <w:szCs w:val="22"/>
        </w:rPr>
        <w:t>.</w:t>
      </w:r>
    </w:p>
    <w:p w14:paraId="11842450"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571BBA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4737A332" w14:textId="2FAA73E3" w:rsidR="00A876F3" w:rsidRPr="0088780C" w:rsidRDefault="00A876F3" w:rsidP="001013AF">
      <w:pPr>
        <w:suppressLineNumbers/>
        <w:suppressAutoHyphens/>
        <w:kinsoku w:val="0"/>
        <w:overflowPunct w:val="0"/>
        <w:autoSpaceDE w:val="0"/>
        <w:autoSpaceDN w:val="0"/>
        <w:rPr>
          <w:snapToGrid w:val="0"/>
          <w:spacing w:val="-2"/>
          <w:kern w:val="22"/>
          <w:szCs w:val="22"/>
        </w:rPr>
      </w:pPr>
      <w:r w:rsidRPr="0088780C">
        <w:rPr>
          <w:snapToGrid w:val="0"/>
          <w:spacing w:val="-2"/>
          <w:kern w:val="22"/>
          <w:szCs w:val="22"/>
        </w:rPr>
        <w:t>The area covers the north-western coast of the Caspian Sea from the Volga Delta to the Agrakhan Peninsula (inclusive) and the islands of Tyuleni and Chechen’. This is essentially a brakish water bay. These are shallow,recently drained sites along the coast of the Caspian Sea. With the almost flat surface of the section, the boundary between land and sea is subtle and constantly changing (</w:t>
      </w:r>
      <w:r w:rsidRPr="0088780C">
        <w:rPr>
          <w:snapToGrid w:val="0"/>
          <w:spacing w:val="-2"/>
          <w:kern w:val="22"/>
          <w:szCs w:val="22"/>
          <w:lang w:val="ru-RU"/>
        </w:rPr>
        <w:t>Джамирзоев Г.С.,</w:t>
      </w:r>
      <w:r w:rsidR="003A1B43" w:rsidRPr="0088780C">
        <w:rPr>
          <w:snapToGrid w:val="0"/>
          <w:spacing w:val="-2"/>
          <w:kern w:val="22"/>
          <w:szCs w:val="22"/>
          <w:lang w:val="en-US"/>
        </w:rPr>
        <w:t xml:space="preserve"> </w:t>
      </w:r>
      <w:r w:rsidRPr="0088780C">
        <w:rPr>
          <w:snapToGrid w:val="0"/>
          <w:spacing w:val="-2"/>
          <w:kern w:val="22"/>
          <w:szCs w:val="22"/>
          <w:lang w:val="ru-RU"/>
        </w:rPr>
        <w:t>2006</w:t>
      </w:r>
      <w:r w:rsidRPr="0088780C">
        <w:rPr>
          <w:snapToGrid w:val="0"/>
          <w:spacing w:val="-2"/>
          <w:kern w:val="22"/>
          <w:szCs w:val="22"/>
        </w:rPr>
        <w:t>).</w:t>
      </w:r>
    </w:p>
    <w:p w14:paraId="3C7C863D"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0369A2B"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During the autumn migration of birds, flocks of waterfowl and waterbirds form here. After the formation of ice, birds wintering in the Volga Delta also migrate to this region.</w:t>
      </w:r>
    </w:p>
    <w:p w14:paraId="19C52C74" w14:textId="77777777" w:rsidR="00A876F3" w:rsidRPr="0088780C" w:rsidRDefault="00A876F3" w:rsidP="001013AF">
      <w:pPr>
        <w:suppressLineNumbers/>
        <w:suppressAutoHyphens/>
        <w:kinsoku w:val="0"/>
        <w:overflowPunct w:val="0"/>
        <w:autoSpaceDE w:val="0"/>
        <w:autoSpaceDN w:val="0"/>
        <w:rPr>
          <w:snapToGrid w:val="0"/>
          <w:color w:val="000000"/>
          <w:kern w:val="22"/>
          <w:szCs w:val="22"/>
          <w:shd w:val="clear" w:color="auto" w:fill="FFFFFF"/>
        </w:rPr>
      </w:pPr>
    </w:p>
    <w:p w14:paraId="3C4726E6" w14:textId="1CFC3249" w:rsidR="00A876F3" w:rsidRPr="0088780C" w:rsidRDefault="00A876F3" w:rsidP="00C37FE4">
      <w:pPr>
        <w:suppressLineNumbers/>
        <w:suppressAutoHyphens/>
        <w:kinsoku w:val="0"/>
        <w:overflowPunct w:val="0"/>
        <w:autoSpaceDE w:val="0"/>
        <w:autoSpaceDN w:val="0"/>
        <w:rPr>
          <w:snapToGrid w:val="0"/>
          <w:kern w:val="22"/>
          <w:szCs w:val="22"/>
        </w:rPr>
      </w:pPr>
      <w:r w:rsidRPr="0088780C">
        <w:rPr>
          <w:snapToGrid w:val="0"/>
          <w:color w:val="000000"/>
          <w:kern w:val="22"/>
          <w:szCs w:val="22"/>
          <w:shd w:val="clear" w:color="auto" w:fill="FFFFFF"/>
        </w:rPr>
        <w:t>The area overlaps with an Important Bird and Biodiversity Areas (IBA; BirdLife International 2017a), mostly designated for its very high importance for aquatic species. Large numbers of waterbirds can be found during winter and migratory periods (with rough estimates of 50,000-99,999 individuals during migration and 20,000-49,999 during the winter). The</w:t>
      </w:r>
      <w:r w:rsidR="00C37FE4" w:rsidRPr="0088780C">
        <w:rPr>
          <w:rStyle w:val="apple-converted-space"/>
          <w:snapToGrid w:val="0"/>
          <w:color w:val="000000"/>
          <w:kern w:val="22"/>
          <w:szCs w:val="22"/>
          <w:shd w:val="clear" w:color="auto" w:fill="FFFFFF"/>
        </w:rPr>
        <w:t xml:space="preserve"> </w:t>
      </w:r>
      <w:r w:rsidRPr="0088780C">
        <w:rPr>
          <w:snapToGrid w:val="0"/>
          <w:color w:val="000000"/>
          <w:kern w:val="22"/>
          <w:szCs w:val="22"/>
          <w:shd w:val="clear" w:color="auto" w:fill="FFFFFF"/>
        </w:rPr>
        <w:t>globally threatened Dalmatian pelican</w:t>
      </w:r>
      <w:r w:rsidR="00C37FE4" w:rsidRPr="0088780C">
        <w:rPr>
          <w:rStyle w:val="apple-converted-space"/>
          <w:snapToGrid w:val="0"/>
          <w:color w:val="000000"/>
          <w:kern w:val="22"/>
          <w:szCs w:val="22"/>
          <w:shd w:val="clear" w:color="auto" w:fill="FFFFFF"/>
        </w:rPr>
        <w:t xml:space="preserve"> </w:t>
      </w:r>
      <w:r w:rsidRPr="0088780C">
        <w:rPr>
          <w:rStyle w:val="apple-converted-space"/>
          <w:snapToGrid w:val="0"/>
          <w:color w:val="000000"/>
          <w:kern w:val="22"/>
          <w:szCs w:val="22"/>
          <w:shd w:val="clear" w:color="auto" w:fill="FFFFFF"/>
        </w:rPr>
        <w:t>(</w:t>
      </w:r>
      <w:r w:rsidRPr="0088780C">
        <w:rPr>
          <w:i/>
          <w:iCs/>
          <w:snapToGrid w:val="0"/>
          <w:color w:val="000000"/>
          <w:kern w:val="22"/>
          <w:szCs w:val="22"/>
          <w:shd w:val="clear" w:color="auto" w:fill="FFFFFF"/>
        </w:rPr>
        <w:t>Pelecanus crispus)</w:t>
      </w:r>
      <w:r w:rsidR="00C37FE4" w:rsidRPr="0088780C">
        <w:rPr>
          <w:i/>
          <w:iCs/>
          <w:snapToGrid w:val="0"/>
          <w:color w:val="000000"/>
          <w:kern w:val="22"/>
          <w:szCs w:val="22"/>
          <w:shd w:val="clear" w:color="auto" w:fill="FFFFFF"/>
        </w:rPr>
        <w:t xml:space="preserve"> </w:t>
      </w:r>
      <w:r w:rsidRPr="0088780C">
        <w:rPr>
          <w:snapToGrid w:val="0"/>
          <w:color w:val="000000"/>
          <w:kern w:val="22"/>
          <w:szCs w:val="22"/>
          <w:shd w:val="clear" w:color="auto" w:fill="FFFFFF"/>
        </w:rPr>
        <w:t>occurs in the area.</w:t>
      </w:r>
    </w:p>
    <w:p w14:paraId="10AC0758"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32A280E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1F36FD46" w14:textId="73E6BFCE"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 xml:space="preserve">The area covers the </w:t>
      </w:r>
      <w:r w:rsidR="00C656A2" w:rsidRPr="0088780C">
        <w:rPr>
          <w:snapToGrid w:val="0"/>
          <w:kern w:val="22"/>
          <w:szCs w:val="22"/>
        </w:rPr>
        <w:t>north-west</w:t>
      </w:r>
      <w:r w:rsidRPr="0088780C">
        <w:rPr>
          <w:snapToGrid w:val="0"/>
          <w:kern w:val="22"/>
          <w:szCs w:val="22"/>
        </w:rPr>
        <w:t xml:space="preserve"> coast of the Caspian Sea from the Volga Delta to the Agrakhan Peninsula (inclusive) and the islands of Tyuleniy and Chechen.</w:t>
      </w:r>
    </w:p>
    <w:p w14:paraId="1B9F2F7D"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4ED85B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672F4C8A" w14:textId="1221E29B"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This is a freshwater bay with an average depth of about 1.5 m. Due to the overtaking phenomena, in strong winds, the water level in the bay can fluctuate significantly. The shallow part of the water area is occupied by a wide strip of reed supports, cut by canals, numerous reaches and creeks (</w:t>
      </w:r>
      <w:r w:rsidRPr="0088780C">
        <w:rPr>
          <w:snapToGrid w:val="0"/>
          <w:color w:val="000000"/>
          <w:kern w:val="22"/>
          <w:szCs w:val="22"/>
          <w:lang w:val="ru-RU"/>
        </w:rPr>
        <w:t>Труды…,</w:t>
      </w:r>
      <w:r w:rsidR="00C37FE4" w:rsidRPr="0088780C">
        <w:rPr>
          <w:snapToGrid w:val="0"/>
          <w:color w:val="000000"/>
          <w:kern w:val="22"/>
          <w:szCs w:val="22"/>
          <w:lang w:val="ru-RU"/>
        </w:rPr>
        <w:t xml:space="preserve"> </w:t>
      </w:r>
      <w:r w:rsidRPr="0088780C">
        <w:rPr>
          <w:snapToGrid w:val="0"/>
          <w:color w:val="000000"/>
          <w:kern w:val="22"/>
          <w:szCs w:val="22"/>
          <w:lang w:val="ru-RU"/>
        </w:rPr>
        <w:t>2011</w:t>
      </w:r>
      <w:r w:rsidRPr="0088780C">
        <w:rPr>
          <w:snapToGrid w:val="0"/>
          <w:kern w:val="22"/>
          <w:szCs w:val="22"/>
        </w:rPr>
        <w:t>).</w:t>
      </w:r>
    </w:p>
    <w:p w14:paraId="1C983788"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6971761" w14:textId="61ECA157" w:rsidR="00A876F3" w:rsidRPr="0088780C" w:rsidRDefault="00A876F3" w:rsidP="00C37FE4">
      <w:pPr>
        <w:suppressLineNumbers/>
        <w:suppressAutoHyphens/>
        <w:kinsoku w:val="0"/>
        <w:overflowPunct w:val="0"/>
        <w:autoSpaceDE w:val="0"/>
        <w:autoSpaceDN w:val="0"/>
        <w:rPr>
          <w:snapToGrid w:val="0"/>
          <w:spacing w:val="-2"/>
          <w:kern w:val="22"/>
          <w:szCs w:val="22"/>
        </w:rPr>
      </w:pPr>
      <w:r w:rsidRPr="0088780C">
        <w:rPr>
          <w:snapToGrid w:val="0"/>
          <w:spacing w:val="-2"/>
          <w:kern w:val="22"/>
          <w:szCs w:val="22"/>
        </w:rPr>
        <w:t>Vegetation is represented by a variety of transitions from the marshy to the marshy and sub-plains meadows. As far as the distance from the water, the meadows go to semi-desert cereal-wormwood and saltwort-sagebrush complexes. In the flora of the Kizlyar Bay, rare and protected species such as common sword grass (</w:t>
      </w:r>
      <w:r w:rsidRPr="0088780C">
        <w:rPr>
          <w:i/>
          <w:snapToGrid w:val="0"/>
          <w:spacing w:val="-2"/>
          <w:kern w:val="22"/>
          <w:szCs w:val="22"/>
          <w:shd w:val="clear" w:color="auto" w:fill="FFFFFF"/>
        </w:rPr>
        <w:t>Cládium maríscus</w:t>
      </w:r>
      <w:r w:rsidRPr="0088780C">
        <w:rPr>
          <w:snapToGrid w:val="0"/>
          <w:spacing w:val="-2"/>
          <w:kern w:val="22"/>
          <w:szCs w:val="22"/>
        </w:rPr>
        <w:t>), white water lily (</w:t>
      </w:r>
      <w:r w:rsidRPr="0088780C">
        <w:rPr>
          <w:i/>
          <w:snapToGrid w:val="0"/>
          <w:spacing w:val="-2"/>
          <w:kern w:val="22"/>
          <w:szCs w:val="22"/>
        </w:rPr>
        <w:t>Nymphaéa álba</w:t>
      </w:r>
      <w:r w:rsidRPr="0088780C">
        <w:rPr>
          <w:snapToGrid w:val="0"/>
          <w:spacing w:val="-2"/>
          <w:kern w:val="22"/>
          <w:szCs w:val="22"/>
        </w:rPr>
        <w:t xml:space="preserve">), </w:t>
      </w:r>
      <w:r w:rsidRPr="0088780C">
        <w:rPr>
          <w:snapToGrid w:val="0"/>
          <w:spacing w:val="-2"/>
          <w:kern w:val="22"/>
          <w:szCs w:val="22"/>
          <w:shd w:val="clear" w:color="auto" w:fill="FFFFFF"/>
        </w:rPr>
        <w:t>smith (</w:t>
      </w:r>
      <w:r w:rsidRPr="0088780C">
        <w:rPr>
          <w:i/>
          <w:snapToGrid w:val="0"/>
          <w:spacing w:val="-2"/>
          <w:kern w:val="22"/>
          <w:szCs w:val="22"/>
          <w:shd w:val="clear" w:color="auto" w:fill="FFFFFF"/>
        </w:rPr>
        <w:t>Nymphaea</w:t>
      </w:r>
      <w:r w:rsidRPr="0088780C">
        <w:rPr>
          <w:rStyle w:val="apple-converted-space"/>
          <w:i/>
          <w:snapToGrid w:val="0"/>
          <w:spacing w:val="-2"/>
          <w:kern w:val="22"/>
          <w:szCs w:val="22"/>
          <w:shd w:val="clear" w:color="auto" w:fill="FFFFFF"/>
        </w:rPr>
        <w:t> </w:t>
      </w:r>
      <w:r w:rsidRPr="0088780C">
        <w:rPr>
          <w:bCs/>
          <w:i/>
          <w:snapToGrid w:val="0"/>
          <w:spacing w:val="-2"/>
          <w:kern w:val="22"/>
          <w:szCs w:val="22"/>
          <w:shd w:val="clear" w:color="auto" w:fill="FFFFFF"/>
        </w:rPr>
        <w:t>lutea</w:t>
      </w:r>
      <w:r w:rsidRPr="0088780C">
        <w:rPr>
          <w:bCs/>
          <w:snapToGrid w:val="0"/>
          <w:spacing w:val="-2"/>
          <w:kern w:val="22"/>
          <w:szCs w:val="22"/>
          <w:shd w:val="clear" w:color="auto" w:fill="FFFFFF"/>
        </w:rPr>
        <w:t>)</w:t>
      </w:r>
      <w:r w:rsidRPr="0088780C">
        <w:rPr>
          <w:snapToGrid w:val="0"/>
          <w:spacing w:val="-2"/>
          <w:kern w:val="22"/>
          <w:szCs w:val="22"/>
        </w:rPr>
        <w:t>, Hyrkan water-nut (</w:t>
      </w:r>
      <w:r w:rsidRPr="0088780C">
        <w:rPr>
          <w:i/>
          <w:snapToGrid w:val="0"/>
          <w:spacing w:val="-2"/>
          <w:kern w:val="22"/>
          <w:szCs w:val="22"/>
        </w:rPr>
        <w:t>trapa gircana</w:t>
      </w:r>
      <w:r w:rsidRPr="0088780C">
        <w:rPr>
          <w:snapToGrid w:val="0"/>
          <w:spacing w:val="-2"/>
          <w:kern w:val="22"/>
          <w:szCs w:val="22"/>
        </w:rPr>
        <w:t xml:space="preserve">), </w:t>
      </w:r>
      <w:r w:rsidRPr="0088780C">
        <w:rPr>
          <w:bCs/>
          <w:snapToGrid w:val="0"/>
          <w:color w:val="222222"/>
          <w:spacing w:val="-2"/>
          <w:kern w:val="22"/>
          <w:szCs w:val="22"/>
          <w:shd w:val="clear" w:color="auto" w:fill="FFFFFF"/>
        </w:rPr>
        <w:t>common bladderwort</w:t>
      </w:r>
      <w:r w:rsidRPr="0088780C">
        <w:rPr>
          <w:snapToGrid w:val="0"/>
          <w:color w:val="222222"/>
          <w:spacing w:val="-2"/>
          <w:kern w:val="22"/>
          <w:szCs w:val="22"/>
          <w:shd w:val="clear" w:color="auto" w:fill="FFFFFF"/>
        </w:rPr>
        <w:t xml:space="preserve"> </w:t>
      </w:r>
      <w:r w:rsidRPr="0088780C">
        <w:rPr>
          <w:snapToGrid w:val="0"/>
          <w:spacing w:val="-2"/>
          <w:kern w:val="22"/>
          <w:szCs w:val="22"/>
        </w:rPr>
        <w:t>(</w:t>
      </w:r>
      <w:r w:rsidRPr="0088780C">
        <w:rPr>
          <w:i/>
          <w:snapToGrid w:val="0"/>
          <w:spacing w:val="-2"/>
          <w:kern w:val="22"/>
          <w:szCs w:val="22"/>
          <w:shd w:val="clear" w:color="auto" w:fill="FFFFFF"/>
        </w:rPr>
        <w:t>Utriculária vulgáris</w:t>
      </w:r>
      <w:r w:rsidRPr="0088780C">
        <w:rPr>
          <w:snapToGrid w:val="0"/>
          <w:spacing w:val="-2"/>
          <w:kern w:val="22"/>
          <w:szCs w:val="22"/>
        </w:rPr>
        <w:t>) and others (</w:t>
      </w:r>
      <w:r w:rsidRPr="0088780C">
        <w:rPr>
          <w:snapToGrid w:val="0"/>
          <w:spacing w:val="-2"/>
          <w:kern w:val="22"/>
          <w:szCs w:val="22"/>
          <w:lang w:val="ru-RU"/>
        </w:rPr>
        <w:t>Джамирзоев Г.С.,</w:t>
      </w:r>
      <w:r w:rsidR="00C37FE4" w:rsidRPr="0088780C">
        <w:rPr>
          <w:snapToGrid w:val="0"/>
          <w:spacing w:val="-2"/>
          <w:kern w:val="22"/>
          <w:szCs w:val="22"/>
          <w:lang w:val="en-US"/>
        </w:rPr>
        <w:t xml:space="preserve"> </w:t>
      </w:r>
      <w:r w:rsidRPr="0088780C">
        <w:rPr>
          <w:snapToGrid w:val="0"/>
          <w:spacing w:val="-2"/>
          <w:kern w:val="22"/>
          <w:szCs w:val="22"/>
          <w:lang w:val="ru-RU"/>
        </w:rPr>
        <w:t>2006</w:t>
      </w:r>
      <w:r w:rsidRPr="0088780C">
        <w:rPr>
          <w:snapToGrid w:val="0"/>
          <w:spacing w:val="-2"/>
          <w:kern w:val="22"/>
          <w:szCs w:val="22"/>
        </w:rPr>
        <w:t>).</w:t>
      </w:r>
    </w:p>
    <w:p w14:paraId="3D6895D7"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70493C62" w14:textId="560B6E8C"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fauna of the bay is notable for a large variety of birds, including many species listed in the Red Books of Russia and Dagestan, such as the</w:t>
      </w:r>
      <w:r w:rsidR="008E43B2" w:rsidRPr="0088780C">
        <w:rPr>
          <w:snapToGrid w:val="0"/>
          <w:kern w:val="22"/>
          <w:szCs w:val="22"/>
        </w:rPr>
        <w:t xml:space="preserve"> </w:t>
      </w:r>
      <w:r w:rsidRPr="0088780C">
        <w:rPr>
          <w:snapToGrid w:val="0"/>
          <w:kern w:val="22"/>
          <w:szCs w:val="22"/>
          <w:shd w:val="clear" w:color="auto" w:fill="FFFFFF"/>
        </w:rPr>
        <w:t>Dalmatian pelican</w:t>
      </w:r>
      <w:r w:rsidRPr="0088780C">
        <w:rPr>
          <w:snapToGrid w:val="0"/>
          <w:kern w:val="22"/>
          <w:szCs w:val="22"/>
        </w:rPr>
        <w:t>, pygmy cormorant (</w:t>
      </w:r>
      <w:r w:rsidRPr="0088780C">
        <w:rPr>
          <w:i/>
          <w:snapToGrid w:val="0"/>
          <w:kern w:val="22"/>
          <w:szCs w:val="22"/>
          <w:shd w:val="clear" w:color="auto" w:fill="FFFFFF"/>
        </w:rPr>
        <w:t>Phalacrocorax pygmeus</w:t>
      </w:r>
      <w:r w:rsidRPr="0088780C">
        <w:rPr>
          <w:snapToGrid w:val="0"/>
          <w:kern w:val="22"/>
          <w:szCs w:val="22"/>
        </w:rPr>
        <w:t xml:space="preserve">), </w:t>
      </w:r>
      <w:r w:rsidRPr="0088780C">
        <w:rPr>
          <w:snapToGrid w:val="0"/>
          <w:kern w:val="22"/>
          <w:szCs w:val="22"/>
          <w:shd w:val="clear" w:color="auto" w:fill="FFFFFF"/>
        </w:rPr>
        <w:t>glossy ibis</w:t>
      </w:r>
      <w:r w:rsidRPr="0088780C">
        <w:rPr>
          <w:snapToGrid w:val="0"/>
          <w:kern w:val="22"/>
          <w:szCs w:val="22"/>
        </w:rPr>
        <w:t xml:space="preserve"> (</w:t>
      </w:r>
      <w:r w:rsidRPr="0088780C">
        <w:rPr>
          <w:i/>
          <w:snapToGrid w:val="0"/>
          <w:kern w:val="22"/>
          <w:szCs w:val="22"/>
          <w:shd w:val="clear" w:color="auto" w:fill="FFFFFF"/>
        </w:rPr>
        <w:t>Plegadis falcinellus</w:t>
      </w:r>
      <w:r w:rsidRPr="0088780C">
        <w:rPr>
          <w:snapToGrid w:val="0"/>
          <w:kern w:val="22"/>
          <w:szCs w:val="22"/>
        </w:rPr>
        <w:t xml:space="preserve">), </w:t>
      </w:r>
      <w:r w:rsidRPr="0088780C">
        <w:rPr>
          <w:snapToGrid w:val="0"/>
          <w:kern w:val="22"/>
          <w:szCs w:val="22"/>
          <w:shd w:val="clear" w:color="auto" w:fill="FFFFFF"/>
        </w:rPr>
        <w:t>white-tailed eagle (</w:t>
      </w:r>
      <w:r w:rsidRPr="0088780C">
        <w:rPr>
          <w:bCs/>
          <w:i/>
          <w:snapToGrid w:val="0"/>
          <w:kern w:val="22"/>
          <w:szCs w:val="22"/>
          <w:shd w:val="clear" w:color="auto" w:fill="FFFFFF"/>
        </w:rPr>
        <w:t>Haliaeetus</w:t>
      </w:r>
      <w:r w:rsidRPr="0088780C">
        <w:rPr>
          <w:rStyle w:val="apple-converted-space"/>
          <w:i/>
          <w:snapToGrid w:val="0"/>
          <w:kern w:val="22"/>
          <w:szCs w:val="22"/>
          <w:shd w:val="clear" w:color="auto" w:fill="FFFFFF"/>
        </w:rPr>
        <w:t> </w:t>
      </w:r>
      <w:r w:rsidRPr="0088780C">
        <w:rPr>
          <w:bCs/>
          <w:i/>
          <w:snapToGrid w:val="0"/>
          <w:kern w:val="22"/>
          <w:szCs w:val="22"/>
          <w:shd w:val="clear" w:color="auto" w:fill="FFFFFF"/>
        </w:rPr>
        <w:t>albicilla</w:t>
      </w:r>
      <w:r w:rsidRPr="0088780C">
        <w:rPr>
          <w:snapToGrid w:val="0"/>
          <w:kern w:val="22"/>
          <w:szCs w:val="22"/>
          <w:shd w:val="clear" w:color="auto" w:fill="FFFFFF"/>
        </w:rPr>
        <w:t>)</w:t>
      </w:r>
      <w:r w:rsidRPr="0088780C">
        <w:rPr>
          <w:snapToGrid w:val="0"/>
          <w:kern w:val="22"/>
          <w:szCs w:val="22"/>
        </w:rPr>
        <w:t xml:space="preserve">, lesser </w:t>
      </w:r>
      <w:r w:rsidRPr="0088780C">
        <w:rPr>
          <w:snapToGrid w:val="0"/>
          <w:kern w:val="22"/>
          <w:szCs w:val="22"/>
          <w:shd w:val="clear" w:color="auto" w:fill="FFFFFF"/>
        </w:rPr>
        <w:t>white-fronted goose (</w:t>
      </w:r>
      <w:r w:rsidRPr="0088780C">
        <w:rPr>
          <w:bCs/>
          <w:i/>
          <w:snapToGrid w:val="0"/>
          <w:kern w:val="22"/>
          <w:szCs w:val="22"/>
          <w:shd w:val="clear" w:color="auto" w:fill="FFFFFF"/>
        </w:rPr>
        <w:t>Anser</w:t>
      </w:r>
      <w:r w:rsidRPr="0088780C">
        <w:rPr>
          <w:rStyle w:val="apple-converted-space"/>
          <w:i/>
          <w:snapToGrid w:val="0"/>
          <w:kern w:val="22"/>
          <w:szCs w:val="22"/>
          <w:shd w:val="clear" w:color="auto" w:fill="FFFFFF"/>
        </w:rPr>
        <w:t> </w:t>
      </w:r>
      <w:r w:rsidRPr="0088780C">
        <w:rPr>
          <w:bCs/>
          <w:i/>
          <w:snapToGrid w:val="0"/>
          <w:kern w:val="22"/>
          <w:szCs w:val="22"/>
          <w:shd w:val="clear" w:color="auto" w:fill="FFFFFF"/>
        </w:rPr>
        <w:t>erythropus</w:t>
      </w:r>
      <w:r w:rsidRPr="0088780C">
        <w:rPr>
          <w:snapToGrid w:val="0"/>
          <w:kern w:val="22"/>
          <w:szCs w:val="22"/>
          <w:shd w:val="clear" w:color="auto" w:fill="FFFFFF"/>
        </w:rPr>
        <w:t>)</w:t>
      </w:r>
      <w:r w:rsidRPr="0088780C">
        <w:rPr>
          <w:snapToGrid w:val="0"/>
          <w:kern w:val="22"/>
          <w:szCs w:val="22"/>
        </w:rPr>
        <w:t xml:space="preserve">, </w:t>
      </w:r>
      <w:r w:rsidRPr="0088780C">
        <w:rPr>
          <w:snapToGrid w:val="0"/>
          <w:kern w:val="22"/>
          <w:szCs w:val="22"/>
          <w:shd w:val="clear" w:color="auto" w:fill="FFFFFF"/>
        </w:rPr>
        <w:t>demoiselle crane (</w:t>
      </w:r>
      <w:r w:rsidRPr="0088780C">
        <w:rPr>
          <w:bCs/>
          <w:i/>
          <w:snapToGrid w:val="0"/>
          <w:kern w:val="22"/>
          <w:szCs w:val="22"/>
          <w:shd w:val="clear" w:color="auto" w:fill="FFFFFF"/>
        </w:rPr>
        <w:t>Anthropoides</w:t>
      </w:r>
      <w:r w:rsidRPr="0088780C">
        <w:rPr>
          <w:rStyle w:val="apple-converted-space"/>
          <w:i/>
          <w:snapToGrid w:val="0"/>
          <w:kern w:val="22"/>
          <w:szCs w:val="22"/>
          <w:shd w:val="clear" w:color="auto" w:fill="FFFFFF"/>
        </w:rPr>
        <w:t> </w:t>
      </w:r>
      <w:r w:rsidRPr="0088780C">
        <w:rPr>
          <w:bCs/>
          <w:i/>
          <w:snapToGrid w:val="0"/>
          <w:kern w:val="22"/>
          <w:szCs w:val="22"/>
          <w:shd w:val="clear" w:color="auto" w:fill="FFFFFF"/>
        </w:rPr>
        <w:t>virgo</w:t>
      </w:r>
      <w:r w:rsidRPr="0088780C">
        <w:rPr>
          <w:snapToGrid w:val="0"/>
          <w:kern w:val="22"/>
          <w:szCs w:val="22"/>
          <w:shd w:val="clear" w:color="auto" w:fill="FFFFFF"/>
        </w:rPr>
        <w:t>)</w:t>
      </w:r>
      <w:r w:rsidRPr="0088780C">
        <w:rPr>
          <w:snapToGrid w:val="0"/>
          <w:kern w:val="22"/>
          <w:szCs w:val="22"/>
        </w:rPr>
        <w:t xml:space="preserve">, </w:t>
      </w:r>
      <w:r w:rsidRPr="0088780C">
        <w:rPr>
          <w:snapToGrid w:val="0"/>
          <w:kern w:val="22"/>
          <w:szCs w:val="22"/>
          <w:shd w:val="clear" w:color="auto" w:fill="FFFFFF"/>
        </w:rPr>
        <w:t>black-winged pratincole (</w:t>
      </w:r>
      <w:r w:rsidRPr="0088780C">
        <w:rPr>
          <w:bCs/>
          <w:i/>
          <w:snapToGrid w:val="0"/>
          <w:kern w:val="22"/>
          <w:szCs w:val="22"/>
          <w:shd w:val="clear" w:color="auto" w:fill="FFFFFF"/>
        </w:rPr>
        <w:t>Glareola</w:t>
      </w:r>
      <w:r w:rsidRPr="0088780C">
        <w:rPr>
          <w:rStyle w:val="apple-converted-space"/>
          <w:i/>
          <w:snapToGrid w:val="0"/>
          <w:kern w:val="22"/>
          <w:szCs w:val="22"/>
          <w:shd w:val="clear" w:color="auto" w:fill="FFFFFF"/>
        </w:rPr>
        <w:t> </w:t>
      </w:r>
      <w:r w:rsidRPr="0088780C">
        <w:rPr>
          <w:bCs/>
          <w:i/>
          <w:snapToGrid w:val="0"/>
          <w:kern w:val="22"/>
          <w:szCs w:val="22"/>
          <w:shd w:val="clear" w:color="auto" w:fill="FFFFFF"/>
        </w:rPr>
        <w:t>nordmanni</w:t>
      </w:r>
      <w:r w:rsidRPr="0088780C">
        <w:rPr>
          <w:snapToGrid w:val="0"/>
          <w:kern w:val="22"/>
          <w:szCs w:val="22"/>
          <w:shd w:val="clear" w:color="auto" w:fill="FFFFFF"/>
        </w:rPr>
        <w:t>)</w:t>
      </w:r>
      <w:r w:rsidRPr="0088780C">
        <w:rPr>
          <w:snapToGrid w:val="0"/>
          <w:kern w:val="22"/>
          <w:szCs w:val="22"/>
        </w:rPr>
        <w:t xml:space="preserve"> and the </w:t>
      </w:r>
      <w:r w:rsidRPr="0088780C">
        <w:rPr>
          <w:snapToGrid w:val="0"/>
          <w:kern w:val="22"/>
          <w:szCs w:val="22"/>
          <w:shd w:val="clear" w:color="auto" w:fill="FFFFFF"/>
        </w:rPr>
        <w:t>stone-curlew (</w:t>
      </w:r>
      <w:r w:rsidRPr="0088780C">
        <w:rPr>
          <w:bCs/>
          <w:i/>
          <w:snapToGrid w:val="0"/>
          <w:kern w:val="22"/>
          <w:szCs w:val="22"/>
          <w:shd w:val="clear" w:color="auto" w:fill="FFFFFF"/>
        </w:rPr>
        <w:t>Burhinus</w:t>
      </w:r>
      <w:r w:rsidRPr="0088780C">
        <w:rPr>
          <w:rStyle w:val="apple-converted-space"/>
          <w:i/>
          <w:snapToGrid w:val="0"/>
          <w:kern w:val="22"/>
          <w:szCs w:val="22"/>
          <w:shd w:val="clear" w:color="auto" w:fill="FFFFFF"/>
        </w:rPr>
        <w:t> </w:t>
      </w:r>
      <w:r w:rsidRPr="0088780C">
        <w:rPr>
          <w:bCs/>
          <w:i/>
          <w:snapToGrid w:val="0"/>
          <w:kern w:val="22"/>
          <w:szCs w:val="22"/>
          <w:shd w:val="clear" w:color="auto" w:fill="FFFFFF"/>
        </w:rPr>
        <w:t>oedicnemus</w:t>
      </w:r>
      <w:r w:rsidRPr="0088780C">
        <w:rPr>
          <w:snapToGrid w:val="0"/>
          <w:kern w:val="22"/>
          <w:szCs w:val="22"/>
          <w:shd w:val="clear" w:color="auto" w:fill="FFFFFF"/>
        </w:rPr>
        <w:t>)</w:t>
      </w:r>
      <w:r w:rsidRPr="0088780C">
        <w:rPr>
          <w:snapToGrid w:val="0"/>
          <w:kern w:val="22"/>
          <w:szCs w:val="22"/>
        </w:rPr>
        <w:t>. The bay is also a very important stopover site for migrations of valuable game birds, for which there are good conditions for rest, fattening and refugeduring inclement weather. Place of nesting, migration and wintering of rare and protected bird species (Кривенко, 2000; Джамирзоев Г.С.,</w:t>
      </w:r>
      <w:r w:rsidR="00273038" w:rsidRPr="0088780C">
        <w:rPr>
          <w:snapToGrid w:val="0"/>
          <w:kern w:val="22"/>
          <w:szCs w:val="22"/>
        </w:rPr>
        <w:t xml:space="preserve"> </w:t>
      </w:r>
      <w:r w:rsidRPr="0088780C">
        <w:rPr>
          <w:snapToGrid w:val="0"/>
          <w:kern w:val="22"/>
          <w:szCs w:val="22"/>
        </w:rPr>
        <w:t>2006, Летопись природы…, 2010-2015гг.). A total of 216 bird species have been recorded on the Kizlyar Bay section and adjacent areas, 116 of which nest here (Джамирзоев, 2008).</w:t>
      </w:r>
    </w:p>
    <w:p w14:paraId="0F9CDEB5" w14:textId="77777777" w:rsidR="008E43B2" w:rsidRPr="0088780C" w:rsidRDefault="008E43B2" w:rsidP="001013AF">
      <w:pPr>
        <w:suppressLineNumbers/>
        <w:suppressAutoHyphens/>
        <w:kinsoku w:val="0"/>
        <w:overflowPunct w:val="0"/>
        <w:autoSpaceDE w:val="0"/>
        <w:autoSpaceDN w:val="0"/>
        <w:rPr>
          <w:snapToGrid w:val="0"/>
          <w:kern w:val="22"/>
          <w:szCs w:val="22"/>
        </w:rPr>
      </w:pPr>
    </w:p>
    <w:p w14:paraId="449E6F4A" w14:textId="77777777" w:rsidR="00A876F3" w:rsidRPr="0088780C" w:rsidRDefault="00A876F3" w:rsidP="001013AF">
      <w:pPr>
        <w:suppressLineNumbers/>
        <w:suppressAutoHyphens/>
        <w:kinsoku w:val="0"/>
        <w:overflowPunct w:val="0"/>
        <w:autoSpaceDE w:val="0"/>
        <w:autoSpaceDN w:val="0"/>
        <w:rPr>
          <w:snapToGrid w:val="0"/>
          <w:spacing w:val="-2"/>
          <w:kern w:val="22"/>
          <w:szCs w:val="22"/>
        </w:rPr>
      </w:pPr>
      <w:r w:rsidRPr="0088780C">
        <w:rPr>
          <w:snapToGrid w:val="0"/>
          <w:spacing w:val="-2"/>
          <w:kern w:val="22"/>
          <w:szCs w:val="22"/>
        </w:rPr>
        <w:t>In the bay, there are about 70 species and subspecies of marine, semi-anadromous, anadromous and freshwater fish, including such rare and vanishing forms as Caspian trout (</w:t>
      </w:r>
      <w:r w:rsidRPr="0088780C">
        <w:rPr>
          <w:i/>
          <w:snapToGrid w:val="0"/>
          <w:color w:val="333333"/>
          <w:spacing w:val="-2"/>
          <w:kern w:val="22"/>
          <w:szCs w:val="22"/>
          <w:shd w:val="clear" w:color="auto" w:fill="FFFFFF"/>
        </w:rPr>
        <w:t>Salmo trutta</w:t>
      </w:r>
      <w:r w:rsidRPr="0088780C">
        <w:rPr>
          <w:rStyle w:val="apple-converted-space"/>
          <w:i/>
          <w:snapToGrid w:val="0"/>
          <w:color w:val="333333"/>
          <w:spacing w:val="-2"/>
          <w:kern w:val="22"/>
          <w:szCs w:val="22"/>
          <w:shd w:val="clear" w:color="auto" w:fill="FFFFFF"/>
        </w:rPr>
        <w:t> </w:t>
      </w:r>
      <w:r w:rsidRPr="0088780C">
        <w:rPr>
          <w:i/>
          <w:snapToGrid w:val="0"/>
          <w:color w:val="333333"/>
          <w:spacing w:val="-2"/>
          <w:kern w:val="22"/>
          <w:szCs w:val="22"/>
          <w:shd w:val="clear" w:color="auto" w:fill="FFFFFF"/>
        </w:rPr>
        <w:t>caspicus</w:t>
      </w:r>
      <w:r w:rsidRPr="0088780C">
        <w:rPr>
          <w:snapToGrid w:val="0"/>
          <w:spacing w:val="-2"/>
          <w:kern w:val="22"/>
          <w:szCs w:val="22"/>
        </w:rPr>
        <w:t>), Inconnu (</w:t>
      </w:r>
      <w:r w:rsidRPr="0088780C">
        <w:rPr>
          <w:bCs/>
          <w:i/>
          <w:snapToGrid w:val="0"/>
          <w:color w:val="333333"/>
          <w:spacing w:val="-2"/>
          <w:kern w:val="22"/>
          <w:szCs w:val="22"/>
          <w:shd w:val="clear" w:color="auto" w:fill="FFFFFF"/>
        </w:rPr>
        <w:t>Stenodus</w:t>
      </w:r>
      <w:r w:rsidRPr="0088780C">
        <w:rPr>
          <w:rStyle w:val="apple-converted-space"/>
          <w:i/>
          <w:snapToGrid w:val="0"/>
          <w:color w:val="333333"/>
          <w:spacing w:val="-2"/>
          <w:kern w:val="22"/>
          <w:szCs w:val="22"/>
          <w:shd w:val="clear" w:color="auto" w:fill="FFFFFF"/>
        </w:rPr>
        <w:t> </w:t>
      </w:r>
      <w:r w:rsidRPr="0088780C">
        <w:rPr>
          <w:bCs/>
          <w:i/>
          <w:snapToGrid w:val="0"/>
          <w:color w:val="333333"/>
          <w:spacing w:val="-2"/>
          <w:kern w:val="22"/>
          <w:szCs w:val="22"/>
          <w:shd w:val="clear" w:color="auto" w:fill="FFFFFF"/>
        </w:rPr>
        <w:t>leucichthys</w:t>
      </w:r>
      <w:r w:rsidRPr="0088780C">
        <w:rPr>
          <w:bCs/>
          <w:snapToGrid w:val="0"/>
          <w:color w:val="333333"/>
          <w:spacing w:val="-2"/>
          <w:kern w:val="22"/>
          <w:szCs w:val="22"/>
          <w:shd w:val="clear" w:color="auto" w:fill="FFFFFF"/>
        </w:rPr>
        <w:t>)</w:t>
      </w:r>
      <w:r w:rsidRPr="0088780C">
        <w:rPr>
          <w:snapToGrid w:val="0"/>
          <w:spacing w:val="-2"/>
          <w:kern w:val="22"/>
          <w:szCs w:val="22"/>
        </w:rPr>
        <w:t xml:space="preserve"> and </w:t>
      </w:r>
      <w:r w:rsidRPr="0088780C">
        <w:rPr>
          <w:snapToGrid w:val="0"/>
          <w:color w:val="000000"/>
          <w:spacing w:val="-2"/>
          <w:kern w:val="22"/>
          <w:szCs w:val="22"/>
        </w:rPr>
        <w:t>Ciscaucasian spined loach</w:t>
      </w:r>
      <w:r w:rsidRPr="0088780C">
        <w:rPr>
          <w:snapToGrid w:val="0"/>
          <w:spacing w:val="-2"/>
          <w:kern w:val="22"/>
          <w:szCs w:val="22"/>
        </w:rPr>
        <w:t xml:space="preserve"> (</w:t>
      </w:r>
      <w:r w:rsidRPr="0088780C">
        <w:rPr>
          <w:i/>
          <w:snapToGrid w:val="0"/>
          <w:spacing w:val="-2"/>
          <w:kern w:val="22"/>
          <w:szCs w:val="22"/>
          <w:shd w:val="clear" w:color="auto" w:fill="FFFFFF"/>
        </w:rPr>
        <w:t>Sabanejewia caucasica</w:t>
      </w:r>
      <w:r w:rsidRPr="0088780C">
        <w:rPr>
          <w:snapToGrid w:val="0"/>
          <w:spacing w:val="-2"/>
          <w:kern w:val="22"/>
          <w:szCs w:val="22"/>
        </w:rPr>
        <w:t>) (</w:t>
      </w:r>
      <w:r w:rsidRPr="0088780C">
        <w:rPr>
          <w:snapToGrid w:val="0"/>
          <w:spacing w:val="-2"/>
          <w:kern w:val="22"/>
          <w:szCs w:val="22"/>
          <w:lang w:val="ru-RU"/>
        </w:rPr>
        <w:t>Гаджиев А.А., 2003</w:t>
      </w:r>
      <w:r w:rsidRPr="0088780C">
        <w:rPr>
          <w:snapToGrid w:val="0"/>
          <w:spacing w:val="-2"/>
          <w:kern w:val="22"/>
          <w:szCs w:val="22"/>
        </w:rPr>
        <w:t>).</w:t>
      </w:r>
    </w:p>
    <w:p w14:paraId="0D20551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C6DC3E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0A0044C4" w14:textId="39DA6856"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The area includes three Important Bird and Biodiversity Areas (IBA) (</w:t>
      </w:r>
      <w:r w:rsidR="00D8482D" w:rsidRPr="0088780C">
        <w:rPr>
          <w:snapToGrid w:val="0"/>
          <w:kern w:val="22"/>
          <w:szCs w:val="22"/>
        </w:rPr>
        <w:t>“</w:t>
      </w:r>
      <w:r w:rsidRPr="0088780C">
        <w:rPr>
          <w:snapToGrid w:val="0"/>
          <w:kern w:val="22"/>
          <w:szCs w:val="22"/>
        </w:rPr>
        <w:t>Kizlyar Bay</w:t>
      </w:r>
      <w:r w:rsidR="00D8482D" w:rsidRPr="0088780C">
        <w:rPr>
          <w:snapToGrid w:val="0"/>
          <w:kern w:val="22"/>
          <w:szCs w:val="22"/>
        </w:rPr>
        <w:t>”</w:t>
      </w:r>
      <w:r w:rsidRPr="0088780C">
        <w:rPr>
          <w:snapToGrid w:val="0"/>
          <w:kern w:val="22"/>
          <w:szCs w:val="22"/>
        </w:rPr>
        <w:t xml:space="preserve">, </w:t>
      </w:r>
      <w:r w:rsidR="00D8482D" w:rsidRPr="0088780C">
        <w:rPr>
          <w:snapToGrid w:val="0"/>
          <w:kern w:val="22"/>
          <w:szCs w:val="22"/>
        </w:rPr>
        <w:t>“</w:t>
      </w:r>
      <w:r w:rsidRPr="0088780C">
        <w:rPr>
          <w:snapToGrid w:val="0"/>
          <w:kern w:val="22"/>
          <w:szCs w:val="22"/>
        </w:rPr>
        <w:t>Agrakhan Bay</w:t>
      </w:r>
      <w:r w:rsidR="00D8482D" w:rsidRPr="0088780C">
        <w:rPr>
          <w:snapToGrid w:val="0"/>
          <w:kern w:val="22"/>
          <w:szCs w:val="22"/>
        </w:rPr>
        <w:t>”</w:t>
      </w:r>
      <w:r w:rsidRPr="0088780C">
        <w:rPr>
          <w:snapToGrid w:val="0"/>
          <w:kern w:val="22"/>
          <w:szCs w:val="22"/>
        </w:rPr>
        <w:t xml:space="preserve"> and </w:t>
      </w:r>
      <w:r w:rsidR="00D8482D" w:rsidRPr="0088780C">
        <w:rPr>
          <w:snapToGrid w:val="0"/>
          <w:kern w:val="22"/>
          <w:szCs w:val="22"/>
        </w:rPr>
        <w:t>“</w:t>
      </w:r>
      <w:r w:rsidRPr="0088780C">
        <w:rPr>
          <w:snapToGrid w:val="0"/>
          <w:kern w:val="22"/>
          <w:szCs w:val="22"/>
        </w:rPr>
        <w:t>Chechnya Island</w:t>
      </w:r>
      <w:r w:rsidR="00D8482D" w:rsidRPr="0088780C">
        <w:rPr>
          <w:snapToGrid w:val="0"/>
          <w:kern w:val="22"/>
          <w:szCs w:val="22"/>
        </w:rPr>
        <w:t>”</w:t>
      </w:r>
      <w:r w:rsidRPr="0088780C">
        <w:rPr>
          <w:snapToGrid w:val="0"/>
          <w:kern w:val="22"/>
          <w:szCs w:val="22"/>
        </w:rPr>
        <w:t>) and overlaps with one of the clusters of the Dagestan</w:t>
      </w:r>
      <w:r w:rsidR="00B06876" w:rsidRPr="0088780C">
        <w:rPr>
          <w:snapToGrid w:val="0"/>
          <w:kern w:val="22"/>
          <w:szCs w:val="22"/>
        </w:rPr>
        <w:t xml:space="preserve"> Nature Reserve and Agrakhansky </w:t>
      </w:r>
      <w:r w:rsidRPr="0088780C">
        <w:rPr>
          <w:snapToGrid w:val="0"/>
          <w:kern w:val="22"/>
          <w:szCs w:val="22"/>
        </w:rPr>
        <w:t>Wildlife Reserve</w:t>
      </w:r>
      <w:r w:rsidR="00B06876" w:rsidRPr="0088780C">
        <w:rPr>
          <w:snapToGrid w:val="0"/>
          <w:kern w:val="22"/>
          <w:szCs w:val="22"/>
        </w:rPr>
        <w:t xml:space="preserve">. </w:t>
      </w:r>
      <w:r w:rsidRPr="0088780C">
        <w:rPr>
          <w:snapToGrid w:val="0"/>
          <w:kern w:val="22"/>
          <w:szCs w:val="22"/>
        </w:rPr>
        <w:t>Currently, a specia</w:t>
      </w:r>
      <w:r w:rsidR="00B06876" w:rsidRPr="0088780C">
        <w:rPr>
          <w:snapToGrid w:val="0"/>
          <w:kern w:val="22"/>
          <w:szCs w:val="22"/>
        </w:rPr>
        <w:t xml:space="preserve">lly protected natural area of </w:t>
      </w:r>
      <w:r w:rsidRPr="0088780C">
        <w:rPr>
          <w:snapToGrid w:val="0"/>
          <w:kern w:val="22"/>
          <w:szCs w:val="22"/>
        </w:rPr>
        <w:t>federa</w:t>
      </w:r>
      <w:r w:rsidR="00B06876" w:rsidRPr="0088780C">
        <w:rPr>
          <w:snapToGrid w:val="0"/>
          <w:kern w:val="22"/>
          <w:szCs w:val="22"/>
        </w:rPr>
        <w:t>l significance is being formed –</w:t>
      </w:r>
      <w:r w:rsidRPr="0088780C">
        <w:rPr>
          <w:snapToGrid w:val="0"/>
          <w:kern w:val="22"/>
          <w:szCs w:val="22"/>
        </w:rPr>
        <w:t xml:space="preserve"> the island of Tyuleni.</w:t>
      </w:r>
    </w:p>
    <w:p w14:paraId="475AC541"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004E3558"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snapToGrid w:val="0"/>
          <w:kern w:val="22"/>
          <w:szCs w:val="22"/>
        </w:rPr>
        <w:t>Anthropogenic impacts on the area include increasing fishing pressure (including illegal fishing) and sport hunting.</w:t>
      </w:r>
    </w:p>
    <w:p w14:paraId="53612591"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50EB1926" w14:textId="45956ED3"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 area against CBD EBSA Criteria</w:t>
      </w:r>
    </w:p>
    <w:p w14:paraId="66309720"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4D7B2B72" w14:textId="77777777" w:rsidTr="006972AD">
        <w:tc>
          <w:tcPr>
            <w:tcW w:w="779" w:type="pct"/>
            <w:vMerge w:val="restart"/>
            <w:shd w:val="clear" w:color="auto" w:fill="auto"/>
          </w:tcPr>
          <w:p w14:paraId="71229C09" w14:textId="77777777" w:rsidR="00A876F3" w:rsidRPr="0088780C" w:rsidRDefault="00A876F3" w:rsidP="00B06876">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57C8F74F" w14:textId="77777777" w:rsidR="00A876F3" w:rsidRPr="0088780C" w:rsidRDefault="00A876F3" w:rsidP="00B06876">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53C47D3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3404C04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35517C6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121F152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4656F32C" w14:textId="77777777" w:rsidTr="006972AD">
        <w:tc>
          <w:tcPr>
            <w:tcW w:w="779" w:type="pct"/>
            <w:vMerge/>
            <w:shd w:val="clear" w:color="auto" w:fill="auto"/>
          </w:tcPr>
          <w:p w14:paraId="093E89B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3F34CD2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67AFFF9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65ECAE8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43EF474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4D8D71E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601C79BA" w14:textId="77777777" w:rsidTr="006972AD">
        <w:tc>
          <w:tcPr>
            <w:tcW w:w="779" w:type="pct"/>
            <w:shd w:val="clear" w:color="auto" w:fill="auto"/>
          </w:tcPr>
          <w:p w14:paraId="10BBB36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0BDF51A4" w14:textId="1D698960"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114BA96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1EAF212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F96856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c>
          <w:tcPr>
            <w:tcW w:w="436" w:type="pct"/>
            <w:gridSpan w:val="2"/>
            <w:shd w:val="clear" w:color="auto" w:fill="auto"/>
          </w:tcPr>
          <w:p w14:paraId="0C88331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75E959EF" w14:textId="77777777" w:rsidTr="006972AD">
        <w:tc>
          <w:tcPr>
            <w:tcW w:w="5000" w:type="pct"/>
            <w:gridSpan w:val="11"/>
            <w:shd w:val="clear" w:color="auto" w:fill="auto"/>
          </w:tcPr>
          <w:p w14:paraId="3F76D140"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44045979" w14:textId="0AE18F47" w:rsidR="00A876F3" w:rsidRPr="0088780C" w:rsidRDefault="00A876F3" w:rsidP="00B06876">
            <w:pPr>
              <w:suppressLineNumbers/>
              <w:suppressAutoHyphens/>
              <w:kinsoku w:val="0"/>
              <w:overflowPunct w:val="0"/>
              <w:autoSpaceDE w:val="0"/>
              <w:autoSpaceDN w:val="0"/>
              <w:adjustRightInd w:val="0"/>
              <w:rPr>
                <w:rFonts w:eastAsia="MS Mincho"/>
                <w:bCs/>
                <w:snapToGrid w:val="0"/>
                <w:color w:val="000000"/>
                <w:kern w:val="22"/>
                <w:szCs w:val="22"/>
              </w:rPr>
            </w:pPr>
            <w:r w:rsidRPr="0088780C">
              <w:rPr>
                <w:bCs/>
                <w:snapToGrid w:val="0"/>
                <w:kern w:val="22"/>
                <w:szCs w:val="22"/>
              </w:rPr>
              <w:t>According to monitoring conducted between 2010 and 2015, this area contains as a concentration of wintering waterfowl and waterbirds (8)</w:t>
            </w:r>
          </w:p>
        </w:tc>
      </w:tr>
      <w:tr w:rsidR="00A876F3" w:rsidRPr="0088780C" w14:paraId="6413CB2A" w14:textId="77777777" w:rsidTr="006972AD">
        <w:tc>
          <w:tcPr>
            <w:tcW w:w="779" w:type="pct"/>
            <w:shd w:val="clear" w:color="auto" w:fill="auto"/>
          </w:tcPr>
          <w:p w14:paraId="142C2402"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7C6E0FB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255D685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B77FC6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51B343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4FAE12C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5404C335" w14:textId="77777777" w:rsidTr="006972AD">
        <w:tc>
          <w:tcPr>
            <w:tcW w:w="5000" w:type="pct"/>
            <w:gridSpan w:val="11"/>
            <w:shd w:val="clear" w:color="auto" w:fill="auto"/>
          </w:tcPr>
          <w:p w14:paraId="6665E6CB"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6E53E018" w14:textId="34368659"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The region has a critically important value for a number of species and groups of species (Кривенко, 2000, Джамирзоев, 2006, Monitoring mat</w:t>
            </w:r>
            <w:r w:rsidR="00D60B29" w:rsidRPr="0088780C">
              <w:rPr>
                <w:bCs/>
                <w:snapToGrid w:val="0"/>
                <w:kern w:val="22"/>
                <w:szCs w:val="22"/>
              </w:rPr>
              <w:t>e</w:t>
            </w:r>
            <w:r w:rsidRPr="0088780C">
              <w:rPr>
                <w:bCs/>
                <w:snapToGrid w:val="0"/>
                <w:kern w:val="22"/>
                <w:szCs w:val="22"/>
              </w:rPr>
              <w:t>r</w:t>
            </w:r>
            <w:r w:rsidR="00D60B29" w:rsidRPr="0088780C">
              <w:rPr>
                <w:bCs/>
                <w:snapToGrid w:val="0"/>
                <w:kern w:val="22"/>
                <w:szCs w:val="22"/>
              </w:rPr>
              <w:t>i</w:t>
            </w:r>
            <w:r w:rsidRPr="0088780C">
              <w:rPr>
                <w:bCs/>
                <w:snapToGrid w:val="0"/>
                <w:kern w:val="22"/>
                <w:szCs w:val="22"/>
              </w:rPr>
              <w:t>als.., 2010-2015):</w:t>
            </w:r>
          </w:p>
          <w:p w14:paraId="22C8FD92"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1. Ornithofauna. The area is important mainly for waterfowl and waterbirds, but it is also used by birds of other ecological groups.</w:t>
            </w:r>
          </w:p>
          <w:p w14:paraId="13B47F77" w14:textId="2ACCD914"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 xml:space="preserve">1.1. The nesting area of birds, in particular there are several nesting colonys of the </w:t>
            </w:r>
            <w:r w:rsidRPr="0088780C">
              <w:rPr>
                <w:bCs/>
                <w:snapToGrid w:val="0"/>
                <w:kern w:val="22"/>
                <w:szCs w:val="22"/>
                <w:shd w:val="clear" w:color="auto" w:fill="FFFFFF"/>
              </w:rPr>
              <w:t>Dalmatian pelican</w:t>
            </w:r>
            <w:r w:rsidRPr="0088780C">
              <w:rPr>
                <w:bCs/>
                <w:snapToGrid w:val="0"/>
                <w:kern w:val="22"/>
                <w:szCs w:val="22"/>
              </w:rPr>
              <w:t xml:space="preserve"> (</w:t>
            </w:r>
            <w:r w:rsidRPr="0088780C">
              <w:rPr>
                <w:bCs/>
                <w:i/>
                <w:snapToGrid w:val="0"/>
                <w:kern w:val="22"/>
                <w:szCs w:val="22"/>
                <w:shd w:val="clear" w:color="auto" w:fill="FFFFFF"/>
              </w:rPr>
              <w:t>Pelecanus crispus</w:t>
            </w:r>
            <w:r w:rsidRPr="0088780C">
              <w:rPr>
                <w:bCs/>
                <w:snapToGrid w:val="0"/>
                <w:kern w:val="22"/>
                <w:szCs w:val="22"/>
                <w:shd w:val="clear" w:color="auto" w:fill="FFFFFF"/>
              </w:rPr>
              <w:t>)</w:t>
            </w:r>
            <w:r w:rsidRPr="0088780C">
              <w:rPr>
                <w:bCs/>
                <w:snapToGrid w:val="0"/>
                <w:kern w:val="22"/>
                <w:szCs w:val="22"/>
              </w:rPr>
              <w:t>.</w:t>
            </w:r>
          </w:p>
          <w:p w14:paraId="0E8ABF44" w14:textId="0FB09874"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1.2. Area of concentration of waterfowl during moulting (summer period).</w:t>
            </w:r>
            <w:r w:rsidRPr="0088780C">
              <w:rPr>
                <w:rFonts w:eastAsia="PMingLiU"/>
                <w:bCs/>
                <w:snapToGrid w:val="0"/>
                <w:kern w:val="22"/>
                <w:szCs w:val="22"/>
              </w:rPr>
              <w:br/>
            </w:r>
            <w:r w:rsidRPr="0088780C">
              <w:rPr>
                <w:bCs/>
                <w:snapToGrid w:val="0"/>
                <w:kern w:val="22"/>
                <w:szCs w:val="22"/>
              </w:rPr>
              <w:t>1.3. The area is a major migration route for birds, mostly waterfowl and waterbirds. A significant proportion of birds migrate through this region from Western Siberia and Eastern Europe.</w:t>
            </w:r>
            <w:r w:rsidRPr="0088780C">
              <w:rPr>
                <w:bCs/>
                <w:snapToGrid w:val="0"/>
                <w:kern w:val="22"/>
                <w:szCs w:val="22"/>
              </w:rPr>
              <w:br/>
              <w:t>1.4. A significant part of migratory bird populations winter in this area during warm winters, or spend part of the winter period in colder winters (depending on the timing of sea ice formation).</w:t>
            </w:r>
            <w:r w:rsidRPr="0088780C">
              <w:rPr>
                <w:bCs/>
                <w:snapToGrid w:val="0"/>
                <w:kern w:val="22"/>
                <w:szCs w:val="22"/>
              </w:rPr>
              <w:br/>
              <w:t>2. Ichthyofauna. The region is extremely important for most fish species that live in the North Caspian region and the Volga Delta. It is of particular importance at the following stages of the life cycle (Труды.., вып 2-4):</w:t>
            </w:r>
          </w:p>
          <w:p w14:paraId="7BD84EAB"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2.1. Spawning grounds for non-migrating fish species, including species of commercial importance (Шихшабеков М.М., 2006, Труды..., 2-5).</w:t>
            </w:r>
          </w:p>
          <w:p w14:paraId="344EF47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bCs/>
                <w:snapToGrid w:val="0"/>
                <w:kern w:val="22"/>
                <w:szCs w:val="22"/>
              </w:rPr>
              <w:t>2.2. Place of feeding, a key value for juveniles of semi-anadrompous and non-migrating fish species in the summer-autumn period.</w:t>
            </w:r>
          </w:p>
        </w:tc>
      </w:tr>
      <w:tr w:rsidR="00A876F3" w:rsidRPr="0088780C" w14:paraId="4086E8CC" w14:textId="77777777" w:rsidTr="006972AD">
        <w:tc>
          <w:tcPr>
            <w:tcW w:w="779" w:type="pct"/>
            <w:shd w:val="clear" w:color="auto" w:fill="auto"/>
          </w:tcPr>
          <w:p w14:paraId="55C1A384"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00AAE1F0"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36AA65A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20A19E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89153C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1A4768A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555EE41D" w14:textId="77777777" w:rsidTr="006972AD">
        <w:tc>
          <w:tcPr>
            <w:tcW w:w="5000" w:type="pct"/>
            <w:gridSpan w:val="11"/>
            <w:shd w:val="clear" w:color="auto" w:fill="auto"/>
          </w:tcPr>
          <w:p w14:paraId="129DA5F1"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44F3BB22" w14:textId="04D558DC" w:rsidR="00A876F3" w:rsidRPr="0088780C" w:rsidRDefault="00A876F3" w:rsidP="001013AF">
            <w:pPr>
              <w:suppressLineNumbers/>
              <w:suppressAutoHyphens/>
              <w:kinsoku w:val="0"/>
              <w:overflowPunct w:val="0"/>
              <w:autoSpaceDE w:val="0"/>
              <w:autoSpaceDN w:val="0"/>
              <w:adjustRightInd w:val="0"/>
              <w:rPr>
                <w:rFonts w:eastAsia="MS Mincho"/>
                <w:bCs/>
                <w:strike/>
                <w:snapToGrid w:val="0"/>
                <w:color w:val="000000"/>
                <w:kern w:val="22"/>
                <w:szCs w:val="22"/>
              </w:rPr>
            </w:pPr>
            <w:r w:rsidRPr="0088780C">
              <w:rPr>
                <w:bCs/>
                <w:snapToGrid w:val="0"/>
                <w:kern w:val="22"/>
                <w:szCs w:val="22"/>
              </w:rPr>
              <w:t>There are 40 species of birds listed in the Red Data Books of Dagestan, Russia and the IUCN Red List, including</w:t>
            </w:r>
            <w:r w:rsidRPr="0088780C">
              <w:rPr>
                <w:bCs/>
                <w:snapToGrid w:val="0"/>
                <w:kern w:val="22"/>
                <w:szCs w:val="22"/>
                <w:shd w:val="clear" w:color="auto" w:fill="FFFFFF"/>
              </w:rPr>
              <w:t xml:space="preserve">Dalmatian pelican </w:t>
            </w:r>
            <w:r w:rsidRPr="0088780C">
              <w:rPr>
                <w:bCs/>
                <w:snapToGrid w:val="0"/>
                <w:kern w:val="22"/>
                <w:szCs w:val="22"/>
              </w:rPr>
              <w:t>(</w:t>
            </w:r>
            <w:r w:rsidRPr="0088780C">
              <w:rPr>
                <w:bCs/>
                <w:i/>
                <w:snapToGrid w:val="0"/>
                <w:kern w:val="22"/>
                <w:szCs w:val="22"/>
                <w:shd w:val="clear" w:color="auto" w:fill="FFFFFF"/>
              </w:rPr>
              <w:t>Pelecanus crispus</w:t>
            </w:r>
            <w:r w:rsidRPr="0088780C">
              <w:rPr>
                <w:bCs/>
                <w:snapToGrid w:val="0"/>
                <w:kern w:val="22"/>
                <w:szCs w:val="22"/>
                <w:shd w:val="clear" w:color="auto" w:fill="FFFFFF"/>
              </w:rPr>
              <w:t>)</w:t>
            </w:r>
            <w:r w:rsidRPr="0088780C">
              <w:rPr>
                <w:bCs/>
                <w:snapToGrid w:val="0"/>
                <w:kern w:val="22"/>
                <w:szCs w:val="22"/>
              </w:rPr>
              <w:t>, pygmy cormorant (</w:t>
            </w:r>
            <w:r w:rsidRPr="0088780C">
              <w:rPr>
                <w:bCs/>
                <w:i/>
                <w:snapToGrid w:val="0"/>
                <w:kern w:val="22"/>
                <w:szCs w:val="22"/>
                <w:shd w:val="clear" w:color="auto" w:fill="FFFFFF"/>
              </w:rPr>
              <w:t>Phalacrocorax pygmeus</w:t>
            </w:r>
            <w:r w:rsidRPr="0088780C">
              <w:rPr>
                <w:bCs/>
                <w:snapToGrid w:val="0"/>
                <w:kern w:val="22"/>
                <w:szCs w:val="22"/>
              </w:rPr>
              <w:t xml:space="preserve">), </w:t>
            </w:r>
            <w:r w:rsidRPr="0088780C">
              <w:rPr>
                <w:bCs/>
                <w:snapToGrid w:val="0"/>
                <w:kern w:val="22"/>
                <w:szCs w:val="22"/>
                <w:shd w:val="clear" w:color="auto" w:fill="FFFFFF"/>
              </w:rPr>
              <w:t>glossy ibis</w:t>
            </w:r>
            <w:r w:rsidRPr="0088780C">
              <w:rPr>
                <w:bCs/>
                <w:snapToGrid w:val="0"/>
                <w:kern w:val="22"/>
                <w:szCs w:val="22"/>
              </w:rPr>
              <w:t xml:space="preserve"> (</w:t>
            </w:r>
            <w:r w:rsidRPr="0088780C">
              <w:rPr>
                <w:rStyle w:val="apple-converted-space"/>
                <w:bCs/>
                <w:snapToGrid w:val="0"/>
                <w:kern w:val="22"/>
                <w:szCs w:val="22"/>
                <w:shd w:val="clear" w:color="auto" w:fill="FFFFFF"/>
              </w:rPr>
              <w:t> </w:t>
            </w:r>
            <w:r w:rsidRPr="0088780C">
              <w:rPr>
                <w:bCs/>
                <w:i/>
                <w:snapToGrid w:val="0"/>
                <w:kern w:val="22"/>
                <w:szCs w:val="22"/>
                <w:shd w:val="clear" w:color="auto" w:fill="FFFFFF"/>
              </w:rPr>
              <w:t>Plegadis falcinellus</w:t>
            </w:r>
            <w:r w:rsidRPr="0088780C">
              <w:rPr>
                <w:bCs/>
                <w:snapToGrid w:val="0"/>
                <w:kern w:val="22"/>
                <w:szCs w:val="22"/>
              </w:rPr>
              <w:t xml:space="preserve">), </w:t>
            </w:r>
            <w:r w:rsidRPr="0088780C">
              <w:rPr>
                <w:bCs/>
                <w:snapToGrid w:val="0"/>
                <w:kern w:val="22"/>
                <w:szCs w:val="22"/>
                <w:shd w:val="clear" w:color="auto" w:fill="FFFFFF"/>
              </w:rPr>
              <w:t>white-tailed eagle (Haliaeetus</w:t>
            </w:r>
            <w:r w:rsidRPr="0088780C">
              <w:rPr>
                <w:rStyle w:val="apple-converted-space"/>
                <w:bCs/>
                <w:snapToGrid w:val="0"/>
                <w:kern w:val="22"/>
                <w:szCs w:val="22"/>
                <w:shd w:val="clear" w:color="auto" w:fill="FFFFFF"/>
              </w:rPr>
              <w:t> </w:t>
            </w:r>
            <w:r w:rsidRPr="0088780C">
              <w:rPr>
                <w:bCs/>
                <w:snapToGrid w:val="0"/>
                <w:kern w:val="22"/>
                <w:szCs w:val="22"/>
                <w:shd w:val="clear" w:color="auto" w:fill="FFFFFF"/>
              </w:rPr>
              <w:t>albicilla)</w:t>
            </w:r>
            <w:r w:rsidRPr="0088780C">
              <w:rPr>
                <w:bCs/>
                <w:snapToGrid w:val="0"/>
                <w:kern w:val="22"/>
                <w:szCs w:val="22"/>
              </w:rPr>
              <w:t xml:space="preserve">, lesser </w:t>
            </w:r>
            <w:r w:rsidRPr="0088780C">
              <w:rPr>
                <w:bCs/>
                <w:snapToGrid w:val="0"/>
                <w:kern w:val="22"/>
                <w:szCs w:val="22"/>
                <w:shd w:val="clear" w:color="auto" w:fill="FFFFFF"/>
              </w:rPr>
              <w:t>white-fronted goose (Anser</w:t>
            </w:r>
            <w:r w:rsidRPr="0088780C">
              <w:rPr>
                <w:rStyle w:val="apple-converted-space"/>
                <w:bCs/>
                <w:snapToGrid w:val="0"/>
                <w:kern w:val="22"/>
                <w:szCs w:val="22"/>
                <w:shd w:val="clear" w:color="auto" w:fill="FFFFFF"/>
              </w:rPr>
              <w:t> </w:t>
            </w:r>
            <w:r w:rsidRPr="0088780C">
              <w:rPr>
                <w:bCs/>
                <w:snapToGrid w:val="0"/>
                <w:kern w:val="22"/>
                <w:szCs w:val="22"/>
                <w:shd w:val="clear" w:color="auto" w:fill="FFFFFF"/>
              </w:rPr>
              <w:t>erythropus)</w:t>
            </w:r>
            <w:r w:rsidRPr="0088780C">
              <w:rPr>
                <w:bCs/>
                <w:snapToGrid w:val="0"/>
                <w:kern w:val="22"/>
                <w:szCs w:val="22"/>
              </w:rPr>
              <w:t xml:space="preserve">, </w:t>
            </w:r>
            <w:r w:rsidRPr="0088780C">
              <w:rPr>
                <w:bCs/>
                <w:snapToGrid w:val="0"/>
                <w:kern w:val="22"/>
                <w:szCs w:val="22"/>
                <w:shd w:val="clear" w:color="auto" w:fill="FFFFFF"/>
              </w:rPr>
              <w:t>demoiselle crane (Anthropoides</w:t>
            </w:r>
            <w:r w:rsidRPr="0088780C">
              <w:rPr>
                <w:rStyle w:val="apple-converted-space"/>
                <w:bCs/>
                <w:snapToGrid w:val="0"/>
                <w:kern w:val="22"/>
                <w:szCs w:val="22"/>
                <w:shd w:val="clear" w:color="auto" w:fill="FFFFFF"/>
              </w:rPr>
              <w:t> </w:t>
            </w:r>
            <w:r w:rsidRPr="0088780C">
              <w:rPr>
                <w:bCs/>
                <w:snapToGrid w:val="0"/>
                <w:kern w:val="22"/>
                <w:szCs w:val="22"/>
                <w:shd w:val="clear" w:color="auto" w:fill="FFFFFF"/>
              </w:rPr>
              <w:t>virgo)</w:t>
            </w:r>
            <w:r w:rsidRPr="0088780C">
              <w:rPr>
                <w:bCs/>
                <w:snapToGrid w:val="0"/>
                <w:kern w:val="22"/>
                <w:szCs w:val="22"/>
              </w:rPr>
              <w:t xml:space="preserve">, </w:t>
            </w:r>
            <w:r w:rsidRPr="0088780C">
              <w:rPr>
                <w:bCs/>
                <w:snapToGrid w:val="0"/>
                <w:kern w:val="22"/>
                <w:szCs w:val="22"/>
                <w:shd w:val="clear" w:color="auto" w:fill="FFFFFF"/>
              </w:rPr>
              <w:t>black-winged pratincole (</w:t>
            </w:r>
            <w:r w:rsidRPr="0088780C">
              <w:rPr>
                <w:bCs/>
                <w:i/>
                <w:snapToGrid w:val="0"/>
                <w:kern w:val="22"/>
                <w:szCs w:val="22"/>
                <w:shd w:val="clear" w:color="auto" w:fill="FFFFFF"/>
              </w:rPr>
              <w:t>Glareola</w:t>
            </w:r>
            <w:r w:rsidRPr="0088780C">
              <w:rPr>
                <w:rStyle w:val="apple-converted-space"/>
                <w:bCs/>
                <w:i/>
                <w:snapToGrid w:val="0"/>
                <w:kern w:val="22"/>
                <w:szCs w:val="22"/>
                <w:shd w:val="clear" w:color="auto" w:fill="FFFFFF"/>
              </w:rPr>
              <w:t> </w:t>
            </w:r>
            <w:r w:rsidRPr="0088780C">
              <w:rPr>
                <w:bCs/>
                <w:i/>
                <w:snapToGrid w:val="0"/>
                <w:kern w:val="22"/>
                <w:szCs w:val="22"/>
                <w:shd w:val="clear" w:color="auto" w:fill="FFFFFF"/>
              </w:rPr>
              <w:t>nordmanni</w:t>
            </w:r>
            <w:r w:rsidRPr="0088780C">
              <w:rPr>
                <w:bCs/>
                <w:snapToGrid w:val="0"/>
                <w:kern w:val="22"/>
                <w:szCs w:val="22"/>
                <w:shd w:val="clear" w:color="auto" w:fill="FFFFFF"/>
              </w:rPr>
              <w:t>)</w:t>
            </w:r>
            <w:r w:rsidRPr="0088780C">
              <w:rPr>
                <w:bCs/>
                <w:snapToGrid w:val="0"/>
                <w:kern w:val="22"/>
                <w:szCs w:val="22"/>
              </w:rPr>
              <w:t xml:space="preserve">, </w:t>
            </w:r>
            <w:r w:rsidRPr="0088780C">
              <w:rPr>
                <w:bCs/>
                <w:snapToGrid w:val="0"/>
                <w:kern w:val="22"/>
                <w:szCs w:val="22"/>
                <w:shd w:val="clear" w:color="auto" w:fill="FFFFFF"/>
              </w:rPr>
              <w:t>stone-curlew (</w:t>
            </w:r>
            <w:r w:rsidRPr="0088780C">
              <w:rPr>
                <w:bCs/>
                <w:i/>
                <w:snapToGrid w:val="0"/>
                <w:kern w:val="22"/>
                <w:szCs w:val="22"/>
                <w:shd w:val="clear" w:color="auto" w:fill="FFFFFF"/>
              </w:rPr>
              <w:t>Burhinus</w:t>
            </w:r>
            <w:r w:rsidRPr="0088780C">
              <w:rPr>
                <w:rStyle w:val="apple-converted-space"/>
                <w:bCs/>
                <w:i/>
                <w:snapToGrid w:val="0"/>
                <w:kern w:val="22"/>
                <w:szCs w:val="22"/>
                <w:shd w:val="clear" w:color="auto" w:fill="FFFFFF"/>
              </w:rPr>
              <w:t> </w:t>
            </w:r>
            <w:r w:rsidRPr="0088780C">
              <w:rPr>
                <w:bCs/>
                <w:i/>
                <w:snapToGrid w:val="0"/>
                <w:kern w:val="22"/>
                <w:szCs w:val="22"/>
                <w:shd w:val="clear" w:color="auto" w:fill="FFFFFF"/>
              </w:rPr>
              <w:t>oedicnemus</w:t>
            </w:r>
            <w:r w:rsidRPr="0088780C">
              <w:rPr>
                <w:bCs/>
                <w:snapToGrid w:val="0"/>
                <w:kern w:val="22"/>
                <w:szCs w:val="22"/>
                <w:shd w:val="clear" w:color="auto" w:fill="FFFFFF"/>
              </w:rPr>
              <w:t>)</w:t>
            </w:r>
            <w:r w:rsidRPr="0088780C">
              <w:rPr>
                <w:bCs/>
                <w:snapToGrid w:val="0"/>
                <w:kern w:val="22"/>
                <w:szCs w:val="22"/>
              </w:rPr>
              <w:t xml:space="preserve"> and others that occur in the area. Regular inhabitants listed in the IUCN Red List include: </w:t>
            </w:r>
            <w:r w:rsidRPr="0088780C">
              <w:rPr>
                <w:bCs/>
                <w:snapToGrid w:val="0"/>
                <w:kern w:val="22"/>
                <w:szCs w:val="22"/>
                <w:shd w:val="clear" w:color="auto" w:fill="FFFFFF"/>
              </w:rPr>
              <w:t>white-tailed eagle (</w:t>
            </w:r>
            <w:r w:rsidRPr="0088780C">
              <w:rPr>
                <w:bCs/>
                <w:i/>
                <w:snapToGrid w:val="0"/>
                <w:kern w:val="22"/>
                <w:szCs w:val="22"/>
                <w:shd w:val="clear" w:color="auto" w:fill="FFFFFF"/>
              </w:rPr>
              <w:t>Haliaeetus</w:t>
            </w:r>
            <w:r w:rsidRPr="0088780C">
              <w:rPr>
                <w:rStyle w:val="apple-converted-space"/>
                <w:bCs/>
                <w:i/>
                <w:snapToGrid w:val="0"/>
                <w:kern w:val="22"/>
                <w:szCs w:val="22"/>
                <w:shd w:val="clear" w:color="auto" w:fill="FFFFFF"/>
              </w:rPr>
              <w:t> </w:t>
            </w:r>
            <w:r w:rsidRPr="0088780C">
              <w:rPr>
                <w:bCs/>
                <w:i/>
                <w:snapToGrid w:val="0"/>
                <w:kern w:val="22"/>
                <w:szCs w:val="22"/>
                <w:shd w:val="clear" w:color="auto" w:fill="FFFFFF"/>
              </w:rPr>
              <w:t>albicilla</w:t>
            </w:r>
            <w:r w:rsidRPr="0088780C">
              <w:rPr>
                <w:bCs/>
                <w:snapToGrid w:val="0"/>
                <w:kern w:val="22"/>
                <w:szCs w:val="22"/>
                <w:shd w:val="clear" w:color="auto" w:fill="FFFFFF"/>
              </w:rPr>
              <w:t>; winter concentrations)</w:t>
            </w:r>
            <w:r w:rsidRPr="0088780C">
              <w:rPr>
                <w:bCs/>
                <w:snapToGrid w:val="0"/>
                <w:kern w:val="22"/>
                <w:szCs w:val="22"/>
              </w:rPr>
              <w:t xml:space="preserve">, </w:t>
            </w:r>
            <w:r w:rsidRPr="0088780C">
              <w:rPr>
                <w:bCs/>
                <w:snapToGrid w:val="0"/>
                <w:kern w:val="22"/>
                <w:szCs w:val="22"/>
                <w:shd w:val="clear" w:color="auto" w:fill="FFFFFF"/>
              </w:rPr>
              <w:t xml:space="preserve">Dalmatian pelican </w:t>
            </w:r>
            <w:r w:rsidRPr="0088780C">
              <w:rPr>
                <w:bCs/>
                <w:snapToGrid w:val="0"/>
                <w:kern w:val="22"/>
                <w:szCs w:val="22"/>
              </w:rPr>
              <w:t>(</w:t>
            </w:r>
            <w:r w:rsidRPr="0088780C">
              <w:rPr>
                <w:bCs/>
                <w:i/>
                <w:snapToGrid w:val="0"/>
                <w:kern w:val="22"/>
                <w:szCs w:val="22"/>
                <w:shd w:val="clear" w:color="auto" w:fill="FFFFFF"/>
              </w:rPr>
              <w:t>Pelecanus crispus</w:t>
            </w:r>
            <w:r w:rsidRPr="0088780C">
              <w:rPr>
                <w:bCs/>
                <w:snapToGrid w:val="0"/>
                <w:kern w:val="22"/>
                <w:szCs w:val="22"/>
                <w:shd w:val="clear" w:color="auto" w:fill="FFFFFF"/>
              </w:rPr>
              <w:t>; several nesting colonies)</w:t>
            </w:r>
            <w:r w:rsidRPr="0088780C">
              <w:rPr>
                <w:bCs/>
                <w:snapToGrid w:val="0"/>
                <w:kern w:val="22"/>
                <w:szCs w:val="22"/>
              </w:rPr>
              <w:t xml:space="preserve"> and otter (</w:t>
            </w:r>
            <w:r w:rsidRPr="0088780C">
              <w:rPr>
                <w:bCs/>
                <w:i/>
                <w:snapToGrid w:val="0"/>
                <w:kern w:val="22"/>
                <w:szCs w:val="22"/>
                <w:shd w:val="clear" w:color="auto" w:fill="FFFFFF"/>
              </w:rPr>
              <w:t>Lutra vulgaris</w:t>
            </w:r>
            <w:r w:rsidRPr="0088780C">
              <w:rPr>
                <w:bCs/>
                <w:snapToGrid w:val="0"/>
                <w:kern w:val="22"/>
                <w:szCs w:val="22"/>
              </w:rPr>
              <w:t>). This is a key area for several endangered species of fishes at different stages of their life cycles (</w:t>
            </w:r>
            <w:r w:rsidRPr="0088780C">
              <w:rPr>
                <w:rStyle w:val="shorttext"/>
                <w:bCs/>
                <w:snapToGrid w:val="0"/>
                <w:kern w:val="22"/>
                <w:szCs w:val="22"/>
              </w:rPr>
              <w:t>beluga sturgeon, Russian sturgeon, stellate sturgeon, all in the IUCN Red List</w:t>
            </w:r>
            <w:r w:rsidRPr="0088780C">
              <w:rPr>
                <w:bCs/>
                <w:snapToGrid w:val="0"/>
                <w:kern w:val="22"/>
                <w:szCs w:val="22"/>
              </w:rPr>
              <w:t>) (Красная книга РФ, 2008; Красная книга республики Дагестан, 2009).</w:t>
            </w:r>
          </w:p>
        </w:tc>
      </w:tr>
      <w:tr w:rsidR="00A876F3" w:rsidRPr="0088780C" w14:paraId="031A1D6E" w14:textId="77777777" w:rsidTr="006972AD">
        <w:tc>
          <w:tcPr>
            <w:tcW w:w="779" w:type="pct"/>
            <w:shd w:val="clear" w:color="auto" w:fill="auto"/>
          </w:tcPr>
          <w:p w14:paraId="3462016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2EDDAB1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08F9217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885AE1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1B749CB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c>
          <w:tcPr>
            <w:tcW w:w="436" w:type="pct"/>
            <w:gridSpan w:val="2"/>
            <w:shd w:val="clear" w:color="auto" w:fill="auto"/>
          </w:tcPr>
          <w:p w14:paraId="63AD1C0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361A8E1B" w14:textId="77777777" w:rsidTr="006972AD">
        <w:tc>
          <w:tcPr>
            <w:tcW w:w="5000" w:type="pct"/>
            <w:gridSpan w:val="11"/>
            <w:shd w:val="clear" w:color="auto" w:fill="auto"/>
          </w:tcPr>
          <w:p w14:paraId="1BE7BE5C"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247E8826"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In spite of the existing potential for natural restoration of biodiversity, this area is extremely vulnerable at certain periods of the year, when there are concentrations of birds from large areas.</w:t>
            </w:r>
          </w:p>
          <w:p w14:paraId="2539D12E"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bCs/>
                <w:snapToGrid w:val="0"/>
                <w:kern w:val="22"/>
                <w:szCs w:val="22"/>
              </w:rPr>
              <w:t>In addition, among the species inhabiting the area, some are characterized by long life cycles (sturgeons) (Гаджиев А.А., 2003, Красная книга Дагестана, 2009).</w:t>
            </w:r>
          </w:p>
        </w:tc>
      </w:tr>
      <w:tr w:rsidR="00A876F3" w:rsidRPr="0088780C" w14:paraId="28CC9C66" w14:textId="77777777" w:rsidTr="006972AD">
        <w:tc>
          <w:tcPr>
            <w:tcW w:w="779" w:type="pct"/>
            <w:shd w:val="clear" w:color="auto" w:fill="auto"/>
          </w:tcPr>
          <w:p w14:paraId="33CA64B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7686C88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2BC89DA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4A5577D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BE47C2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177CC63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52639B69" w14:textId="77777777" w:rsidTr="006972AD">
        <w:tc>
          <w:tcPr>
            <w:tcW w:w="5000" w:type="pct"/>
            <w:gridSpan w:val="11"/>
            <w:shd w:val="clear" w:color="auto" w:fill="auto"/>
          </w:tcPr>
          <w:p w14:paraId="4C98B0EC"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18C82C99" w14:textId="77777777" w:rsidR="00A876F3" w:rsidRPr="0088780C" w:rsidRDefault="00A876F3" w:rsidP="001013AF">
            <w:pPr>
              <w:pStyle w:val="NormalWeb"/>
              <w:suppressLineNumbers/>
              <w:suppressAutoHyphens/>
              <w:kinsoku w:val="0"/>
              <w:overflowPunct w:val="0"/>
              <w:autoSpaceDE w:val="0"/>
              <w:autoSpaceDN w:val="0"/>
              <w:spacing w:before="0" w:beforeAutospacing="0" w:after="0" w:afterAutospacing="0"/>
              <w:jc w:val="both"/>
              <w:rPr>
                <w:snapToGrid w:val="0"/>
                <w:kern w:val="22"/>
                <w:sz w:val="22"/>
                <w:szCs w:val="22"/>
                <w:lang w:val="en-GB"/>
              </w:rPr>
            </w:pPr>
            <w:r w:rsidRPr="0088780C">
              <w:rPr>
                <w:snapToGrid w:val="0"/>
                <w:kern w:val="22"/>
                <w:sz w:val="22"/>
                <w:szCs w:val="22"/>
                <w:lang w:val="en-GB"/>
              </w:rPr>
              <w:t>Information on the primary biological productivity of the area needs to be clarified, but the high density of living organisms, including those on the upper levels of the food chain, indicates an abundance of food resources. Favourable feeding conditions are created due to the high degree of water heating due to shallow depths and climatic features (Сокольский и др., 2012). The shallow waters of the northern Caspian Sea are the most productive part of the sea. (Шибоянц, 2011).</w:t>
            </w:r>
          </w:p>
        </w:tc>
      </w:tr>
      <w:tr w:rsidR="00A876F3" w:rsidRPr="0088780C" w14:paraId="54BAD454" w14:textId="77777777" w:rsidTr="006972AD">
        <w:tc>
          <w:tcPr>
            <w:tcW w:w="779" w:type="pct"/>
            <w:shd w:val="clear" w:color="auto" w:fill="auto"/>
          </w:tcPr>
          <w:p w14:paraId="524DDCF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1022D70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23A1206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77660ED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1539FF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c>
          <w:tcPr>
            <w:tcW w:w="436" w:type="pct"/>
            <w:gridSpan w:val="2"/>
            <w:shd w:val="clear" w:color="auto" w:fill="auto"/>
          </w:tcPr>
          <w:p w14:paraId="202C0B5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51124CDA" w14:textId="77777777" w:rsidTr="006972AD">
        <w:tc>
          <w:tcPr>
            <w:tcW w:w="5000" w:type="pct"/>
            <w:gridSpan w:val="11"/>
            <w:shd w:val="clear" w:color="auto" w:fill="auto"/>
          </w:tcPr>
          <w:p w14:paraId="1E70734F"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5B045A8A" w14:textId="44D61CFB"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bCs/>
                <w:snapToGrid w:val="0"/>
                <w:kern w:val="22"/>
                <w:szCs w:val="22"/>
              </w:rPr>
              <w:t>The species abundance of this area does not differ significantly in most groups of organisms. The reasons for this are quite complex living conditions. The avifauna is very diverse, numbering 250 species, mainly waterfawl and near-water species (Кривенко, 2000; Джамирзоев Г.С.,</w:t>
            </w:r>
            <w:r w:rsidR="00FD2A7D" w:rsidRPr="0088780C">
              <w:rPr>
                <w:bCs/>
                <w:snapToGrid w:val="0"/>
                <w:kern w:val="22"/>
                <w:szCs w:val="22"/>
              </w:rPr>
              <w:t xml:space="preserve"> </w:t>
            </w:r>
            <w:r w:rsidRPr="0088780C">
              <w:rPr>
                <w:bCs/>
                <w:snapToGrid w:val="0"/>
                <w:kern w:val="22"/>
                <w:szCs w:val="22"/>
              </w:rPr>
              <w:t>2006, Летопись природы…, 2010-2015гг.). The number of fish species is high for a freshwater ecosystem (Бархалов, 2011).</w:t>
            </w:r>
          </w:p>
        </w:tc>
      </w:tr>
      <w:tr w:rsidR="00A876F3" w:rsidRPr="0088780C" w14:paraId="6140FE74" w14:textId="77777777" w:rsidTr="00B06876">
        <w:trPr>
          <w:cantSplit/>
        </w:trPr>
        <w:tc>
          <w:tcPr>
            <w:tcW w:w="783" w:type="pct"/>
            <w:shd w:val="clear" w:color="auto" w:fill="auto"/>
          </w:tcPr>
          <w:p w14:paraId="461B368A"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1D0822D4"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5C2CD88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3F7CD2F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32B658F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Х</w:t>
            </w:r>
          </w:p>
        </w:tc>
        <w:tc>
          <w:tcPr>
            <w:tcW w:w="385" w:type="pct"/>
            <w:shd w:val="clear" w:color="auto" w:fill="auto"/>
          </w:tcPr>
          <w:p w14:paraId="187F287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A876F3" w:rsidRPr="0088780C" w14:paraId="6B880A83" w14:textId="77777777" w:rsidTr="006972AD">
        <w:tc>
          <w:tcPr>
            <w:tcW w:w="5000" w:type="pct"/>
            <w:gridSpan w:val="11"/>
            <w:shd w:val="clear" w:color="auto" w:fill="auto"/>
          </w:tcPr>
          <w:p w14:paraId="156E8714"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4C40C310"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This area is a location for sport fishing and hunting (Малкин Е.М., 1999). At the same time, part of the area includes specially protected natural areas at various levels.</w:t>
            </w:r>
          </w:p>
        </w:tc>
      </w:tr>
    </w:tbl>
    <w:p w14:paraId="5D082B4A" w14:textId="77777777" w:rsidR="00A876F3" w:rsidRPr="0088780C" w:rsidRDefault="00A876F3" w:rsidP="00B06876">
      <w:pPr>
        <w:suppressLineNumbers/>
        <w:suppressAutoHyphens/>
        <w:kinsoku w:val="0"/>
        <w:overflowPunct w:val="0"/>
        <w:autoSpaceDE w:val="0"/>
        <w:autoSpaceDN w:val="0"/>
        <w:adjustRightInd w:val="0"/>
        <w:rPr>
          <w:rFonts w:eastAsia="MS Mincho"/>
          <w:bCs/>
          <w:snapToGrid w:val="0"/>
          <w:color w:val="000000"/>
          <w:kern w:val="22"/>
          <w:szCs w:val="22"/>
        </w:rPr>
      </w:pPr>
    </w:p>
    <w:p w14:paraId="1D719EB6" w14:textId="77777777" w:rsidR="00A876F3" w:rsidRPr="0088780C" w:rsidRDefault="00A876F3" w:rsidP="00B06876">
      <w:pPr>
        <w:keepNext/>
        <w:suppressLineNumbers/>
        <w:suppressAutoHyphens/>
        <w:kinsoku w:val="0"/>
        <w:overflowPunct w:val="0"/>
        <w:autoSpaceDE w:val="0"/>
        <w:autoSpaceDN w:val="0"/>
        <w:spacing w:after="60"/>
        <w:rPr>
          <w:rFonts w:eastAsia="MS Mincho"/>
          <w:b/>
          <w:snapToGrid w:val="0"/>
          <w:kern w:val="22"/>
          <w:szCs w:val="22"/>
        </w:rPr>
      </w:pPr>
      <w:r w:rsidRPr="0088780C">
        <w:rPr>
          <w:rFonts w:eastAsia="MS Mincho"/>
          <w:b/>
          <w:snapToGrid w:val="0"/>
          <w:kern w:val="22"/>
          <w:szCs w:val="22"/>
        </w:rPr>
        <w:t>References</w:t>
      </w:r>
    </w:p>
    <w:p w14:paraId="2AE26404" w14:textId="77777777" w:rsidR="00A876F3" w:rsidRPr="0088780C" w:rsidRDefault="00A876F3" w:rsidP="00B06876">
      <w:pPr>
        <w:pStyle w:val="NormalWeb"/>
        <w:keepNext/>
        <w:suppressLineNumbers/>
        <w:shd w:val="clear" w:color="auto" w:fill="FFFFFF"/>
        <w:suppressAutoHyphens/>
        <w:kinsoku w:val="0"/>
        <w:overflowPunct w:val="0"/>
        <w:autoSpaceDE w:val="0"/>
        <w:autoSpaceDN w:val="0"/>
        <w:spacing w:before="0" w:beforeAutospacing="0" w:after="60" w:afterAutospacing="0"/>
        <w:ind w:left="720" w:hanging="720"/>
        <w:jc w:val="both"/>
        <w:rPr>
          <w:snapToGrid w:val="0"/>
          <w:kern w:val="22"/>
          <w:sz w:val="22"/>
          <w:szCs w:val="22"/>
          <w:lang w:val="ru-RU"/>
        </w:rPr>
      </w:pPr>
      <w:r w:rsidRPr="0088780C">
        <w:rPr>
          <w:snapToGrid w:val="0"/>
          <w:kern w:val="22"/>
          <w:sz w:val="22"/>
          <w:szCs w:val="22"/>
          <w:lang w:val="ru-RU"/>
        </w:rPr>
        <w:t>Бархалов Р.М. Современное состояние популяций промысловых видов рыб Аграханского и Кизлярского заливов. Тр. государственного природного заповедника «Дагестанский», Вып.№4, Махачкала, 2011. с.66-100.</w:t>
      </w:r>
    </w:p>
    <w:p w14:paraId="4A23B443" w14:textId="07BEA4AD" w:rsidR="00A876F3" w:rsidRPr="0088780C" w:rsidRDefault="00A876F3" w:rsidP="00B06876">
      <w:pPr>
        <w:pStyle w:val="NormalWeb"/>
        <w:keepNext/>
        <w:suppressLineNumbers/>
        <w:shd w:val="clear" w:color="auto" w:fill="FFFFFF"/>
        <w:suppressAutoHyphens/>
        <w:kinsoku w:val="0"/>
        <w:overflowPunct w:val="0"/>
        <w:autoSpaceDE w:val="0"/>
        <w:autoSpaceDN w:val="0"/>
        <w:spacing w:before="0" w:beforeAutospacing="0" w:after="60" w:afterAutospacing="0"/>
        <w:ind w:left="720" w:hanging="720"/>
        <w:jc w:val="both"/>
        <w:rPr>
          <w:snapToGrid w:val="0"/>
          <w:kern w:val="22"/>
          <w:sz w:val="22"/>
          <w:szCs w:val="22"/>
          <w:lang w:val="ru-RU"/>
        </w:rPr>
      </w:pPr>
      <w:r w:rsidRPr="0088780C">
        <w:rPr>
          <w:snapToGrid w:val="0"/>
          <w:kern w:val="22"/>
          <w:sz w:val="22"/>
          <w:szCs w:val="22"/>
          <w:lang w:val="ru-RU"/>
        </w:rPr>
        <w:t>Водно-болотные угодья России. Том 3. Водно-болотные угодья, внесенные в Перспективный список Рамсарской конвенции / Под общ. ред. В.Г. Кривенко. - М.: Wetland International Global Series No. 3, 2000. - 490 с.</w:t>
      </w:r>
    </w:p>
    <w:p w14:paraId="56C73AC4" w14:textId="0E282C09" w:rsidR="00A876F3" w:rsidRPr="0088780C" w:rsidRDefault="00A876F3" w:rsidP="00B06876">
      <w:pPr>
        <w:pStyle w:val="NormalWeb"/>
        <w:keepNext/>
        <w:suppressLineNumbers/>
        <w:shd w:val="clear" w:color="auto" w:fill="FFFFFF"/>
        <w:suppressAutoHyphens/>
        <w:kinsoku w:val="0"/>
        <w:overflowPunct w:val="0"/>
        <w:autoSpaceDE w:val="0"/>
        <w:autoSpaceDN w:val="0"/>
        <w:spacing w:before="0" w:beforeAutospacing="0" w:after="60" w:afterAutospacing="0"/>
        <w:ind w:left="720" w:hanging="720"/>
        <w:jc w:val="both"/>
        <w:rPr>
          <w:snapToGrid w:val="0"/>
          <w:kern w:val="22"/>
          <w:sz w:val="22"/>
          <w:szCs w:val="22"/>
          <w:lang w:val="ru-RU"/>
        </w:rPr>
      </w:pPr>
      <w:r w:rsidRPr="0088780C">
        <w:rPr>
          <w:snapToGrid w:val="0"/>
          <w:kern w:val="22"/>
          <w:sz w:val="22"/>
          <w:szCs w:val="22"/>
          <w:lang w:val="ru-RU"/>
        </w:rPr>
        <w:t xml:space="preserve">Гаджиев А.А., Шихшабеков М.М., Абдурахманов Г.М., Мунгиев А.А. Анализ экологического состояния Среднего Каспия и проблема воспроизводства рыб. М, изд-во Наука, 2003 г. </w:t>
      </w:r>
      <w:r w:rsidR="00B06876" w:rsidRPr="0088780C">
        <w:rPr>
          <w:snapToGrid w:val="0"/>
          <w:kern w:val="22"/>
          <w:sz w:val="22"/>
          <w:szCs w:val="22"/>
          <w:lang w:val="ru-RU"/>
        </w:rPr>
        <w:t>420 </w:t>
      </w:r>
      <w:r w:rsidRPr="0088780C">
        <w:rPr>
          <w:snapToGrid w:val="0"/>
          <w:kern w:val="22"/>
          <w:sz w:val="22"/>
          <w:szCs w:val="22"/>
          <w:lang w:val="ru-RU"/>
        </w:rPr>
        <w:t>с.</w:t>
      </w:r>
    </w:p>
    <w:p w14:paraId="34265588" w14:textId="622BBC72" w:rsidR="00A876F3" w:rsidRPr="0088780C" w:rsidRDefault="00A876F3" w:rsidP="00B06876">
      <w:pPr>
        <w:pStyle w:val="NormalWeb"/>
        <w:keepNext/>
        <w:suppressLineNumbers/>
        <w:shd w:val="clear" w:color="auto" w:fill="FFFFFF"/>
        <w:suppressAutoHyphens/>
        <w:kinsoku w:val="0"/>
        <w:overflowPunct w:val="0"/>
        <w:autoSpaceDE w:val="0"/>
        <w:autoSpaceDN w:val="0"/>
        <w:spacing w:before="0" w:beforeAutospacing="0" w:after="60" w:afterAutospacing="0"/>
        <w:ind w:left="720" w:hanging="720"/>
        <w:jc w:val="both"/>
        <w:rPr>
          <w:snapToGrid w:val="0"/>
          <w:color w:val="000000"/>
          <w:kern w:val="22"/>
          <w:sz w:val="22"/>
          <w:szCs w:val="22"/>
          <w:lang w:val="ru-RU"/>
        </w:rPr>
      </w:pPr>
      <w:r w:rsidRPr="0088780C">
        <w:rPr>
          <w:snapToGrid w:val="0"/>
          <w:kern w:val="22"/>
          <w:sz w:val="22"/>
          <w:szCs w:val="22"/>
          <w:lang w:val="ru-RU"/>
        </w:rPr>
        <w:t>Джамирзоев Г.С., Букреев С.А. Кизлярский залив // Водно-болотные угодья России. Том 6. Водно-болотные угодья Северного Кавказа (под общ. ред. А.Л.Мищенко). - М.: Wetlands International, 2006. - С. 181-191.</w:t>
      </w:r>
    </w:p>
    <w:p w14:paraId="3DAC2490" w14:textId="77777777" w:rsidR="00A876F3" w:rsidRPr="0088780C" w:rsidRDefault="00A876F3" w:rsidP="00B06876">
      <w:pPr>
        <w:pStyle w:val="NormalWeb"/>
        <w:keepNext/>
        <w:suppressLineNumbers/>
        <w:shd w:val="clear" w:color="auto" w:fill="FFFFFF"/>
        <w:suppressAutoHyphens/>
        <w:kinsoku w:val="0"/>
        <w:overflowPunct w:val="0"/>
        <w:autoSpaceDE w:val="0"/>
        <w:autoSpaceDN w:val="0"/>
        <w:spacing w:before="0" w:beforeAutospacing="0" w:after="60" w:afterAutospacing="0"/>
        <w:ind w:left="720" w:hanging="720"/>
        <w:jc w:val="both"/>
        <w:rPr>
          <w:snapToGrid w:val="0"/>
          <w:color w:val="000000"/>
          <w:kern w:val="22"/>
          <w:sz w:val="22"/>
          <w:szCs w:val="22"/>
          <w:lang w:val="ru-RU"/>
        </w:rPr>
      </w:pPr>
      <w:r w:rsidRPr="0088780C">
        <w:rPr>
          <w:snapToGrid w:val="0"/>
          <w:kern w:val="22"/>
          <w:sz w:val="22"/>
          <w:szCs w:val="22"/>
          <w:lang w:val="ru-RU"/>
        </w:rPr>
        <w:t>Г.С. Джамирзоев, С.А. Букреев, П.А. Тильба, Ю.Е. Комаров, А.А. Караваев, Р.А. Мнацеканов, Р.Х. Пшегусов, С.А. Плакса Рекомендации по сохранению КОТР международного значения в Кавказском экорегионе. – Москва–Махачкала: Союз охраны птиц России, НИИ биогеографии и ландшафтной экологии ДГПУ, 2008. – 176 с.</w:t>
      </w:r>
    </w:p>
    <w:p w14:paraId="10038035" w14:textId="77777777" w:rsidR="00A876F3" w:rsidRPr="0088780C" w:rsidRDefault="00A876F3" w:rsidP="00B06876">
      <w:pPr>
        <w:keepNext/>
        <w:suppressLineNumbers/>
        <w:suppressAutoHyphens/>
        <w:kinsoku w:val="0"/>
        <w:overflowPunct w:val="0"/>
        <w:autoSpaceDE w:val="0"/>
        <w:autoSpaceDN w:val="0"/>
        <w:spacing w:after="60"/>
        <w:ind w:left="720" w:hanging="720"/>
        <w:rPr>
          <w:snapToGrid w:val="0"/>
          <w:kern w:val="22"/>
          <w:szCs w:val="22"/>
          <w:lang w:val="ru-RU"/>
        </w:rPr>
      </w:pPr>
      <w:r w:rsidRPr="0088780C">
        <w:rPr>
          <w:bCs/>
          <w:snapToGrid w:val="0"/>
          <w:kern w:val="22"/>
          <w:szCs w:val="22"/>
          <w:shd w:val="clear" w:color="auto" w:fill="FFFFFF"/>
          <w:lang w:val="ru-RU"/>
        </w:rPr>
        <w:t>Красная</w:t>
      </w:r>
      <w:r w:rsidRPr="0088780C">
        <w:rPr>
          <w:rStyle w:val="apple-converted-space"/>
          <w:snapToGrid w:val="0"/>
          <w:kern w:val="22"/>
          <w:szCs w:val="22"/>
          <w:shd w:val="clear" w:color="auto" w:fill="FFFFFF"/>
          <w:lang w:val="ru-RU"/>
        </w:rPr>
        <w:t> </w:t>
      </w:r>
      <w:r w:rsidRPr="0088780C">
        <w:rPr>
          <w:bCs/>
          <w:snapToGrid w:val="0"/>
          <w:kern w:val="22"/>
          <w:szCs w:val="22"/>
          <w:shd w:val="clear" w:color="auto" w:fill="FFFFFF"/>
          <w:lang w:val="ru-RU"/>
        </w:rPr>
        <w:t>книга</w:t>
      </w:r>
      <w:r w:rsidRPr="0088780C">
        <w:rPr>
          <w:rStyle w:val="apple-converted-space"/>
          <w:snapToGrid w:val="0"/>
          <w:kern w:val="22"/>
          <w:szCs w:val="22"/>
          <w:shd w:val="clear" w:color="auto" w:fill="FFFFFF"/>
          <w:lang w:val="ru-RU"/>
        </w:rPr>
        <w:t> </w:t>
      </w:r>
      <w:r w:rsidRPr="0088780C">
        <w:rPr>
          <w:snapToGrid w:val="0"/>
          <w:kern w:val="22"/>
          <w:szCs w:val="22"/>
          <w:shd w:val="clear" w:color="auto" w:fill="FFFFFF"/>
          <w:lang w:val="ru-RU"/>
        </w:rPr>
        <w:t>Российской Федерации (растения и грибы)/ министерство</w:t>
      </w:r>
      <w:r w:rsidRPr="0088780C">
        <w:rPr>
          <w:rStyle w:val="apple-converted-space"/>
          <w:snapToGrid w:val="0"/>
          <w:kern w:val="22"/>
          <w:szCs w:val="22"/>
          <w:shd w:val="clear" w:color="auto" w:fill="FFFFFF"/>
          <w:lang w:val="ru-RU"/>
        </w:rPr>
        <w:t> </w:t>
      </w:r>
      <w:r w:rsidRPr="0088780C">
        <w:rPr>
          <w:snapToGrid w:val="0"/>
          <w:kern w:val="22"/>
          <w:szCs w:val="22"/>
          <w:shd w:val="clear" w:color="auto" w:fill="FFFFFF"/>
          <w:lang w:val="ru-RU"/>
        </w:rPr>
        <w:t>природных ресурсов и экологии</w:t>
      </w:r>
      <w:r w:rsidRPr="0088780C">
        <w:rPr>
          <w:rStyle w:val="apple-converted-space"/>
          <w:snapToGrid w:val="0"/>
          <w:kern w:val="22"/>
          <w:szCs w:val="22"/>
          <w:shd w:val="clear" w:color="auto" w:fill="FFFFFF"/>
          <w:lang w:val="ru-RU"/>
        </w:rPr>
        <w:t> </w:t>
      </w:r>
      <w:r w:rsidRPr="0088780C">
        <w:rPr>
          <w:bCs/>
          <w:snapToGrid w:val="0"/>
          <w:kern w:val="22"/>
          <w:szCs w:val="22"/>
          <w:shd w:val="clear" w:color="auto" w:fill="FFFFFF"/>
          <w:lang w:val="ru-RU"/>
        </w:rPr>
        <w:t>РФ</w:t>
      </w:r>
      <w:r w:rsidRPr="0088780C">
        <w:rPr>
          <w:snapToGrid w:val="0"/>
          <w:kern w:val="22"/>
          <w:szCs w:val="22"/>
          <w:shd w:val="clear" w:color="auto" w:fill="FFFFFF"/>
          <w:lang w:val="ru-RU"/>
        </w:rPr>
        <w:t>; Федеральная служба по надзору в</w:t>
      </w:r>
      <w:r w:rsidRPr="0088780C">
        <w:rPr>
          <w:rStyle w:val="apple-converted-space"/>
          <w:snapToGrid w:val="0"/>
          <w:kern w:val="22"/>
          <w:szCs w:val="22"/>
          <w:shd w:val="clear" w:color="auto" w:fill="FFFFFF"/>
          <w:lang w:val="ru-RU"/>
        </w:rPr>
        <w:t> </w:t>
      </w:r>
      <w:r w:rsidRPr="0088780C">
        <w:rPr>
          <w:snapToGrid w:val="0"/>
          <w:kern w:val="22"/>
          <w:szCs w:val="22"/>
          <w:shd w:val="clear" w:color="auto" w:fill="FFFFFF"/>
          <w:lang w:val="ru-RU"/>
        </w:rPr>
        <w:t>сфере </w:t>
      </w:r>
      <w:r w:rsidRPr="0088780C">
        <w:rPr>
          <w:bCs/>
          <w:snapToGrid w:val="0"/>
          <w:kern w:val="22"/>
          <w:szCs w:val="22"/>
          <w:shd w:val="clear" w:color="auto" w:fill="FFFFFF"/>
          <w:lang w:val="ru-RU"/>
        </w:rPr>
        <w:t>...</w:t>
      </w:r>
      <w:r w:rsidRPr="0088780C">
        <w:rPr>
          <w:rStyle w:val="apple-converted-space"/>
          <w:bCs/>
          <w:snapToGrid w:val="0"/>
          <w:kern w:val="22"/>
          <w:szCs w:val="22"/>
          <w:shd w:val="clear" w:color="auto" w:fill="FFFFFF"/>
          <w:lang w:val="ru-RU"/>
        </w:rPr>
        <w:t> </w:t>
      </w:r>
      <w:r w:rsidRPr="0088780C">
        <w:rPr>
          <w:snapToGrid w:val="0"/>
          <w:kern w:val="22"/>
          <w:szCs w:val="22"/>
          <w:shd w:val="clear" w:color="auto" w:fill="FFFFFF"/>
          <w:lang w:val="ru-RU"/>
        </w:rPr>
        <w:t>Р. В. Камелин и др. — М.: Товарищество научных изданий КМК,</w:t>
      </w:r>
      <w:r w:rsidRPr="0088780C">
        <w:rPr>
          <w:rStyle w:val="apple-converted-space"/>
          <w:snapToGrid w:val="0"/>
          <w:kern w:val="22"/>
          <w:szCs w:val="22"/>
          <w:shd w:val="clear" w:color="auto" w:fill="FFFFFF"/>
          <w:lang w:val="ru-RU"/>
        </w:rPr>
        <w:t> </w:t>
      </w:r>
      <w:r w:rsidRPr="0088780C">
        <w:rPr>
          <w:bCs/>
          <w:snapToGrid w:val="0"/>
          <w:kern w:val="22"/>
          <w:szCs w:val="22"/>
          <w:shd w:val="clear" w:color="auto" w:fill="FFFFFF"/>
          <w:lang w:val="ru-RU"/>
        </w:rPr>
        <w:t>2008</w:t>
      </w:r>
      <w:r w:rsidRPr="0088780C">
        <w:rPr>
          <w:snapToGrid w:val="0"/>
          <w:kern w:val="22"/>
          <w:szCs w:val="22"/>
          <w:shd w:val="clear" w:color="auto" w:fill="FFFFFF"/>
          <w:lang w:val="ru-RU"/>
        </w:rPr>
        <w:t>.</w:t>
      </w:r>
    </w:p>
    <w:p w14:paraId="715A2733" w14:textId="77777777" w:rsidR="00A876F3" w:rsidRPr="0088780C" w:rsidRDefault="00A876F3" w:rsidP="00B06876">
      <w:pPr>
        <w:pStyle w:val="NormalWeb"/>
        <w:keepNext/>
        <w:suppressLineNumbers/>
        <w:suppressAutoHyphens/>
        <w:kinsoku w:val="0"/>
        <w:overflowPunct w:val="0"/>
        <w:autoSpaceDE w:val="0"/>
        <w:autoSpaceDN w:val="0"/>
        <w:spacing w:before="0" w:beforeAutospacing="0" w:after="60" w:afterAutospacing="0"/>
        <w:ind w:left="720" w:hanging="720"/>
        <w:jc w:val="both"/>
        <w:rPr>
          <w:bCs/>
          <w:snapToGrid w:val="0"/>
          <w:kern w:val="22"/>
          <w:sz w:val="22"/>
          <w:szCs w:val="22"/>
          <w:shd w:val="clear" w:color="auto" w:fill="FFFFFF"/>
          <w:lang w:val="ru-RU" w:eastAsia="en-CA"/>
        </w:rPr>
      </w:pPr>
      <w:r w:rsidRPr="0088780C">
        <w:rPr>
          <w:bCs/>
          <w:snapToGrid w:val="0"/>
          <w:kern w:val="22"/>
          <w:sz w:val="22"/>
          <w:szCs w:val="22"/>
          <w:shd w:val="clear" w:color="auto" w:fill="FFFFFF"/>
          <w:lang w:val="ru-RU" w:eastAsia="en-CA"/>
        </w:rPr>
        <w:t>Красная книга Республики Дагестан. 2009. Ответственный редактор и составитель Г.М. Абдурахманов. Махачкала, 2009. - 552 с.</w:t>
      </w:r>
    </w:p>
    <w:p w14:paraId="2A9EC757" w14:textId="77777777" w:rsidR="00A876F3" w:rsidRPr="0088780C" w:rsidRDefault="00A876F3" w:rsidP="00B06876">
      <w:pPr>
        <w:pStyle w:val="NormalWeb"/>
        <w:keepNext/>
        <w:suppressLineNumbers/>
        <w:suppressAutoHyphens/>
        <w:kinsoku w:val="0"/>
        <w:overflowPunct w:val="0"/>
        <w:autoSpaceDE w:val="0"/>
        <w:autoSpaceDN w:val="0"/>
        <w:spacing w:before="0" w:beforeAutospacing="0" w:after="60" w:afterAutospacing="0"/>
        <w:ind w:left="720" w:hanging="720"/>
        <w:jc w:val="both"/>
        <w:rPr>
          <w:snapToGrid w:val="0"/>
          <w:color w:val="000000"/>
          <w:kern w:val="22"/>
          <w:sz w:val="22"/>
          <w:szCs w:val="22"/>
          <w:lang w:val="ru-RU"/>
        </w:rPr>
      </w:pPr>
      <w:r w:rsidRPr="0088780C">
        <w:rPr>
          <w:snapToGrid w:val="0"/>
          <w:kern w:val="22"/>
          <w:sz w:val="22"/>
          <w:szCs w:val="22"/>
          <w:lang w:val="ru-RU"/>
        </w:rPr>
        <w:t xml:space="preserve">Летопись природы Государственный природный заповедник «Дагестанский». 2010-2015 гг. </w:t>
      </w:r>
      <w:r w:rsidRPr="0088780C">
        <w:rPr>
          <w:snapToGrid w:val="0"/>
          <w:color w:val="000000"/>
          <w:kern w:val="22"/>
          <w:sz w:val="22"/>
          <w:szCs w:val="22"/>
          <w:lang w:val="ru-RU"/>
        </w:rPr>
        <w:t>http://www.dagzapoved.ru/ru/node/75</w:t>
      </w:r>
    </w:p>
    <w:p w14:paraId="2852192B" w14:textId="77777777" w:rsidR="00A876F3" w:rsidRPr="0088780C" w:rsidRDefault="00A876F3" w:rsidP="00B06876">
      <w:pPr>
        <w:pStyle w:val="NormalWeb"/>
        <w:keepNext/>
        <w:suppressLineNumbers/>
        <w:shd w:val="clear" w:color="auto" w:fill="FFFFFF"/>
        <w:suppressAutoHyphens/>
        <w:kinsoku w:val="0"/>
        <w:overflowPunct w:val="0"/>
        <w:autoSpaceDE w:val="0"/>
        <w:autoSpaceDN w:val="0"/>
        <w:spacing w:before="0" w:beforeAutospacing="0" w:after="60" w:afterAutospacing="0"/>
        <w:ind w:left="720" w:hanging="720"/>
        <w:jc w:val="both"/>
        <w:rPr>
          <w:snapToGrid w:val="0"/>
          <w:kern w:val="22"/>
          <w:sz w:val="22"/>
          <w:szCs w:val="22"/>
          <w:lang w:val="ru-RU"/>
        </w:rPr>
      </w:pPr>
      <w:r w:rsidRPr="0088780C">
        <w:rPr>
          <w:snapToGrid w:val="0"/>
          <w:kern w:val="22"/>
          <w:sz w:val="22"/>
          <w:szCs w:val="22"/>
          <w:lang w:val="ru-RU"/>
        </w:rPr>
        <w:t>Малкин Е.М. Репродуктивная и численная изменчивость промысловых популяций рыб. М.; Изд-во ВНИРО, 1999, с.146.</w:t>
      </w:r>
    </w:p>
    <w:p w14:paraId="709C41D0" w14:textId="08C0A94E" w:rsidR="00A876F3" w:rsidRPr="0088780C" w:rsidRDefault="00A876F3" w:rsidP="00B06876">
      <w:pPr>
        <w:pStyle w:val="NormalWeb"/>
        <w:keepNext/>
        <w:suppressLineNumbers/>
        <w:shd w:val="clear" w:color="auto" w:fill="FFFFFF"/>
        <w:suppressAutoHyphens/>
        <w:kinsoku w:val="0"/>
        <w:overflowPunct w:val="0"/>
        <w:autoSpaceDE w:val="0"/>
        <w:autoSpaceDN w:val="0"/>
        <w:spacing w:before="0" w:beforeAutospacing="0" w:after="60" w:afterAutospacing="0"/>
        <w:ind w:left="720" w:hanging="720"/>
        <w:jc w:val="both"/>
        <w:rPr>
          <w:rFonts w:eastAsia="MS Mincho"/>
          <w:b/>
          <w:snapToGrid w:val="0"/>
          <w:kern w:val="22"/>
          <w:sz w:val="22"/>
          <w:szCs w:val="22"/>
          <w:lang w:val="ru-RU"/>
        </w:rPr>
      </w:pPr>
      <w:r w:rsidRPr="0088780C">
        <w:rPr>
          <w:snapToGrid w:val="0"/>
          <w:kern w:val="22"/>
          <w:sz w:val="22"/>
          <w:szCs w:val="22"/>
          <w:lang w:val="ru-RU"/>
        </w:rPr>
        <w:t>Сокольский А. Ф., Полянинова А. А., Молодцова А. И., Сокольская Е. А., Умербаева Роза Ивановна, Абдурахманов Г. М. Состояние кормовой базы и условий нагула осетровых рыб в Каспийском море // Юг России: экология, развитие. 2012. №1.</w:t>
      </w:r>
    </w:p>
    <w:p w14:paraId="3595B56F" w14:textId="1EB7B5A8" w:rsidR="00A876F3" w:rsidRPr="0088780C" w:rsidRDefault="00A876F3" w:rsidP="00B06876">
      <w:pPr>
        <w:pStyle w:val="NormalWeb"/>
        <w:keepNext/>
        <w:suppressLineNumbers/>
        <w:shd w:val="clear" w:color="auto" w:fill="FFFFFF"/>
        <w:suppressAutoHyphens/>
        <w:kinsoku w:val="0"/>
        <w:overflowPunct w:val="0"/>
        <w:autoSpaceDE w:val="0"/>
        <w:autoSpaceDN w:val="0"/>
        <w:spacing w:before="0" w:beforeAutospacing="0" w:after="60" w:afterAutospacing="0"/>
        <w:ind w:left="720" w:hanging="720"/>
        <w:jc w:val="both"/>
        <w:rPr>
          <w:rFonts w:eastAsia="MS Mincho"/>
          <w:b/>
          <w:snapToGrid w:val="0"/>
          <w:kern w:val="22"/>
          <w:sz w:val="22"/>
          <w:szCs w:val="22"/>
          <w:lang w:val="ru-RU"/>
        </w:rPr>
      </w:pPr>
      <w:r w:rsidRPr="0088780C">
        <w:rPr>
          <w:snapToGrid w:val="0"/>
          <w:color w:val="000000"/>
          <w:kern w:val="22"/>
          <w:sz w:val="22"/>
          <w:szCs w:val="22"/>
          <w:shd w:val="clear" w:color="auto" w:fill="FFFFFF"/>
          <w:lang w:val="ru-RU"/>
        </w:rPr>
        <w:t>Шабоянц Н. Г., Шипулин С. В. Формирование биопродуктивности Северного Каспия // Юг России: экология, развитие. 2011. №3.</w:t>
      </w:r>
    </w:p>
    <w:p w14:paraId="4B5E3A51" w14:textId="65FC64E6" w:rsidR="00A876F3" w:rsidRPr="0088780C" w:rsidRDefault="00A876F3" w:rsidP="00B06876">
      <w:pPr>
        <w:pStyle w:val="NormalWeb"/>
        <w:keepNext/>
        <w:suppressLineNumbers/>
        <w:shd w:val="clear" w:color="auto" w:fill="FFFFFF"/>
        <w:suppressAutoHyphens/>
        <w:kinsoku w:val="0"/>
        <w:overflowPunct w:val="0"/>
        <w:autoSpaceDE w:val="0"/>
        <w:autoSpaceDN w:val="0"/>
        <w:spacing w:before="0" w:beforeAutospacing="0" w:after="60" w:afterAutospacing="0"/>
        <w:ind w:left="720" w:hanging="720"/>
        <w:jc w:val="both"/>
        <w:rPr>
          <w:rFonts w:eastAsia="MS Mincho"/>
          <w:b/>
          <w:snapToGrid w:val="0"/>
          <w:kern w:val="22"/>
          <w:sz w:val="22"/>
          <w:szCs w:val="22"/>
          <w:lang w:val="ru-RU"/>
        </w:rPr>
      </w:pPr>
      <w:r w:rsidRPr="0088780C">
        <w:rPr>
          <w:snapToGrid w:val="0"/>
          <w:kern w:val="22"/>
          <w:sz w:val="22"/>
          <w:szCs w:val="22"/>
          <w:lang w:val="ru-RU"/>
        </w:rPr>
        <w:t>Шихшабеков М.М., Исрапов И.М. Экология рыб дагестанского побережья Каспия. Махачкала, Изд-во «Юпитер», 2005, с.63-175.</w:t>
      </w:r>
    </w:p>
    <w:p w14:paraId="78F00AD7" w14:textId="77777777" w:rsidR="00A876F3" w:rsidRPr="0088780C" w:rsidRDefault="00A876F3" w:rsidP="00B06876">
      <w:pPr>
        <w:pStyle w:val="NormalWeb"/>
        <w:keepNext/>
        <w:suppressLineNumbers/>
        <w:shd w:val="clear" w:color="auto" w:fill="FFFFFF"/>
        <w:suppressAutoHyphens/>
        <w:kinsoku w:val="0"/>
        <w:overflowPunct w:val="0"/>
        <w:autoSpaceDE w:val="0"/>
        <w:autoSpaceDN w:val="0"/>
        <w:spacing w:before="0" w:beforeAutospacing="0" w:after="60" w:afterAutospacing="0"/>
        <w:ind w:left="720" w:hanging="720"/>
        <w:jc w:val="both"/>
        <w:rPr>
          <w:rFonts w:eastAsia="MS Mincho"/>
          <w:b/>
          <w:snapToGrid w:val="0"/>
          <w:kern w:val="22"/>
          <w:sz w:val="22"/>
          <w:szCs w:val="22"/>
          <w:lang w:val="en-GB"/>
        </w:rPr>
      </w:pPr>
      <w:r w:rsidRPr="0088780C">
        <w:rPr>
          <w:snapToGrid w:val="0"/>
          <w:color w:val="000000"/>
          <w:kern w:val="22"/>
          <w:sz w:val="22"/>
          <w:szCs w:val="22"/>
          <w:lang w:val="en-GB"/>
        </w:rPr>
        <w:t xml:space="preserve">BirdLife International, 2017a. Important Bird Areas factsheet: Kizlyar Bay. Downloaded from </w:t>
      </w:r>
      <w:hyperlink r:id="rId334" w:history="1">
        <w:r w:rsidRPr="0088780C">
          <w:rPr>
            <w:rStyle w:val="Hyperlink"/>
            <w:snapToGrid w:val="0"/>
            <w:kern w:val="22"/>
            <w:sz w:val="22"/>
            <w:szCs w:val="22"/>
            <w:lang w:val="en-GB"/>
          </w:rPr>
          <w:t>http://datazone.birdlife.org/site/factsheet/kizlyar-bay-iba-russia-(european)/details on 27/04/2017</w:t>
        </w:r>
      </w:hyperlink>
    </w:p>
    <w:p w14:paraId="2BDCDD02" w14:textId="77777777" w:rsidR="00A876F3" w:rsidRPr="0088780C" w:rsidRDefault="00A876F3" w:rsidP="00B06876">
      <w:pPr>
        <w:pStyle w:val="NormalWeb"/>
        <w:keepNext/>
        <w:suppressLineNumbers/>
        <w:shd w:val="clear" w:color="auto" w:fill="FFFFFF"/>
        <w:suppressAutoHyphens/>
        <w:kinsoku w:val="0"/>
        <w:overflowPunct w:val="0"/>
        <w:autoSpaceDE w:val="0"/>
        <w:autoSpaceDN w:val="0"/>
        <w:spacing w:before="0" w:beforeAutospacing="0" w:after="60" w:afterAutospacing="0"/>
        <w:ind w:left="720" w:hanging="720"/>
        <w:jc w:val="both"/>
        <w:rPr>
          <w:rFonts w:eastAsia="MS Mincho"/>
          <w:b/>
          <w:snapToGrid w:val="0"/>
          <w:kern w:val="22"/>
          <w:sz w:val="22"/>
          <w:szCs w:val="22"/>
          <w:lang w:val="en-GB"/>
        </w:rPr>
      </w:pPr>
      <w:r w:rsidRPr="0088780C">
        <w:rPr>
          <w:snapToGrid w:val="0"/>
          <w:color w:val="000000"/>
          <w:kern w:val="22"/>
          <w:sz w:val="22"/>
          <w:szCs w:val="22"/>
          <w:lang w:val="en-GB"/>
        </w:rPr>
        <w:t>BirdLife International 2017b. IUCN Red List for birds. Downloaded from</w:t>
      </w:r>
      <w:r w:rsidRPr="0088780C">
        <w:rPr>
          <w:rStyle w:val="apple-converted-space"/>
          <w:snapToGrid w:val="0"/>
          <w:color w:val="000000"/>
          <w:kern w:val="22"/>
          <w:sz w:val="22"/>
          <w:szCs w:val="22"/>
          <w:lang w:val="en-GB"/>
        </w:rPr>
        <w:t> </w:t>
      </w:r>
      <w:hyperlink r:id="rId335" w:tgtFrame="_blank" w:history="1">
        <w:r w:rsidRPr="0088780C">
          <w:rPr>
            <w:rStyle w:val="Hyperlink"/>
            <w:snapToGrid w:val="0"/>
            <w:kern w:val="22"/>
            <w:sz w:val="22"/>
            <w:szCs w:val="22"/>
            <w:lang w:val="en-GB"/>
          </w:rPr>
          <w:t>http://www.birdlife.org</w:t>
        </w:r>
      </w:hyperlink>
      <w:r w:rsidRPr="0088780C">
        <w:rPr>
          <w:rStyle w:val="apple-converted-space"/>
          <w:snapToGrid w:val="0"/>
          <w:color w:val="000000"/>
          <w:kern w:val="22"/>
          <w:sz w:val="22"/>
          <w:szCs w:val="22"/>
          <w:lang w:val="en-GB"/>
        </w:rPr>
        <w:t> </w:t>
      </w:r>
      <w:r w:rsidRPr="0088780C">
        <w:rPr>
          <w:snapToGrid w:val="0"/>
          <w:color w:val="000000"/>
          <w:kern w:val="22"/>
          <w:sz w:val="22"/>
          <w:szCs w:val="22"/>
          <w:lang w:val="en-GB"/>
        </w:rPr>
        <w:t>on 27/04/2017.</w:t>
      </w:r>
    </w:p>
    <w:p w14:paraId="531755CA"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1430BD6"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429E85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16C2EBA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4ED8542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C20D26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235884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40F879B6" wp14:editId="17620586">
            <wp:extent cx="5486400" cy="4572000"/>
            <wp:effectExtent l="0" t="0" r="0" b="0"/>
            <wp:docPr id="13322" name="Picture 13322" descr="C:\Users\grekin\AppData\Local\Microsoft\Windows\Temporary Internet Files\Content.Word\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grekin\AppData\Local\Microsoft\Windows\Temporary Internet Files\Content.Word\31.png"/>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0AB9B5C2" w14:textId="77777777" w:rsidR="00A876F3" w:rsidRPr="0088780C" w:rsidRDefault="00A876F3" w:rsidP="001013AF">
      <w:pPr>
        <w:suppressLineNumbers/>
        <w:suppressAutoHyphens/>
        <w:kinsoku w:val="0"/>
        <w:overflowPunct w:val="0"/>
        <w:autoSpaceDE w:val="0"/>
        <w:autoSpaceDN w:val="0"/>
        <w:rPr>
          <w:rFonts w:eastAsia="MS Mincho"/>
          <w:b/>
          <w:bCs/>
          <w:snapToGrid w:val="0"/>
          <w:color w:val="000000"/>
          <w:kern w:val="22"/>
          <w:szCs w:val="22"/>
        </w:rPr>
      </w:pPr>
      <w:r w:rsidRPr="0088780C">
        <w:rPr>
          <w:rFonts w:eastAsia="MS Mincho"/>
          <w:b/>
          <w:bCs/>
          <w:snapToGrid w:val="0"/>
          <w:color w:val="000000"/>
          <w:kern w:val="22"/>
          <w:szCs w:val="22"/>
        </w:rPr>
        <w:t xml:space="preserve">Figure 1. </w:t>
      </w:r>
      <w:r w:rsidRPr="0088780C">
        <w:rPr>
          <w:rFonts w:eastAsia="MS Mincho"/>
          <w:b/>
          <w:bCs/>
          <w:snapToGrid w:val="0"/>
          <w:color w:val="000000" w:themeColor="text1"/>
          <w:kern w:val="22"/>
          <w:szCs w:val="22"/>
        </w:rPr>
        <w:t>Area meeting the EBSA criteria</w:t>
      </w:r>
    </w:p>
    <w:p w14:paraId="5743612B"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4EF382C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br w:type="page"/>
      </w:r>
    </w:p>
    <w:p w14:paraId="6EEC725E" w14:textId="19B1700B" w:rsidR="00A876F3" w:rsidRPr="0088780C" w:rsidRDefault="00A876F3" w:rsidP="001013AF">
      <w:pPr>
        <w:suppressLineNumbers/>
        <w:suppressAutoHyphens/>
        <w:kinsoku w:val="0"/>
        <w:overflowPunct w:val="0"/>
        <w:autoSpaceDE w:val="0"/>
        <w:autoSpaceDN w:val="0"/>
        <w:jc w:val="center"/>
        <w:rPr>
          <w:rFonts w:eastAsia="MS Mincho"/>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32: Malyi Zhemchyzhnyi (</w:t>
      </w:r>
      <w:r w:rsidR="00D8482D" w:rsidRPr="0088780C">
        <w:rPr>
          <w:rFonts w:eastAsia="MS Mincho"/>
          <w:b/>
          <w:snapToGrid w:val="0"/>
          <w:kern w:val="22"/>
          <w:szCs w:val="22"/>
        </w:rPr>
        <w:t>“</w:t>
      </w:r>
      <w:r w:rsidRPr="0088780C">
        <w:rPr>
          <w:rFonts w:eastAsia="MS Mincho"/>
          <w:b/>
          <w:snapToGrid w:val="0"/>
          <w:kern w:val="22"/>
          <w:szCs w:val="22"/>
        </w:rPr>
        <w:t>Small Pearl</w:t>
      </w:r>
      <w:r w:rsidR="00D8482D" w:rsidRPr="0088780C">
        <w:rPr>
          <w:rFonts w:eastAsia="MS Mincho"/>
          <w:b/>
          <w:snapToGrid w:val="0"/>
          <w:kern w:val="22"/>
          <w:szCs w:val="22"/>
        </w:rPr>
        <w:t>”</w:t>
      </w:r>
      <w:r w:rsidRPr="0088780C">
        <w:rPr>
          <w:rFonts w:eastAsia="MS Mincho"/>
          <w:b/>
          <w:snapToGrid w:val="0"/>
          <w:kern w:val="22"/>
          <w:szCs w:val="22"/>
        </w:rPr>
        <w:t>) Island</w:t>
      </w:r>
    </w:p>
    <w:p w14:paraId="7FEC5FD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A254692" w14:textId="4ED0357F"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Abstract</w:t>
      </w:r>
    </w:p>
    <w:p w14:paraId="731120EF" w14:textId="707B14FD"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snapToGrid w:val="0"/>
          <w:kern w:val="22"/>
          <w:szCs w:val="22"/>
        </w:rPr>
        <w:t>Malyi Zhemchyzhnyi</w:t>
      </w:r>
      <w:r w:rsidRPr="0088780C">
        <w:rPr>
          <w:rFonts w:eastAsia="MS Mincho"/>
          <w:b/>
          <w:snapToGrid w:val="0"/>
          <w:kern w:val="22"/>
          <w:szCs w:val="22"/>
        </w:rPr>
        <w:t xml:space="preserve"> </w:t>
      </w:r>
      <w:r w:rsidRPr="0088780C">
        <w:rPr>
          <w:snapToGrid w:val="0"/>
          <w:kern w:val="22"/>
          <w:szCs w:val="22"/>
        </w:rPr>
        <w:t xml:space="preserve">Island is the largest nesting site for Charadriiform birds, including </w:t>
      </w:r>
      <w:r w:rsidRPr="0088780C">
        <w:rPr>
          <w:snapToGrid w:val="0"/>
          <w:kern w:val="22"/>
          <w:szCs w:val="22"/>
          <w:shd w:val="clear" w:color="auto" w:fill="FFFFFF"/>
        </w:rPr>
        <w:t>Pallas's gull</w:t>
      </w:r>
      <w:r w:rsidRPr="0088780C">
        <w:rPr>
          <w:snapToGrid w:val="0"/>
          <w:kern w:val="22"/>
          <w:szCs w:val="22"/>
        </w:rPr>
        <w:t xml:space="preserve"> (</w:t>
      </w:r>
      <w:r w:rsidRPr="0088780C">
        <w:rPr>
          <w:i/>
          <w:iCs/>
          <w:snapToGrid w:val="0"/>
          <w:kern w:val="22"/>
          <w:szCs w:val="22"/>
          <w:shd w:val="clear" w:color="auto" w:fill="FFFFFF"/>
        </w:rPr>
        <w:t>Larus ichthyaetus)</w:t>
      </w:r>
      <w:r w:rsidRPr="0088780C">
        <w:rPr>
          <w:i/>
          <w:iCs/>
          <w:snapToGrid w:val="0"/>
          <w:color w:val="222222"/>
          <w:kern w:val="22"/>
          <w:szCs w:val="22"/>
          <w:shd w:val="clear" w:color="auto" w:fill="FFFFFF"/>
        </w:rPr>
        <w:t xml:space="preserve"> </w:t>
      </w:r>
      <w:r w:rsidRPr="0088780C">
        <w:rPr>
          <w:snapToGrid w:val="0"/>
          <w:kern w:val="22"/>
          <w:szCs w:val="22"/>
        </w:rPr>
        <w:t xml:space="preserve">and the </w:t>
      </w:r>
      <w:r w:rsidRPr="0088780C">
        <w:rPr>
          <w:snapToGrid w:val="0"/>
          <w:kern w:val="22"/>
          <w:szCs w:val="22"/>
          <w:shd w:val="clear" w:color="auto" w:fill="FFFFFF"/>
        </w:rPr>
        <w:t>Caspian</w:t>
      </w:r>
      <w:r w:rsidRPr="0088780C">
        <w:rPr>
          <w:rStyle w:val="apple-converted-space"/>
          <w:snapToGrid w:val="0"/>
          <w:kern w:val="22"/>
          <w:szCs w:val="22"/>
          <w:shd w:val="clear" w:color="auto" w:fill="FFFFFF"/>
        </w:rPr>
        <w:t> </w:t>
      </w:r>
      <w:r w:rsidRPr="0088780C">
        <w:rPr>
          <w:snapToGrid w:val="0"/>
          <w:kern w:val="22"/>
          <w:szCs w:val="22"/>
          <w:shd w:val="clear" w:color="auto" w:fill="FFFFFF"/>
        </w:rPr>
        <w:t>tern (</w:t>
      </w:r>
      <w:r w:rsidRPr="0088780C">
        <w:rPr>
          <w:i/>
          <w:iCs/>
          <w:snapToGrid w:val="0"/>
          <w:kern w:val="22"/>
          <w:szCs w:val="22"/>
          <w:shd w:val="clear" w:color="auto" w:fill="FFFFFF"/>
        </w:rPr>
        <w:t>Sterna caspia</w:t>
      </w:r>
      <w:r w:rsidRPr="0088780C">
        <w:rPr>
          <w:snapToGrid w:val="0"/>
          <w:kern w:val="22"/>
          <w:szCs w:val="22"/>
          <w:shd w:val="clear" w:color="auto" w:fill="FFFFFF"/>
        </w:rPr>
        <w:t>)</w:t>
      </w:r>
      <w:r w:rsidRPr="0088780C">
        <w:rPr>
          <w:snapToGrid w:val="0"/>
          <w:kern w:val="22"/>
          <w:szCs w:val="22"/>
        </w:rPr>
        <w:t>, listed in the Red Book of the Russian Federation in the northern Caspian. In the spring, large concentrations (up to several thousand individuals) of the Caspian seal (</w:t>
      </w:r>
      <w:r w:rsidRPr="0088780C">
        <w:rPr>
          <w:i/>
          <w:snapToGrid w:val="0"/>
          <w:kern w:val="22"/>
          <w:szCs w:val="22"/>
          <w:shd w:val="clear" w:color="auto" w:fill="FFFFFF"/>
        </w:rPr>
        <w:t>Phoca caspica</w:t>
      </w:r>
      <w:r w:rsidRPr="0088780C">
        <w:rPr>
          <w:snapToGrid w:val="0"/>
          <w:kern w:val="22"/>
          <w:szCs w:val="22"/>
        </w:rPr>
        <w:t xml:space="preserve">) inhabit the island. The adjacent water area is an important place for feeding fish, especially </w:t>
      </w:r>
      <w:r w:rsidRPr="0088780C">
        <w:rPr>
          <w:rStyle w:val="shorttext"/>
          <w:snapToGrid w:val="0"/>
          <w:kern w:val="22"/>
          <w:szCs w:val="22"/>
        </w:rPr>
        <w:t>juvenile</w:t>
      </w:r>
      <w:r w:rsidRPr="0088780C">
        <w:rPr>
          <w:snapToGrid w:val="0"/>
          <w:kern w:val="22"/>
          <w:szCs w:val="22"/>
        </w:rPr>
        <w:t xml:space="preserve"> sturgeons (</w:t>
      </w:r>
      <w:r w:rsidRPr="0088780C">
        <w:rPr>
          <w:i/>
          <w:snapToGrid w:val="0"/>
          <w:kern w:val="22"/>
          <w:szCs w:val="22"/>
        </w:rPr>
        <w:t xml:space="preserve">Huso huso, </w:t>
      </w:r>
      <w:r w:rsidRPr="0088780C">
        <w:rPr>
          <w:i/>
          <w:snapToGrid w:val="0"/>
          <w:kern w:val="22"/>
          <w:szCs w:val="22"/>
          <w:shd w:val="clear" w:color="auto" w:fill="FFFFFF"/>
        </w:rPr>
        <w:t>Acipenser gueldenstaedtii,</w:t>
      </w:r>
      <w:r w:rsidR="00E86E20" w:rsidRPr="0088780C">
        <w:rPr>
          <w:rStyle w:val="apple-converted-space"/>
          <w:i/>
          <w:snapToGrid w:val="0"/>
          <w:kern w:val="22"/>
          <w:szCs w:val="22"/>
          <w:shd w:val="clear" w:color="auto" w:fill="FFFFFF"/>
        </w:rPr>
        <w:t xml:space="preserve"> </w:t>
      </w:r>
      <w:r w:rsidRPr="0088780C">
        <w:rPr>
          <w:i/>
          <w:snapToGrid w:val="0"/>
          <w:kern w:val="22"/>
          <w:szCs w:val="22"/>
          <w:shd w:val="clear" w:color="auto" w:fill="FFFFFF"/>
        </w:rPr>
        <w:t>Acipenser stellatus</w:t>
      </w:r>
      <w:r w:rsidRPr="0088780C">
        <w:rPr>
          <w:snapToGrid w:val="0"/>
          <w:kern w:val="22"/>
          <w:szCs w:val="22"/>
        </w:rPr>
        <w:t>).</w:t>
      </w:r>
    </w:p>
    <w:p w14:paraId="73295F1E"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1532EA2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5D4C9A93"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consists of an island composed of shells of bivalve molluscs and the shallow water area adjacent to the 5 m isobath. The island itself has a length of 3 km and a maximum width of 0.5 km. The loose structure of island-folding soils contributes to changes in the shape of the island due to wind erosion (</w:t>
      </w:r>
      <w:r w:rsidRPr="0088780C">
        <w:rPr>
          <w:snapToGrid w:val="0"/>
          <w:kern w:val="22"/>
          <w:szCs w:val="22"/>
        </w:rPr>
        <w:t>Русанов и др., 2014</w:t>
      </w:r>
      <w:r w:rsidRPr="0088780C">
        <w:rPr>
          <w:rFonts w:eastAsia="MS Mincho"/>
          <w:snapToGrid w:val="0"/>
          <w:kern w:val="22"/>
          <w:szCs w:val="22"/>
        </w:rPr>
        <w:t>). The island and the adjacent water area are actively used by the Caspian seal, and the adjacent water area serves as a feeding ground for juvenile sturgeons (</w:t>
      </w:r>
      <w:r w:rsidRPr="0088780C">
        <w:rPr>
          <w:snapToGrid w:val="0"/>
          <w:color w:val="000000"/>
          <w:kern w:val="22"/>
          <w:szCs w:val="22"/>
        </w:rPr>
        <w:t>Сокольский, 2014)</w:t>
      </w:r>
      <w:r w:rsidRPr="0088780C">
        <w:rPr>
          <w:rFonts w:eastAsia="MS Mincho"/>
          <w:snapToGrid w:val="0"/>
          <w:kern w:val="22"/>
          <w:szCs w:val="22"/>
        </w:rPr>
        <w:t>. On the island, there is a large colony of Charadriiformes, two species of which are listed in the Red Book of the Russian Federation.</w:t>
      </w:r>
    </w:p>
    <w:p w14:paraId="5ED2E825"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5C20BF1D"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6F50960C" w14:textId="4CF693D8"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This region is located in the central part of the northern Caspian, 25 kilometres to the </w:t>
      </w:r>
      <w:r w:rsidR="00953367" w:rsidRPr="0088780C">
        <w:rPr>
          <w:rFonts w:eastAsia="MS Mincho"/>
          <w:snapToGrid w:val="0"/>
          <w:kern w:val="22"/>
          <w:szCs w:val="22"/>
        </w:rPr>
        <w:t>south-east</w:t>
      </w:r>
      <w:r w:rsidRPr="0088780C">
        <w:rPr>
          <w:rFonts w:eastAsia="MS Mincho"/>
          <w:snapToGrid w:val="0"/>
          <w:kern w:val="22"/>
          <w:szCs w:val="22"/>
        </w:rPr>
        <w:t xml:space="preserve"> of the island of Chistaya Banka.</w:t>
      </w:r>
    </w:p>
    <w:p w14:paraId="01993463"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D7B6E5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3344D82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area is relatively rare in the northern part of the Caspian Sea. Under the influence of winds, the coastline of the island is regularly subjected to changes. At present, the total area of the island is 24 ha. The island is part of the Malaya Zhemchuzhnaya shelf, which extends to the south for several kilometres (</w:t>
      </w:r>
      <w:r w:rsidRPr="0088780C">
        <w:rPr>
          <w:snapToGrid w:val="0"/>
          <w:kern w:val="22"/>
          <w:szCs w:val="22"/>
        </w:rPr>
        <w:t>Русанов и др., 2014</w:t>
      </w:r>
      <w:r w:rsidRPr="0088780C">
        <w:rPr>
          <w:rFonts w:eastAsia="MS Mincho"/>
          <w:snapToGrid w:val="0"/>
          <w:kern w:val="22"/>
          <w:szCs w:val="22"/>
        </w:rPr>
        <w:t>). In some periods, some braids may appear on the surface of the Malaya Zhemchuzhnaya shelf, serving as a place of attraction for birds of the water complex and the Caspian seal (Русанов и др., 2014).</w:t>
      </w:r>
    </w:p>
    <w:p w14:paraId="7325E9D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10881554" w14:textId="2E0DC783"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In the spring-summer period on the island a large colony of </w:t>
      </w:r>
      <w:r w:rsidRPr="0088780C">
        <w:rPr>
          <w:snapToGrid w:val="0"/>
          <w:kern w:val="22"/>
          <w:szCs w:val="22"/>
          <w:shd w:val="clear" w:color="auto" w:fill="FFFFFF"/>
        </w:rPr>
        <w:t>Charadriiforme</w:t>
      </w:r>
      <w:r w:rsidRPr="0088780C">
        <w:rPr>
          <w:snapToGrid w:val="0"/>
          <w:color w:val="333333"/>
          <w:kern w:val="22"/>
          <w:szCs w:val="22"/>
          <w:shd w:val="clear" w:color="auto" w:fill="FFFFFF"/>
        </w:rPr>
        <w:t>s</w:t>
      </w:r>
      <w:r w:rsidRPr="0088780C">
        <w:rPr>
          <w:rFonts w:eastAsia="MS Mincho"/>
          <w:snapToGrid w:val="0"/>
          <w:kern w:val="22"/>
          <w:szCs w:val="22"/>
        </w:rPr>
        <w:t xml:space="preserve"> birds is formed, numbering (as reported in 2014) 13,000 pairs of </w:t>
      </w:r>
      <w:r w:rsidR="00E86E20" w:rsidRPr="0088780C">
        <w:rPr>
          <w:snapToGrid w:val="0"/>
          <w:kern w:val="22"/>
          <w:szCs w:val="22"/>
          <w:shd w:val="clear" w:color="auto" w:fill="FFFFFF"/>
        </w:rPr>
        <w:t>Pallas’</w:t>
      </w:r>
      <w:r w:rsidRPr="0088780C">
        <w:rPr>
          <w:snapToGrid w:val="0"/>
          <w:kern w:val="22"/>
          <w:szCs w:val="22"/>
          <w:shd w:val="clear" w:color="auto" w:fill="FFFFFF"/>
        </w:rPr>
        <w:t>s gull</w:t>
      </w:r>
      <w:r w:rsidRPr="0088780C">
        <w:rPr>
          <w:snapToGrid w:val="0"/>
          <w:kern w:val="22"/>
          <w:szCs w:val="22"/>
        </w:rPr>
        <w:t xml:space="preserve"> (</w:t>
      </w:r>
      <w:r w:rsidRPr="0088780C">
        <w:rPr>
          <w:i/>
          <w:iCs/>
          <w:snapToGrid w:val="0"/>
          <w:kern w:val="22"/>
          <w:szCs w:val="22"/>
          <w:shd w:val="clear" w:color="auto" w:fill="FFFFFF"/>
        </w:rPr>
        <w:t xml:space="preserve">Larus ichthyaetus) </w:t>
      </w:r>
      <w:r w:rsidRPr="0088780C">
        <w:rPr>
          <w:rFonts w:eastAsia="MS Mincho"/>
          <w:snapToGrid w:val="0"/>
          <w:kern w:val="22"/>
          <w:szCs w:val="22"/>
        </w:rPr>
        <w:t xml:space="preserve">and 1,500 </w:t>
      </w:r>
      <w:r w:rsidRPr="0088780C">
        <w:rPr>
          <w:snapToGrid w:val="0"/>
          <w:kern w:val="22"/>
          <w:szCs w:val="22"/>
          <w:shd w:val="clear" w:color="auto" w:fill="FFFFFF"/>
        </w:rPr>
        <w:t>Caspian</w:t>
      </w:r>
      <w:r w:rsidRPr="0088780C">
        <w:rPr>
          <w:rStyle w:val="apple-converted-space"/>
          <w:snapToGrid w:val="0"/>
          <w:kern w:val="22"/>
          <w:szCs w:val="22"/>
          <w:shd w:val="clear" w:color="auto" w:fill="FFFFFF"/>
        </w:rPr>
        <w:t> </w:t>
      </w:r>
      <w:r w:rsidRPr="0088780C">
        <w:rPr>
          <w:snapToGrid w:val="0"/>
          <w:kern w:val="22"/>
          <w:szCs w:val="22"/>
          <w:shd w:val="clear" w:color="auto" w:fill="FFFFFF"/>
        </w:rPr>
        <w:t>tern (</w:t>
      </w:r>
      <w:r w:rsidRPr="0088780C">
        <w:rPr>
          <w:i/>
          <w:iCs/>
          <w:snapToGrid w:val="0"/>
          <w:kern w:val="22"/>
          <w:szCs w:val="22"/>
          <w:shd w:val="clear" w:color="auto" w:fill="FFFFFF"/>
        </w:rPr>
        <w:t>Sterna caspia</w:t>
      </w:r>
      <w:r w:rsidRPr="0088780C">
        <w:rPr>
          <w:snapToGrid w:val="0"/>
          <w:kern w:val="22"/>
          <w:szCs w:val="22"/>
          <w:shd w:val="clear" w:color="auto" w:fill="FFFFFF"/>
        </w:rPr>
        <w:t>)</w:t>
      </w:r>
      <w:r w:rsidRPr="0088780C">
        <w:rPr>
          <w:rFonts w:eastAsia="MS Mincho"/>
          <w:snapToGrid w:val="0"/>
          <w:kern w:val="22"/>
          <w:szCs w:val="22"/>
        </w:rPr>
        <w:t xml:space="preserve"> - species listed in the Red Book of the Russian Federation (</w:t>
      </w:r>
      <w:r w:rsidRPr="0088780C">
        <w:rPr>
          <w:snapToGrid w:val="0"/>
          <w:kern w:val="22"/>
          <w:szCs w:val="22"/>
        </w:rPr>
        <w:t>Русанов и др., 2014</w:t>
      </w:r>
      <w:r w:rsidRPr="0088780C">
        <w:rPr>
          <w:rFonts w:eastAsia="MS Mincho"/>
          <w:snapToGrid w:val="0"/>
          <w:kern w:val="22"/>
          <w:szCs w:val="22"/>
        </w:rPr>
        <w:t xml:space="preserve">). In addition, on the island there are about 1,000 pairs of </w:t>
      </w:r>
      <w:r w:rsidRPr="0088780C">
        <w:rPr>
          <w:snapToGrid w:val="0"/>
          <w:kern w:val="22"/>
          <w:szCs w:val="22"/>
          <w:shd w:val="clear" w:color="auto" w:fill="FFFFFF"/>
        </w:rPr>
        <w:t xml:space="preserve">yellow-legged gull </w:t>
      </w:r>
      <w:r w:rsidRPr="0088780C">
        <w:rPr>
          <w:rFonts w:eastAsia="MS Mincho"/>
          <w:snapToGrid w:val="0"/>
          <w:kern w:val="22"/>
          <w:szCs w:val="22"/>
        </w:rPr>
        <w:t>nesting (</w:t>
      </w:r>
      <w:r w:rsidRPr="0088780C">
        <w:rPr>
          <w:i/>
          <w:snapToGrid w:val="0"/>
          <w:kern w:val="22"/>
          <w:szCs w:val="22"/>
          <w:shd w:val="clear" w:color="auto" w:fill="FFFFFF"/>
        </w:rPr>
        <w:t>Larus cachinnans</w:t>
      </w:r>
      <w:r w:rsidRPr="0088780C">
        <w:rPr>
          <w:rFonts w:eastAsia="MS Mincho"/>
          <w:snapToGrid w:val="0"/>
          <w:kern w:val="22"/>
          <w:szCs w:val="22"/>
        </w:rPr>
        <w:t>), the number of which has been growing in recent years (Гаврилов, 2005).</w:t>
      </w:r>
    </w:p>
    <w:p w14:paraId="4FA6EAB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51866476"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vegetation of the island is extremely scarce and includes 8-10 species. Periodically, the island is washed away during autumn storms that kill off part of the vegetation cover (Русанов и др., 2014). </w:t>
      </w:r>
    </w:p>
    <w:p w14:paraId="2BC8ECB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There are resting places of the Caspian seal on the northern and southern parts of the island, the number of which varies considerably during the year from several thousand in the early spring period to low numbers in the autumn (</w:t>
      </w:r>
      <w:r w:rsidRPr="0088780C">
        <w:rPr>
          <w:snapToGrid w:val="0"/>
          <w:kern w:val="22"/>
          <w:szCs w:val="22"/>
          <w:shd w:val="clear" w:color="auto" w:fill="FFFFFF"/>
        </w:rPr>
        <w:t>Ноздрина, 2011)</w:t>
      </w:r>
      <w:r w:rsidRPr="0088780C">
        <w:rPr>
          <w:rFonts w:eastAsia="MS Mincho"/>
          <w:snapToGrid w:val="0"/>
          <w:kern w:val="22"/>
          <w:szCs w:val="22"/>
        </w:rPr>
        <w:t>.</w:t>
      </w:r>
    </w:p>
    <w:p w14:paraId="562F01C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462FC96"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water area near the island is a place for feeding fish, a special value among which is juvenile sturgeons, for which favourable fodder conditions are created. Species composition of fish and invertebrates of this region was studied for many years by representatives of the Caspian Fisheries Research Institute (Никитин и др., 2002).</w:t>
      </w:r>
    </w:p>
    <w:p w14:paraId="4480FE8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3B15A6F" w14:textId="61ABC0BC"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On the silty, sandy and coquina soils in the brackish-water zone (4.0-11.0 ‰), associations of Zostereta, Polisiphonieta, and Laurencieta formations have been reported, whereas in the marine zone (8.0-12.0‰) Laurencieta, Polisiphonieta, Enteromorpheta, Ceramieta, Cladophoreta have developed in shell and shell-silty soils. The brackish-water zone is dominated by </w:t>
      </w:r>
      <w:r w:rsidRPr="0088780C">
        <w:rPr>
          <w:rFonts w:eastAsia="MS Mincho"/>
          <w:i/>
          <w:snapToGrid w:val="0"/>
          <w:kern w:val="22"/>
          <w:szCs w:val="22"/>
        </w:rPr>
        <w:t>Laurencia caspica</w:t>
      </w:r>
      <w:r w:rsidRPr="0088780C">
        <w:rPr>
          <w:rFonts w:eastAsia="MS Mincho"/>
          <w:snapToGrid w:val="0"/>
          <w:kern w:val="22"/>
          <w:szCs w:val="22"/>
        </w:rPr>
        <w:t xml:space="preserve"> - 75%, while the marine zone is dominated by </w:t>
      </w:r>
      <w:r w:rsidRPr="0088780C">
        <w:rPr>
          <w:rFonts w:eastAsia="MS Mincho"/>
          <w:i/>
          <w:snapToGrid w:val="0"/>
          <w:kern w:val="22"/>
          <w:szCs w:val="22"/>
        </w:rPr>
        <w:t>Laurencia caspica</w:t>
      </w:r>
      <w:r w:rsidRPr="0088780C">
        <w:rPr>
          <w:rFonts w:eastAsia="MS Mincho"/>
          <w:snapToGrid w:val="0"/>
          <w:kern w:val="22"/>
          <w:szCs w:val="22"/>
        </w:rPr>
        <w:t xml:space="preserve"> at 70% and </w:t>
      </w:r>
      <w:r w:rsidRPr="0088780C">
        <w:rPr>
          <w:rFonts w:eastAsia="MS Mincho"/>
          <w:i/>
          <w:snapToGrid w:val="0"/>
          <w:kern w:val="22"/>
          <w:szCs w:val="22"/>
        </w:rPr>
        <w:t>Polysiphonia caspica</w:t>
      </w:r>
      <w:r w:rsidRPr="0088780C">
        <w:rPr>
          <w:rFonts w:eastAsia="MS Mincho"/>
          <w:snapToGrid w:val="0"/>
          <w:kern w:val="22"/>
          <w:szCs w:val="22"/>
        </w:rPr>
        <w:t>, at 67%. It was found that</w:t>
      </w:r>
      <w:r w:rsidR="00E86E20" w:rsidRPr="0088780C">
        <w:rPr>
          <w:rFonts w:eastAsia="MS Mincho"/>
          <w:snapToGrid w:val="0"/>
          <w:kern w:val="22"/>
          <w:szCs w:val="22"/>
        </w:rPr>
        <w:t>,</w:t>
      </w:r>
      <w:r w:rsidRPr="0088780C">
        <w:rPr>
          <w:rFonts w:eastAsia="MS Mincho"/>
          <w:snapToGrid w:val="0"/>
          <w:kern w:val="22"/>
          <w:szCs w:val="22"/>
        </w:rPr>
        <w:t xml:space="preserve"> with a decrease in the density of growth of associations, the structure was simplified. In freshwater complexes (with a projective coverage of up to 100% and biomass of 10,500 g / m 2), three- and two-tier structures were mainly found, in brackish water and marine (with a projective coverage of up to 60% and biomass of 500-800 g / M 2) - single-stage. In the brackish-water zone, a group of crustaceans dominated (Chaetogammarus, Dikerogammarus, Niphargoides, Schizorhynchus, Gammarus, Corophium, Pterocuma, Stenocuma, Paramysis, Balanus) - 35-45%, in the marine group of mollusks (Bivalvia) - 25-50%. It has been established that in all zones to the thickets of aquatic vegetation the lower crustaceans are more confined than other taxonomic groups. The greatest density and area of ​​growth of macrophytobenthos in the brackish and marine zones had landscape uplifts of the bottom (banks, islands, ridges, etc.); they proved to be the most productive for the zoobenthos.</w:t>
      </w:r>
    </w:p>
    <w:p w14:paraId="65E7228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F2546F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Summarizing the long-term material on brackish and marine ecological zones, it can be concluded that here, in the places where macrophyto-benthos associations grow, crustaceans predominate, and mollusks are more closely tied to the type of soil than phytocenosis (</w:t>
      </w:r>
      <w:r w:rsidRPr="0088780C">
        <w:rPr>
          <w:snapToGrid w:val="0"/>
          <w:kern w:val="22"/>
          <w:szCs w:val="22"/>
        </w:rPr>
        <w:t>Chizhenkova, 2009</w:t>
      </w:r>
      <w:r w:rsidRPr="0088780C">
        <w:rPr>
          <w:rFonts w:eastAsia="MS Mincho"/>
          <w:snapToGrid w:val="0"/>
          <w:kern w:val="22"/>
          <w:szCs w:val="22"/>
        </w:rPr>
        <w:t>).</w:t>
      </w:r>
    </w:p>
    <w:p w14:paraId="0420B0CD"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52B632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1C873E8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Malyi Zhemchuzhny Island is a federal natural monument. However, exploration and mining for mineral resources are being conducted in the adjacent water area (web: ООПТ России). Although the current state of the area is stable, there is increasing development of petroleum products and associated infrastructure. The island hase been regularly surveyed by ornithologists from the Astrakhan Biosphere Reserve since the 1980s (Русанов и др., 2014; Гаврилов, 2005; Кривоносов, 1975).</w:t>
      </w:r>
    </w:p>
    <w:p w14:paraId="0B76DB53"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9C8B28D" w14:textId="560A8A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 area against CBD EBSA Criteria</w:t>
      </w:r>
    </w:p>
    <w:p w14:paraId="5376BC4A"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4987"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2"/>
        <w:gridCol w:w="4367"/>
        <w:gridCol w:w="29"/>
        <w:gridCol w:w="1018"/>
        <w:gridCol w:w="264"/>
        <w:gridCol w:w="29"/>
        <w:gridCol w:w="756"/>
        <w:gridCol w:w="113"/>
        <w:gridCol w:w="674"/>
        <w:gridCol w:w="92"/>
        <w:gridCol w:w="737"/>
      </w:tblGrid>
      <w:tr w:rsidR="00A876F3" w:rsidRPr="0088780C" w14:paraId="4176182D" w14:textId="77777777" w:rsidTr="006972AD">
        <w:tc>
          <w:tcPr>
            <w:tcW w:w="771" w:type="pct"/>
            <w:vMerge w:val="restart"/>
            <w:shd w:val="clear" w:color="auto" w:fill="auto"/>
          </w:tcPr>
          <w:p w14:paraId="0D224066"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760D308A"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6" w:type="pct"/>
            <w:vMerge w:val="restart"/>
            <w:shd w:val="clear" w:color="auto" w:fill="auto"/>
          </w:tcPr>
          <w:p w14:paraId="730C13C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315F4D4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2" w:type="pct"/>
            <w:gridSpan w:val="9"/>
            <w:shd w:val="clear" w:color="auto" w:fill="auto"/>
          </w:tcPr>
          <w:p w14:paraId="302549A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21868A58"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6C9BAC9B" w14:textId="77777777" w:rsidTr="006972AD">
        <w:tc>
          <w:tcPr>
            <w:tcW w:w="771" w:type="pct"/>
            <w:vMerge/>
            <w:shd w:val="clear" w:color="auto" w:fill="auto"/>
          </w:tcPr>
          <w:p w14:paraId="6A8A57C1"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6" w:type="pct"/>
            <w:vMerge/>
            <w:shd w:val="clear" w:color="auto" w:fill="auto"/>
          </w:tcPr>
          <w:p w14:paraId="5855660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8" w:type="pct"/>
            <w:gridSpan w:val="2"/>
            <w:shd w:val="clear" w:color="auto" w:fill="auto"/>
          </w:tcPr>
          <w:p w14:paraId="5F38B984"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8" w:type="pct"/>
            <w:gridSpan w:val="3"/>
            <w:shd w:val="clear" w:color="auto" w:fill="auto"/>
          </w:tcPr>
          <w:p w14:paraId="1E31F10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2" w:type="pct"/>
            <w:gridSpan w:val="2"/>
            <w:shd w:val="clear" w:color="auto" w:fill="auto"/>
          </w:tcPr>
          <w:p w14:paraId="7CF80E2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3" w:type="pct"/>
            <w:gridSpan w:val="2"/>
            <w:shd w:val="clear" w:color="auto" w:fill="auto"/>
          </w:tcPr>
          <w:p w14:paraId="5343D6FE"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278EF7FC" w14:textId="77777777" w:rsidTr="006972AD">
        <w:trPr>
          <w:trHeight w:val="1826"/>
        </w:trPr>
        <w:tc>
          <w:tcPr>
            <w:tcW w:w="771" w:type="pct"/>
            <w:shd w:val="clear" w:color="auto" w:fill="auto"/>
          </w:tcPr>
          <w:p w14:paraId="2B39AA7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6" w:type="pct"/>
            <w:shd w:val="clear" w:color="auto" w:fill="auto"/>
          </w:tcPr>
          <w:p w14:paraId="5E4CC63B" w14:textId="50B34190"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8" w:type="pct"/>
            <w:gridSpan w:val="2"/>
            <w:shd w:val="clear" w:color="auto" w:fill="auto"/>
          </w:tcPr>
          <w:p w14:paraId="425DB81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8" w:type="pct"/>
            <w:gridSpan w:val="3"/>
            <w:shd w:val="clear" w:color="auto" w:fill="auto"/>
          </w:tcPr>
          <w:p w14:paraId="206B874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2" w:type="pct"/>
            <w:gridSpan w:val="2"/>
            <w:shd w:val="clear" w:color="auto" w:fill="auto"/>
          </w:tcPr>
          <w:p w14:paraId="583232A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3" w:type="pct"/>
            <w:gridSpan w:val="2"/>
            <w:shd w:val="clear" w:color="auto" w:fill="auto"/>
          </w:tcPr>
          <w:p w14:paraId="18CDBB1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02C21E88" w14:textId="77777777" w:rsidTr="006972AD">
        <w:tc>
          <w:tcPr>
            <w:tcW w:w="5000" w:type="pct"/>
            <w:gridSpan w:val="11"/>
            <w:shd w:val="clear" w:color="auto" w:fill="auto"/>
          </w:tcPr>
          <w:p w14:paraId="32CC52D8"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6392E934" w14:textId="77777777" w:rsidR="00A876F3" w:rsidRPr="0088780C" w:rsidRDefault="00A876F3" w:rsidP="001013AF">
            <w:pPr>
              <w:pStyle w:val="ListParagraph"/>
              <w:numPr>
                <w:ilvl w:val="0"/>
                <w:numId w:val="31"/>
              </w:numPr>
              <w:suppressLineNumbers/>
              <w:suppressAutoHyphens/>
              <w:kinsoku w:val="0"/>
              <w:overflowPunct w:val="0"/>
              <w:autoSpaceDE w:val="0"/>
              <w:autoSpaceDN w:val="0"/>
              <w:adjustRightInd w:val="0"/>
              <w:ind w:leftChars="0" w:left="335"/>
              <w:contextualSpacing/>
              <w:rPr>
                <w:bCs/>
                <w:snapToGrid w:val="0"/>
                <w:kern w:val="22"/>
                <w:szCs w:val="22"/>
              </w:rPr>
            </w:pPr>
            <w:r w:rsidRPr="0088780C">
              <w:rPr>
                <w:bCs/>
                <w:snapToGrid w:val="0"/>
                <w:kern w:val="22"/>
                <w:szCs w:val="22"/>
              </w:rPr>
              <w:t>the island has a unique structure for the northern part of the Caspian Sea</w:t>
            </w:r>
          </w:p>
          <w:p w14:paraId="16096DB3" w14:textId="77777777" w:rsidR="00A876F3" w:rsidRPr="0088780C" w:rsidRDefault="00A876F3" w:rsidP="001013AF">
            <w:pPr>
              <w:pStyle w:val="ListParagraph"/>
              <w:numPr>
                <w:ilvl w:val="0"/>
                <w:numId w:val="31"/>
              </w:numPr>
              <w:suppressLineNumbers/>
              <w:suppressAutoHyphens/>
              <w:kinsoku w:val="0"/>
              <w:overflowPunct w:val="0"/>
              <w:autoSpaceDE w:val="0"/>
              <w:autoSpaceDN w:val="0"/>
              <w:adjustRightInd w:val="0"/>
              <w:ind w:leftChars="0" w:left="335"/>
              <w:contextualSpacing/>
              <w:rPr>
                <w:rFonts w:eastAsia="MS Mincho"/>
                <w:bCs/>
                <w:snapToGrid w:val="0"/>
                <w:color w:val="000000"/>
                <w:kern w:val="22"/>
                <w:szCs w:val="22"/>
              </w:rPr>
            </w:pPr>
            <w:r w:rsidRPr="0088780C">
              <w:rPr>
                <w:bCs/>
                <w:snapToGrid w:val="0"/>
                <w:kern w:val="22"/>
                <w:szCs w:val="22"/>
              </w:rPr>
              <w:t xml:space="preserve">the island is one of the two nesting places for the northern Caspian population of </w:t>
            </w:r>
            <w:r w:rsidRPr="0088780C">
              <w:rPr>
                <w:bCs/>
                <w:snapToGrid w:val="0"/>
                <w:kern w:val="22"/>
                <w:szCs w:val="22"/>
                <w:shd w:val="clear" w:color="auto" w:fill="FFFFFF"/>
              </w:rPr>
              <w:t>Pallas’s gull</w:t>
            </w:r>
            <w:r w:rsidRPr="0088780C">
              <w:rPr>
                <w:bCs/>
                <w:snapToGrid w:val="0"/>
                <w:kern w:val="22"/>
                <w:szCs w:val="22"/>
              </w:rPr>
              <w:t xml:space="preserve"> </w:t>
            </w:r>
            <w:r w:rsidRPr="0088780C">
              <w:rPr>
                <w:bCs/>
                <w:i/>
                <w:snapToGrid w:val="0"/>
                <w:kern w:val="22"/>
                <w:szCs w:val="22"/>
              </w:rPr>
              <w:t>(</w:t>
            </w:r>
            <w:r w:rsidRPr="0088780C">
              <w:rPr>
                <w:bCs/>
                <w:i/>
                <w:iCs/>
                <w:snapToGrid w:val="0"/>
                <w:kern w:val="22"/>
                <w:szCs w:val="22"/>
                <w:shd w:val="clear" w:color="auto" w:fill="FFFFFF"/>
              </w:rPr>
              <w:t>Larus ichthyaetus)</w:t>
            </w:r>
            <w:r w:rsidRPr="0088780C">
              <w:rPr>
                <w:bCs/>
                <w:i/>
                <w:iCs/>
                <w:snapToGrid w:val="0"/>
                <w:color w:val="222222"/>
                <w:kern w:val="22"/>
                <w:szCs w:val="22"/>
                <w:shd w:val="clear" w:color="auto" w:fill="FFFFFF"/>
              </w:rPr>
              <w:t xml:space="preserve"> </w:t>
            </w:r>
            <w:r w:rsidRPr="0088780C">
              <w:rPr>
                <w:bCs/>
                <w:snapToGrid w:val="0"/>
                <w:kern w:val="22"/>
                <w:szCs w:val="22"/>
              </w:rPr>
              <w:t>(Кривоносов, 1976)</w:t>
            </w:r>
            <w:r w:rsidRPr="0088780C">
              <w:rPr>
                <w:rFonts w:eastAsia="MS Mincho"/>
                <w:bCs/>
                <w:snapToGrid w:val="0"/>
                <w:color w:val="000000"/>
                <w:kern w:val="22"/>
                <w:szCs w:val="22"/>
              </w:rPr>
              <w:t>.</w:t>
            </w:r>
          </w:p>
        </w:tc>
      </w:tr>
      <w:tr w:rsidR="00A876F3" w:rsidRPr="0088780C" w14:paraId="0ECFC783" w14:textId="77777777" w:rsidTr="006972AD">
        <w:tc>
          <w:tcPr>
            <w:tcW w:w="771" w:type="pct"/>
            <w:shd w:val="clear" w:color="auto" w:fill="auto"/>
          </w:tcPr>
          <w:p w14:paraId="6C1A0B37"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6" w:type="pct"/>
            <w:shd w:val="clear" w:color="auto" w:fill="auto"/>
          </w:tcPr>
          <w:p w14:paraId="3E2D259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6" w:type="pct"/>
            <w:gridSpan w:val="3"/>
            <w:shd w:val="clear" w:color="auto" w:fill="auto"/>
          </w:tcPr>
          <w:p w14:paraId="6507A58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167566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2" w:type="pct"/>
            <w:gridSpan w:val="2"/>
            <w:shd w:val="clear" w:color="auto" w:fill="auto"/>
          </w:tcPr>
          <w:p w14:paraId="2469DBF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3" w:type="pct"/>
            <w:gridSpan w:val="2"/>
            <w:shd w:val="clear" w:color="auto" w:fill="auto"/>
          </w:tcPr>
          <w:p w14:paraId="0C28A85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789F2C04" w14:textId="77777777" w:rsidTr="006972AD">
        <w:tc>
          <w:tcPr>
            <w:tcW w:w="5000" w:type="pct"/>
            <w:gridSpan w:val="11"/>
            <w:shd w:val="clear" w:color="auto" w:fill="auto"/>
          </w:tcPr>
          <w:p w14:paraId="5425AA41"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44016C42" w14:textId="77777777" w:rsidR="00A876F3" w:rsidRPr="0088780C" w:rsidRDefault="00A876F3" w:rsidP="001013AF">
            <w:pPr>
              <w:pStyle w:val="ListParagraph"/>
              <w:numPr>
                <w:ilvl w:val="0"/>
                <w:numId w:val="32"/>
              </w:numPr>
              <w:suppressLineNumbers/>
              <w:suppressAutoHyphens/>
              <w:kinsoku w:val="0"/>
              <w:overflowPunct w:val="0"/>
              <w:autoSpaceDE w:val="0"/>
              <w:autoSpaceDN w:val="0"/>
              <w:adjustRightInd w:val="0"/>
              <w:ind w:leftChars="0" w:left="425"/>
              <w:contextualSpacing/>
              <w:rPr>
                <w:rFonts w:eastAsia="MS Mincho"/>
                <w:bCs/>
                <w:snapToGrid w:val="0"/>
                <w:color w:val="000000"/>
                <w:kern w:val="22"/>
                <w:szCs w:val="22"/>
              </w:rPr>
            </w:pPr>
            <w:r w:rsidRPr="0088780C">
              <w:rPr>
                <w:rFonts w:eastAsia="MS Mincho"/>
                <w:bCs/>
                <w:snapToGrid w:val="0"/>
                <w:color w:val="000000"/>
                <w:kern w:val="22"/>
                <w:szCs w:val="22"/>
              </w:rPr>
              <w:t xml:space="preserve">The area is particularly significant for two species of birds, </w:t>
            </w:r>
            <w:r w:rsidRPr="0088780C">
              <w:rPr>
                <w:bCs/>
                <w:snapToGrid w:val="0"/>
                <w:kern w:val="22"/>
                <w:szCs w:val="22"/>
              </w:rPr>
              <w:t>(</w:t>
            </w:r>
            <w:r w:rsidRPr="0088780C">
              <w:rPr>
                <w:bCs/>
                <w:snapToGrid w:val="0"/>
                <w:kern w:val="22"/>
                <w:szCs w:val="22"/>
                <w:shd w:val="clear" w:color="auto" w:fill="FFFFFF"/>
              </w:rPr>
              <w:t>Pallas's gull</w:t>
            </w:r>
            <w:r w:rsidRPr="0088780C">
              <w:rPr>
                <w:bCs/>
                <w:snapToGrid w:val="0"/>
                <w:kern w:val="22"/>
                <w:szCs w:val="22"/>
              </w:rPr>
              <w:t xml:space="preserve"> (</w:t>
            </w:r>
            <w:r w:rsidRPr="0088780C">
              <w:rPr>
                <w:bCs/>
                <w:i/>
                <w:iCs/>
                <w:snapToGrid w:val="0"/>
                <w:kern w:val="22"/>
                <w:szCs w:val="22"/>
                <w:shd w:val="clear" w:color="auto" w:fill="FFFFFF"/>
              </w:rPr>
              <w:t>Larus ichthyaetus)</w:t>
            </w:r>
            <w:r w:rsidRPr="0088780C">
              <w:rPr>
                <w:bCs/>
                <w:i/>
                <w:iCs/>
                <w:snapToGrid w:val="0"/>
                <w:color w:val="222222"/>
                <w:kern w:val="22"/>
                <w:szCs w:val="22"/>
                <w:shd w:val="clear" w:color="auto" w:fill="FFFFFF"/>
              </w:rPr>
              <w:t xml:space="preserve"> </w:t>
            </w:r>
            <w:r w:rsidRPr="0088780C">
              <w:rPr>
                <w:bCs/>
                <w:snapToGrid w:val="0"/>
                <w:kern w:val="22"/>
                <w:szCs w:val="22"/>
              </w:rPr>
              <w:t xml:space="preserve">and </w:t>
            </w:r>
            <w:r w:rsidRPr="0088780C">
              <w:rPr>
                <w:bCs/>
                <w:snapToGrid w:val="0"/>
                <w:kern w:val="22"/>
                <w:szCs w:val="22"/>
                <w:shd w:val="clear" w:color="auto" w:fill="FFFFFF"/>
              </w:rPr>
              <w:t>Caspian</w:t>
            </w:r>
            <w:r w:rsidRPr="0088780C">
              <w:rPr>
                <w:rStyle w:val="apple-converted-space"/>
                <w:bCs/>
                <w:snapToGrid w:val="0"/>
                <w:kern w:val="22"/>
                <w:szCs w:val="22"/>
                <w:shd w:val="clear" w:color="auto" w:fill="FFFFFF"/>
              </w:rPr>
              <w:t> </w:t>
            </w:r>
            <w:r w:rsidRPr="0088780C">
              <w:rPr>
                <w:bCs/>
                <w:snapToGrid w:val="0"/>
                <w:kern w:val="22"/>
                <w:szCs w:val="22"/>
                <w:shd w:val="clear" w:color="auto" w:fill="FFFFFF"/>
              </w:rPr>
              <w:t>tern (</w:t>
            </w:r>
            <w:r w:rsidRPr="0088780C">
              <w:rPr>
                <w:bCs/>
                <w:i/>
                <w:snapToGrid w:val="0"/>
                <w:kern w:val="22"/>
                <w:szCs w:val="22"/>
                <w:shd w:val="clear" w:color="auto" w:fill="FFFFFF"/>
              </w:rPr>
              <w:t>Hydroprogne</w:t>
            </w:r>
            <w:r w:rsidRPr="0088780C">
              <w:rPr>
                <w:bCs/>
                <w:i/>
                <w:iCs/>
                <w:snapToGrid w:val="0"/>
                <w:kern w:val="22"/>
                <w:szCs w:val="22"/>
                <w:shd w:val="clear" w:color="auto" w:fill="FFFFFF"/>
              </w:rPr>
              <w:t xml:space="preserve"> caspia</w:t>
            </w:r>
            <w:r w:rsidRPr="0088780C">
              <w:rPr>
                <w:bCs/>
                <w:snapToGrid w:val="0"/>
                <w:kern w:val="22"/>
                <w:szCs w:val="22"/>
                <w:shd w:val="clear" w:color="auto" w:fill="FFFFFF"/>
              </w:rPr>
              <w:t>)</w:t>
            </w:r>
            <w:r w:rsidRPr="0088780C">
              <w:rPr>
                <w:bCs/>
                <w:snapToGrid w:val="0"/>
                <w:kern w:val="22"/>
                <w:szCs w:val="22"/>
              </w:rPr>
              <w:t xml:space="preserve">, </w:t>
            </w:r>
            <w:r w:rsidRPr="0088780C">
              <w:rPr>
                <w:rFonts w:eastAsia="MS Mincho"/>
                <w:bCs/>
                <w:snapToGrid w:val="0"/>
                <w:color w:val="000000"/>
                <w:kern w:val="22"/>
                <w:szCs w:val="22"/>
              </w:rPr>
              <w:t xml:space="preserve">whose colonies are no longer recorded in the Russian coastal area of the Caspian Sea </w:t>
            </w:r>
            <w:r w:rsidRPr="0088780C">
              <w:rPr>
                <w:rFonts w:eastAsia="MS Mincho"/>
                <w:bCs/>
                <w:snapToGrid w:val="0"/>
                <w:kern w:val="22"/>
                <w:szCs w:val="22"/>
              </w:rPr>
              <w:t>(</w:t>
            </w:r>
            <w:r w:rsidRPr="0088780C">
              <w:rPr>
                <w:bCs/>
                <w:snapToGrid w:val="0"/>
                <w:kern w:val="22"/>
                <w:szCs w:val="22"/>
              </w:rPr>
              <w:t>Русанов и др., 2014</w:t>
            </w:r>
            <w:r w:rsidRPr="0088780C">
              <w:rPr>
                <w:rFonts w:eastAsia="MS Mincho"/>
                <w:bCs/>
                <w:snapToGrid w:val="0"/>
                <w:kern w:val="22"/>
                <w:szCs w:val="22"/>
              </w:rPr>
              <w:t>)</w:t>
            </w:r>
          </w:p>
          <w:p w14:paraId="05A3085B" w14:textId="77777777" w:rsidR="00A876F3" w:rsidRPr="0088780C" w:rsidRDefault="00A876F3" w:rsidP="001013AF">
            <w:pPr>
              <w:pStyle w:val="ListParagraph"/>
              <w:numPr>
                <w:ilvl w:val="0"/>
                <w:numId w:val="32"/>
              </w:numPr>
              <w:suppressLineNumbers/>
              <w:suppressAutoHyphens/>
              <w:kinsoku w:val="0"/>
              <w:overflowPunct w:val="0"/>
              <w:autoSpaceDE w:val="0"/>
              <w:autoSpaceDN w:val="0"/>
              <w:adjustRightInd w:val="0"/>
              <w:ind w:leftChars="0" w:left="425"/>
              <w:contextualSpacing/>
              <w:rPr>
                <w:rFonts w:eastAsia="MS Mincho"/>
                <w:bCs/>
                <w:snapToGrid w:val="0"/>
                <w:color w:val="000000"/>
                <w:kern w:val="22"/>
                <w:szCs w:val="22"/>
              </w:rPr>
            </w:pPr>
            <w:r w:rsidRPr="0088780C">
              <w:rPr>
                <w:rFonts w:eastAsia="MS Mincho"/>
                <w:bCs/>
                <w:snapToGrid w:val="0"/>
                <w:color w:val="000000"/>
                <w:kern w:val="22"/>
                <w:szCs w:val="22"/>
              </w:rPr>
              <w:t>The marine area of the island serves as a feeding place for fish, including for important concentrations of juvenile sturgeons (</w:t>
            </w:r>
            <w:r w:rsidRPr="0088780C">
              <w:rPr>
                <w:bCs/>
                <w:snapToGrid w:val="0"/>
                <w:color w:val="000000"/>
                <w:kern w:val="22"/>
                <w:szCs w:val="22"/>
              </w:rPr>
              <w:t>Сокольский, 2012)</w:t>
            </w:r>
          </w:p>
          <w:p w14:paraId="5A843F82" w14:textId="77777777" w:rsidR="00A876F3" w:rsidRPr="0088780C" w:rsidRDefault="00A876F3" w:rsidP="001013AF">
            <w:pPr>
              <w:pStyle w:val="ListParagraph"/>
              <w:numPr>
                <w:ilvl w:val="0"/>
                <w:numId w:val="32"/>
              </w:numPr>
              <w:suppressLineNumbers/>
              <w:suppressAutoHyphens/>
              <w:kinsoku w:val="0"/>
              <w:overflowPunct w:val="0"/>
              <w:autoSpaceDE w:val="0"/>
              <w:autoSpaceDN w:val="0"/>
              <w:adjustRightInd w:val="0"/>
              <w:ind w:leftChars="0" w:left="425"/>
              <w:contextualSpacing/>
              <w:rPr>
                <w:rFonts w:eastAsia="MS Mincho"/>
                <w:bCs/>
                <w:snapToGrid w:val="0"/>
                <w:color w:val="000000"/>
                <w:kern w:val="22"/>
                <w:szCs w:val="22"/>
              </w:rPr>
            </w:pPr>
            <w:r w:rsidRPr="0088780C">
              <w:rPr>
                <w:rFonts w:eastAsia="MS Mincho"/>
                <w:bCs/>
                <w:snapToGrid w:val="0"/>
                <w:color w:val="000000"/>
                <w:kern w:val="22"/>
                <w:szCs w:val="22"/>
              </w:rPr>
              <w:t xml:space="preserve">The island serves as a habitat for Caspian seals </w:t>
            </w:r>
            <w:r w:rsidRPr="0088780C">
              <w:rPr>
                <w:bCs/>
                <w:snapToGrid w:val="0"/>
                <w:kern w:val="22"/>
                <w:szCs w:val="22"/>
              </w:rPr>
              <w:t>(</w:t>
            </w:r>
            <w:r w:rsidRPr="0088780C">
              <w:rPr>
                <w:bCs/>
                <w:i/>
                <w:snapToGrid w:val="0"/>
                <w:kern w:val="22"/>
                <w:szCs w:val="22"/>
                <w:shd w:val="clear" w:color="auto" w:fill="FFFFFF"/>
              </w:rPr>
              <w:t>Phoca caspica</w:t>
            </w:r>
            <w:r w:rsidRPr="0088780C">
              <w:rPr>
                <w:bCs/>
                <w:snapToGrid w:val="0"/>
                <w:kern w:val="22"/>
                <w:szCs w:val="22"/>
              </w:rPr>
              <w:t>)</w:t>
            </w:r>
            <w:r w:rsidRPr="0088780C">
              <w:rPr>
                <w:rFonts w:eastAsia="MS Mincho"/>
                <w:bCs/>
                <w:snapToGrid w:val="0"/>
                <w:color w:val="000000"/>
                <w:kern w:val="22"/>
                <w:szCs w:val="22"/>
              </w:rPr>
              <w:t>, up to several thousand individuals of which are present here at certain times of the year (Кузнецов, 2017)</w:t>
            </w:r>
          </w:p>
          <w:p w14:paraId="1E853DC3" w14:textId="77777777" w:rsidR="00A876F3" w:rsidRPr="0088780C" w:rsidRDefault="00A876F3" w:rsidP="001013AF">
            <w:pPr>
              <w:pStyle w:val="ListParagraph"/>
              <w:numPr>
                <w:ilvl w:val="0"/>
                <w:numId w:val="32"/>
              </w:numPr>
              <w:suppressLineNumbers/>
              <w:suppressAutoHyphens/>
              <w:kinsoku w:val="0"/>
              <w:overflowPunct w:val="0"/>
              <w:autoSpaceDE w:val="0"/>
              <w:autoSpaceDN w:val="0"/>
              <w:adjustRightInd w:val="0"/>
              <w:ind w:leftChars="0" w:left="425"/>
              <w:contextualSpacing/>
              <w:rPr>
                <w:rFonts w:eastAsia="MS Mincho"/>
                <w:bCs/>
                <w:snapToGrid w:val="0"/>
                <w:color w:val="000000"/>
                <w:kern w:val="22"/>
                <w:szCs w:val="22"/>
              </w:rPr>
            </w:pPr>
            <w:r w:rsidRPr="0088780C">
              <w:rPr>
                <w:bCs/>
                <w:snapToGrid w:val="0"/>
                <w:kern w:val="22"/>
                <w:szCs w:val="22"/>
                <w:shd w:val="clear" w:color="auto" w:fill="FFFFFF"/>
              </w:rPr>
              <w:t xml:space="preserve">The waters surrounding the island are important foraging areas for seabirds during the breeding period </w:t>
            </w:r>
            <w:r w:rsidRPr="0088780C">
              <w:rPr>
                <w:rFonts w:eastAsia="MS Mincho"/>
                <w:bCs/>
                <w:snapToGrid w:val="0"/>
                <w:kern w:val="22"/>
                <w:szCs w:val="22"/>
              </w:rPr>
              <w:t>(</w:t>
            </w:r>
            <w:r w:rsidRPr="0088780C">
              <w:rPr>
                <w:bCs/>
                <w:snapToGrid w:val="0"/>
                <w:kern w:val="22"/>
                <w:szCs w:val="22"/>
              </w:rPr>
              <w:t>Русанов и др., 2014</w:t>
            </w:r>
            <w:r w:rsidRPr="0088780C">
              <w:rPr>
                <w:rFonts w:eastAsia="MS Mincho"/>
                <w:bCs/>
                <w:snapToGrid w:val="0"/>
                <w:kern w:val="22"/>
                <w:szCs w:val="22"/>
              </w:rPr>
              <w:t>).</w:t>
            </w:r>
          </w:p>
        </w:tc>
      </w:tr>
      <w:tr w:rsidR="00A876F3" w:rsidRPr="0088780C" w14:paraId="1804DAA9" w14:textId="77777777" w:rsidTr="006972AD">
        <w:tc>
          <w:tcPr>
            <w:tcW w:w="771" w:type="pct"/>
            <w:shd w:val="clear" w:color="auto" w:fill="auto"/>
          </w:tcPr>
          <w:p w14:paraId="0D688EEA"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6" w:type="pct"/>
            <w:shd w:val="clear" w:color="auto" w:fill="auto"/>
          </w:tcPr>
          <w:p w14:paraId="7F3F6B6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6" w:type="pct"/>
            <w:gridSpan w:val="3"/>
            <w:shd w:val="clear" w:color="auto" w:fill="auto"/>
          </w:tcPr>
          <w:p w14:paraId="3F08BB7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D0D9F8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2" w:type="pct"/>
            <w:gridSpan w:val="2"/>
            <w:shd w:val="clear" w:color="auto" w:fill="auto"/>
          </w:tcPr>
          <w:p w14:paraId="1EADADD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3" w:type="pct"/>
            <w:gridSpan w:val="2"/>
            <w:shd w:val="clear" w:color="auto" w:fill="auto"/>
          </w:tcPr>
          <w:p w14:paraId="07F3335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2977AF16" w14:textId="77777777" w:rsidTr="006972AD">
        <w:tc>
          <w:tcPr>
            <w:tcW w:w="5000" w:type="pct"/>
            <w:gridSpan w:val="11"/>
            <w:shd w:val="clear" w:color="auto" w:fill="auto"/>
          </w:tcPr>
          <w:p w14:paraId="0D454144"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34E58633" w14:textId="77777777" w:rsidR="00A876F3" w:rsidRPr="0088780C" w:rsidRDefault="00A876F3" w:rsidP="001013AF">
            <w:pPr>
              <w:pStyle w:val="ListParagraph"/>
              <w:numPr>
                <w:ilvl w:val="0"/>
                <w:numId w:val="33"/>
              </w:numPr>
              <w:suppressLineNumbers/>
              <w:suppressAutoHyphens/>
              <w:kinsoku w:val="0"/>
              <w:overflowPunct w:val="0"/>
              <w:autoSpaceDE w:val="0"/>
              <w:autoSpaceDN w:val="0"/>
              <w:adjustRightInd w:val="0"/>
              <w:ind w:leftChars="0" w:left="425"/>
              <w:contextualSpacing/>
              <w:rPr>
                <w:bCs/>
                <w:snapToGrid w:val="0"/>
                <w:kern w:val="22"/>
                <w:szCs w:val="22"/>
              </w:rPr>
            </w:pPr>
            <w:r w:rsidRPr="0088780C">
              <w:rPr>
                <w:bCs/>
                <w:snapToGrid w:val="0"/>
                <w:kern w:val="22"/>
                <w:szCs w:val="22"/>
              </w:rPr>
              <w:t>the area is a habitat for two species of nesting birds, (</w:t>
            </w:r>
            <w:r w:rsidRPr="0088780C">
              <w:rPr>
                <w:bCs/>
                <w:snapToGrid w:val="0"/>
                <w:kern w:val="22"/>
                <w:szCs w:val="22"/>
                <w:shd w:val="clear" w:color="auto" w:fill="FFFFFF"/>
              </w:rPr>
              <w:t>Pallas's gull</w:t>
            </w:r>
            <w:r w:rsidRPr="0088780C">
              <w:rPr>
                <w:bCs/>
                <w:snapToGrid w:val="0"/>
                <w:kern w:val="22"/>
                <w:szCs w:val="22"/>
              </w:rPr>
              <w:t xml:space="preserve"> (</w:t>
            </w:r>
            <w:r w:rsidRPr="0088780C">
              <w:rPr>
                <w:bCs/>
                <w:i/>
                <w:iCs/>
                <w:snapToGrid w:val="0"/>
                <w:kern w:val="22"/>
                <w:szCs w:val="22"/>
                <w:shd w:val="clear" w:color="auto" w:fill="FFFFFF"/>
              </w:rPr>
              <w:t>Larus ichthyaetus)</w:t>
            </w:r>
            <w:r w:rsidRPr="0088780C">
              <w:rPr>
                <w:bCs/>
                <w:i/>
                <w:iCs/>
                <w:snapToGrid w:val="0"/>
                <w:color w:val="222222"/>
                <w:kern w:val="22"/>
                <w:szCs w:val="22"/>
                <w:shd w:val="clear" w:color="auto" w:fill="FFFFFF"/>
              </w:rPr>
              <w:t xml:space="preserve"> </w:t>
            </w:r>
            <w:r w:rsidRPr="0088780C">
              <w:rPr>
                <w:bCs/>
                <w:snapToGrid w:val="0"/>
                <w:kern w:val="22"/>
                <w:szCs w:val="22"/>
              </w:rPr>
              <w:t xml:space="preserve">and </w:t>
            </w:r>
            <w:r w:rsidRPr="0088780C">
              <w:rPr>
                <w:bCs/>
                <w:snapToGrid w:val="0"/>
                <w:kern w:val="22"/>
                <w:szCs w:val="22"/>
                <w:shd w:val="clear" w:color="auto" w:fill="FFFFFF"/>
              </w:rPr>
              <w:t>Caspian</w:t>
            </w:r>
            <w:r w:rsidRPr="0088780C">
              <w:rPr>
                <w:rStyle w:val="apple-converted-space"/>
                <w:bCs/>
                <w:snapToGrid w:val="0"/>
                <w:kern w:val="22"/>
                <w:szCs w:val="22"/>
                <w:shd w:val="clear" w:color="auto" w:fill="FFFFFF"/>
              </w:rPr>
              <w:t> </w:t>
            </w:r>
            <w:r w:rsidRPr="0088780C">
              <w:rPr>
                <w:bCs/>
                <w:snapToGrid w:val="0"/>
                <w:kern w:val="22"/>
                <w:szCs w:val="22"/>
                <w:shd w:val="clear" w:color="auto" w:fill="FFFFFF"/>
              </w:rPr>
              <w:t>tern (</w:t>
            </w:r>
            <w:r w:rsidRPr="0088780C">
              <w:rPr>
                <w:bCs/>
                <w:i/>
                <w:iCs/>
                <w:snapToGrid w:val="0"/>
                <w:kern w:val="22"/>
                <w:szCs w:val="22"/>
                <w:shd w:val="clear" w:color="auto" w:fill="FFFFFF"/>
              </w:rPr>
              <w:t>Sterna caspia</w:t>
            </w:r>
            <w:r w:rsidRPr="0088780C">
              <w:rPr>
                <w:bCs/>
                <w:snapToGrid w:val="0"/>
                <w:kern w:val="22"/>
                <w:szCs w:val="22"/>
                <w:shd w:val="clear" w:color="auto" w:fill="FFFFFF"/>
              </w:rPr>
              <w:t>)</w:t>
            </w:r>
            <w:r w:rsidRPr="0088780C">
              <w:rPr>
                <w:bCs/>
                <w:snapToGrid w:val="0"/>
                <w:kern w:val="22"/>
                <w:szCs w:val="22"/>
              </w:rPr>
              <w:t xml:space="preserve">, which are included in the Red Book of Russia </w:t>
            </w:r>
            <w:r w:rsidRPr="0088780C">
              <w:rPr>
                <w:rFonts w:eastAsia="MS Mincho"/>
                <w:bCs/>
                <w:snapToGrid w:val="0"/>
                <w:kern w:val="22"/>
                <w:szCs w:val="22"/>
              </w:rPr>
              <w:t>(</w:t>
            </w:r>
            <w:r w:rsidRPr="0088780C">
              <w:rPr>
                <w:bCs/>
                <w:snapToGrid w:val="0"/>
                <w:kern w:val="22"/>
                <w:szCs w:val="22"/>
              </w:rPr>
              <w:t>Русанов и др., 2014</w:t>
            </w:r>
            <w:r w:rsidRPr="0088780C">
              <w:rPr>
                <w:rFonts w:eastAsia="MS Mincho"/>
                <w:bCs/>
                <w:snapToGrid w:val="0"/>
                <w:kern w:val="22"/>
                <w:szCs w:val="22"/>
              </w:rPr>
              <w:t>)</w:t>
            </w:r>
            <w:r w:rsidRPr="0088780C">
              <w:rPr>
                <w:bCs/>
                <w:snapToGrid w:val="0"/>
                <w:kern w:val="22"/>
                <w:szCs w:val="22"/>
              </w:rPr>
              <w:t>;</w:t>
            </w:r>
          </w:p>
          <w:p w14:paraId="645A2AB7" w14:textId="77777777" w:rsidR="00A876F3" w:rsidRPr="0088780C" w:rsidRDefault="00A876F3" w:rsidP="001013AF">
            <w:pPr>
              <w:pStyle w:val="ListParagraph"/>
              <w:numPr>
                <w:ilvl w:val="0"/>
                <w:numId w:val="33"/>
              </w:numPr>
              <w:suppressLineNumbers/>
              <w:suppressAutoHyphens/>
              <w:kinsoku w:val="0"/>
              <w:overflowPunct w:val="0"/>
              <w:autoSpaceDE w:val="0"/>
              <w:autoSpaceDN w:val="0"/>
              <w:adjustRightInd w:val="0"/>
              <w:ind w:leftChars="0" w:left="425"/>
              <w:contextualSpacing/>
              <w:rPr>
                <w:bCs/>
                <w:snapToGrid w:val="0"/>
                <w:kern w:val="22"/>
                <w:szCs w:val="22"/>
              </w:rPr>
            </w:pPr>
            <w:r w:rsidRPr="0088780C">
              <w:rPr>
                <w:bCs/>
                <w:snapToGrid w:val="0"/>
                <w:kern w:val="22"/>
                <w:szCs w:val="22"/>
              </w:rPr>
              <w:t>the area plays an important role in the life cycle of the Caspian seal (</w:t>
            </w:r>
            <w:r w:rsidRPr="0088780C">
              <w:rPr>
                <w:bCs/>
                <w:i/>
                <w:snapToGrid w:val="0"/>
                <w:kern w:val="22"/>
                <w:szCs w:val="22"/>
                <w:shd w:val="clear" w:color="auto" w:fill="FFFFFF"/>
              </w:rPr>
              <w:t>Phoca caspica</w:t>
            </w:r>
            <w:r w:rsidRPr="0088780C">
              <w:rPr>
                <w:bCs/>
                <w:snapToGrid w:val="0"/>
                <w:kern w:val="22"/>
                <w:szCs w:val="22"/>
              </w:rPr>
              <w:t>), during the period preceding the spawning migration of semi-migratory fish in the region of the island, as well as pinnipeds (in March and early April, there are several thousand individuals) (</w:t>
            </w:r>
            <w:r w:rsidRPr="0088780C">
              <w:rPr>
                <w:bCs/>
                <w:snapToGrid w:val="0"/>
                <w:color w:val="000000"/>
                <w:kern w:val="22"/>
                <w:szCs w:val="22"/>
              </w:rPr>
              <w:t>Кузнецов, 2017)</w:t>
            </w:r>
            <w:r w:rsidRPr="0088780C">
              <w:rPr>
                <w:bCs/>
                <w:snapToGrid w:val="0"/>
                <w:kern w:val="22"/>
                <w:szCs w:val="22"/>
              </w:rPr>
              <w:t>;</w:t>
            </w:r>
          </w:p>
          <w:p w14:paraId="7225A6AA" w14:textId="77777777" w:rsidR="00A876F3" w:rsidRPr="0088780C" w:rsidRDefault="00A876F3" w:rsidP="001013AF">
            <w:pPr>
              <w:pStyle w:val="ListParagraph"/>
              <w:numPr>
                <w:ilvl w:val="0"/>
                <w:numId w:val="33"/>
              </w:numPr>
              <w:suppressLineNumbers/>
              <w:suppressAutoHyphens/>
              <w:kinsoku w:val="0"/>
              <w:overflowPunct w:val="0"/>
              <w:autoSpaceDE w:val="0"/>
              <w:autoSpaceDN w:val="0"/>
              <w:adjustRightInd w:val="0"/>
              <w:ind w:leftChars="0" w:left="425"/>
              <w:contextualSpacing/>
              <w:rPr>
                <w:rFonts w:eastAsia="MS Mincho"/>
                <w:bCs/>
                <w:snapToGrid w:val="0"/>
                <w:color w:val="000000"/>
                <w:kern w:val="22"/>
                <w:szCs w:val="22"/>
              </w:rPr>
            </w:pPr>
            <w:r w:rsidRPr="0088780C">
              <w:rPr>
                <w:bCs/>
                <w:snapToGrid w:val="0"/>
                <w:kern w:val="22"/>
                <w:szCs w:val="22"/>
              </w:rPr>
              <w:t>the area serves as a breeding ground for sturgeon species, particularly in the vulnerable period of their life history (</w:t>
            </w:r>
            <w:r w:rsidRPr="0088780C">
              <w:rPr>
                <w:bCs/>
                <w:snapToGrid w:val="0"/>
                <w:color w:val="000000"/>
                <w:kern w:val="22"/>
                <w:szCs w:val="22"/>
              </w:rPr>
              <w:t>Сокольский, 2012)</w:t>
            </w:r>
            <w:r w:rsidRPr="0088780C">
              <w:rPr>
                <w:bCs/>
                <w:snapToGrid w:val="0"/>
                <w:kern w:val="22"/>
                <w:szCs w:val="22"/>
              </w:rPr>
              <w:t>.</w:t>
            </w:r>
          </w:p>
        </w:tc>
      </w:tr>
      <w:tr w:rsidR="00A876F3" w:rsidRPr="0088780C" w14:paraId="487AAB02" w14:textId="77777777" w:rsidTr="006972AD">
        <w:tc>
          <w:tcPr>
            <w:tcW w:w="771" w:type="pct"/>
            <w:shd w:val="clear" w:color="auto" w:fill="auto"/>
          </w:tcPr>
          <w:p w14:paraId="6F84A50C" w14:textId="77777777" w:rsidR="00A876F3" w:rsidRPr="0088780C" w:rsidRDefault="00A876F3" w:rsidP="001013AF">
            <w:pPr>
              <w:suppressLineNumbers/>
              <w:suppressAutoHyphens/>
              <w:kinsoku w:val="0"/>
              <w:overflowPunct w:val="0"/>
              <w:autoSpaceDE w:val="0"/>
              <w:autoSpaceDN w:val="0"/>
              <w:adjustRightInd w:val="0"/>
              <w:jc w:val="left"/>
              <w:rPr>
                <w:rFonts w:ascii="Times New Roman Bold" w:eastAsia="MS Mincho" w:hAnsi="Times New Roman Bold" w:cs="Times New Roman Bold"/>
                <w:b/>
                <w:bCs/>
                <w:snapToGrid w:val="0"/>
                <w:color w:val="000000"/>
                <w:spacing w:val="-2"/>
                <w:kern w:val="22"/>
                <w:szCs w:val="22"/>
              </w:rPr>
            </w:pPr>
            <w:r w:rsidRPr="0088780C">
              <w:rPr>
                <w:rFonts w:ascii="Times New Roman Bold" w:eastAsia="MS Mincho" w:hAnsi="Times New Roman Bold" w:cs="Times New Roman Bold"/>
                <w:b/>
                <w:bCs/>
                <w:snapToGrid w:val="0"/>
                <w:color w:val="000000"/>
                <w:spacing w:val="-2"/>
                <w:kern w:val="22"/>
                <w:szCs w:val="22"/>
              </w:rPr>
              <w:t>Vulnerability, fragility, sensitivity, or slow recovery</w:t>
            </w:r>
          </w:p>
        </w:tc>
        <w:tc>
          <w:tcPr>
            <w:tcW w:w="2286" w:type="pct"/>
            <w:shd w:val="clear" w:color="auto" w:fill="auto"/>
          </w:tcPr>
          <w:p w14:paraId="4EBCB73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6" w:type="pct"/>
            <w:gridSpan w:val="3"/>
            <w:shd w:val="clear" w:color="auto" w:fill="auto"/>
          </w:tcPr>
          <w:p w14:paraId="38CCBA2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210D49F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2" w:type="pct"/>
            <w:gridSpan w:val="2"/>
            <w:shd w:val="clear" w:color="auto" w:fill="auto"/>
          </w:tcPr>
          <w:p w14:paraId="15DBA1F6"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c>
          <w:tcPr>
            <w:tcW w:w="433" w:type="pct"/>
            <w:gridSpan w:val="2"/>
            <w:shd w:val="clear" w:color="auto" w:fill="auto"/>
          </w:tcPr>
          <w:p w14:paraId="25E11F4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1127C655" w14:textId="77777777" w:rsidTr="006972AD">
        <w:tc>
          <w:tcPr>
            <w:tcW w:w="5000" w:type="pct"/>
            <w:gridSpan w:val="11"/>
            <w:shd w:val="clear" w:color="auto" w:fill="auto"/>
          </w:tcPr>
          <w:p w14:paraId="24FF43FE"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6FE04010"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Despite the potential for natural restoration of biodiversity, this area is extremely vulnerable in certain periods of the year, when there are accumulations of birds from large areas (Русанов и др., 2000)</w:t>
            </w:r>
          </w:p>
          <w:p w14:paraId="09068905"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p>
          <w:p w14:paraId="5AC34B2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bCs/>
                <w:snapToGrid w:val="0"/>
                <w:kern w:val="22"/>
                <w:szCs w:val="22"/>
              </w:rPr>
              <w:t>In addition, among the animals inhabiting the region, there are species characterized by long life cycles (sturgeons) (Чуйков, 2000).</w:t>
            </w:r>
          </w:p>
        </w:tc>
      </w:tr>
      <w:tr w:rsidR="00A876F3" w:rsidRPr="0088780C" w14:paraId="604820F1" w14:textId="77777777" w:rsidTr="006972AD">
        <w:tc>
          <w:tcPr>
            <w:tcW w:w="771" w:type="pct"/>
            <w:shd w:val="clear" w:color="auto" w:fill="auto"/>
          </w:tcPr>
          <w:p w14:paraId="3DF05B3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6" w:type="pct"/>
            <w:shd w:val="clear" w:color="auto" w:fill="auto"/>
          </w:tcPr>
          <w:p w14:paraId="48E7E029"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6" w:type="pct"/>
            <w:gridSpan w:val="3"/>
            <w:shd w:val="clear" w:color="auto" w:fill="auto"/>
          </w:tcPr>
          <w:p w14:paraId="028F71EB"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41202D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2" w:type="pct"/>
            <w:gridSpan w:val="2"/>
            <w:shd w:val="clear" w:color="auto" w:fill="auto"/>
          </w:tcPr>
          <w:p w14:paraId="52049E7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3" w:type="pct"/>
            <w:gridSpan w:val="2"/>
            <w:shd w:val="clear" w:color="auto" w:fill="auto"/>
          </w:tcPr>
          <w:p w14:paraId="1641403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65080141" w14:textId="77777777" w:rsidTr="006972AD">
        <w:tc>
          <w:tcPr>
            <w:tcW w:w="5000" w:type="pct"/>
            <w:gridSpan w:val="11"/>
            <w:shd w:val="clear" w:color="auto" w:fill="auto"/>
          </w:tcPr>
          <w:p w14:paraId="4A249D89"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79BC5E64" w14:textId="07E70ADB"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The shallow waters of northern Caspian Sea are the most productive part of the Caspian Sea (</w:t>
            </w:r>
            <w:r w:rsidRPr="0088780C">
              <w:rPr>
                <w:bCs/>
                <w:snapToGrid w:val="0"/>
                <w:color w:val="000000"/>
                <w:kern w:val="22"/>
                <w:szCs w:val="22"/>
                <w:shd w:val="clear" w:color="auto" w:fill="FFFFFF"/>
              </w:rPr>
              <w:t>Шабоянц, 2011</w:t>
            </w:r>
            <w:r w:rsidRPr="0088780C">
              <w:rPr>
                <w:bCs/>
                <w:snapToGrid w:val="0"/>
                <w:kern w:val="22"/>
                <w:szCs w:val="22"/>
              </w:rPr>
              <w:t xml:space="preserve">). High density of living organisms, including those on the upper levels of the food chain, indicates an abundance of food resources </w:t>
            </w:r>
            <w:r w:rsidRPr="0088780C">
              <w:rPr>
                <w:rFonts w:eastAsia="MS Mincho"/>
                <w:bCs/>
                <w:snapToGrid w:val="0"/>
                <w:kern w:val="22"/>
                <w:szCs w:val="22"/>
              </w:rPr>
              <w:t>(</w:t>
            </w:r>
            <w:r w:rsidRPr="0088780C">
              <w:rPr>
                <w:bCs/>
                <w:snapToGrid w:val="0"/>
                <w:kern w:val="22"/>
                <w:szCs w:val="22"/>
              </w:rPr>
              <w:t>Chizhenkova, 2009</w:t>
            </w:r>
            <w:r w:rsidRPr="0088780C">
              <w:rPr>
                <w:rFonts w:eastAsia="MS Mincho"/>
                <w:bCs/>
                <w:snapToGrid w:val="0"/>
                <w:kern w:val="22"/>
                <w:szCs w:val="22"/>
              </w:rPr>
              <w:t>)</w:t>
            </w:r>
            <w:r w:rsidRPr="0088780C">
              <w:rPr>
                <w:bCs/>
                <w:snapToGrid w:val="0"/>
                <w:kern w:val="22"/>
                <w:szCs w:val="22"/>
              </w:rPr>
              <w:t>.</w:t>
            </w:r>
          </w:p>
          <w:p w14:paraId="4A7E296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bCs/>
                <w:snapToGrid w:val="0"/>
                <w:kern w:val="22"/>
                <w:szCs w:val="22"/>
              </w:rPr>
              <w:t xml:space="preserve">Shallow depths and climatic features provide warm water and favourable feeding conditions </w:t>
            </w:r>
            <w:r w:rsidRPr="0088780C">
              <w:rPr>
                <w:rFonts w:eastAsia="MS Mincho"/>
                <w:bCs/>
                <w:snapToGrid w:val="0"/>
                <w:kern w:val="22"/>
                <w:szCs w:val="22"/>
              </w:rPr>
              <w:t>(</w:t>
            </w:r>
            <w:r w:rsidRPr="0088780C">
              <w:rPr>
                <w:bCs/>
                <w:snapToGrid w:val="0"/>
                <w:kern w:val="22"/>
                <w:szCs w:val="22"/>
              </w:rPr>
              <w:t>Русанов и др., 2014; Мошонкин, 2007</w:t>
            </w:r>
            <w:r w:rsidRPr="0088780C">
              <w:rPr>
                <w:rFonts w:eastAsia="MS Mincho"/>
                <w:bCs/>
                <w:snapToGrid w:val="0"/>
                <w:kern w:val="22"/>
                <w:szCs w:val="22"/>
              </w:rPr>
              <w:t>)</w:t>
            </w:r>
            <w:r w:rsidRPr="0088780C">
              <w:rPr>
                <w:bCs/>
                <w:snapToGrid w:val="0"/>
                <w:kern w:val="22"/>
                <w:szCs w:val="22"/>
              </w:rPr>
              <w:t>.</w:t>
            </w:r>
          </w:p>
        </w:tc>
      </w:tr>
      <w:tr w:rsidR="00A876F3" w:rsidRPr="0088780C" w14:paraId="40DC6126" w14:textId="77777777" w:rsidTr="006972AD">
        <w:tc>
          <w:tcPr>
            <w:tcW w:w="771" w:type="pct"/>
            <w:shd w:val="clear" w:color="auto" w:fill="auto"/>
          </w:tcPr>
          <w:p w14:paraId="7F24FF7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6" w:type="pct"/>
            <w:shd w:val="clear" w:color="auto" w:fill="auto"/>
          </w:tcPr>
          <w:p w14:paraId="496964CD"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6" w:type="pct"/>
            <w:gridSpan w:val="3"/>
            <w:shd w:val="clear" w:color="auto" w:fill="auto"/>
          </w:tcPr>
          <w:p w14:paraId="6B4CEDF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1518F8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c>
          <w:tcPr>
            <w:tcW w:w="412" w:type="pct"/>
            <w:gridSpan w:val="2"/>
            <w:shd w:val="clear" w:color="auto" w:fill="auto"/>
          </w:tcPr>
          <w:p w14:paraId="30FCA289"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3" w:type="pct"/>
            <w:gridSpan w:val="2"/>
            <w:shd w:val="clear" w:color="auto" w:fill="auto"/>
          </w:tcPr>
          <w:p w14:paraId="66F42FD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33F5F432" w14:textId="77777777" w:rsidTr="006972AD">
        <w:tc>
          <w:tcPr>
            <w:tcW w:w="5000" w:type="pct"/>
            <w:gridSpan w:val="11"/>
            <w:shd w:val="clear" w:color="auto" w:fill="auto"/>
          </w:tcPr>
          <w:p w14:paraId="6187D1B5"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328503F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bCs/>
                <w:snapToGrid w:val="0"/>
                <w:kern w:val="22"/>
                <w:szCs w:val="22"/>
              </w:rPr>
              <w:t>The area is used by a relatively small number of vertebrates, although the density and species composition of invertebrates requires further research (Русанов и др., 2014).</w:t>
            </w:r>
          </w:p>
        </w:tc>
      </w:tr>
      <w:tr w:rsidR="00A876F3" w:rsidRPr="0088780C" w14:paraId="374ACAB7" w14:textId="77777777" w:rsidTr="006972AD">
        <w:tc>
          <w:tcPr>
            <w:tcW w:w="771" w:type="pct"/>
            <w:shd w:val="clear" w:color="auto" w:fill="auto"/>
          </w:tcPr>
          <w:p w14:paraId="7DA5F75B"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301" w:type="pct"/>
            <w:gridSpan w:val="2"/>
            <w:shd w:val="clear" w:color="auto" w:fill="auto"/>
          </w:tcPr>
          <w:p w14:paraId="630F4C0D"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6" w:type="pct"/>
            <w:gridSpan w:val="3"/>
            <w:shd w:val="clear" w:color="auto" w:fill="auto"/>
          </w:tcPr>
          <w:p w14:paraId="5CE5817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5" w:type="pct"/>
            <w:gridSpan w:val="2"/>
            <w:shd w:val="clear" w:color="auto" w:fill="auto"/>
          </w:tcPr>
          <w:p w14:paraId="6BA3830C"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1" w:type="pct"/>
            <w:gridSpan w:val="2"/>
            <w:shd w:val="clear" w:color="auto" w:fill="auto"/>
          </w:tcPr>
          <w:p w14:paraId="7AE749A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Х</w:t>
            </w:r>
          </w:p>
        </w:tc>
        <w:tc>
          <w:tcPr>
            <w:tcW w:w="386" w:type="pct"/>
            <w:shd w:val="clear" w:color="auto" w:fill="auto"/>
          </w:tcPr>
          <w:p w14:paraId="1600C9C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A876F3" w:rsidRPr="0088780C" w14:paraId="7E479B42" w14:textId="77777777" w:rsidTr="001013AF">
        <w:trPr>
          <w:cantSplit/>
        </w:trPr>
        <w:tc>
          <w:tcPr>
            <w:tcW w:w="5000" w:type="pct"/>
            <w:gridSpan w:val="11"/>
            <w:shd w:val="clear" w:color="auto" w:fill="auto"/>
          </w:tcPr>
          <w:p w14:paraId="4B4F9104"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467B2BAE" w14:textId="797771EE"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Direct anthropogenic impact is currently absent, although the island is lightly littered with debris brought by winds (Сапожников, 2000).</w:t>
            </w:r>
          </w:p>
        </w:tc>
      </w:tr>
    </w:tbl>
    <w:p w14:paraId="1C1C2625"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rPr>
      </w:pPr>
    </w:p>
    <w:p w14:paraId="5B3A98E3" w14:textId="77777777" w:rsidR="00A876F3" w:rsidRPr="0088780C" w:rsidRDefault="00A876F3" w:rsidP="00E86E20">
      <w:pPr>
        <w:keepNext/>
        <w:suppressLineNumbers/>
        <w:suppressAutoHyphens/>
        <w:kinsoku w:val="0"/>
        <w:overflowPunct w:val="0"/>
        <w:autoSpaceDE w:val="0"/>
        <w:autoSpaceDN w:val="0"/>
        <w:adjustRightInd w:val="0"/>
        <w:spacing w:after="60"/>
        <w:rPr>
          <w:rFonts w:eastAsia="MS Mincho"/>
          <w:b/>
          <w:snapToGrid w:val="0"/>
          <w:kern w:val="22"/>
          <w:szCs w:val="22"/>
        </w:rPr>
      </w:pPr>
      <w:r w:rsidRPr="0088780C">
        <w:rPr>
          <w:rFonts w:eastAsia="MS Mincho"/>
          <w:b/>
          <w:snapToGrid w:val="0"/>
          <w:kern w:val="22"/>
          <w:szCs w:val="22"/>
        </w:rPr>
        <w:t>References</w:t>
      </w:r>
    </w:p>
    <w:p w14:paraId="7208121B" w14:textId="765AAA8C" w:rsidR="00A876F3" w:rsidRPr="0088780C" w:rsidRDefault="00A876F3" w:rsidP="00E86E20">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Русанов Герман Михайлович, Гаврилов Николай Николаевич, Литвинов Кирилл Васильевич Остров Малый Жемчужный орнитологическая Жемчужина Северного Каспия // Астраханский вестник экологического образования. 2014. №3 (29).</w:t>
      </w:r>
    </w:p>
    <w:p w14:paraId="3AAB8740" w14:textId="77777777" w:rsidR="00A876F3" w:rsidRPr="0088780C" w:rsidRDefault="00A876F3" w:rsidP="00E86E20">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ООПТ России. Веб сайт.</w:t>
      </w:r>
    </w:p>
    <w:p w14:paraId="61707C63" w14:textId="77777777" w:rsidR="00A876F3" w:rsidRPr="0088780C" w:rsidRDefault="00A876F3" w:rsidP="00E86E20">
      <w:pPr>
        <w:pStyle w:val="ListParagraph"/>
        <w:suppressLineNumbers/>
        <w:suppressAutoHyphens/>
        <w:kinsoku w:val="0"/>
        <w:overflowPunct w:val="0"/>
        <w:autoSpaceDE w:val="0"/>
        <w:autoSpaceDN w:val="0"/>
        <w:adjustRightInd w:val="0"/>
        <w:spacing w:after="60"/>
        <w:ind w:leftChars="0" w:left="720" w:hanging="720"/>
        <w:rPr>
          <w:snapToGrid w:val="0"/>
          <w:kern w:val="22"/>
          <w:szCs w:val="22"/>
          <w:lang w:val="ru-RU"/>
        </w:rPr>
      </w:pPr>
      <w:r w:rsidRPr="0088780C">
        <w:rPr>
          <w:snapToGrid w:val="0"/>
          <w:kern w:val="22"/>
          <w:szCs w:val="22"/>
          <w:lang w:val="ru-RU"/>
        </w:rPr>
        <w:t>http://oopt.aari.ru/oopt/%D0%BE%D1%81%D1%82%D1%80%D0%BE%D0%B2-%D0%BC%D0%B0%D0%BB%D1%8B%D0%B9-%D0%B6%D0%B5%D0%BC%D1%87%D1%83%D0%B6%D0%BD%D1%8B%D0%B9</w:t>
      </w:r>
    </w:p>
    <w:p w14:paraId="3360CF83" w14:textId="77777777" w:rsidR="00A876F3" w:rsidRPr="0088780C" w:rsidRDefault="00E7219D" w:rsidP="00E86E20">
      <w:pPr>
        <w:suppressLineNumbers/>
        <w:suppressAutoHyphens/>
        <w:kinsoku w:val="0"/>
        <w:overflowPunct w:val="0"/>
        <w:autoSpaceDE w:val="0"/>
        <w:autoSpaceDN w:val="0"/>
        <w:adjustRightInd w:val="0"/>
        <w:spacing w:after="60"/>
        <w:ind w:left="720" w:hanging="720"/>
        <w:rPr>
          <w:snapToGrid w:val="0"/>
          <w:kern w:val="22"/>
          <w:szCs w:val="22"/>
          <w:lang w:val="ru-RU"/>
        </w:rPr>
      </w:pPr>
      <w:hyperlink r:id="rId337" w:history="1">
        <w:r w:rsidR="00A876F3" w:rsidRPr="0088780C">
          <w:rPr>
            <w:snapToGrid w:val="0"/>
            <w:kern w:val="22"/>
            <w:szCs w:val="22"/>
            <w:lang w:val="ru-RU"/>
          </w:rPr>
          <w:t>Гаврилов И. Н.</w:t>
        </w:r>
      </w:hyperlink>
      <w:r w:rsidR="00A876F3" w:rsidRPr="0088780C">
        <w:rPr>
          <w:snapToGrid w:val="0"/>
          <w:kern w:val="22"/>
          <w:szCs w:val="22"/>
          <w:lang w:val="ru-RU"/>
        </w:rPr>
        <w:t> Состояние гнездовых колоний веслоногих и голенастых птиц в дельте Волги и на Северном Каспии в 1975-2003 гг. (период подъема уровня Каспия)//Долговременный мониторинг и сохранение колониальных водных птиц Северного Каспия в связи с многолетними колебаниями уровня Каспийского моря. -Астрахань, 2005. -С. 214-268.</w:t>
      </w:r>
    </w:p>
    <w:p w14:paraId="24059D7F" w14:textId="77777777" w:rsidR="00A876F3" w:rsidRPr="0088780C" w:rsidRDefault="00E7219D" w:rsidP="00E86E20">
      <w:pPr>
        <w:suppressLineNumbers/>
        <w:suppressAutoHyphens/>
        <w:kinsoku w:val="0"/>
        <w:overflowPunct w:val="0"/>
        <w:autoSpaceDE w:val="0"/>
        <w:autoSpaceDN w:val="0"/>
        <w:adjustRightInd w:val="0"/>
        <w:spacing w:after="60"/>
        <w:ind w:left="720" w:hanging="720"/>
        <w:rPr>
          <w:snapToGrid w:val="0"/>
          <w:kern w:val="22"/>
          <w:szCs w:val="22"/>
          <w:lang w:val="ru-RU"/>
        </w:rPr>
      </w:pPr>
      <w:hyperlink r:id="rId338" w:history="1">
        <w:r w:rsidR="00A876F3" w:rsidRPr="0088780C">
          <w:rPr>
            <w:snapToGrid w:val="0"/>
            <w:kern w:val="22"/>
            <w:szCs w:val="22"/>
            <w:lang w:val="ru-RU"/>
          </w:rPr>
          <w:t>Кривоносов Г. А.</w:t>
        </w:r>
      </w:hyperlink>
      <w:r w:rsidR="00A876F3" w:rsidRPr="0088780C">
        <w:rPr>
          <w:snapToGrid w:val="0"/>
          <w:kern w:val="22"/>
          <w:szCs w:val="22"/>
          <w:lang w:val="ru-RU"/>
        </w:rPr>
        <w:t> Прибрежные мелководья Северного и Северо-восточного Каспия как местообитания водоплавающих и околоводных птиц//Природная среда и птицы побережий Каспийского моря и прилежащих низменностей. -Баку, 1979.-С. 101-103.</w:t>
      </w:r>
    </w:p>
    <w:p w14:paraId="0677E0DD" w14:textId="77777777" w:rsidR="00A876F3" w:rsidRPr="0088780C" w:rsidRDefault="00E7219D" w:rsidP="00E86E20">
      <w:pPr>
        <w:suppressLineNumbers/>
        <w:suppressAutoHyphens/>
        <w:kinsoku w:val="0"/>
        <w:overflowPunct w:val="0"/>
        <w:autoSpaceDE w:val="0"/>
        <w:autoSpaceDN w:val="0"/>
        <w:adjustRightInd w:val="0"/>
        <w:spacing w:after="60"/>
        <w:ind w:left="720" w:hanging="720"/>
        <w:rPr>
          <w:snapToGrid w:val="0"/>
          <w:kern w:val="22"/>
          <w:szCs w:val="22"/>
          <w:lang w:val="ru-RU"/>
        </w:rPr>
      </w:pPr>
      <w:hyperlink r:id="rId339" w:history="1">
        <w:r w:rsidR="00A876F3" w:rsidRPr="0088780C">
          <w:rPr>
            <w:snapToGrid w:val="0"/>
            <w:kern w:val="22"/>
            <w:szCs w:val="22"/>
            <w:lang w:val="ru-RU"/>
          </w:rPr>
          <w:t>Гаврилов Н.Н.</w:t>
        </w:r>
      </w:hyperlink>
      <w:r w:rsidR="00A876F3" w:rsidRPr="0088780C">
        <w:rPr>
          <w:snapToGrid w:val="0"/>
          <w:kern w:val="22"/>
          <w:szCs w:val="22"/>
          <w:lang w:val="ru-RU"/>
        </w:rPr>
        <w:t> Многолетний мониторинг популяций птиц в дельте Волги и на Северном Каспии как основа мероприятий по их охране и рациональному использованию//Проблемы изучения охраняемых при-родных территорий Астраханской области: Материалы к научно-практической конф., посвященной 70-летию Астраханского заповедника. -Астрахань: Б.и., 1989. -С. 27 -37</w:t>
      </w:r>
    </w:p>
    <w:p w14:paraId="3FFA3BF4" w14:textId="77777777" w:rsidR="00A876F3" w:rsidRPr="0088780C" w:rsidRDefault="00E7219D" w:rsidP="00E86E20">
      <w:pPr>
        <w:suppressLineNumbers/>
        <w:suppressAutoHyphens/>
        <w:kinsoku w:val="0"/>
        <w:overflowPunct w:val="0"/>
        <w:autoSpaceDE w:val="0"/>
        <w:autoSpaceDN w:val="0"/>
        <w:adjustRightInd w:val="0"/>
        <w:spacing w:after="60"/>
        <w:ind w:left="720" w:hanging="720"/>
        <w:rPr>
          <w:snapToGrid w:val="0"/>
          <w:kern w:val="22"/>
          <w:szCs w:val="22"/>
          <w:lang w:val="ru-RU"/>
        </w:rPr>
      </w:pPr>
      <w:hyperlink r:id="rId340" w:history="1">
        <w:r w:rsidR="00A876F3" w:rsidRPr="0088780C">
          <w:rPr>
            <w:snapToGrid w:val="0"/>
            <w:kern w:val="22"/>
            <w:szCs w:val="22"/>
            <w:lang w:val="ru-RU"/>
          </w:rPr>
          <w:t>Кривоносов Г.А.</w:t>
        </w:r>
      </w:hyperlink>
      <w:r w:rsidR="00A876F3" w:rsidRPr="0088780C">
        <w:rPr>
          <w:snapToGrid w:val="0"/>
          <w:kern w:val="22"/>
          <w:szCs w:val="22"/>
          <w:lang w:val="ru-RU"/>
        </w:rPr>
        <w:t> Очаги массового гнездования чайковых птиц на Северном Каспии и факторы, определяющие длительность их существования//Экология вирусов. -М., 1976. -Вып. 1У. -С. 46-51</w:t>
      </w:r>
    </w:p>
    <w:p w14:paraId="7DDAC5EB" w14:textId="77777777" w:rsidR="00A876F3" w:rsidRPr="0088780C" w:rsidRDefault="00E7219D" w:rsidP="00E86E20">
      <w:pPr>
        <w:suppressLineNumbers/>
        <w:suppressAutoHyphens/>
        <w:kinsoku w:val="0"/>
        <w:overflowPunct w:val="0"/>
        <w:autoSpaceDE w:val="0"/>
        <w:autoSpaceDN w:val="0"/>
        <w:adjustRightInd w:val="0"/>
        <w:spacing w:after="60"/>
        <w:ind w:left="720" w:hanging="720"/>
        <w:rPr>
          <w:snapToGrid w:val="0"/>
          <w:kern w:val="22"/>
          <w:szCs w:val="22"/>
          <w:lang w:val="ru-RU"/>
        </w:rPr>
      </w:pPr>
      <w:hyperlink r:id="rId341" w:history="1">
        <w:r w:rsidR="00A876F3" w:rsidRPr="0088780C">
          <w:rPr>
            <w:snapToGrid w:val="0"/>
            <w:kern w:val="22"/>
            <w:szCs w:val="22"/>
            <w:lang w:val="ru-RU"/>
          </w:rPr>
          <w:t>Мошонкин Н.Н.</w:t>
        </w:r>
      </w:hyperlink>
      <w:r w:rsidR="00A876F3" w:rsidRPr="0088780C">
        <w:rPr>
          <w:snapToGrid w:val="0"/>
          <w:kern w:val="22"/>
          <w:szCs w:val="22"/>
          <w:lang w:val="ru-RU"/>
        </w:rPr>
        <w:t> Остров Малый Жемчужный//Астраханская энциклопедия. 1 том. Природа. -Астрахань. -2007. -С. 230-231</w:t>
      </w:r>
    </w:p>
    <w:p w14:paraId="4CE7D71C" w14:textId="77777777" w:rsidR="00A876F3" w:rsidRPr="0088780C" w:rsidRDefault="00E7219D" w:rsidP="00E86E20">
      <w:pPr>
        <w:suppressLineNumbers/>
        <w:suppressAutoHyphens/>
        <w:kinsoku w:val="0"/>
        <w:overflowPunct w:val="0"/>
        <w:autoSpaceDE w:val="0"/>
        <w:autoSpaceDN w:val="0"/>
        <w:adjustRightInd w:val="0"/>
        <w:spacing w:after="60"/>
        <w:ind w:left="720" w:hanging="720"/>
        <w:rPr>
          <w:snapToGrid w:val="0"/>
          <w:kern w:val="22"/>
          <w:szCs w:val="22"/>
          <w:lang w:val="ru-RU"/>
        </w:rPr>
      </w:pPr>
      <w:hyperlink r:id="rId342" w:history="1">
        <w:r w:rsidR="00A876F3" w:rsidRPr="0088780C">
          <w:rPr>
            <w:snapToGrid w:val="0"/>
            <w:kern w:val="22"/>
            <w:szCs w:val="22"/>
            <w:lang w:val="ru-RU"/>
          </w:rPr>
          <w:t>Русанов Г.М.</w:t>
        </w:r>
      </w:hyperlink>
      <w:r w:rsidR="00A876F3" w:rsidRPr="0088780C">
        <w:rPr>
          <w:snapToGrid w:val="0"/>
          <w:kern w:val="22"/>
          <w:szCs w:val="22"/>
          <w:lang w:val="ru-RU"/>
        </w:rPr>
        <w:t>, </w:t>
      </w:r>
      <w:hyperlink r:id="rId343" w:history="1">
        <w:r w:rsidR="00A876F3" w:rsidRPr="0088780C">
          <w:rPr>
            <w:snapToGrid w:val="0"/>
            <w:kern w:val="22"/>
            <w:szCs w:val="22"/>
            <w:lang w:val="ru-RU"/>
          </w:rPr>
          <w:t>Гаврилов Н.Н.</w:t>
        </w:r>
      </w:hyperlink>
      <w:r w:rsidR="00A876F3" w:rsidRPr="0088780C">
        <w:rPr>
          <w:snapToGrid w:val="0"/>
          <w:kern w:val="22"/>
          <w:szCs w:val="22"/>
          <w:lang w:val="ru-RU"/>
        </w:rPr>
        <w:t> Состояние колониального гнездовья чаек и крачек на острове Малый Жемчужный на Северном Каспии//Новости в мире птиц. Информационный бюллетень Союза охраны птиц России. -М. 2001. N 2. -С. 11</w:t>
      </w:r>
    </w:p>
    <w:p w14:paraId="7534280F" w14:textId="77777777" w:rsidR="00A876F3" w:rsidRPr="0088780C" w:rsidRDefault="00A876F3" w:rsidP="00E86E20">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kern w:val="22"/>
          <w:szCs w:val="22"/>
          <w:lang w:val="ru-RU"/>
        </w:rPr>
        <w:t>Русанов Г.М., Гаврилов Н.Н., Литвинов К.В. Остров Малый Жемчужный – орнитологическая жемчужина Северного Каспия // Астраханский вестник экологического образования. - N 3 (29). - 2014. - С. 67-75.</w:t>
      </w:r>
    </w:p>
    <w:p w14:paraId="6CF1ADF3" w14:textId="77777777" w:rsidR="00A876F3" w:rsidRPr="0088780C" w:rsidRDefault="00E7219D" w:rsidP="00E86E20">
      <w:pPr>
        <w:suppressLineNumbers/>
        <w:suppressAutoHyphens/>
        <w:kinsoku w:val="0"/>
        <w:overflowPunct w:val="0"/>
        <w:autoSpaceDE w:val="0"/>
        <w:autoSpaceDN w:val="0"/>
        <w:adjustRightInd w:val="0"/>
        <w:spacing w:after="60"/>
        <w:ind w:left="720" w:hanging="720"/>
        <w:rPr>
          <w:snapToGrid w:val="0"/>
          <w:kern w:val="22"/>
          <w:szCs w:val="22"/>
          <w:lang w:val="ru-RU"/>
        </w:rPr>
      </w:pPr>
      <w:hyperlink r:id="rId344" w:history="1">
        <w:r w:rsidR="00A876F3" w:rsidRPr="0088780C">
          <w:rPr>
            <w:snapToGrid w:val="0"/>
            <w:kern w:val="22"/>
            <w:szCs w:val="22"/>
            <w:lang w:val="ru-RU"/>
          </w:rPr>
          <w:t>Русанов Г.М.</w:t>
        </w:r>
      </w:hyperlink>
      <w:r w:rsidR="00A876F3" w:rsidRPr="0088780C">
        <w:rPr>
          <w:snapToGrid w:val="0"/>
          <w:kern w:val="22"/>
          <w:szCs w:val="22"/>
          <w:lang w:val="ru-RU"/>
        </w:rPr>
        <w:t>, </w:t>
      </w:r>
      <w:hyperlink r:id="rId345" w:history="1">
        <w:r w:rsidR="00A876F3" w:rsidRPr="0088780C">
          <w:rPr>
            <w:snapToGrid w:val="0"/>
            <w:kern w:val="22"/>
            <w:szCs w:val="22"/>
            <w:lang w:val="ru-RU"/>
          </w:rPr>
          <w:t>Мошонкин Н.Н.</w:t>
        </w:r>
      </w:hyperlink>
      <w:r w:rsidR="00A876F3" w:rsidRPr="0088780C">
        <w:rPr>
          <w:snapToGrid w:val="0"/>
          <w:kern w:val="22"/>
          <w:szCs w:val="22"/>
          <w:lang w:val="ru-RU"/>
        </w:rPr>
        <w:t> Остров Малый Жемчужный//Ключевые орнитологические территории России. - Том 1. Ключевые орнитологические территории международного значения в Европейской России. Под редакцией Т.В.Свиридовой, В.А. Зубакина. -М., 2000. -С. 502-503</w:t>
      </w:r>
    </w:p>
    <w:p w14:paraId="0EAB2FB4" w14:textId="77777777" w:rsidR="00A876F3" w:rsidRPr="0088780C" w:rsidRDefault="00E7219D" w:rsidP="00E86E20">
      <w:pPr>
        <w:suppressLineNumbers/>
        <w:suppressAutoHyphens/>
        <w:kinsoku w:val="0"/>
        <w:overflowPunct w:val="0"/>
        <w:autoSpaceDE w:val="0"/>
        <w:autoSpaceDN w:val="0"/>
        <w:adjustRightInd w:val="0"/>
        <w:spacing w:after="60"/>
        <w:ind w:left="720" w:hanging="720"/>
        <w:rPr>
          <w:snapToGrid w:val="0"/>
          <w:kern w:val="22"/>
          <w:szCs w:val="22"/>
          <w:lang w:val="ru-RU"/>
        </w:rPr>
      </w:pPr>
      <w:hyperlink r:id="rId346" w:history="1">
        <w:r w:rsidR="00A876F3" w:rsidRPr="0088780C">
          <w:rPr>
            <w:snapToGrid w:val="0"/>
            <w:kern w:val="22"/>
            <w:szCs w:val="22"/>
            <w:lang w:val="ru-RU"/>
          </w:rPr>
          <w:t>Чуйков Ю.С.</w:t>
        </w:r>
      </w:hyperlink>
      <w:r w:rsidR="00A876F3" w:rsidRPr="0088780C">
        <w:rPr>
          <w:snapToGrid w:val="0"/>
          <w:kern w:val="22"/>
          <w:szCs w:val="22"/>
          <w:lang w:val="ru-RU"/>
        </w:rPr>
        <w:t>, </w:t>
      </w:r>
      <w:hyperlink r:id="rId347" w:history="1">
        <w:r w:rsidR="00A876F3" w:rsidRPr="0088780C">
          <w:rPr>
            <w:snapToGrid w:val="0"/>
            <w:kern w:val="22"/>
            <w:szCs w:val="22"/>
            <w:lang w:val="ru-RU"/>
          </w:rPr>
          <w:t>Мошонкин Н.Н.</w:t>
        </w:r>
      </w:hyperlink>
      <w:r w:rsidR="00A876F3" w:rsidRPr="0088780C">
        <w:rPr>
          <w:snapToGrid w:val="0"/>
          <w:kern w:val="22"/>
          <w:szCs w:val="22"/>
          <w:lang w:val="ru-RU"/>
        </w:rPr>
        <w:t> Система особо охраняемых природных территорий Астраханской области (современное состояние и перспективы развития). -Астрахань. -2000. -124 с</w:t>
      </w:r>
    </w:p>
    <w:p w14:paraId="5851B992" w14:textId="77777777" w:rsidR="00A876F3" w:rsidRPr="0088780C" w:rsidRDefault="00E7219D" w:rsidP="00E86E20">
      <w:pPr>
        <w:suppressLineNumbers/>
        <w:suppressAutoHyphens/>
        <w:kinsoku w:val="0"/>
        <w:overflowPunct w:val="0"/>
        <w:autoSpaceDE w:val="0"/>
        <w:autoSpaceDN w:val="0"/>
        <w:adjustRightInd w:val="0"/>
        <w:spacing w:after="60"/>
        <w:ind w:left="720" w:hanging="720"/>
        <w:rPr>
          <w:snapToGrid w:val="0"/>
          <w:kern w:val="22"/>
          <w:szCs w:val="22"/>
          <w:lang w:val="ru-RU"/>
        </w:rPr>
      </w:pPr>
      <w:hyperlink r:id="rId348" w:history="1">
        <w:r w:rsidR="00A876F3" w:rsidRPr="0088780C">
          <w:rPr>
            <w:snapToGrid w:val="0"/>
            <w:kern w:val="22"/>
            <w:szCs w:val="22"/>
            <w:lang w:val="ru-RU"/>
          </w:rPr>
          <w:t>Сапожников В. В.</w:t>
        </w:r>
      </w:hyperlink>
      <w:r w:rsidR="00A876F3" w:rsidRPr="0088780C">
        <w:rPr>
          <w:snapToGrid w:val="0"/>
          <w:kern w:val="22"/>
          <w:szCs w:val="22"/>
          <w:lang w:val="ru-RU"/>
        </w:rPr>
        <w:t> Современное состояние экосистемы Каспийского моря и сценарий дальнейшего развития событий//Науч. бюл. Каспийского плавучего ун-та (Касп-Ш1РХ). -2000. -N 1. -С. 64-71.</w:t>
      </w:r>
    </w:p>
    <w:p w14:paraId="5249042F" w14:textId="77777777" w:rsidR="00A876F3" w:rsidRPr="0088780C" w:rsidRDefault="00A876F3" w:rsidP="00E86E20">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O. A. Chizhenkova, A. M. Kamakin, V. F. Zaitsev Some aspects of qualitative and quantitative composition of benthic biocenoses in the northern part of the Caspian sea // Herald of Astrakhan state technical university/ - 2009</w:t>
      </w:r>
    </w:p>
    <w:p w14:paraId="5632595D" w14:textId="77777777" w:rsidR="00A876F3" w:rsidRPr="0088780C" w:rsidRDefault="00A876F3" w:rsidP="00E86E20">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snapToGrid w:val="0"/>
          <w:color w:val="000000"/>
          <w:kern w:val="22"/>
          <w:szCs w:val="22"/>
          <w:shd w:val="clear" w:color="auto" w:fill="FFFFFF"/>
          <w:lang w:val="ru-RU"/>
        </w:rPr>
        <w:t>Никитин Э.В., Кушнаренко А.И., Хара Р. Э., Особенности распределения и качественная структура полупроходных и туводных рыб в западной зоне мелководий Северного Каспия. Сбор. НИР КаспНИРХ, 2002 г. С.276.</w:t>
      </w:r>
    </w:p>
    <w:p w14:paraId="649B19E7" w14:textId="0F4DBD11" w:rsidR="00A876F3" w:rsidRPr="0088780C" w:rsidRDefault="00A876F3" w:rsidP="00E86E20">
      <w:pPr>
        <w:suppressLineNumbers/>
        <w:suppressAutoHyphens/>
        <w:kinsoku w:val="0"/>
        <w:overflowPunct w:val="0"/>
        <w:autoSpaceDE w:val="0"/>
        <w:autoSpaceDN w:val="0"/>
        <w:adjustRightInd w:val="0"/>
        <w:spacing w:after="60"/>
        <w:ind w:left="720" w:hanging="720"/>
        <w:rPr>
          <w:rStyle w:val="apple-converted-space"/>
          <w:snapToGrid w:val="0"/>
          <w:kern w:val="22"/>
          <w:szCs w:val="22"/>
          <w:lang w:val="ru-RU"/>
        </w:rPr>
      </w:pPr>
      <w:r w:rsidRPr="0088780C">
        <w:rPr>
          <w:snapToGrid w:val="0"/>
          <w:color w:val="000000"/>
          <w:kern w:val="22"/>
          <w:szCs w:val="22"/>
          <w:shd w:val="clear" w:color="auto" w:fill="FFFFFF"/>
          <w:lang w:val="ru-RU"/>
        </w:rPr>
        <w:t>Ноздрина Л. Ю., Зайцев В. Ф., Мелякина Э. И., Попова Н. В. Состояние популяции каспийского тюленя в условиях разработки морских нефтегазовых месторождений // Защита окружающей среды в нефтегазовом комплексе. 2011. № 10. С. 44-48.</w:t>
      </w:r>
    </w:p>
    <w:p w14:paraId="2D3D99F2" w14:textId="77777777" w:rsidR="00A876F3" w:rsidRPr="0088780C" w:rsidRDefault="00A876F3" w:rsidP="00E86E20">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snapToGrid w:val="0"/>
          <w:color w:val="000000"/>
          <w:kern w:val="22"/>
          <w:szCs w:val="22"/>
          <w:lang w:val="ru-RU"/>
        </w:rPr>
        <w:t>Кузнецов Василий Владимирович Современное состояние популяции каспийского тюленя // Вестник АГТУ. Серия: Рыбное хозяйство. 2017. №1.</w:t>
      </w:r>
    </w:p>
    <w:p w14:paraId="2F47A963" w14:textId="77777777" w:rsidR="00A876F3" w:rsidRPr="0088780C" w:rsidRDefault="00A876F3" w:rsidP="00E86E20">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snapToGrid w:val="0"/>
          <w:color w:val="000000"/>
          <w:kern w:val="22"/>
          <w:szCs w:val="22"/>
          <w:lang w:val="ru-RU"/>
        </w:rPr>
        <w:t>Дубинина Наталья Александровна Перспективы развития проектов ОАО «Лукойл» на Северном Каспии // Вестник АГТУ. 2015. №1 (59).</w:t>
      </w:r>
    </w:p>
    <w:p w14:paraId="6B3A17F3" w14:textId="345AE08F" w:rsidR="00A876F3" w:rsidRPr="0088780C" w:rsidRDefault="00A876F3" w:rsidP="00E86E20">
      <w:pPr>
        <w:suppressLineNumbers/>
        <w:suppressAutoHyphens/>
        <w:kinsoku w:val="0"/>
        <w:overflowPunct w:val="0"/>
        <w:autoSpaceDE w:val="0"/>
        <w:autoSpaceDN w:val="0"/>
        <w:adjustRightInd w:val="0"/>
        <w:spacing w:after="60"/>
        <w:ind w:left="720" w:hanging="720"/>
        <w:rPr>
          <w:rFonts w:eastAsia="MS Mincho"/>
          <w:b/>
          <w:snapToGrid w:val="0"/>
          <w:kern w:val="22"/>
          <w:szCs w:val="22"/>
          <w:lang w:val="ru-RU"/>
        </w:rPr>
      </w:pPr>
      <w:r w:rsidRPr="0088780C">
        <w:rPr>
          <w:snapToGrid w:val="0"/>
          <w:color w:val="000000"/>
          <w:kern w:val="22"/>
          <w:szCs w:val="22"/>
          <w:shd w:val="clear" w:color="auto" w:fill="FFFFFF"/>
          <w:lang w:val="ru-RU"/>
        </w:rPr>
        <w:t>Шабоянц Н. Г., Шипулин С. В. Формирование биопродуктивности Северного Каспия // Юг России: экология, развитие. 2011. №3.</w:t>
      </w:r>
    </w:p>
    <w:p w14:paraId="2EB5AF14" w14:textId="1D65AE4F" w:rsidR="00A876F3" w:rsidRPr="0088780C" w:rsidRDefault="00A876F3" w:rsidP="00E86E20">
      <w:pPr>
        <w:suppressLineNumbers/>
        <w:suppressAutoHyphens/>
        <w:kinsoku w:val="0"/>
        <w:overflowPunct w:val="0"/>
        <w:autoSpaceDE w:val="0"/>
        <w:autoSpaceDN w:val="0"/>
        <w:adjustRightInd w:val="0"/>
        <w:spacing w:after="60"/>
        <w:ind w:left="720" w:hanging="720"/>
        <w:rPr>
          <w:rFonts w:eastAsia="MS Mincho"/>
          <w:b/>
          <w:snapToGrid w:val="0"/>
          <w:kern w:val="22"/>
          <w:szCs w:val="22"/>
          <w:lang w:val="ru-RU"/>
        </w:rPr>
      </w:pPr>
      <w:r w:rsidRPr="0088780C">
        <w:rPr>
          <w:snapToGrid w:val="0"/>
          <w:color w:val="000000"/>
          <w:kern w:val="22"/>
          <w:szCs w:val="22"/>
          <w:lang w:val="ru-RU"/>
        </w:rPr>
        <w:t>Сокольский А. Ф., Полянинова А. А., Молодцова А. И., Сокольская Е. А., Умербаева Роза Ивановна, Абдурахманов Г. М. Состояние кормовой базы и условий нагула осетровых рыб в Каспийском море // Юг России: экология, развитие. 2012. №1.</w:t>
      </w:r>
    </w:p>
    <w:p w14:paraId="0B0A5807" w14:textId="77777777" w:rsidR="00A876F3" w:rsidRPr="0088780C" w:rsidRDefault="00A876F3" w:rsidP="001013AF">
      <w:pPr>
        <w:pStyle w:val="ListParagraph"/>
        <w:suppressLineNumbers/>
        <w:suppressAutoHyphens/>
        <w:kinsoku w:val="0"/>
        <w:overflowPunct w:val="0"/>
        <w:autoSpaceDE w:val="0"/>
        <w:autoSpaceDN w:val="0"/>
        <w:ind w:left="880"/>
        <w:rPr>
          <w:rFonts w:eastAsia="MS Mincho"/>
          <w:b/>
          <w:snapToGrid w:val="0"/>
          <w:kern w:val="22"/>
          <w:szCs w:val="22"/>
        </w:rPr>
      </w:pPr>
      <w:r w:rsidRPr="0088780C">
        <w:rPr>
          <w:rFonts w:eastAsia="MS Mincho"/>
          <w:b/>
          <w:snapToGrid w:val="0"/>
          <w:kern w:val="22"/>
          <w:szCs w:val="22"/>
        </w:rPr>
        <w:br w:type="page"/>
      </w:r>
    </w:p>
    <w:p w14:paraId="7041825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1C3379C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843EBE8" w14:textId="77777777" w:rsidR="00E86E20" w:rsidRPr="0088780C" w:rsidRDefault="00E86E20" w:rsidP="001013AF">
      <w:pPr>
        <w:suppressLineNumbers/>
        <w:suppressAutoHyphens/>
        <w:kinsoku w:val="0"/>
        <w:overflowPunct w:val="0"/>
        <w:autoSpaceDE w:val="0"/>
        <w:autoSpaceDN w:val="0"/>
        <w:rPr>
          <w:rFonts w:eastAsia="MS Mincho"/>
          <w:b/>
          <w:snapToGrid w:val="0"/>
          <w:kern w:val="22"/>
          <w:szCs w:val="22"/>
        </w:rPr>
      </w:pPr>
    </w:p>
    <w:p w14:paraId="7DD3F6D9"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267AA752" wp14:editId="4A71ACC3">
            <wp:extent cx="5486400" cy="4572000"/>
            <wp:effectExtent l="0" t="0" r="0" b="0"/>
            <wp:docPr id="13319" name="Picture 13319" descr="C:\Users\grekin\AppData\Local\Microsoft\Windows\Temporary Internet Files\Content.Word\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rekin\AppData\Local\Microsoft\Windows\Temporary Internet Files\Content.Word\32.png"/>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47B1D31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p>
    <w:p w14:paraId="0BFB5DA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54418F8" w14:textId="40BE1459" w:rsidR="00E86E20" w:rsidRPr="0088780C" w:rsidRDefault="00E86E20">
      <w:pPr>
        <w:jc w:val="left"/>
        <w:rPr>
          <w:rFonts w:eastAsia="MS Mincho"/>
          <w:b/>
          <w:snapToGrid w:val="0"/>
          <w:kern w:val="22"/>
          <w:szCs w:val="22"/>
        </w:rPr>
      </w:pPr>
      <w:r w:rsidRPr="0088780C">
        <w:rPr>
          <w:rFonts w:eastAsia="MS Mincho"/>
          <w:b/>
          <w:snapToGrid w:val="0"/>
          <w:kern w:val="22"/>
          <w:szCs w:val="22"/>
        </w:rPr>
        <w:br w:type="page"/>
      </w:r>
    </w:p>
    <w:p w14:paraId="607ECB5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05FD829F" wp14:editId="6988AFB4">
            <wp:extent cx="5760085" cy="7956549"/>
            <wp:effectExtent l="0" t="0" r="0" b="6985"/>
            <wp:docPr id="64555" name="Picture 64555" descr="C:\Users\grekin\AppData\Local\Microsoft\Windows\Temporary Internet Files\Content.Outlook\910GMZYN\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rekin\AppData\Local\Microsoft\Windows\Temporary Internet Files\Content.Outlook\910GMZYN\13.jpeg"/>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760085" cy="7956549"/>
                    </a:xfrm>
                    <a:prstGeom prst="rect">
                      <a:avLst/>
                    </a:prstGeom>
                    <a:noFill/>
                    <a:ln>
                      <a:noFill/>
                    </a:ln>
                  </pic:spPr>
                </pic:pic>
              </a:graphicData>
            </a:graphic>
          </wp:inline>
        </w:drawing>
      </w:r>
    </w:p>
    <w:p w14:paraId="7B4CB6D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90FC401" w14:textId="1A998411"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t>Figure 2. Territorial distribution of animals on Malyi Zhemchuzhniy (</w:t>
      </w:r>
      <w:r w:rsidR="00D8482D" w:rsidRPr="0088780C">
        <w:rPr>
          <w:b/>
          <w:snapToGrid w:val="0"/>
          <w:kern w:val="22"/>
          <w:szCs w:val="22"/>
        </w:rPr>
        <w:t>“</w:t>
      </w:r>
      <w:r w:rsidRPr="0088780C">
        <w:rPr>
          <w:b/>
          <w:snapToGrid w:val="0"/>
          <w:kern w:val="22"/>
          <w:szCs w:val="22"/>
        </w:rPr>
        <w:t>Small Pearl</w:t>
      </w:r>
      <w:r w:rsidR="00D8482D" w:rsidRPr="0088780C">
        <w:rPr>
          <w:b/>
          <w:snapToGrid w:val="0"/>
          <w:kern w:val="22"/>
          <w:szCs w:val="22"/>
        </w:rPr>
        <w:t>”</w:t>
      </w:r>
      <w:r w:rsidR="00E86E20" w:rsidRPr="0088780C">
        <w:rPr>
          <w:b/>
          <w:snapToGrid w:val="0"/>
          <w:kern w:val="22"/>
          <w:szCs w:val="22"/>
        </w:rPr>
        <w:t>) Island in April 2017</w:t>
      </w:r>
    </w:p>
    <w:p w14:paraId="7CDF291C" w14:textId="77777777" w:rsidR="00A876F3" w:rsidRPr="0088780C" w:rsidRDefault="00A876F3" w:rsidP="001013AF">
      <w:pPr>
        <w:suppressLineNumbers/>
        <w:suppressAutoHyphens/>
        <w:kinsoku w:val="0"/>
        <w:overflowPunct w:val="0"/>
        <w:autoSpaceDE w:val="0"/>
        <w:autoSpaceDN w:val="0"/>
        <w:rPr>
          <w:snapToGrid w:val="0"/>
          <w:kern w:val="22"/>
          <w:szCs w:val="22"/>
        </w:rPr>
      </w:pPr>
    </w:p>
    <w:p w14:paraId="183913B5" w14:textId="77777777" w:rsidR="00A876F3" w:rsidRPr="0088780C" w:rsidRDefault="00A876F3" w:rsidP="001013AF">
      <w:pPr>
        <w:suppressLineNumbers/>
        <w:suppressAutoHyphens/>
        <w:kinsoku w:val="0"/>
        <w:overflowPunct w:val="0"/>
        <w:autoSpaceDE w:val="0"/>
        <w:autoSpaceDN w:val="0"/>
        <w:rPr>
          <w:snapToGrid w:val="0"/>
          <w:kern w:val="22"/>
          <w:szCs w:val="22"/>
        </w:rPr>
      </w:pPr>
      <w:r w:rsidRPr="0088780C">
        <w:rPr>
          <w:rFonts w:eastAsia="MS Mincho"/>
          <w:b/>
          <w:noProof/>
          <w:snapToGrid w:val="0"/>
          <w:kern w:val="22"/>
          <w:szCs w:val="22"/>
          <w:lang w:eastAsia="zh-CN"/>
        </w:rPr>
        <w:drawing>
          <wp:inline distT="0" distB="0" distL="0" distR="0" wp14:anchorId="3BC97118" wp14:editId="3A04845B">
            <wp:extent cx="5760085" cy="7948295"/>
            <wp:effectExtent l="0" t="0" r="0" b="0"/>
            <wp:docPr id="64546" name="Picture 64546" descr="C:\Users\grekin\AppData\Local\Microsoft\Windows\Temporary Internet Files\Content.Outlook\910GMZYN\12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grekin\AppData\Local\Microsoft\Windows\Temporary Internet Files\Content.Outlook\910GMZYN\12_.jpg"/>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5760085" cy="7948295"/>
                    </a:xfrm>
                    <a:prstGeom prst="rect">
                      <a:avLst/>
                    </a:prstGeom>
                    <a:noFill/>
                    <a:ln>
                      <a:noFill/>
                    </a:ln>
                  </pic:spPr>
                </pic:pic>
              </a:graphicData>
            </a:graphic>
          </wp:inline>
        </w:drawing>
      </w:r>
    </w:p>
    <w:p w14:paraId="60B5B608" w14:textId="0E6C3A66"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 3. The changing coastline of Malyi Zhemchyzhnyi</w:t>
      </w:r>
      <w:r w:rsidRPr="0088780C">
        <w:rPr>
          <w:b/>
          <w:snapToGrid w:val="0"/>
          <w:kern w:val="22"/>
          <w:szCs w:val="22"/>
        </w:rPr>
        <w:t xml:space="preserve"> (“Small Pearl”) Island</w:t>
      </w:r>
    </w:p>
    <w:p w14:paraId="36154259"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3D276B6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5A565A58" wp14:editId="3DD4C027">
            <wp:extent cx="5723255" cy="3792855"/>
            <wp:effectExtent l="0" t="0" r="0" b="0"/>
            <wp:docPr id="64570" name="Picture 64570" descr="cid:image002.jpg@01D3D8B6.D0D56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id:image002.jpg@01D3D8B6.D0D565D0"/>
                    <pic:cNvPicPr>
                      <a:picLocks noChangeAspect="1" noChangeArrowheads="1"/>
                    </pic:cNvPicPr>
                  </pic:nvPicPr>
                  <pic:blipFill>
                    <a:blip r:embed="rId352" r:link="rId353">
                      <a:extLst>
                        <a:ext uri="{28A0092B-C50C-407E-A947-70E740481C1C}">
                          <a14:useLocalDpi xmlns:a14="http://schemas.microsoft.com/office/drawing/2010/main" val="0"/>
                        </a:ext>
                      </a:extLst>
                    </a:blip>
                    <a:srcRect/>
                    <a:stretch>
                      <a:fillRect/>
                    </a:stretch>
                  </pic:blipFill>
                  <pic:spPr bwMode="auto">
                    <a:xfrm>
                      <a:off x="0" y="0"/>
                      <a:ext cx="5723255" cy="3792855"/>
                    </a:xfrm>
                    <a:prstGeom prst="rect">
                      <a:avLst/>
                    </a:prstGeom>
                    <a:noFill/>
                    <a:ln>
                      <a:noFill/>
                    </a:ln>
                  </pic:spPr>
                </pic:pic>
              </a:graphicData>
            </a:graphic>
          </wp:inline>
        </w:drawing>
      </w:r>
    </w:p>
    <w:p w14:paraId="2C4FF934" w14:textId="36B8F6C4" w:rsidR="00A876F3" w:rsidRPr="0088780C" w:rsidRDefault="00A876F3" w:rsidP="001013AF">
      <w:pPr>
        <w:suppressLineNumbers/>
        <w:suppressAutoHyphens/>
        <w:kinsoku w:val="0"/>
        <w:overflowPunct w:val="0"/>
        <w:autoSpaceDE w:val="0"/>
        <w:autoSpaceDN w:val="0"/>
        <w:jc w:val="left"/>
        <w:rPr>
          <w:b/>
          <w:snapToGrid w:val="0"/>
          <w:kern w:val="22"/>
          <w:szCs w:val="22"/>
        </w:rPr>
      </w:pPr>
      <w:r w:rsidRPr="0088780C">
        <w:rPr>
          <w:rFonts w:eastAsia="MS Mincho"/>
          <w:b/>
          <w:snapToGrid w:val="0"/>
          <w:kern w:val="22"/>
          <w:szCs w:val="22"/>
        </w:rPr>
        <w:t xml:space="preserve">Figure 4. </w:t>
      </w:r>
      <w:r w:rsidRPr="0088780C">
        <w:rPr>
          <w:b/>
          <w:snapToGrid w:val="0"/>
          <w:kern w:val="22"/>
          <w:szCs w:val="22"/>
        </w:rPr>
        <w:t>Caspian tern (</w:t>
      </w:r>
      <w:r w:rsidRPr="0088780C">
        <w:rPr>
          <w:b/>
          <w:i/>
          <w:snapToGrid w:val="0"/>
          <w:kern w:val="22"/>
          <w:szCs w:val="22"/>
        </w:rPr>
        <w:t>Hydroprogne caspia</w:t>
      </w:r>
      <w:r w:rsidRPr="0088780C">
        <w:rPr>
          <w:b/>
          <w:snapToGrid w:val="0"/>
          <w:kern w:val="22"/>
          <w:szCs w:val="22"/>
        </w:rPr>
        <w:t xml:space="preserve">) on the Maliy </w:t>
      </w:r>
      <w:r w:rsidR="00081C45" w:rsidRPr="0088780C">
        <w:rPr>
          <w:b/>
          <w:snapToGrid w:val="0"/>
          <w:kern w:val="22"/>
          <w:szCs w:val="22"/>
        </w:rPr>
        <w:t>Zhemchyzhnyi island, April 2017</w:t>
      </w:r>
      <w:r w:rsidR="00515040" w:rsidRPr="0088780C">
        <w:rPr>
          <w:b/>
          <w:snapToGrid w:val="0"/>
          <w:kern w:val="22"/>
          <w:szCs w:val="22"/>
        </w:rPr>
        <w:br/>
      </w:r>
      <w:r w:rsidRPr="0088780C">
        <w:rPr>
          <w:b/>
          <w:snapToGrid w:val="0"/>
          <w:kern w:val="22"/>
          <w:szCs w:val="22"/>
        </w:rPr>
        <w:t>Photo:</w:t>
      </w:r>
      <w:r w:rsidR="00E9161E" w:rsidRPr="0088780C">
        <w:rPr>
          <w:b/>
          <w:snapToGrid w:val="0"/>
          <w:kern w:val="22"/>
          <w:szCs w:val="22"/>
        </w:rPr>
        <w:t> </w:t>
      </w:r>
      <w:r w:rsidRPr="0088780C">
        <w:rPr>
          <w:b/>
          <w:snapToGrid w:val="0"/>
          <w:kern w:val="22"/>
          <w:szCs w:val="22"/>
        </w:rPr>
        <w:t>K.Litvinov</w:t>
      </w:r>
    </w:p>
    <w:p w14:paraId="13180EDE"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CFF1F5C"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25DC7E5F" wp14:editId="16E8D310">
            <wp:extent cx="5390515" cy="3934460"/>
            <wp:effectExtent l="0" t="0" r="635" b="8890"/>
            <wp:docPr id="64571" name="Picture 64571" descr="cid:image003.jpg@01D3D8B6.D0D56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id:image003.jpg@01D3D8B6.D0D565D0"/>
                    <pic:cNvPicPr>
                      <a:picLocks noChangeAspect="1" noChangeArrowheads="1"/>
                    </pic:cNvPicPr>
                  </pic:nvPicPr>
                  <pic:blipFill>
                    <a:blip r:embed="rId354" r:link="rId355">
                      <a:extLst>
                        <a:ext uri="{28A0092B-C50C-407E-A947-70E740481C1C}">
                          <a14:useLocalDpi xmlns:a14="http://schemas.microsoft.com/office/drawing/2010/main" val="0"/>
                        </a:ext>
                      </a:extLst>
                    </a:blip>
                    <a:srcRect/>
                    <a:stretch>
                      <a:fillRect/>
                    </a:stretch>
                  </pic:blipFill>
                  <pic:spPr bwMode="auto">
                    <a:xfrm>
                      <a:off x="0" y="0"/>
                      <a:ext cx="5390515" cy="3934460"/>
                    </a:xfrm>
                    <a:prstGeom prst="rect">
                      <a:avLst/>
                    </a:prstGeom>
                    <a:noFill/>
                    <a:ln>
                      <a:noFill/>
                    </a:ln>
                  </pic:spPr>
                </pic:pic>
              </a:graphicData>
            </a:graphic>
          </wp:inline>
        </w:drawing>
      </w:r>
    </w:p>
    <w:p w14:paraId="33BF4CB2" w14:textId="22E744F5" w:rsidR="00A876F3" w:rsidRPr="0088780C" w:rsidRDefault="00A876F3" w:rsidP="00515040">
      <w:pPr>
        <w:suppressLineNumbers/>
        <w:suppressAutoHyphens/>
        <w:kinsoku w:val="0"/>
        <w:overflowPunct w:val="0"/>
        <w:autoSpaceDE w:val="0"/>
        <w:autoSpaceDN w:val="0"/>
        <w:jc w:val="left"/>
        <w:rPr>
          <w:rFonts w:eastAsia="MS Mincho"/>
          <w:b/>
          <w:snapToGrid w:val="0"/>
          <w:kern w:val="22"/>
          <w:szCs w:val="22"/>
        </w:rPr>
      </w:pPr>
      <w:r w:rsidRPr="0088780C">
        <w:rPr>
          <w:rFonts w:eastAsia="MS Mincho"/>
          <w:b/>
          <w:snapToGrid w:val="0"/>
          <w:kern w:val="22"/>
          <w:szCs w:val="22"/>
        </w:rPr>
        <w:t>Figure 5. Caspian seals on the Maliy Zhemchyzhn</w:t>
      </w:r>
      <w:r w:rsidR="00515040" w:rsidRPr="0088780C">
        <w:rPr>
          <w:rFonts w:eastAsia="MS Mincho"/>
          <w:b/>
          <w:snapToGrid w:val="0"/>
          <w:kern w:val="22"/>
          <w:szCs w:val="22"/>
        </w:rPr>
        <w:t>yi island, April 2017</w:t>
      </w:r>
      <w:r w:rsidR="00515040" w:rsidRPr="0088780C">
        <w:rPr>
          <w:rFonts w:eastAsia="MS Mincho"/>
          <w:b/>
          <w:snapToGrid w:val="0"/>
          <w:kern w:val="22"/>
          <w:szCs w:val="22"/>
        </w:rPr>
        <w:br/>
      </w:r>
      <w:r w:rsidRPr="0088780C">
        <w:rPr>
          <w:rFonts w:eastAsia="MS Mincho"/>
          <w:b/>
          <w:snapToGrid w:val="0"/>
          <w:kern w:val="22"/>
          <w:szCs w:val="22"/>
        </w:rPr>
        <w:t>Photo: A. Pankov</w:t>
      </w:r>
      <w:r w:rsidRPr="0088780C">
        <w:rPr>
          <w:rFonts w:eastAsia="MS Mincho"/>
          <w:b/>
          <w:snapToGrid w:val="0"/>
          <w:kern w:val="22"/>
          <w:szCs w:val="22"/>
        </w:rPr>
        <w:br w:type="page"/>
      </w:r>
    </w:p>
    <w:p w14:paraId="4CEE1D68" w14:textId="15BDC1B8" w:rsidR="00A876F3" w:rsidRPr="0088780C" w:rsidRDefault="00A876F3" w:rsidP="001013AF">
      <w:pPr>
        <w:suppressLineNumbers/>
        <w:suppressAutoHyphens/>
        <w:kinsoku w:val="0"/>
        <w:overflowPunct w:val="0"/>
        <w:autoSpaceDE w:val="0"/>
        <w:autoSpaceDN w:val="0"/>
        <w:jc w:val="center"/>
        <w:rPr>
          <w:rFonts w:eastAsia="MS Mincho"/>
          <w:b/>
          <w:snapToGrid w:val="0"/>
          <w:kern w:val="22"/>
          <w:szCs w:val="22"/>
        </w:rPr>
      </w:pPr>
      <w:r w:rsidRPr="0088780C">
        <w:rPr>
          <w:rFonts w:eastAsia="MS Mincho"/>
          <w:b/>
          <w:snapToGrid w:val="0"/>
          <w:kern w:val="22"/>
          <w:szCs w:val="22"/>
        </w:rPr>
        <w:t xml:space="preserve">Area </w:t>
      </w:r>
      <w:r w:rsidR="00F743B2" w:rsidRPr="0088780C">
        <w:rPr>
          <w:rFonts w:eastAsia="MS Mincho"/>
          <w:b/>
          <w:snapToGrid w:val="0"/>
          <w:kern w:val="22"/>
          <w:szCs w:val="22"/>
        </w:rPr>
        <w:t>No.</w:t>
      </w:r>
      <w:r w:rsidRPr="0088780C">
        <w:rPr>
          <w:rFonts w:eastAsia="MS Mincho"/>
          <w:b/>
          <w:snapToGrid w:val="0"/>
          <w:kern w:val="22"/>
          <w:szCs w:val="22"/>
        </w:rPr>
        <w:t xml:space="preserve"> 33: </w:t>
      </w:r>
      <w:r w:rsidRPr="0088780C">
        <w:rPr>
          <w:b/>
          <w:snapToGrid w:val="0"/>
          <w:color w:val="000000"/>
          <w:kern w:val="22"/>
          <w:szCs w:val="22"/>
          <w:shd w:val="clear" w:color="auto" w:fill="FFFFFF"/>
        </w:rPr>
        <w:t>Pre-estuarine Area of the Volga River</w:t>
      </w:r>
    </w:p>
    <w:p w14:paraId="65EB0954"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4D1C099" w14:textId="2BBD5FE0" w:rsidR="00A876F3" w:rsidRPr="0088780C" w:rsidRDefault="00A876F3" w:rsidP="001013AF">
      <w:pPr>
        <w:suppressLineNumbers/>
        <w:suppressAutoHyphens/>
        <w:kinsoku w:val="0"/>
        <w:overflowPunct w:val="0"/>
        <w:autoSpaceDE w:val="0"/>
        <w:autoSpaceDN w:val="0"/>
        <w:rPr>
          <w:rFonts w:eastAsia="MS Mincho"/>
          <w:i/>
          <w:snapToGrid w:val="0"/>
          <w:kern w:val="22"/>
          <w:szCs w:val="22"/>
        </w:rPr>
      </w:pPr>
      <w:r w:rsidRPr="0088780C">
        <w:rPr>
          <w:rFonts w:eastAsia="MS Mincho"/>
          <w:b/>
          <w:snapToGrid w:val="0"/>
          <w:kern w:val="22"/>
          <w:szCs w:val="22"/>
        </w:rPr>
        <w:t>Abstract</w:t>
      </w:r>
    </w:p>
    <w:p w14:paraId="7DD66254" w14:textId="70900D61"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area is part of the Volga Delta, a unique natural ecological system and the largest delta in Europe. The Volga Delta is located in the Caspian lowland, and its elevation ranges from -24 to -27 m. The area plays an exceptional role in maintaining populations of some globally significant species, primarily waterfowl and other aquatic and semi-aquatic birds. It serves as an important node of two bird flyways, extending from west Siberia to Eastern Europe. More than 300 species of birds have been recorded in the area. This is a key area for rare bird species such as the </w:t>
      </w:r>
      <w:r w:rsidRPr="0088780C">
        <w:rPr>
          <w:snapToGrid w:val="0"/>
          <w:kern w:val="22"/>
          <w:szCs w:val="22"/>
          <w:shd w:val="clear" w:color="auto" w:fill="FFFFFF"/>
        </w:rPr>
        <w:t>Siberian crane (</w:t>
      </w:r>
      <w:r w:rsidRPr="0088780C">
        <w:rPr>
          <w:bCs/>
          <w:i/>
          <w:snapToGrid w:val="0"/>
          <w:kern w:val="22"/>
          <w:szCs w:val="22"/>
          <w:shd w:val="clear" w:color="auto" w:fill="FFFFFF"/>
        </w:rPr>
        <w:t>Leucogeranus</w:t>
      </w:r>
      <w:r w:rsidRPr="0088780C">
        <w:rPr>
          <w:rStyle w:val="apple-converted-space"/>
          <w:i/>
          <w:snapToGrid w:val="0"/>
          <w:kern w:val="22"/>
          <w:szCs w:val="22"/>
          <w:shd w:val="clear" w:color="auto" w:fill="FFFFFF"/>
        </w:rPr>
        <w:t> </w:t>
      </w:r>
      <w:r w:rsidRPr="0088780C">
        <w:rPr>
          <w:bCs/>
          <w:i/>
          <w:snapToGrid w:val="0"/>
          <w:kern w:val="22"/>
          <w:szCs w:val="22"/>
          <w:shd w:val="clear" w:color="auto" w:fill="FFFFFF"/>
        </w:rPr>
        <w:t>leucogeranus</w:t>
      </w:r>
      <w:r w:rsidRPr="0088780C">
        <w:rPr>
          <w:snapToGrid w:val="0"/>
          <w:kern w:val="22"/>
          <w:szCs w:val="22"/>
          <w:shd w:val="clear" w:color="auto" w:fill="FFFFFF"/>
        </w:rPr>
        <w:t>)</w:t>
      </w:r>
      <w:r w:rsidRPr="0088780C">
        <w:rPr>
          <w:rFonts w:eastAsia="MS Mincho"/>
          <w:snapToGrid w:val="0"/>
          <w:kern w:val="22"/>
          <w:szCs w:val="22"/>
        </w:rPr>
        <w:t>, white-tailed eagle (</w:t>
      </w:r>
      <w:r w:rsidRPr="0088780C">
        <w:rPr>
          <w:i/>
          <w:snapToGrid w:val="0"/>
          <w:kern w:val="22"/>
          <w:szCs w:val="22"/>
          <w:shd w:val="clear" w:color="auto" w:fill="FFFFFF"/>
        </w:rPr>
        <w:t>Haliaeetus albicilla</w:t>
      </w:r>
      <w:r w:rsidRPr="0088780C">
        <w:rPr>
          <w:rFonts w:eastAsia="MS Mincho"/>
          <w:snapToGrid w:val="0"/>
          <w:kern w:val="22"/>
          <w:szCs w:val="22"/>
        </w:rPr>
        <w:t xml:space="preserve">) and </w:t>
      </w:r>
      <w:r w:rsidRPr="0088780C">
        <w:rPr>
          <w:snapToGrid w:val="0"/>
          <w:kern w:val="22"/>
          <w:szCs w:val="22"/>
          <w:shd w:val="clear" w:color="auto" w:fill="FFFFFF"/>
        </w:rPr>
        <w:t>Dalmatian pelican</w:t>
      </w:r>
      <w:r w:rsidRPr="0088780C">
        <w:rPr>
          <w:snapToGrid w:val="0"/>
          <w:kern w:val="22"/>
          <w:szCs w:val="22"/>
        </w:rPr>
        <w:t xml:space="preserve"> (</w:t>
      </w:r>
      <w:r w:rsidRPr="0088780C">
        <w:rPr>
          <w:snapToGrid w:val="0"/>
          <w:kern w:val="22"/>
          <w:szCs w:val="22"/>
          <w:shd w:val="clear" w:color="auto" w:fill="FFFFFF"/>
        </w:rPr>
        <w:t>Pelecanus crispus)</w:t>
      </w:r>
      <w:r w:rsidRPr="0088780C">
        <w:rPr>
          <w:rFonts w:eastAsia="MS Mincho"/>
          <w:snapToGrid w:val="0"/>
          <w:kern w:val="22"/>
          <w:szCs w:val="22"/>
        </w:rPr>
        <w:t xml:space="preserve">, as well as many common species (e.g., coots, gray goose, ducks). The area serves as a breeding ground, foraging and migration habitat for more than 60 species of fish. There is an extremely high density of ichthyofauna during mass spawning migrations, when significant populations of semi-anadromous and anadromous fish species of the northern Caspian enter the delta. The area is home to spawning migrations of endangered species such as sturgeons </w:t>
      </w:r>
      <w:r w:rsidRPr="0088780C">
        <w:rPr>
          <w:snapToGrid w:val="0"/>
          <w:kern w:val="22"/>
          <w:szCs w:val="22"/>
        </w:rPr>
        <w:t>(</w:t>
      </w:r>
      <w:r w:rsidRPr="0088780C">
        <w:rPr>
          <w:i/>
          <w:snapToGrid w:val="0"/>
          <w:kern w:val="22"/>
          <w:szCs w:val="22"/>
        </w:rPr>
        <w:t>Huso huso</w:t>
      </w:r>
      <w:r w:rsidRPr="0088780C">
        <w:rPr>
          <w:snapToGrid w:val="0"/>
          <w:kern w:val="22"/>
          <w:szCs w:val="22"/>
        </w:rPr>
        <w:t xml:space="preserve">, </w:t>
      </w:r>
      <w:r w:rsidRPr="0088780C">
        <w:rPr>
          <w:i/>
          <w:snapToGrid w:val="0"/>
          <w:kern w:val="22"/>
          <w:szCs w:val="22"/>
          <w:shd w:val="clear" w:color="auto" w:fill="FFFFFF"/>
        </w:rPr>
        <w:t>Acipenser gueldenstaedtii</w:t>
      </w:r>
      <w:r w:rsidRPr="0088780C">
        <w:rPr>
          <w:snapToGrid w:val="0"/>
          <w:kern w:val="22"/>
          <w:szCs w:val="22"/>
          <w:shd w:val="clear" w:color="auto" w:fill="FFFFFF"/>
        </w:rPr>
        <w:t xml:space="preserve">, </w:t>
      </w:r>
      <w:r w:rsidRPr="0088780C">
        <w:rPr>
          <w:i/>
          <w:snapToGrid w:val="0"/>
          <w:kern w:val="22"/>
          <w:szCs w:val="22"/>
          <w:shd w:val="clear" w:color="auto" w:fill="FFFFFF"/>
        </w:rPr>
        <w:t>Acipenser stellatus</w:t>
      </w:r>
      <w:r w:rsidRPr="0088780C">
        <w:rPr>
          <w:snapToGrid w:val="0"/>
          <w:kern w:val="22"/>
          <w:szCs w:val="22"/>
          <w:shd w:val="clear" w:color="auto" w:fill="FFFFFF"/>
        </w:rPr>
        <w:t xml:space="preserve">, </w:t>
      </w:r>
      <w:r w:rsidRPr="0088780C">
        <w:rPr>
          <w:i/>
          <w:snapToGrid w:val="0"/>
          <w:kern w:val="22"/>
          <w:szCs w:val="22"/>
          <w:shd w:val="clear" w:color="auto" w:fill="FFFFFF"/>
        </w:rPr>
        <w:t>Acipenser persicus</w:t>
      </w:r>
      <w:r w:rsidRPr="0088780C">
        <w:rPr>
          <w:snapToGrid w:val="0"/>
          <w:kern w:val="22"/>
          <w:szCs w:val="22"/>
          <w:shd w:val="clear" w:color="auto" w:fill="FFFFFF"/>
        </w:rPr>
        <w:t xml:space="preserve">, </w:t>
      </w:r>
      <w:r w:rsidRPr="0088780C">
        <w:rPr>
          <w:i/>
          <w:snapToGrid w:val="0"/>
          <w:kern w:val="22"/>
          <w:szCs w:val="22"/>
          <w:shd w:val="clear" w:color="auto" w:fill="FFFFFF"/>
        </w:rPr>
        <w:t>Acipenser nudiventris</w:t>
      </w:r>
      <w:r w:rsidRPr="0088780C">
        <w:rPr>
          <w:snapToGrid w:val="0"/>
          <w:kern w:val="22"/>
          <w:szCs w:val="22"/>
        </w:rPr>
        <w:t>)</w:t>
      </w:r>
      <w:r w:rsidRPr="0088780C">
        <w:rPr>
          <w:rFonts w:eastAsia="MS Mincho"/>
          <w:snapToGrid w:val="0"/>
          <w:kern w:val="22"/>
          <w:szCs w:val="22"/>
        </w:rPr>
        <w:t xml:space="preserve"> and Caspian lamprey (</w:t>
      </w:r>
      <w:r w:rsidRPr="0088780C">
        <w:rPr>
          <w:i/>
          <w:snapToGrid w:val="0"/>
          <w:kern w:val="22"/>
          <w:szCs w:val="22"/>
          <w:shd w:val="clear" w:color="auto" w:fill="FFFFFF"/>
        </w:rPr>
        <w:t>Caspiomyzon wagneri</w:t>
      </w:r>
      <w:r w:rsidR="00D964B3" w:rsidRPr="0088780C">
        <w:rPr>
          <w:iCs/>
          <w:snapToGrid w:val="0"/>
          <w:kern w:val="22"/>
          <w:szCs w:val="22"/>
          <w:shd w:val="clear" w:color="auto" w:fill="FFFFFF"/>
        </w:rPr>
        <w:t>)</w:t>
      </w:r>
      <w:r w:rsidRPr="0088780C">
        <w:rPr>
          <w:iCs/>
          <w:snapToGrid w:val="0"/>
          <w:kern w:val="22"/>
          <w:szCs w:val="22"/>
        </w:rPr>
        <w:t>.</w:t>
      </w:r>
    </w:p>
    <w:p w14:paraId="24872BED" w14:textId="1B13D86A"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0ACDCDD"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Introduction</w:t>
      </w:r>
    </w:p>
    <w:p w14:paraId="32A20C36" w14:textId="7C689DFB"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area is located in the northern part of the Caspian Sea, and includes the </w:t>
      </w:r>
      <w:r w:rsidRPr="0088780C">
        <w:rPr>
          <w:snapToGrid w:val="0"/>
          <w:color w:val="000000"/>
          <w:kern w:val="22"/>
          <w:szCs w:val="22"/>
          <w:shd w:val="clear" w:color="auto" w:fill="FFFFFF"/>
        </w:rPr>
        <w:t>pre-estuarine</w:t>
      </w:r>
      <w:r w:rsidRPr="0088780C">
        <w:rPr>
          <w:rFonts w:eastAsia="MS Mincho"/>
          <w:snapToGrid w:val="0"/>
          <w:kern w:val="22"/>
          <w:szCs w:val="22"/>
        </w:rPr>
        <w:t xml:space="preserve"> and lower reaches of the Volga delta. This is the system of the Volga branches and extensive shallows, overgrown with aquatic and coastal vegetation. Water depth within the specified area fluctuates within 3-10 m in the riverbed zone and 1-3 m in the </w:t>
      </w:r>
      <w:r w:rsidRPr="0088780C">
        <w:rPr>
          <w:snapToGrid w:val="0"/>
          <w:color w:val="000000"/>
          <w:kern w:val="22"/>
          <w:szCs w:val="22"/>
          <w:shd w:val="clear" w:color="auto" w:fill="FFFFFF"/>
        </w:rPr>
        <w:t>pre-estuarine area</w:t>
      </w:r>
      <w:r w:rsidRPr="0088780C">
        <w:rPr>
          <w:rFonts w:eastAsia="MS Mincho"/>
          <w:snapToGrid w:val="0"/>
          <w:kern w:val="22"/>
          <w:szCs w:val="22"/>
        </w:rPr>
        <w:t xml:space="preserve"> of the (Раскурин 2016). Shallow depths contribute to the spring warming of the water column and the formation of abundant food resources for animals. The area is used by waterfowl and waterbirds throughout the year, but especially during migration periods. It serves as an important migration route for the movement of fish populations of the northern Caspian to the spawning grounds in the Volga River (Levin 2016), as well as for feeding by juvenile fish in the summer-autumn period. </w:t>
      </w:r>
      <w:r w:rsidRPr="0088780C">
        <w:rPr>
          <w:snapToGrid w:val="0"/>
          <w:color w:val="000000"/>
          <w:kern w:val="22"/>
          <w:szCs w:val="22"/>
          <w:shd w:val="clear" w:color="auto" w:fill="FFFFFF"/>
        </w:rPr>
        <w:t>The area overlaps with one of the most Important Bird and Biodiversity Areas (IBA) in the world for waterbirds.</w:t>
      </w:r>
      <w:r w:rsidR="00D964B3" w:rsidRPr="0088780C">
        <w:rPr>
          <w:rStyle w:val="apple-converted-space"/>
          <w:snapToGrid w:val="0"/>
          <w:color w:val="000000"/>
          <w:kern w:val="22"/>
          <w:szCs w:val="22"/>
          <w:shd w:val="clear" w:color="auto" w:fill="FFFFFF"/>
        </w:rPr>
        <w:t xml:space="preserve"> </w:t>
      </w:r>
      <w:r w:rsidRPr="0088780C">
        <w:rPr>
          <w:snapToGrid w:val="0"/>
          <w:color w:val="000000"/>
          <w:kern w:val="22"/>
          <w:szCs w:val="22"/>
          <w:shd w:val="clear" w:color="auto" w:fill="FFFFFF"/>
        </w:rPr>
        <w:t>A total of 7 million waterbirds is estimated to use the area as a stopover in spring migration, between 5 and 10 million in the autumn (BirdLife International 2017a) and more than 700,000 waterbirds spend the winter here (Solokha 2006). Large numbers of waterbirds of several species breed in the delta, including 56,800 pairs of herons (Ardeidae), cormorants</w:t>
      </w:r>
      <w:r w:rsidR="00D964B3" w:rsidRPr="0088780C">
        <w:rPr>
          <w:rStyle w:val="apple-converted-space"/>
          <w:snapToGrid w:val="0"/>
          <w:color w:val="000000"/>
          <w:kern w:val="22"/>
          <w:szCs w:val="22"/>
          <w:shd w:val="clear" w:color="auto" w:fill="FFFFFF"/>
        </w:rPr>
        <w:t xml:space="preserve"> </w:t>
      </w:r>
      <w:r w:rsidRPr="0088780C">
        <w:rPr>
          <w:i/>
          <w:iCs/>
          <w:snapToGrid w:val="0"/>
          <w:color w:val="000000"/>
          <w:kern w:val="22"/>
          <w:szCs w:val="22"/>
          <w:shd w:val="clear" w:color="auto" w:fill="FFFFFF"/>
        </w:rPr>
        <w:t>Microcarbo pygmaeus</w:t>
      </w:r>
      <w:r w:rsidR="00D964B3" w:rsidRPr="0088780C">
        <w:rPr>
          <w:rStyle w:val="apple-converted-space"/>
          <w:i/>
          <w:iCs/>
          <w:snapToGrid w:val="0"/>
          <w:color w:val="000000"/>
          <w:kern w:val="22"/>
          <w:szCs w:val="22"/>
          <w:shd w:val="clear" w:color="auto" w:fill="FFFFFF"/>
        </w:rPr>
        <w:t xml:space="preserve"> </w:t>
      </w:r>
      <w:r w:rsidRPr="0088780C">
        <w:rPr>
          <w:snapToGrid w:val="0"/>
          <w:color w:val="000000"/>
          <w:kern w:val="22"/>
          <w:szCs w:val="22"/>
          <w:shd w:val="clear" w:color="auto" w:fill="FFFFFF"/>
        </w:rPr>
        <w:t>and</w:t>
      </w:r>
      <w:r w:rsidR="00D964B3" w:rsidRPr="0088780C">
        <w:rPr>
          <w:rStyle w:val="apple-converted-space"/>
          <w:i/>
          <w:iCs/>
          <w:snapToGrid w:val="0"/>
          <w:color w:val="000000"/>
          <w:kern w:val="22"/>
          <w:szCs w:val="22"/>
          <w:shd w:val="clear" w:color="auto" w:fill="FFFFFF"/>
        </w:rPr>
        <w:t xml:space="preserve"> </w:t>
      </w:r>
      <w:r w:rsidRPr="0088780C">
        <w:rPr>
          <w:i/>
          <w:iCs/>
          <w:snapToGrid w:val="0"/>
          <w:color w:val="000000"/>
          <w:kern w:val="22"/>
          <w:szCs w:val="22"/>
          <w:shd w:val="clear" w:color="auto" w:fill="FFFFFF"/>
        </w:rPr>
        <w:t>Phalacrocorax carbo</w:t>
      </w:r>
      <w:r w:rsidRPr="0088780C">
        <w:rPr>
          <w:snapToGrid w:val="0"/>
          <w:color w:val="000000"/>
          <w:kern w:val="22"/>
          <w:szCs w:val="22"/>
          <w:shd w:val="clear" w:color="auto" w:fill="FFFFFF"/>
        </w:rPr>
        <w:t>,</w:t>
      </w:r>
      <w:r w:rsidR="00D964B3" w:rsidRPr="0088780C">
        <w:rPr>
          <w:rStyle w:val="apple-converted-space"/>
          <w:snapToGrid w:val="0"/>
          <w:color w:val="000000"/>
          <w:kern w:val="22"/>
          <w:szCs w:val="22"/>
          <w:shd w:val="clear" w:color="auto" w:fill="FFFFFF"/>
        </w:rPr>
        <w:t xml:space="preserve"> </w:t>
      </w:r>
      <w:r w:rsidRPr="0088780C">
        <w:rPr>
          <w:i/>
          <w:iCs/>
          <w:snapToGrid w:val="0"/>
          <w:color w:val="000000"/>
          <w:kern w:val="22"/>
          <w:szCs w:val="22"/>
          <w:shd w:val="clear" w:color="auto" w:fill="FFFFFF"/>
        </w:rPr>
        <w:t>Plegadis falcinellus</w:t>
      </w:r>
      <w:r w:rsidR="00D964B3" w:rsidRPr="0088780C">
        <w:rPr>
          <w:rStyle w:val="apple-converted-space"/>
          <w:snapToGrid w:val="0"/>
          <w:color w:val="000000"/>
          <w:kern w:val="22"/>
          <w:szCs w:val="22"/>
          <w:shd w:val="clear" w:color="auto" w:fill="FFFFFF"/>
        </w:rPr>
        <w:t xml:space="preserve"> </w:t>
      </w:r>
      <w:r w:rsidRPr="0088780C">
        <w:rPr>
          <w:snapToGrid w:val="0"/>
          <w:color w:val="000000"/>
          <w:kern w:val="22"/>
          <w:szCs w:val="22"/>
          <w:shd w:val="clear" w:color="auto" w:fill="FFFFFF"/>
        </w:rPr>
        <w:t>and</w:t>
      </w:r>
      <w:r w:rsidR="00D964B3" w:rsidRPr="0088780C">
        <w:rPr>
          <w:rStyle w:val="apple-converted-space"/>
          <w:snapToGrid w:val="0"/>
          <w:color w:val="000000"/>
          <w:kern w:val="22"/>
          <w:szCs w:val="22"/>
          <w:shd w:val="clear" w:color="auto" w:fill="FFFFFF"/>
        </w:rPr>
        <w:t xml:space="preserve"> </w:t>
      </w:r>
      <w:r w:rsidRPr="0088780C">
        <w:rPr>
          <w:i/>
          <w:iCs/>
          <w:snapToGrid w:val="0"/>
          <w:color w:val="000000"/>
          <w:kern w:val="22"/>
          <w:szCs w:val="22"/>
          <w:shd w:val="clear" w:color="auto" w:fill="FFFFFF"/>
        </w:rPr>
        <w:t>Platalea leucorodia</w:t>
      </w:r>
      <w:r w:rsidRPr="0088780C">
        <w:rPr>
          <w:snapToGrid w:val="0"/>
          <w:color w:val="000000"/>
          <w:kern w:val="22"/>
          <w:szCs w:val="22"/>
          <w:shd w:val="clear" w:color="auto" w:fill="FFFFFF"/>
        </w:rPr>
        <w:t>. The number of waterfowl overwintering in the delta depends on the severity of the weather, but can include significant numbers of</w:t>
      </w:r>
      <w:r w:rsidR="00D964B3" w:rsidRPr="0088780C">
        <w:rPr>
          <w:rStyle w:val="apple-converted-space"/>
          <w:snapToGrid w:val="0"/>
          <w:color w:val="000000"/>
          <w:kern w:val="22"/>
          <w:szCs w:val="22"/>
          <w:shd w:val="clear" w:color="auto" w:fill="FFFFFF"/>
        </w:rPr>
        <w:t xml:space="preserve"> </w:t>
      </w:r>
      <w:r w:rsidRPr="0088780C">
        <w:rPr>
          <w:i/>
          <w:iCs/>
          <w:snapToGrid w:val="0"/>
          <w:color w:val="000000"/>
          <w:kern w:val="22"/>
          <w:szCs w:val="22"/>
          <w:shd w:val="clear" w:color="auto" w:fill="FFFFFF"/>
        </w:rPr>
        <w:t>Cygnus cygnus</w:t>
      </w:r>
      <w:r w:rsidRPr="0088780C">
        <w:rPr>
          <w:snapToGrid w:val="0"/>
          <w:color w:val="000000"/>
          <w:kern w:val="22"/>
          <w:szCs w:val="22"/>
          <w:shd w:val="clear" w:color="auto" w:fill="FFFFFF"/>
        </w:rPr>
        <w:t>. Some globally threatened species occur in the area, such as the Dalmatian pelican</w:t>
      </w:r>
      <w:r w:rsidR="00D964B3" w:rsidRPr="0088780C">
        <w:rPr>
          <w:rStyle w:val="apple-converted-space"/>
          <w:snapToGrid w:val="0"/>
          <w:color w:val="000000"/>
          <w:kern w:val="22"/>
          <w:szCs w:val="22"/>
          <w:shd w:val="clear" w:color="auto" w:fill="FFFFFF"/>
        </w:rPr>
        <w:t xml:space="preserve"> </w:t>
      </w:r>
      <w:r w:rsidRPr="0088780C">
        <w:rPr>
          <w:i/>
          <w:iCs/>
          <w:snapToGrid w:val="0"/>
          <w:color w:val="000000"/>
          <w:kern w:val="22"/>
          <w:szCs w:val="22"/>
          <w:shd w:val="clear" w:color="auto" w:fill="FFFFFF"/>
        </w:rPr>
        <w:t>Pelecanus crispus</w:t>
      </w:r>
      <w:r w:rsidR="00D964B3" w:rsidRPr="0088780C">
        <w:rPr>
          <w:rStyle w:val="apple-converted-space"/>
          <w:snapToGrid w:val="0"/>
          <w:color w:val="000000"/>
          <w:kern w:val="22"/>
          <w:szCs w:val="22"/>
          <w:shd w:val="clear" w:color="auto" w:fill="FFFFFF"/>
        </w:rPr>
        <w:t xml:space="preserve"> </w:t>
      </w:r>
      <w:r w:rsidRPr="0088780C">
        <w:rPr>
          <w:snapToGrid w:val="0"/>
          <w:color w:val="000000"/>
          <w:kern w:val="22"/>
          <w:szCs w:val="22"/>
          <w:shd w:val="clear" w:color="auto" w:fill="FFFFFF"/>
        </w:rPr>
        <w:t>and the common pochard</w:t>
      </w:r>
      <w:r w:rsidR="00D964B3" w:rsidRPr="0088780C">
        <w:rPr>
          <w:rStyle w:val="apple-converted-space"/>
          <w:snapToGrid w:val="0"/>
          <w:color w:val="000000"/>
          <w:kern w:val="22"/>
          <w:szCs w:val="22"/>
          <w:shd w:val="clear" w:color="auto" w:fill="FFFFFF"/>
        </w:rPr>
        <w:t xml:space="preserve"> </w:t>
      </w:r>
      <w:r w:rsidRPr="0088780C">
        <w:rPr>
          <w:i/>
          <w:iCs/>
          <w:snapToGrid w:val="0"/>
          <w:color w:val="000000"/>
          <w:kern w:val="22"/>
          <w:szCs w:val="22"/>
          <w:shd w:val="clear" w:color="auto" w:fill="FFFFFF"/>
        </w:rPr>
        <w:t>Aythya ferina</w:t>
      </w:r>
      <w:r w:rsidRPr="0088780C">
        <w:rPr>
          <w:snapToGrid w:val="0"/>
          <w:color w:val="000000"/>
          <w:kern w:val="22"/>
          <w:szCs w:val="22"/>
          <w:shd w:val="clear" w:color="auto" w:fill="FFFFFF"/>
        </w:rPr>
        <w:t>.</w:t>
      </w:r>
    </w:p>
    <w:p w14:paraId="0DBB4C43" w14:textId="77777777" w:rsidR="00A876F3" w:rsidRPr="0088780C" w:rsidRDefault="00A876F3" w:rsidP="001013AF">
      <w:pPr>
        <w:suppressLineNumbers/>
        <w:suppressAutoHyphens/>
        <w:kinsoku w:val="0"/>
        <w:overflowPunct w:val="0"/>
        <w:autoSpaceDE w:val="0"/>
        <w:autoSpaceDN w:val="0"/>
        <w:rPr>
          <w:rFonts w:eastAsia="MS Mincho"/>
          <w:bCs/>
          <w:snapToGrid w:val="0"/>
          <w:kern w:val="22"/>
          <w:szCs w:val="22"/>
        </w:rPr>
      </w:pPr>
    </w:p>
    <w:p w14:paraId="6569553E"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b/>
          <w:snapToGrid w:val="0"/>
          <w:kern w:val="22"/>
          <w:szCs w:val="22"/>
        </w:rPr>
        <w:t>Location</w:t>
      </w:r>
    </w:p>
    <w:p w14:paraId="14F8207D" w14:textId="77777777" w:rsidR="00A876F3" w:rsidRPr="0088780C" w:rsidRDefault="00A876F3" w:rsidP="001013AF">
      <w:pPr>
        <w:suppressLineNumbers/>
        <w:suppressAutoHyphens/>
        <w:kinsoku w:val="0"/>
        <w:overflowPunct w:val="0"/>
        <w:autoSpaceDE w:val="0"/>
        <w:autoSpaceDN w:val="0"/>
        <w:rPr>
          <w:rFonts w:eastAsia="MS Mincho"/>
          <w:snapToGrid w:val="0"/>
          <w:spacing w:val="-2"/>
          <w:kern w:val="22"/>
          <w:szCs w:val="22"/>
        </w:rPr>
      </w:pPr>
      <w:r w:rsidRPr="0088780C">
        <w:rPr>
          <w:rFonts w:eastAsia="MS Mincho"/>
          <w:snapToGrid w:val="0"/>
          <w:spacing w:val="-2"/>
          <w:kern w:val="22"/>
          <w:szCs w:val="22"/>
        </w:rPr>
        <w:t xml:space="preserve">The area covers the lower zone of the Volga Delta and the Volga </w:t>
      </w:r>
      <w:r w:rsidRPr="0088780C">
        <w:rPr>
          <w:snapToGrid w:val="0"/>
          <w:color w:val="000000"/>
          <w:spacing w:val="-2"/>
          <w:kern w:val="22"/>
          <w:szCs w:val="22"/>
          <w:shd w:val="clear" w:color="auto" w:fill="FFFFFF"/>
        </w:rPr>
        <w:t>pre-estuarine</w:t>
      </w:r>
      <w:r w:rsidRPr="0088780C">
        <w:rPr>
          <w:rFonts w:eastAsia="MS Mincho"/>
          <w:snapToGrid w:val="0"/>
          <w:spacing w:val="-2"/>
          <w:kern w:val="22"/>
          <w:szCs w:val="22"/>
        </w:rPr>
        <w:t xml:space="preserve"> zone within the borders. The northern boundary coincides with the northern boundary of the Volga Delta wetlands and passes along the border of the reed belt to the Ganyushkinsky channel. The area deepens in the sea to a 5 m isobath.</w:t>
      </w:r>
    </w:p>
    <w:p w14:paraId="0E0323A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97B285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description of the area</w:t>
      </w:r>
    </w:p>
    <w:p w14:paraId="74C667D1" w14:textId="4357D2E0"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combination of the provincial junction, the Delta's intrasonality and the complex paleogeologic-geomorphological history of its development conditioned the formation of the present aquatic environment. The lower zone of the delta is where the marine and inland factors of delta formation interact. The relief is composed of islands, channels and erikas (small streams). The height of the islands in the meadow ranges from 0.5 to 2.0 m. The height of the relief above sea ranges from -24 to -27 m.</w:t>
      </w:r>
    </w:p>
    <w:p w14:paraId="7A89A632"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DB9D45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Physico-geographically (Белевич, 1964), the delta of the Volga River is divided into a surface part including the upper, middle and lower zones, an underwater part (the delta), which unites the island and open zones of the </w:t>
      </w:r>
      <w:r w:rsidRPr="0088780C">
        <w:rPr>
          <w:snapToGrid w:val="0"/>
          <w:color w:val="000000"/>
          <w:kern w:val="22"/>
          <w:szCs w:val="22"/>
          <w:shd w:val="clear" w:color="auto" w:fill="FFFFFF"/>
        </w:rPr>
        <w:t>pre-estuarine</w:t>
      </w:r>
      <w:r w:rsidRPr="0088780C">
        <w:rPr>
          <w:rFonts w:eastAsia="MS Mincho"/>
          <w:snapToGrid w:val="0"/>
          <w:kern w:val="22"/>
          <w:szCs w:val="22"/>
        </w:rPr>
        <w:t xml:space="preserve">, and a transition zone from the surface to the underwater delta, called the kyltuk zone </w:t>
      </w:r>
      <w:r w:rsidRPr="0088780C">
        <w:rPr>
          <w:snapToGrid w:val="0"/>
          <w:kern w:val="22"/>
          <w:szCs w:val="22"/>
        </w:rPr>
        <w:t>(Bogutskaya et al., 2013)</w:t>
      </w:r>
      <w:r w:rsidRPr="0088780C">
        <w:rPr>
          <w:rFonts w:eastAsia="MS Mincho"/>
          <w:snapToGrid w:val="0"/>
          <w:kern w:val="22"/>
          <w:szCs w:val="22"/>
        </w:rPr>
        <w:t>.</w:t>
      </w:r>
    </w:p>
    <w:p w14:paraId="2D12B630"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1E420F6"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lower zone of the above-water delta, the kyltuk zone and avandelta are united in the so-called lower reaches of the Volga Delta. The above-water part of the area is represented by a large number of alluvial islands separated from each other by numerous channels and streams. The kultuk zone is characterized by the following geomorphological forms: surface and underwater alluvial braids and islands formed in the mouths of the ducts. The density of the river network (average for three sites) is 7.4 km per 100 hectares. There are non-flooded islands in the </w:t>
      </w:r>
      <w:r w:rsidRPr="0088780C">
        <w:rPr>
          <w:snapToGrid w:val="0"/>
          <w:color w:val="000000"/>
          <w:kern w:val="22"/>
          <w:szCs w:val="22"/>
          <w:shd w:val="clear" w:color="auto" w:fill="FFFFFF"/>
        </w:rPr>
        <w:t>pre-estuarine</w:t>
      </w:r>
      <w:r w:rsidRPr="0088780C">
        <w:rPr>
          <w:rFonts w:eastAsia="MS Mincho"/>
          <w:snapToGrid w:val="0"/>
          <w:kern w:val="22"/>
          <w:szCs w:val="22"/>
        </w:rPr>
        <w:t xml:space="preserve"> island area (Катунин, 2012).</w:t>
      </w:r>
    </w:p>
    <w:p w14:paraId="67D148D1"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62E376C1" w14:textId="722C4323"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There are four types of vegetation: shrub, forest, meadow and aquatic assemblages. The aquatic vegetation is represented by four groups: 1) attached plants with floating leaves (water-nut </w:t>
      </w:r>
      <w:r w:rsidRPr="0088780C">
        <w:rPr>
          <w:rStyle w:val="apple-converted-space"/>
          <w:snapToGrid w:val="0"/>
          <w:kern w:val="22"/>
          <w:szCs w:val="22"/>
          <w:shd w:val="clear" w:color="auto" w:fill="FFFFFF"/>
        </w:rPr>
        <w:t>(</w:t>
      </w:r>
      <w:r w:rsidRPr="0088780C">
        <w:rPr>
          <w:i/>
          <w:snapToGrid w:val="0"/>
          <w:kern w:val="22"/>
          <w:szCs w:val="22"/>
          <w:shd w:val="clear" w:color="auto" w:fill="FFFFFF"/>
        </w:rPr>
        <w:t>Trápa nátans</w:t>
      </w:r>
      <w:r w:rsidRPr="0088780C">
        <w:rPr>
          <w:snapToGrid w:val="0"/>
          <w:kern w:val="22"/>
          <w:szCs w:val="22"/>
          <w:shd w:val="clear" w:color="auto" w:fill="FFFFFF"/>
        </w:rPr>
        <w:t>)</w:t>
      </w:r>
      <w:r w:rsidRPr="0088780C">
        <w:rPr>
          <w:rFonts w:eastAsia="MS Mincho"/>
          <w:snapToGrid w:val="0"/>
          <w:kern w:val="22"/>
          <w:szCs w:val="22"/>
        </w:rPr>
        <w:t xml:space="preserve">, </w:t>
      </w:r>
      <w:r w:rsidRPr="0088780C">
        <w:rPr>
          <w:snapToGrid w:val="0"/>
          <w:kern w:val="22"/>
          <w:szCs w:val="22"/>
        </w:rPr>
        <w:t>white water lily (</w:t>
      </w:r>
      <w:r w:rsidRPr="0088780C">
        <w:rPr>
          <w:i/>
          <w:snapToGrid w:val="0"/>
          <w:kern w:val="22"/>
          <w:szCs w:val="22"/>
        </w:rPr>
        <w:t>Nymphaéa álba</w:t>
      </w:r>
      <w:r w:rsidRPr="0088780C">
        <w:rPr>
          <w:snapToGrid w:val="0"/>
          <w:kern w:val="22"/>
          <w:szCs w:val="22"/>
        </w:rPr>
        <w:t>)</w:t>
      </w:r>
      <w:r w:rsidRPr="0088780C">
        <w:rPr>
          <w:rFonts w:eastAsia="MS Mincho"/>
          <w:snapToGrid w:val="0"/>
          <w:kern w:val="22"/>
          <w:szCs w:val="22"/>
        </w:rPr>
        <w:t>); 2) attached immersed plants (</w:t>
      </w:r>
      <w:r w:rsidRPr="0088780C">
        <w:rPr>
          <w:rFonts w:eastAsia="MS Mincho"/>
          <w:i/>
          <w:snapToGrid w:val="0"/>
          <w:kern w:val="22"/>
          <w:szCs w:val="22"/>
        </w:rPr>
        <w:t xml:space="preserve">Vallisneria spiralis, </w:t>
      </w:r>
      <w:r w:rsidRPr="0088780C">
        <w:rPr>
          <w:i/>
          <w:snapToGrid w:val="0"/>
          <w:kern w:val="22"/>
          <w:szCs w:val="22"/>
          <w:shd w:val="clear" w:color="auto" w:fill="FFFFFF"/>
        </w:rPr>
        <w:t>Potamogéton</w:t>
      </w:r>
      <w:r w:rsidRPr="0088780C">
        <w:rPr>
          <w:rFonts w:eastAsia="MS Mincho"/>
          <w:snapToGrid w:val="0"/>
          <w:kern w:val="22"/>
          <w:szCs w:val="22"/>
        </w:rPr>
        <w:t xml:space="preserve">); 3) unattached plants floating freely on the surface of the water (floating salvinia, </w:t>
      </w:r>
      <w:r w:rsidRPr="0088780C">
        <w:rPr>
          <w:bCs/>
          <w:i/>
          <w:snapToGrid w:val="0"/>
          <w:kern w:val="22"/>
          <w:szCs w:val="22"/>
          <w:shd w:val="clear" w:color="auto" w:fill="FFFFFF"/>
        </w:rPr>
        <w:t>Salvínia</w:t>
      </w:r>
      <w:r w:rsidR="00D81A2A" w:rsidRPr="0088780C">
        <w:rPr>
          <w:rStyle w:val="apple-converted-space"/>
          <w:i/>
          <w:snapToGrid w:val="0"/>
          <w:kern w:val="22"/>
          <w:szCs w:val="22"/>
          <w:shd w:val="clear" w:color="auto" w:fill="FFFFFF"/>
        </w:rPr>
        <w:t xml:space="preserve"> </w:t>
      </w:r>
      <w:r w:rsidRPr="0088780C">
        <w:rPr>
          <w:i/>
          <w:snapToGrid w:val="0"/>
          <w:kern w:val="22"/>
          <w:szCs w:val="22"/>
          <w:shd w:val="clear" w:color="auto" w:fill="FFFFFF"/>
        </w:rPr>
        <w:t>nátans</w:t>
      </w:r>
      <w:r w:rsidRPr="0088780C">
        <w:rPr>
          <w:rFonts w:eastAsia="MS Mincho"/>
          <w:snapToGrid w:val="0"/>
          <w:kern w:val="22"/>
          <w:szCs w:val="22"/>
        </w:rPr>
        <w:t>), duckweed</w:t>
      </w:r>
      <w:r w:rsidRPr="0088780C">
        <w:rPr>
          <w:rFonts w:eastAsia="MS Mincho"/>
          <w:snapToGrid w:val="0"/>
          <w:kern w:val="22"/>
          <w:szCs w:val="22"/>
          <w:shd w:val="clear" w:color="auto" w:fill="FFFFFF"/>
        </w:rPr>
        <w:t xml:space="preserve"> (</w:t>
      </w:r>
      <w:r w:rsidRPr="0088780C">
        <w:rPr>
          <w:i/>
          <w:snapToGrid w:val="0"/>
          <w:kern w:val="22"/>
          <w:szCs w:val="22"/>
          <w:shd w:val="clear" w:color="auto" w:fill="FFFFFF"/>
        </w:rPr>
        <w:t>Lémna mínor</w:t>
      </w:r>
      <w:r w:rsidRPr="0088780C">
        <w:rPr>
          <w:rFonts w:eastAsia="MS Mincho"/>
          <w:snapToGrid w:val="0"/>
          <w:kern w:val="22"/>
          <w:szCs w:val="22"/>
        </w:rPr>
        <w:t>)); 4) unattached immersed plants (</w:t>
      </w:r>
      <w:r w:rsidRPr="0088780C">
        <w:rPr>
          <w:snapToGrid w:val="0"/>
          <w:kern w:val="22"/>
          <w:szCs w:val="22"/>
          <w:shd w:val="clear" w:color="auto" w:fill="FFFFFF"/>
        </w:rPr>
        <w:t>Ceratophyllaceae</w:t>
      </w:r>
      <w:r w:rsidRPr="0088780C">
        <w:rPr>
          <w:rFonts w:eastAsia="MS Mincho"/>
          <w:snapToGrid w:val="0"/>
          <w:kern w:val="22"/>
          <w:szCs w:val="22"/>
        </w:rPr>
        <w:t xml:space="preserve">) </w:t>
      </w:r>
      <w:r w:rsidRPr="0088780C">
        <w:rPr>
          <w:snapToGrid w:val="0"/>
          <w:kern w:val="22"/>
          <w:szCs w:val="22"/>
        </w:rPr>
        <w:t>(Громов, 2010)</w:t>
      </w:r>
      <w:r w:rsidRPr="0088780C">
        <w:rPr>
          <w:rFonts w:eastAsia="MS Mincho"/>
          <w:snapToGrid w:val="0"/>
          <w:kern w:val="22"/>
          <w:szCs w:val="22"/>
        </w:rPr>
        <w:t>.</w:t>
      </w:r>
    </w:p>
    <w:p w14:paraId="4B4FBB7B"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CD830B4" w14:textId="7353801A"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fauna of the area has a European zoogeographical affinity with elements of other types. Free-living aquatic invertebrates comprise 828 taxa. These are protozoans (136), rotifers (403), copepods (70), other crustaceans (142), and other groups of animals (77). The diversity of the microclimate promotes coexistence of various ecological groups of insects in the limited territory—from desert to typically mesophilic and aquatic. Species richness of insects reaches 1248 species. The diversity of ecological conditions of water bodies (depth, flow, overgrazing) is a prerequisite for the diversity of the species composition of fish, which are represented by 61 species (12 families). The most numerous are cyprinids (24 taxa) and cottids (12 ta</w:t>
      </w:r>
      <w:r w:rsidR="00D81A2A" w:rsidRPr="0088780C">
        <w:rPr>
          <w:rFonts w:eastAsia="MS Mincho"/>
          <w:snapToGrid w:val="0"/>
          <w:kern w:val="22"/>
          <w:szCs w:val="22"/>
        </w:rPr>
        <w:t>xa) (Podolyako et al. (in print</w:t>
      </w:r>
      <w:r w:rsidRPr="0088780C">
        <w:rPr>
          <w:rFonts w:eastAsia="MS Mincho"/>
          <w:snapToGrid w:val="0"/>
          <w:kern w:val="22"/>
          <w:szCs w:val="22"/>
        </w:rPr>
        <w:t>).</w:t>
      </w:r>
    </w:p>
    <w:p w14:paraId="1CD14D1F"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4886F0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core group of freshwater fish, mainly </w:t>
      </w:r>
      <w:r w:rsidRPr="0088780C">
        <w:rPr>
          <w:snapToGrid w:val="0"/>
          <w:kern w:val="22"/>
          <w:szCs w:val="22"/>
          <w:shd w:val="clear" w:color="auto" w:fill="FFFFFF"/>
        </w:rPr>
        <w:t>Cyprinidae</w:t>
      </w:r>
      <w:r w:rsidRPr="0088780C">
        <w:rPr>
          <w:rFonts w:eastAsia="MS Mincho"/>
          <w:snapToGrid w:val="0"/>
          <w:kern w:val="22"/>
          <w:szCs w:val="22"/>
        </w:rPr>
        <w:t xml:space="preserve"> and Percidae, includes rudd (</w:t>
      </w:r>
      <w:r w:rsidRPr="0088780C">
        <w:rPr>
          <w:i/>
          <w:snapToGrid w:val="0"/>
          <w:kern w:val="22"/>
          <w:szCs w:val="22"/>
          <w:shd w:val="clear" w:color="auto" w:fill="FFFFFF"/>
        </w:rPr>
        <w:t>Scardinius erythrophthalmus</w:t>
      </w:r>
      <w:r w:rsidRPr="0088780C">
        <w:rPr>
          <w:rFonts w:eastAsia="MS Mincho"/>
          <w:snapToGrid w:val="0"/>
          <w:kern w:val="22"/>
          <w:szCs w:val="22"/>
        </w:rPr>
        <w:t>), gusher (</w:t>
      </w:r>
      <w:r w:rsidRPr="0088780C">
        <w:rPr>
          <w:i/>
          <w:snapToGrid w:val="0"/>
          <w:kern w:val="22"/>
          <w:szCs w:val="22"/>
          <w:shd w:val="clear" w:color="auto" w:fill="FFFFFF"/>
        </w:rPr>
        <w:t>Blicca bjoerkna</w:t>
      </w:r>
      <w:r w:rsidRPr="0088780C">
        <w:rPr>
          <w:rFonts w:eastAsia="MS Mincho"/>
          <w:snapToGrid w:val="0"/>
          <w:kern w:val="22"/>
          <w:szCs w:val="22"/>
        </w:rPr>
        <w:t>), wild carp (</w:t>
      </w:r>
      <w:r w:rsidRPr="0088780C">
        <w:rPr>
          <w:rFonts w:eastAsia="MS Mincho"/>
          <w:i/>
          <w:snapToGrid w:val="0"/>
          <w:kern w:val="22"/>
          <w:szCs w:val="22"/>
        </w:rPr>
        <w:t>Cyprinys carpio</w:t>
      </w:r>
      <w:r w:rsidRPr="0088780C">
        <w:rPr>
          <w:rFonts w:eastAsia="MS Mincho"/>
          <w:snapToGrid w:val="0"/>
          <w:kern w:val="22"/>
          <w:szCs w:val="22"/>
        </w:rPr>
        <w:t>), perch (</w:t>
      </w:r>
      <w:r w:rsidRPr="0088780C">
        <w:rPr>
          <w:i/>
          <w:snapToGrid w:val="0"/>
          <w:kern w:val="22"/>
          <w:szCs w:val="22"/>
          <w:shd w:val="clear" w:color="auto" w:fill="FFFFFF"/>
        </w:rPr>
        <w:t>Perca fluviatilis</w:t>
      </w:r>
      <w:r w:rsidRPr="0088780C">
        <w:rPr>
          <w:rFonts w:eastAsia="MS Mincho"/>
          <w:snapToGrid w:val="0"/>
          <w:kern w:val="22"/>
          <w:szCs w:val="22"/>
        </w:rPr>
        <w:t>), pike (</w:t>
      </w:r>
      <w:r w:rsidRPr="0088780C">
        <w:rPr>
          <w:rFonts w:eastAsia="MS Mincho"/>
          <w:i/>
          <w:snapToGrid w:val="0"/>
          <w:kern w:val="22"/>
          <w:szCs w:val="22"/>
        </w:rPr>
        <w:t>Esox lucius</w:t>
      </w:r>
      <w:r w:rsidRPr="0088780C">
        <w:rPr>
          <w:rFonts w:eastAsia="MS Mincho"/>
          <w:snapToGrid w:val="0"/>
          <w:kern w:val="22"/>
          <w:szCs w:val="22"/>
        </w:rPr>
        <w:t>), catfish (</w:t>
      </w:r>
      <w:r w:rsidRPr="0088780C">
        <w:rPr>
          <w:rStyle w:val="apple-converted-space"/>
          <w:snapToGrid w:val="0"/>
          <w:kern w:val="22"/>
          <w:szCs w:val="22"/>
          <w:shd w:val="clear" w:color="auto" w:fill="FFFFFF"/>
        </w:rPr>
        <w:t> </w:t>
      </w:r>
      <w:r w:rsidRPr="0088780C">
        <w:rPr>
          <w:i/>
          <w:snapToGrid w:val="0"/>
          <w:kern w:val="22"/>
          <w:szCs w:val="22"/>
          <w:shd w:val="clear" w:color="auto" w:fill="FFFFFF"/>
        </w:rPr>
        <w:t>Silurus glanis</w:t>
      </w:r>
      <w:r w:rsidRPr="0088780C">
        <w:rPr>
          <w:rFonts w:eastAsia="MS Mincho"/>
          <w:snapToGrid w:val="0"/>
          <w:kern w:val="22"/>
          <w:szCs w:val="22"/>
        </w:rPr>
        <w:t>), etc.). A significant part of the fish population consists of migrating and semi-anadromous species that perform spawning migrations through the area, and many euryhaline species of marine origin (Litvinov et al., 2013).</w:t>
      </w:r>
    </w:p>
    <w:p w14:paraId="21187EC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3C3FE8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fauna of amphibians and reptiles is poor in species (4 and 6 species, respectively). The avifauna of the reserve is represented by 301 species, of which 104 are nesting, 147 occur during migrations, migrations or wintering and 29 species that are migratory (Русанов, 2013).</w:t>
      </w:r>
    </w:p>
    <w:p w14:paraId="5107FB93"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3A4B064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According to zoogeographical analysis, 50% of bird species nesting in the Volga Delta are transpalearctic species, 24% are European fauna, about 16% are Mediterranean species, 9% Mongolian, and 1% are Chinese species (Реуцкий, 2014а, 2014б, 2014в, 2014г, 2015а, 2015б).</w:t>
      </w:r>
    </w:p>
    <w:p w14:paraId="6B3C9D6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0F6F101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There are at least 20 species of marine mammals, with a fifth of them not associated with the Delta. Typical representatives of the fauna are migrating species and species associated with aquatic biotopes (Астраханский заповедник, 1991).</w:t>
      </w:r>
    </w:p>
    <w:p w14:paraId="32C951D8"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70559F3C"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In total, the species composition of the area is represented by 1200 species of insects, 76 species of freshwater mollusks, 61 species of fish and cyclostomes, 4 and 6 species of amphibians and reptiles, 301 species of birds and 20 species of mammals, respectively (Климов, 2007).</w:t>
      </w:r>
    </w:p>
    <w:p w14:paraId="1FCAC3D9"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0C829D5"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number of species of animals classified according to rarity:</w:t>
      </w:r>
    </w:p>
    <w:tbl>
      <w:tblPr>
        <w:tblW w:w="0" w:type="auto"/>
        <w:jc w:val="center"/>
        <w:tblCellMar>
          <w:left w:w="0" w:type="dxa"/>
          <w:right w:w="0" w:type="dxa"/>
        </w:tblCellMar>
        <w:tblLook w:val="04A0" w:firstRow="1" w:lastRow="0" w:firstColumn="1" w:lastColumn="0" w:noHBand="0" w:noVBand="1"/>
      </w:tblPr>
      <w:tblGrid>
        <w:gridCol w:w="1969"/>
        <w:gridCol w:w="2311"/>
        <w:gridCol w:w="2471"/>
        <w:gridCol w:w="2785"/>
      </w:tblGrid>
      <w:tr w:rsidR="00A876F3" w:rsidRPr="0088780C" w14:paraId="55EAAA05" w14:textId="77777777" w:rsidTr="001013AF">
        <w:trPr>
          <w:cantSplit/>
          <w:jc w:val="center"/>
        </w:trPr>
        <w:tc>
          <w:tcPr>
            <w:tcW w:w="1969"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59F9AD97" w14:textId="66500C1D"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i/>
                <w:iCs/>
                <w:snapToGrid w:val="0"/>
                <w:kern w:val="22"/>
                <w:sz w:val="22"/>
                <w:szCs w:val="22"/>
                <w:lang w:val="en-GB"/>
              </w:rPr>
            </w:pPr>
            <w:r w:rsidRPr="0088780C">
              <w:rPr>
                <w:rFonts w:ascii="Times New Roman" w:eastAsia="MS Mincho" w:hAnsi="Times New Roman" w:cs="Times New Roman"/>
                <w:i/>
                <w:iCs/>
                <w:snapToGrid w:val="0"/>
                <w:kern w:val="22"/>
                <w:sz w:val="22"/>
                <w:szCs w:val="22"/>
                <w:lang w:val="en-GB"/>
              </w:rPr>
              <w:t>Taxonomic group</w:t>
            </w:r>
          </w:p>
        </w:tc>
        <w:tc>
          <w:tcPr>
            <w:tcW w:w="231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5A855232"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i/>
                <w:iCs/>
                <w:snapToGrid w:val="0"/>
                <w:kern w:val="22"/>
                <w:sz w:val="22"/>
                <w:szCs w:val="22"/>
                <w:lang w:val="en-GB"/>
              </w:rPr>
            </w:pPr>
            <w:r w:rsidRPr="0088780C">
              <w:rPr>
                <w:rFonts w:ascii="Times New Roman" w:eastAsia="MS Mincho" w:hAnsi="Times New Roman" w:cs="Times New Roman"/>
                <w:i/>
                <w:iCs/>
                <w:snapToGrid w:val="0"/>
                <w:kern w:val="22"/>
                <w:sz w:val="22"/>
                <w:szCs w:val="22"/>
                <w:lang w:val="en-GB"/>
              </w:rPr>
              <w:t>Including species included in the IUCN Red List</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47AF27EC"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i/>
                <w:iCs/>
                <w:snapToGrid w:val="0"/>
                <w:kern w:val="22"/>
                <w:sz w:val="22"/>
                <w:szCs w:val="22"/>
                <w:lang w:val="en-GB"/>
              </w:rPr>
            </w:pPr>
            <w:r w:rsidRPr="0088780C">
              <w:rPr>
                <w:rFonts w:ascii="Times New Roman" w:eastAsia="MS Mincho" w:hAnsi="Times New Roman" w:cs="Times New Roman"/>
                <w:i/>
                <w:iCs/>
                <w:snapToGrid w:val="0"/>
                <w:kern w:val="22"/>
                <w:sz w:val="22"/>
                <w:szCs w:val="22"/>
                <w:lang w:val="en-GB"/>
              </w:rPr>
              <w:t>Including species included in the Red Book of the Russian Federation</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259B67D2"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i/>
                <w:iCs/>
                <w:snapToGrid w:val="0"/>
                <w:kern w:val="22"/>
                <w:sz w:val="22"/>
                <w:szCs w:val="22"/>
                <w:lang w:val="en-GB"/>
              </w:rPr>
            </w:pPr>
            <w:r w:rsidRPr="0088780C">
              <w:rPr>
                <w:rFonts w:ascii="Times New Roman" w:eastAsia="MS Mincho" w:hAnsi="Times New Roman" w:cs="Times New Roman"/>
                <w:i/>
                <w:iCs/>
                <w:snapToGrid w:val="0"/>
                <w:kern w:val="22"/>
                <w:sz w:val="22"/>
                <w:szCs w:val="22"/>
                <w:lang w:val="en-GB"/>
              </w:rPr>
              <w:t>Including species included in the Red Book of the subject of the Russian Federation</w:t>
            </w:r>
          </w:p>
        </w:tc>
      </w:tr>
      <w:tr w:rsidR="00A876F3" w:rsidRPr="0088780C" w14:paraId="1A22AEEB" w14:textId="77777777" w:rsidTr="001013AF">
        <w:trPr>
          <w:cantSplit/>
          <w:jc w:val="center"/>
        </w:trPr>
        <w:tc>
          <w:tcPr>
            <w:tcW w:w="1969"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26896DA4" w14:textId="77777777" w:rsidR="00A876F3" w:rsidRPr="0088780C" w:rsidRDefault="00A876F3" w:rsidP="001013AF">
            <w:pPr>
              <w:pStyle w:val="PlainText"/>
              <w:keepNext/>
              <w:suppressLineNumbers/>
              <w:suppressAutoHyphens/>
              <w:kinsoku w:val="0"/>
              <w:overflowPunct w:val="0"/>
              <w:autoSpaceDE w:val="0"/>
              <w:autoSpaceDN w:val="0"/>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Lichens</w:t>
            </w:r>
          </w:p>
        </w:tc>
        <w:tc>
          <w:tcPr>
            <w:tcW w:w="231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013FEEAB"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0CB3D18B"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697A768B"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5</w:t>
            </w:r>
          </w:p>
        </w:tc>
      </w:tr>
      <w:tr w:rsidR="00A876F3" w:rsidRPr="0088780C" w14:paraId="2E8511B4" w14:textId="77777777" w:rsidTr="001013AF">
        <w:trPr>
          <w:cantSplit/>
          <w:jc w:val="center"/>
        </w:trPr>
        <w:tc>
          <w:tcPr>
            <w:tcW w:w="1969"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3F9D2545" w14:textId="77777777" w:rsidR="00A876F3" w:rsidRPr="0088780C" w:rsidRDefault="00A876F3" w:rsidP="001013AF">
            <w:pPr>
              <w:pStyle w:val="PlainText"/>
              <w:keepNext/>
              <w:suppressLineNumbers/>
              <w:suppressAutoHyphens/>
              <w:kinsoku w:val="0"/>
              <w:overflowPunct w:val="0"/>
              <w:autoSpaceDE w:val="0"/>
              <w:autoSpaceDN w:val="0"/>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Vascular plants</w:t>
            </w:r>
          </w:p>
        </w:tc>
        <w:tc>
          <w:tcPr>
            <w:tcW w:w="231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0AAB8EE1"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7294F3CD"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5759E3CD"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5</w:t>
            </w:r>
          </w:p>
        </w:tc>
      </w:tr>
      <w:tr w:rsidR="00A876F3" w:rsidRPr="0088780C" w14:paraId="72799996" w14:textId="77777777" w:rsidTr="001013AF">
        <w:trPr>
          <w:cantSplit/>
          <w:jc w:val="center"/>
        </w:trPr>
        <w:tc>
          <w:tcPr>
            <w:tcW w:w="1969"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42050540" w14:textId="77777777" w:rsidR="00A876F3" w:rsidRPr="0088780C" w:rsidRDefault="00A876F3" w:rsidP="001013AF">
            <w:pPr>
              <w:pStyle w:val="PlainText"/>
              <w:keepNext/>
              <w:suppressLineNumbers/>
              <w:suppressAutoHyphens/>
              <w:kinsoku w:val="0"/>
              <w:overflowPunct w:val="0"/>
              <w:autoSpaceDE w:val="0"/>
              <w:autoSpaceDN w:val="0"/>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Insects</w:t>
            </w:r>
          </w:p>
        </w:tc>
        <w:tc>
          <w:tcPr>
            <w:tcW w:w="231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55A74071"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0C6000E0"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5A0E5256"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28</w:t>
            </w:r>
          </w:p>
        </w:tc>
      </w:tr>
      <w:tr w:rsidR="00A876F3" w:rsidRPr="0088780C" w14:paraId="1A4E4D8B" w14:textId="77777777" w:rsidTr="001013AF">
        <w:trPr>
          <w:cantSplit/>
          <w:jc w:val="center"/>
        </w:trPr>
        <w:tc>
          <w:tcPr>
            <w:tcW w:w="1969"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3E06025C" w14:textId="77777777" w:rsidR="00A876F3" w:rsidRPr="0088780C" w:rsidRDefault="00A876F3" w:rsidP="001013AF">
            <w:pPr>
              <w:pStyle w:val="PlainText"/>
              <w:keepNext/>
              <w:suppressLineNumbers/>
              <w:suppressAutoHyphens/>
              <w:kinsoku w:val="0"/>
              <w:overflowPunct w:val="0"/>
              <w:autoSpaceDE w:val="0"/>
              <w:autoSpaceDN w:val="0"/>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Fish and Cyclostomes</w:t>
            </w:r>
          </w:p>
        </w:tc>
        <w:tc>
          <w:tcPr>
            <w:tcW w:w="231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0795486F"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050888F8"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337B3FE0"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9</w:t>
            </w:r>
          </w:p>
        </w:tc>
      </w:tr>
      <w:tr w:rsidR="00A876F3" w:rsidRPr="0088780C" w14:paraId="4E1467EA" w14:textId="77777777" w:rsidTr="001013AF">
        <w:trPr>
          <w:cantSplit/>
          <w:jc w:val="center"/>
        </w:trPr>
        <w:tc>
          <w:tcPr>
            <w:tcW w:w="1969"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490186D1" w14:textId="77777777" w:rsidR="00A876F3" w:rsidRPr="0088780C" w:rsidRDefault="00A876F3" w:rsidP="001013AF">
            <w:pPr>
              <w:pStyle w:val="PlainText"/>
              <w:keepNext/>
              <w:suppressLineNumbers/>
              <w:suppressAutoHyphens/>
              <w:kinsoku w:val="0"/>
              <w:overflowPunct w:val="0"/>
              <w:autoSpaceDE w:val="0"/>
              <w:autoSpaceDN w:val="0"/>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Aves</w:t>
            </w:r>
          </w:p>
        </w:tc>
        <w:tc>
          <w:tcPr>
            <w:tcW w:w="231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5A9DD80A"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7475E8D9"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54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6A72B847"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67</w:t>
            </w:r>
          </w:p>
        </w:tc>
      </w:tr>
      <w:tr w:rsidR="00A876F3" w:rsidRPr="0088780C" w14:paraId="5AEC630B" w14:textId="77777777" w:rsidTr="001013AF">
        <w:trPr>
          <w:cantSplit/>
          <w:jc w:val="center"/>
        </w:trPr>
        <w:tc>
          <w:tcPr>
            <w:tcW w:w="1969"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7FE359F7" w14:textId="77777777" w:rsidR="00A876F3" w:rsidRPr="0088780C" w:rsidRDefault="00A876F3" w:rsidP="001013AF">
            <w:pPr>
              <w:pStyle w:val="PlainText"/>
              <w:keepNext/>
              <w:suppressLineNumbers/>
              <w:suppressAutoHyphens/>
              <w:kinsoku w:val="0"/>
              <w:overflowPunct w:val="0"/>
              <w:autoSpaceDE w:val="0"/>
              <w:autoSpaceDN w:val="0"/>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Mammals</w:t>
            </w:r>
          </w:p>
        </w:tc>
        <w:tc>
          <w:tcPr>
            <w:tcW w:w="231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4FFF5064"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10BBE951"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13F28BDD" w14:textId="77777777" w:rsidR="00A876F3" w:rsidRPr="0088780C" w:rsidRDefault="00A876F3" w:rsidP="001013AF">
            <w:pPr>
              <w:pStyle w:val="PlainText"/>
              <w:keepN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snapToGrid w:val="0"/>
                <w:kern w:val="22"/>
                <w:sz w:val="22"/>
                <w:szCs w:val="22"/>
                <w:lang w:val="en-GB"/>
              </w:rPr>
              <w:t>4</w:t>
            </w:r>
          </w:p>
        </w:tc>
      </w:tr>
      <w:tr w:rsidR="00A876F3" w:rsidRPr="0088780C" w14:paraId="7E73B2B3" w14:textId="77777777" w:rsidTr="001013AF">
        <w:trPr>
          <w:cantSplit/>
          <w:jc w:val="center"/>
        </w:trPr>
        <w:tc>
          <w:tcPr>
            <w:tcW w:w="1969"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39A07AF5" w14:textId="77777777" w:rsidR="00A876F3" w:rsidRPr="0088780C" w:rsidRDefault="00A876F3" w:rsidP="001013AF">
            <w:pPr>
              <w:pStyle w:val="PlainText"/>
              <w:suppressLineNumbers/>
              <w:suppressAutoHyphens/>
              <w:kinsoku w:val="0"/>
              <w:overflowPunct w:val="0"/>
              <w:autoSpaceDE w:val="0"/>
              <w:autoSpaceDN w:val="0"/>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b/>
                <w:bCs/>
                <w:snapToGrid w:val="0"/>
                <w:kern w:val="22"/>
                <w:sz w:val="22"/>
                <w:szCs w:val="22"/>
                <w:lang w:val="en-GB"/>
              </w:rPr>
              <w:t>Total</w:t>
            </w:r>
          </w:p>
        </w:tc>
        <w:tc>
          <w:tcPr>
            <w:tcW w:w="231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5C99DA4D" w14:textId="77777777" w:rsidR="00A876F3" w:rsidRPr="0088780C" w:rsidRDefault="00A876F3" w:rsidP="001013AF">
            <w:pPr>
              <w:pStyle w:val="PlainT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b/>
                <w:bCs/>
                <w:snapToGrid w:val="0"/>
                <w:kern w:val="22"/>
                <w:sz w:val="22"/>
                <w:szCs w:val="22"/>
                <w:lang w:val="en-GB"/>
              </w:rPr>
              <w:t>14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155898E3" w14:textId="77777777" w:rsidR="00A876F3" w:rsidRPr="0088780C" w:rsidRDefault="00A876F3" w:rsidP="001013AF">
            <w:pPr>
              <w:pStyle w:val="PlainT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b/>
                <w:bCs/>
                <w:snapToGrid w:val="0"/>
                <w:kern w:val="22"/>
                <w:sz w:val="22"/>
                <w:szCs w:val="22"/>
                <w:lang w:val="en-GB"/>
              </w:rPr>
              <w:t>70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vAlign w:val="center"/>
            <w:hideMark/>
          </w:tcPr>
          <w:p w14:paraId="02EDF8F0" w14:textId="77777777" w:rsidR="00A876F3" w:rsidRPr="0088780C" w:rsidRDefault="00A876F3" w:rsidP="001013AF">
            <w:pPr>
              <w:pStyle w:val="PlainText"/>
              <w:suppressLineNumbers/>
              <w:suppressAutoHyphens/>
              <w:kinsoku w:val="0"/>
              <w:overflowPunct w:val="0"/>
              <w:autoSpaceDE w:val="0"/>
              <w:autoSpaceDN w:val="0"/>
              <w:jc w:val="center"/>
              <w:rPr>
                <w:rFonts w:ascii="Times New Roman" w:eastAsia="MS Mincho" w:hAnsi="Times New Roman" w:cs="Times New Roman"/>
                <w:snapToGrid w:val="0"/>
                <w:kern w:val="22"/>
                <w:sz w:val="22"/>
                <w:szCs w:val="22"/>
                <w:lang w:val="en-GB"/>
              </w:rPr>
            </w:pPr>
            <w:r w:rsidRPr="0088780C">
              <w:rPr>
                <w:rFonts w:ascii="Times New Roman" w:eastAsia="MS Mincho" w:hAnsi="Times New Roman" w:cs="Times New Roman"/>
                <w:b/>
                <w:bCs/>
                <w:snapToGrid w:val="0"/>
                <w:kern w:val="22"/>
                <w:sz w:val="22"/>
                <w:szCs w:val="22"/>
                <w:lang w:val="en-GB"/>
              </w:rPr>
              <w:t>118</w:t>
            </w:r>
          </w:p>
        </w:tc>
      </w:tr>
    </w:tbl>
    <w:p w14:paraId="379B80FB" w14:textId="77777777" w:rsidR="00A876F3" w:rsidRPr="0088780C" w:rsidRDefault="00A876F3" w:rsidP="00BD6063">
      <w:pPr>
        <w:suppressLineNumbers/>
        <w:suppressAutoHyphens/>
        <w:kinsoku w:val="0"/>
        <w:overflowPunct w:val="0"/>
        <w:autoSpaceDE w:val="0"/>
        <w:autoSpaceDN w:val="0"/>
        <w:rPr>
          <w:rFonts w:eastAsia="MS Mincho"/>
          <w:snapToGrid w:val="0"/>
          <w:kern w:val="22"/>
          <w:szCs w:val="22"/>
        </w:rPr>
      </w:pPr>
    </w:p>
    <w:p w14:paraId="63AFE2A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Feature condition and future outlook of the area</w:t>
      </w:r>
    </w:p>
    <w:p w14:paraId="6D969607"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The region has significant resilience to a number of pressures and has a significant potential for self-recovery, but is potentially vulnerable to a number of pressures (Зволинский и др. 2016). In general, there is a worsening degree of anthropogenic impact associated with the direct presence of humans (pollution of solid waste, a factor of concern, overflight), while the situation with chemical pollution of surface waters is static (Исеналиева, 2012; Попова и др., 2015).</w:t>
      </w:r>
    </w:p>
    <w:p w14:paraId="45066C53"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227687A4" w14:textId="41FD1A39" w:rsidR="00A876F3" w:rsidRPr="0088780C" w:rsidRDefault="00A876F3" w:rsidP="001013AF">
      <w:pPr>
        <w:suppressLineNumbers/>
        <w:suppressAutoHyphens/>
        <w:kinsoku w:val="0"/>
        <w:overflowPunct w:val="0"/>
        <w:autoSpaceDE w:val="0"/>
        <w:autoSpaceDN w:val="0"/>
        <w:rPr>
          <w:rFonts w:eastAsia="MS Mincho"/>
          <w:snapToGrid w:val="0"/>
          <w:kern w:val="22"/>
          <w:szCs w:val="22"/>
        </w:rPr>
      </w:pPr>
      <w:r w:rsidRPr="0088780C">
        <w:rPr>
          <w:rFonts w:eastAsia="MS Mincho"/>
          <w:snapToGrid w:val="0"/>
          <w:kern w:val="22"/>
          <w:szCs w:val="22"/>
        </w:rPr>
        <w:t xml:space="preserve">The area includes the core zone and protected areas of the Astrakhan Biosphere Reserve, whose employees carry out a number of monitoring and research programmes in this area. The work on multi-year monitoring of a number of areas within the </w:t>
      </w:r>
      <w:r w:rsidR="00D8482D" w:rsidRPr="0088780C">
        <w:rPr>
          <w:rFonts w:eastAsia="MS Mincho"/>
          <w:snapToGrid w:val="0"/>
          <w:kern w:val="22"/>
          <w:szCs w:val="22"/>
        </w:rPr>
        <w:t>“</w:t>
      </w:r>
      <w:r w:rsidRPr="0088780C">
        <w:rPr>
          <w:rFonts w:eastAsia="MS Mincho"/>
          <w:snapToGrid w:val="0"/>
          <w:kern w:val="22"/>
          <w:szCs w:val="22"/>
        </w:rPr>
        <w:t>Volga River Delta</w:t>
      </w:r>
      <w:r w:rsidR="00D8482D" w:rsidRPr="0088780C">
        <w:rPr>
          <w:rFonts w:eastAsia="MS Mincho"/>
          <w:snapToGrid w:val="0"/>
          <w:kern w:val="22"/>
          <w:szCs w:val="22"/>
        </w:rPr>
        <w:t>”</w:t>
      </w:r>
      <w:r w:rsidRPr="0088780C">
        <w:rPr>
          <w:rFonts w:eastAsia="MS Mincho"/>
          <w:snapToGrid w:val="0"/>
          <w:kern w:val="22"/>
          <w:szCs w:val="22"/>
        </w:rPr>
        <w:t xml:space="preserve"> (ornithofauna, water mammals) is underway. The pre-estuary space is an object of attention of the state organizations engaged in calculating the fishing load in the sphere of fisheries (Попова и др., 2015).</w:t>
      </w:r>
    </w:p>
    <w:p w14:paraId="383E701A" w14:textId="77777777" w:rsidR="00A876F3" w:rsidRPr="0088780C" w:rsidRDefault="00A876F3" w:rsidP="001013AF">
      <w:pPr>
        <w:suppressLineNumbers/>
        <w:suppressAutoHyphens/>
        <w:kinsoku w:val="0"/>
        <w:overflowPunct w:val="0"/>
        <w:autoSpaceDE w:val="0"/>
        <w:autoSpaceDN w:val="0"/>
        <w:rPr>
          <w:rFonts w:eastAsia="MS Mincho"/>
          <w:snapToGrid w:val="0"/>
          <w:kern w:val="22"/>
          <w:szCs w:val="22"/>
        </w:rPr>
      </w:pPr>
    </w:p>
    <w:p w14:paraId="4E5F60E6" w14:textId="25E3D426"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Assessment of the area against CBD EBSA Criteria</w:t>
      </w:r>
    </w:p>
    <w:p w14:paraId="3C152E06"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b/>
          <w:bCs/>
          <w:snapToGrid w:val="0"/>
          <w:color w:val="000000"/>
          <w:kern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
        <w:gridCol w:w="4367"/>
        <w:gridCol w:w="29"/>
        <w:gridCol w:w="1019"/>
        <w:gridCol w:w="262"/>
        <w:gridCol w:w="29"/>
        <w:gridCol w:w="757"/>
        <w:gridCol w:w="111"/>
        <w:gridCol w:w="676"/>
        <w:gridCol w:w="90"/>
        <w:gridCol w:w="737"/>
      </w:tblGrid>
      <w:tr w:rsidR="00A876F3" w:rsidRPr="0088780C" w14:paraId="5C36D3EE" w14:textId="77777777" w:rsidTr="006972AD">
        <w:tc>
          <w:tcPr>
            <w:tcW w:w="779" w:type="pct"/>
            <w:vMerge w:val="restart"/>
            <w:shd w:val="clear" w:color="auto" w:fill="auto"/>
          </w:tcPr>
          <w:p w14:paraId="13936730"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CBD EBSA Criteria</w:t>
            </w:r>
          </w:p>
          <w:p w14:paraId="18EA4919" w14:textId="77777777" w:rsidR="00A876F3" w:rsidRPr="0088780C" w:rsidRDefault="00A876F3" w:rsidP="001013AF">
            <w:pPr>
              <w:suppressLineNumbers/>
              <w:suppressAutoHyphens/>
              <w:kinsoku w:val="0"/>
              <w:overflowPunct w:val="0"/>
              <w:autoSpaceDE w:val="0"/>
              <w:autoSpaceDN w:val="0"/>
              <w:adjustRightInd w:val="0"/>
              <w:jc w:val="left"/>
              <w:rPr>
                <w:rFonts w:eastAsia="MS Mincho"/>
                <w:bCs/>
                <w:snapToGrid w:val="0"/>
                <w:color w:val="000000"/>
                <w:kern w:val="22"/>
                <w:szCs w:val="22"/>
              </w:rPr>
            </w:pPr>
            <w:r w:rsidRPr="0088780C">
              <w:rPr>
                <w:rFonts w:eastAsia="MS Mincho"/>
                <w:bCs/>
                <w:snapToGrid w:val="0"/>
                <w:color w:val="000000"/>
                <w:kern w:val="22"/>
                <w:szCs w:val="22"/>
              </w:rPr>
              <w:t>(Annex I to decision IX/20)</w:t>
            </w:r>
          </w:p>
        </w:tc>
        <w:tc>
          <w:tcPr>
            <w:tcW w:w="2280" w:type="pct"/>
            <w:vMerge w:val="restart"/>
            <w:shd w:val="clear" w:color="auto" w:fill="auto"/>
          </w:tcPr>
          <w:p w14:paraId="6F030172"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r w:rsidRPr="0088780C">
              <w:rPr>
                <w:rFonts w:eastAsia="MS Mincho"/>
                <w:b/>
                <w:bCs/>
                <w:snapToGrid w:val="0"/>
                <w:kern w:val="22"/>
                <w:szCs w:val="22"/>
              </w:rPr>
              <w:t>Description</w:t>
            </w:r>
          </w:p>
          <w:p w14:paraId="615B698C"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kern w:val="22"/>
                <w:szCs w:val="22"/>
              </w:rPr>
            </w:pPr>
            <w:r w:rsidRPr="0088780C">
              <w:rPr>
                <w:rFonts w:eastAsia="MS Mincho"/>
                <w:bCs/>
                <w:snapToGrid w:val="0"/>
                <w:color w:val="000000"/>
                <w:kern w:val="22"/>
                <w:szCs w:val="22"/>
              </w:rPr>
              <w:t>(Annex I to decision IX/20)</w:t>
            </w:r>
          </w:p>
        </w:tc>
        <w:tc>
          <w:tcPr>
            <w:tcW w:w="1940" w:type="pct"/>
            <w:gridSpan w:val="9"/>
            <w:shd w:val="clear" w:color="auto" w:fill="auto"/>
          </w:tcPr>
          <w:p w14:paraId="0AED18DF"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 xml:space="preserve">Ranking of criterion relevance </w:t>
            </w:r>
          </w:p>
          <w:p w14:paraId="44DFE3E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Cs/>
                <w:snapToGrid w:val="0"/>
                <w:color w:val="000000"/>
                <w:kern w:val="22"/>
                <w:szCs w:val="22"/>
              </w:rPr>
              <w:t>(please mark one column with an X)</w:t>
            </w:r>
          </w:p>
        </w:tc>
      </w:tr>
      <w:tr w:rsidR="00A876F3" w:rsidRPr="0088780C" w14:paraId="4149181F" w14:textId="77777777" w:rsidTr="006972AD">
        <w:tc>
          <w:tcPr>
            <w:tcW w:w="779" w:type="pct"/>
            <w:vMerge/>
            <w:shd w:val="clear" w:color="auto" w:fill="auto"/>
          </w:tcPr>
          <w:p w14:paraId="3E6D4873"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p>
        </w:tc>
        <w:tc>
          <w:tcPr>
            <w:tcW w:w="2280" w:type="pct"/>
            <w:vMerge/>
            <w:shd w:val="clear" w:color="auto" w:fill="auto"/>
          </w:tcPr>
          <w:p w14:paraId="01812857"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kern w:val="22"/>
                <w:szCs w:val="22"/>
              </w:rPr>
            </w:pPr>
          </w:p>
        </w:tc>
        <w:tc>
          <w:tcPr>
            <w:tcW w:w="547" w:type="pct"/>
            <w:gridSpan w:val="2"/>
            <w:shd w:val="clear" w:color="auto" w:fill="auto"/>
          </w:tcPr>
          <w:p w14:paraId="52F54CC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No information</w:t>
            </w:r>
          </w:p>
        </w:tc>
        <w:tc>
          <w:tcPr>
            <w:tcW w:w="547" w:type="pct"/>
            <w:gridSpan w:val="3"/>
            <w:shd w:val="clear" w:color="auto" w:fill="auto"/>
          </w:tcPr>
          <w:p w14:paraId="27901AF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Low</w:t>
            </w:r>
          </w:p>
        </w:tc>
        <w:tc>
          <w:tcPr>
            <w:tcW w:w="411" w:type="pct"/>
            <w:gridSpan w:val="2"/>
            <w:shd w:val="clear" w:color="auto" w:fill="auto"/>
          </w:tcPr>
          <w:p w14:paraId="5E67F190"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Medium</w:t>
            </w:r>
          </w:p>
        </w:tc>
        <w:tc>
          <w:tcPr>
            <w:tcW w:w="436" w:type="pct"/>
            <w:gridSpan w:val="2"/>
            <w:shd w:val="clear" w:color="auto" w:fill="auto"/>
          </w:tcPr>
          <w:p w14:paraId="54AB0E1C"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High</w:t>
            </w:r>
          </w:p>
        </w:tc>
      </w:tr>
      <w:tr w:rsidR="00A876F3" w:rsidRPr="0088780C" w14:paraId="0EDF7A8C" w14:textId="77777777" w:rsidTr="006972AD">
        <w:tc>
          <w:tcPr>
            <w:tcW w:w="779" w:type="pct"/>
            <w:shd w:val="clear" w:color="auto" w:fill="auto"/>
          </w:tcPr>
          <w:p w14:paraId="2C2F2FD6"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Uniqueness or rarity</w:t>
            </w:r>
          </w:p>
        </w:tc>
        <w:tc>
          <w:tcPr>
            <w:tcW w:w="2280" w:type="pct"/>
            <w:shd w:val="clear" w:color="auto" w:fill="auto"/>
          </w:tcPr>
          <w:p w14:paraId="294ADEAA" w14:textId="50C4204B"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either (i) unique (</w:t>
            </w:r>
            <w:r w:rsidR="00D8482D" w:rsidRPr="0088780C">
              <w:rPr>
                <w:rFonts w:eastAsia="MS Mincho"/>
                <w:bCs/>
                <w:snapToGrid w:val="0"/>
                <w:color w:val="000000"/>
                <w:kern w:val="22"/>
                <w:szCs w:val="22"/>
              </w:rPr>
              <w:t>“</w:t>
            </w:r>
            <w:r w:rsidRPr="0088780C">
              <w:rPr>
                <w:rFonts w:eastAsia="MS Mincho"/>
                <w:bCs/>
                <w:snapToGrid w:val="0"/>
                <w:color w:val="000000"/>
                <w:kern w:val="22"/>
                <w:szCs w:val="22"/>
              </w:rPr>
              <w:t>the only one of its kind</w:t>
            </w:r>
            <w:r w:rsidR="00D8482D" w:rsidRPr="0088780C">
              <w:rPr>
                <w:rFonts w:eastAsia="MS Mincho"/>
                <w:bCs/>
                <w:snapToGrid w:val="0"/>
                <w:color w:val="000000"/>
                <w:kern w:val="22"/>
                <w:szCs w:val="22"/>
              </w:rPr>
              <w:t>”</w:t>
            </w:r>
            <w:r w:rsidRPr="0088780C">
              <w:rPr>
                <w:rFonts w:eastAsia="MS Mincho"/>
                <w:bCs/>
                <w:snapToGrid w:val="0"/>
                <w:color w:val="000000"/>
                <w:kern w:val="22"/>
                <w:szCs w:val="22"/>
              </w:rPr>
              <w:t>), rare (occurs only in few locations) or endemic species, populations or communities, and/or (ii) unique, rare or distinct, habitats or ecosystems; and/or (iii) unique or unusual geomorphological or oceanographic features.</w:t>
            </w:r>
          </w:p>
        </w:tc>
        <w:tc>
          <w:tcPr>
            <w:tcW w:w="547" w:type="pct"/>
            <w:gridSpan w:val="2"/>
            <w:shd w:val="clear" w:color="auto" w:fill="auto"/>
          </w:tcPr>
          <w:p w14:paraId="384CE2E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tc>
        <w:tc>
          <w:tcPr>
            <w:tcW w:w="547" w:type="pct"/>
            <w:gridSpan w:val="3"/>
            <w:shd w:val="clear" w:color="auto" w:fill="auto"/>
          </w:tcPr>
          <w:p w14:paraId="78A93B70"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0F5A262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1075B64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3C7AE0FF" w14:textId="77777777" w:rsidTr="006972AD">
        <w:tc>
          <w:tcPr>
            <w:tcW w:w="5000" w:type="pct"/>
            <w:gridSpan w:val="11"/>
            <w:shd w:val="clear" w:color="auto" w:fill="auto"/>
          </w:tcPr>
          <w:p w14:paraId="2E6D06C8"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27A9E9C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spacing w:val="-2"/>
                <w:kern w:val="22"/>
                <w:szCs w:val="22"/>
              </w:rPr>
            </w:pPr>
            <w:r w:rsidRPr="0088780C">
              <w:rPr>
                <w:bCs/>
                <w:snapToGrid w:val="0"/>
                <w:spacing w:val="-2"/>
                <w:kern w:val="22"/>
                <w:szCs w:val="22"/>
              </w:rPr>
              <w:t>Delta ecosystems are a very common type of biocenosis, however, – the Volga Delta is one of the largest deltas in the world (the largest in Europe) and can act as a unique geomorphological object (Белевич, 1965).</w:t>
            </w:r>
          </w:p>
        </w:tc>
      </w:tr>
      <w:tr w:rsidR="00A876F3" w:rsidRPr="0088780C" w14:paraId="07933FA2" w14:textId="77777777" w:rsidTr="006972AD">
        <w:tc>
          <w:tcPr>
            <w:tcW w:w="779" w:type="pct"/>
            <w:shd w:val="clear" w:color="auto" w:fill="auto"/>
          </w:tcPr>
          <w:p w14:paraId="51165EB8"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Special importance for life-history stages of species</w:t>
            </w:r>
          </w:p>
        </w:tc>
        <w:tc>
          <w:tcPr>
            <w:tcW w:w="2280" w:type="pct"/>
            <w:shd w:val="clear" w:color="auto" w:fill="auto"/>
          </w:tcPr>
          <w:p w14:paraId="623C88A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are required for a population to survive and thrive.</w:t>
            </w:r>
          </w:p>
        </w:tc>
        <w:tc>
          <w:tcPr>
            <w:tcW w:w="684" w:type="pct"/>
            <w:gridSpan w:val="3"/>
            <w:shd w:val="clear" w:color="auto" w:fill="auto"/>
          </w:tcPr>
          <w:p w14:paraId="4752E69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52647DE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43FD5D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4FFBBD1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7F309F2A" w14:textId="77777777" w:rsidTr="006972AD">
        <w:tc>
          <w:tcPr>
            <w:tcW w:w="5000" w:type="pct"/>
            <w:gridSpan w:val="11"/>
            <w:shd w:val="clear" w:color="auto" w:fill="auto"/>
          </w:tcPr>
          <w:p w14:paraId="36FCD682"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1CBE1CF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The region has a critically important value for a number of species and groups of species:</w:t>
            </w:r>
          </w:p>
          <w:p w14:paraId="4469B3C7"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1. Ornithofauna. The area is important mainly for waterfowl and waterbirds, but it is also used by birds from other ecological groups.</w:t>
            </w:r>
          </w:p>
          <w:p w14:paraId="2622ABCA"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1.1. Nesting area up to 50 000 pairs of birds, 21 large nesting colonies (wood and reed) of waterbirds and water birds. The nesting place for birds of other ecological groups (birds of prey, cane birds, etc.) (Чуйков, 2012, Гаврилов, 2005).</w:t>
            </w:r>
          </w:p>
          <w:p w14:paraId="1B253DB3"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1.2. Area of concentration of waterfowl during moulting (summer period).</w:t>
            </w:r>
          </w:p>
          <w:p w14:paraId="7EBCC348"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1.3. In the area, there is a core of permanently inhabiting (settled) bird species of various ecological groups, especially the number of birds of prey and waterfowl and waterbirds.</w:t>
            </w:r>
          </w:p>
          <w:p w14:paraId="2A9C976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1.4. The area is a junction of two major migration routes for birds, mostly waterfowl and waterbirds. A significant proportion of birds migrate through this region from Western Siberia and Eastern Europe. At the same time, more than 1 million waterfowl birds are counted on the area during the peak period (according to aerial survey data).</w:t>
            </w:r>
          </w:p>
          <w:p w14:paraId="5468C971"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1.5. A significant part of migratory bird populations winter in this area during warm winters, or spend part of the winter period in colder winters (depending on the timing of ice cover formation).</w:t>
            </w:r>
          </w:p>
          <w:p w14:paraId="5304E66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p w14:paraId="7E076B35"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2. Ichthyofauna. The region is extremely important for most fish species that live in the North Caspian region and the Volga Delta (Naseka, 2009). It is used at the following stages of the life cycle:</w:t>
            </w:r>
          </w:p>
          <w:p w14:paraId="7DA8CB2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2.1. Spawning grounds for sedentary fish species, including large-scale fish species of commercial importance.</w:t>
            </w:r>
          </w:p>
          <w:p w14:paraId="4F85D35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2.2. Migratory route for a large number of fish belonging to different ecological groups. Seasonal movements are characteristic of sedentary species, for semi-passages and passageways - this is a key element of the migration route, approaches and directly entering the freshwater zone and the river ecosystem.</w:t>
            </w:r>
          </w:p>
          <w:p w14:paraId="5C0A3B93" w14:textId="0F17C5D9"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 xml:space="preserve">2.3. Place of feeding, a key value for juveniles of semi-anadromous and resident fish species in the summer-autumn period. After hatching on the channel or spawning grounds located in the delta of the Volga and the Volga-Akhtuba floodplain, juvenile fish, after a recession of the wave, floods migrate to the zone of the </w:t>
            </w:r>
            <w:r w:rsidRPr="0088780C">
              <w:rPr>
                <w:bCs/>
                <w:snapToGrid w:val="0"/>
                <w:color w:val="000000"/>
                <w:kern w:val="22"/>
                <w:szCs w:val="22"/>
                <w:shd w:val="clear" w:color="auto" w:fill="FFFFFF"/>
              </w:rPr>
              <w:t>pre-estuarine</w:t>
            </w:r>
            <w:r w:rsidRPr="0088780C">
              <w:rPr>
                <w:rFonts w:eastAsia="MS Mincho"/>
                <w:bCs/>
                <w:snapToGrid w:val="0"/>
                <w:color w:val="000000"/>
                <w:kern w:val="22"/>
                <w:szCs w:val="22"/>
              </w:rPr>
              <w:t xml:space="preserve">, where it continues feeding. Undoubtedly, this zone is a region with significant fish resources </w:t>
            </w:r>
            <w:r w:rsidRPr="0088780C">
              <w:rPr>
                <w:bCs/>
                <w:snapToGrid w:val="0"/>
                <w:kern w:val="22"/>
                <w:szCs w:val="22"/>
              </w:rPr>
              <w:t>(Hänﬂing et al. 2009)</w:t>
            </w:r>
            <w:r w:rsidRPr="0088780C">
              <w:rPr>
                <w:rFonts w:eastAsia="MS Mincho"/>
                <w:bCs/>
                <w:snapToGrid w:val="0"/>
                <w:color w:val="000000"/>
                <w:kern w:val="22"/>
                <w:szCs w:val="22"/>
              </w:rPr>
              <w:t>.</w:t>
            </w:r>
          </w:p>
          <w:p w14:paraId="7BD03FE8" w14:textId="0B3A2AB8" w:rsidR="00A876F3" w:rsidRPr="0088780C" w:rsidRDefault="00A876F3" w:rsidP="00971F54">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 xml:space="preserve">3. Flora. The district is the main place for the growth of the </w:t>
            </w:r>
            <w:r w:rsidRPr="0088780C">
              <w:rPr>
                <w:rFonts w:eastAsia="MS Mincho"/>
                <w:bCs/>
                <w:i/>
                <w:snapToGrid w:val="0"/>
                <w:color w:val="000000"/>
                <w:kern w:val="22"/>
                <w:szCs w:val="22"/>
              </w:rPr>
              <w:t>Nelumbo nucifera</w:t>
            </w:r>
            <w:r w:rsidRPr="0088780C">
              <w:rPr>
                <w:rFonts w:eastAsia="MS Mincho"/>
                <w:bCs/>
                <w:snapToGrid w:val="0"/>
                <w:color w:val="000000"/>
                <w:kern w:val="22"/>
                <w:szCs w:val="22"/>
              </w:rPr>
              <w:t xml:space="preserve"> in the Volga Delta (</w:t>
            </w:r>
            <w:r w:rsidRPr="0088780C">
              <w:rPr>
                <w:bCs/>
                <w:snapToGrid w:val="0"/>
                <w:kern w:val="22"/>
                <w:szCs w:val="22"/>
              </w:rPr>
              <w:t>Красная книга Астраханской области, 2014</w:t>
            </w:r>
            <w:r w:rsidRPr="0088780C">
              <w:rPr>
                <w:rFonts w:eastAsia="MS Mincho"/>
                <w:bCs/>
                <w:snapToGrid w:val="0"/>
                <w:color w:val="000000"/>
                <w:kern w:val="22"/>
                <w:szCs w:val="22"/>
              </w:rPr>
              <w:t>).</w:t>
            </w:r>
          </w:p>
        </w:tc>
      </w:tr>
      <w:tr w:rsidR="00A876F3" w:rsidRPr="0088780C" w14:paraId="23377706" w14:textId="77777777" w:rsidTr="006972AD">
        <w:tc>
          <w:tcPr>
            <w:tcW w:w="779" w:type="pct"/>
            <w:shd w:val="clear" w:color="auto" w:fill="auto"/>
          </w:tcPr>
          <w:p w14:paraId="07570014"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Importance for threatened, endangered or declining species and/or habitats</w:t>
            </w:r>
          </w:p>
        </w:tc>
        <w:tc>
          <w:tcPr>
            <w:tcW w:w="2280" w:type="pct"/>
            <w:shd w:val="clear" w:color="auto" w:fill="auto"/>
          </w:tcPr>
          <w:p w14:paraId="2FAAAF7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habitat for the survival and recovery of endangered, threatened, declining species or area with significant assemblages of such species.</w:t>
            </w:r>
          </w:p>
        </w:tc>
        <w:tc>
          <w:tcPr>
            <w:tcW w:w="684" w:type="pct"/>
            <w:gridSpan w:val="3"/>
            <w:shd w:val="clear" w:color="auto" w:fill="auto"/>
          </w:tcPr>
          <w:p w14:paraId="42197A6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678F6D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49A3606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1BB5A995"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274DA87F" w14:textId="77777777" w:rsidTr="006972AD">
        <w:tc>
          <w:tcPr>
            <w:tcW w:w="5000" w:type="pct"/>
            <w:gridSpan w:val="11"/>
            <w:shd w:val="clear" w:color="auto" w:fill="auto"/>
          </w:tcPr>
          <w:p w14:paraId="21DDD602"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5667C060"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The total number of rare species included in the lists of different levels is 14 species in the IUCN, 70 species in the Red Data Book of the Russian Federation and 118 species in the Red Book of the Astrakhan Region (</w:t>
            </w:r>
            <w:r w:rsidRPr="0088780C">
              <w:rPr>
                <w:bCs/>
                <w:snapToGrid w:val="0"/>
                <w:kern w:val="22"/>
                <w:szCs w:val="22"/>
                <w:lang w:val="ru-RU"/>
              </w:rPr>
              <w:t>Красная книга России…, 2008; Красная книга Астраханской области, 2014</w:t>
            </w:r>
            <w:r w:rsidRPr="0088780C">
              <w:rPr>
                <w:bCs/>
                <w:snapToGrid w:val="0"/>
                <w:kern w:val="22"/>
                <w:szCs w:val="22"/>
              </w:rPr>
              <w:t>).</w:t>
            </w:r>
          </w:p>
          <w:p w14:paraId="654BFECF"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p>
          <w:p w14:paraId="2F7B4688" w14:textId="1538079C"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bCs/>
                <w:snapToGrid w:val="0"/>
                <w:kern w:val="22"/>
                <w:szCs w:val="22"/>
              </w:rPr>
              <w:t xml:space="preserve">This is a key area is for a number of endangered species at different stages of the life cycle. Resident species listed in the IUCN list: </w:t>
            </w:r>
            <w:r w:rsidRPr="0088780C">
              <w:rPr>
                <w:bCs/>
                <w:snapToGrid w:val="0"/>
                <w:kern w:val="22"/>
                <w:szCs w:val="22"/>
                <w:shd w:val="clear" w:color="auto" w:fill="FFFFFF"/>
              </w:rPr>
              <w:t>white-tailed eagle (</w:t>
            </w:r>
            <w:r w:rsidRPr="0088780C">
              <w:rPr>
                <w:bCs/>
                <w:i/>
                <w:snapToGrid w:val="0"/>
                <w:kern w:val="22"/>
                <w:szCs w:val="22"/>
                <w:shd w:val="clear" w:color="auto" w:fill="FFFFFF"/>
              </w:rPr>
              <w:t>Haliaeetus</w:t>
            </w:r>
            <w:r w:rsidRPr="0088780C">
              <w:rPr>
                <w:rStyle w:val="apple-converted-space"/>
                <w:bCs/>
                <w:i/>
                <w:snapToGrid w:val="0"/>
                <w:kern w:val="22"/>
                <w:szCs w:val="22"/>
                <w:shd w:val="clear" w:color="auto" w:fill="FFFFFF"/>
              </w:rPr>
              <w:t> </w:t>
            </w:r>
            <w:r w:rsidRPr="0088780C">
              <w:rPr>
                <w:bCs/>
                <w:i/>
                <w:snapToGrid w:val="0"/>
                <w:kern w:val="22"/>
                <w:szCs w:val="22"/>
                <w:shd w:val="clear" w:color="auto" w:fill="FFFFFF"/>
              </w:rPr>
              <w:t>albicilla</w:t>
            </w:r>
            <w:r w:rsidRPr="0088780C">
              <w:rPr>
                <w:bCs/>
                <w:snapToGrid w:val="0"/>
                <w:kern w:val="22"/>
                <w:szCs w:val="22"/>
                <w:shd w:val="clear" w:color="auto" w:fill="FFFFFF"/>
              </w:rPr>
              <w:t>)</w:t>
            </w:r>
            <w:r w:rsidRPr="0088780C">
              <w:rPr>
                <w:bCs/>
                <w:snapToGrid w:val="0"/>
                <w:kern w:val="22"/>
                <w:szCs w:val="22"/>
              </w:rPr>
              <w:t xml:space="preserve">, </w:t>
            </w:r>
            <w:r w:rsidRPr="0088780C">
              <w:rPr>
                <w:bCs/>
                <w:snapToGrid w:val="0"/>
                <w:kern w:val="22"/>
                <w:szCs w:val="22"/>
                <w:shd w:val="clear" w:color="auto" w:fill="FFFFFF"/>
              </w:rPr>
              <w:t xml:space="preserve">Dalmatian pelican </w:t>
            </w:r>
            <w:r w:rsidRPr="0088780C">
              <w:rPr>
                <w:bCs/>
                <w:snapToGrid w:val="0"/>
                <w:kern w:val="22"/>
                <w:szCs w:val="22"/>
              </w:rPr>
              <w:t>(</w:t>
            </w:r>
            <w:r w:rsidRPr="0088780C">
              <w:rPr>
                <w:bCs/>
                <w:i/>
                <w:snapToGrid w:val="0"/>
                <w:kern w:val="22"/>
                <w:szCs w:val="22"/>
                <w:shd w:val="clear" w:color="auto" w:fill="FFFFFF"/>
              </w:rPr>
              <w:t>Pelecanus crispus</w:t>
            </w:r>
            <w:r w:rsidRPr="0088780C">
              <w:rPr>
                <w:bCs/>
                <w:snapToGrid w:val="0"/>
                <w:kern w:val="22"/>
                <w:szCs w:val="22"/>
                <w:shd w:val="clear" w:color="auto" w:fill="FFFFFF"/>
              </w:rPr>
              <w:t>)</w:t>
            </w:r>
            <w:r w:rsidRPr="0088780C">
              <w:rPr>
                <w:bCs/>
                <w:snapToGrid w:val="0"/>
                <w:kern w:val="22"/>
                <w:szCs w:val="22"/>
              </w:rPr>
              <w:t>, river otter (</w:t>
            </w:r>
            <w:r w:rsidRPr="0088780C">
              <w:rPr>
                <w:bCs/>
                <w:snapToGrid w:val="0"/>
                <w:kern w:val="22"/>
                <w:szCs w:val="22"/>
                <w:shd w:val="clear" w:color="auto" w:fill="FFFFFF"/>
              </w:rPr>
              <w:t>Lutra vulgaris</w:t>
            </w:r>
            <w:r w:rsidRPr="0088780C">
              <w:rPr>
                <w:bCs/>
                <w:snapToGrid w:val="0"/>
                <w:kern w:val="22"/>
                <w:szCs w:val="22"/>
              </w:rPr>
              <w:t>). During the migration period, this zone is the key for passage to the spawning grounds of sturgeon (</w:t>
            </w:r>
            <w:r w:rsidRPr="0088780C">
              <w:rPr>
                <w:bCs/>
                <w:i/>
                <w:snapToGrid w:val="0"/>
                <w:kern w:val="22"/>
                <w:szCs w:val="22"/>
              </w:rPr>
              <w:t xml:space="preserve">Huso huso, </w:t>
            </w:r>
            <w:r w:rsidRPr="0088780C">
              <w:rPr>
                <w:bCs/>
                <w:i/>
                <w:snapToGrid w:val="0"/>
                <w:kern w:val="22"/>
                <w:szCs w:val="22"/>
                <w:shd w:val="clear" w:color="auto" w:fill="FFFFFF"/>
              </w:rPr>
              <w:t>Acipenser gueldenstaedtii, Acipenser stellatus, Acipenser persicus, Acipenser nudiventris</w:t>
            </w:r>
            <w:r w:rsidRPr="0088780C">
              <w:rPr>
                <w:bCs/>
                <w:snapToGrid w:val="0"/>
                <w:kern w:val="22"/>
                <w:szCs w:val="22"/>
              </w:rPr>
              <w:t xml:space="preserve">), </w:t>
            </w:r>
            <w:r w:rsidRPr="0088780C">
              <w:rPr>
                <w:rFonts w:eastAsia="MS Mincho"/>
                <w:bCs/>
                <w:snapToGrid w:val="0"/>
                <w:kern w:val="22"/>
                <w:szCs w:val="22"/>
              </w:rPr>
              <w:t>Caspian lamprey (</w:t>
            </w:r>
            <w:r w:rsidRPr="0088780C">
              <w:rPr>
                <w:bCs/>
                <w:i/>
                <w:snapToGrid w:val="0"/>
                <w:kern w:val="22"/>
                <w:szCs w:val="22"/>
                <w:shd w:val="clear" w:color="auto" w:fill="FFFFFF"/>
              </w:rPr>
              <w:t>Caspiomyzon wagneri</w:t>
            </w:r>
            <w:r w:rsidRPr="0088780C">
              <w:rPr>
                <w:bCs/>
                <w:snapToGrid w:val="0"/>
                <w:kern w:val="22"/>
                <w:szCs w:val="22"/>
                <w:shd w:val="clear" w:color="auto" w:fill="FFFFFF"/>
              </w:rPr>
              <w:t>)</w:t>
            </w:r>
            <w:r w:rsidRPr="0088780C">
              <w:rPr>
                <w:bCs/>
                <w:snapToGrid w:val="0"/>
                <w:kern w:val="22"/>
                <w:szCs w:val="22"/>
              </w:rPr>
              <w:t xml:space="preserve">, and </w:t>
            </w:r>
            <w:r w:rsidRPr="0088780C">
              <w:rPr>
                <w:bCs/>
                <w:i/>
                <w:snapToGrid w:val="0"/>
                <w:kern w:val="22"/>
                <w:szCs w:val="22"/>
                <w:shd w:val="clear" w:color="auto" w:fill="FFFFFF"/>
              </w:rPr>
              <w:t xml:space="preserve">Stenodus leucichthys </w:t>
            </w:r>
            <w:r w:rsidRPr="0088780C">
              <w:rPr>
                <w:bCs/>
                <w:snapToGrid w:val="0"/>
                <w:kern w:val="22"/>
                <w:szCs w:val="22"/>
              </w:rPr>
              <w:t>(Hänﬂing et al. 2009). This is the resting area of the virtually extinct Siberian Crane (</w:t>
            </w:r>
            <w:r w:rsidRPr="0088780C">
              <w:rPr>
                <w:bCs/>
                <w:i/>
                <w:snapToGrid w:val="0"/>
                <w:kern w:val="22"/>
                <w:szCs w:val="22"/>
                <w:shd w:val="clear" w:color="auto" w:fill="FFFFFF"/>
              </w:rPr>
              <w:t>Grus leucogeranus</w:t>
            </w:r>
            <w:r w:rsidRPr="0088780C">
              <w:rPr>
                <w:bCs/>
                <w:snapToGrid w:val="0"/>
                <w:kern w:val="22"/>
                <w:szCs w:val="22"/>
              </w:rPr>
              <w:t>) population. Place of winter concentrations of the eagle-tailed tail. In this zone there are several large nests of curly pelican.</w:t>
            </w:r>
          </w:p>
        </w:tc>
      </w:tr>
      <w:tr w:rsidR="00A876F3" w:rsidRPr="0088780C" w14:paraId="526CBF6B" w14:textId="77777777" w:rsidTr="001013AF">
        <w:trPr>
          <w:cantSplit/>
        </w:trPr>
        <w:tc>
          <w:tcPr>
            <w:tcW w:w="779" w:type="pct"/>
            <w:shd w:val="clear" w:color="auto" w:fill="auto"/>
          </w:tcPr>
          <w:p w14:paraId="6945E8DA" w14:textId="77777777" w:rsidR="00A876F3" w:rsidRPr="0088780C" w:rsidRDefault="00A876F3" w:rsidP="001013AF">
            <w:pPr>
              <w:suppressLineNumbers/>
              <w:suppressAutoHyphens/>
              <w:kinsoku w:val="0"/>
              <w:overflowPunct w:val="0"/>
              <w:autoSpaceDE w:val="0"/>
              <w:autoSpaceDN w:val="0"/>
              <w:adjustRightInd w:val="0"/>
              <w:jc w:val="left"/>
              <w:rPr>
                <w:rFonts w:eastAsia="MS Mincho"/>
                <w:b/>
                <w:bCs/>
                <w:snapToGrid w:val="0"/>
                <w:color w:val="000000"/>
                <w:kern w:val="22"/>
                <w:szCs w:val="22"/>
              </w:rPr>
            </w:pPr>
            <w:r w:rsidRPr="0088780C">
              <w:rPr>
                <w:rFonts w:eastAsia="MS Mincho"/>
                <w:b/>
                <w:bCs/>
                <w:snapToGrid w:val="0"/>
                <w:color w:val="000000"/>
                <w:kern w:val="22"/>
                <w:szCs w:val="22"/>
              </w:rPr>
              <w:t>Vulnerability, fragility, sensitivity, or slow recovery</w:t>
            </w:r>
          </w:p>
        </w:tc>
        <w:tc>
          <w:tcPr>
            <w:tcW w:w="2280" w:type="pct"/>
            <w:shd w:val="clear" w:color="auto" w:fill="auto"/>
          </w:tcPr>
          <w:p w14:paraId="3A02CF6F"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shd w:val="clear" w:color="auto" w:fill="auto"/>
          </w:tcPr>
          <w:p w14:paraId="18DC9FCE"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62EB6A7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7C5F4B43"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c>
          <w:tcPr>
            <w:tcW w:w="436" w:type="pct"/>
            <w:gridSpan w:val="2"/>
            <w:shd w:val="clear" w:color="auto" w:fill="auto"/>
          </w:tcPr>
          <w:p w14:paraId="6ED73DD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32332900" w14:textId="77777777" w:rsidTr="006972AD">
        <w:tc>
          <w:tcPr>
            <w:tcW w:w="5000" w:type="pct"/>
            <w:gridSpan w:val="11"/>
            <w:shd w:val="clear" w:color="auto" w:fill="auto"/>
          </w:tcPr>
          <w:p w14:paraId="30F84304"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3F2FAD72"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On the one hand, the region in question has extreme resistance to external influences, the ability to self-purify and, while preserving the habitat, is capable of restoring biological diversity (in the last century, after the plundering of the region's natural resources, the introduction of protection measures allowed the restoration of biological diversity within 15-20 years). At the same time, the area is extremely vulnerable to some kinds of impact, (such as oil pollution) due to high concentrations of living organisms.</w:t>
            </w:r>
          </w:p>
          <w:p w14:paraId="231DC2B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p>
          <w:p w14:paraId="47C380DB"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In addition, among the animals inhabiting the region, there are species characterized by long life cycles (sturgeons).</w:t>
            </w:r>
          </w:p>
        </w:tc>
      </w:tr>
      <w:tr w:rsidR="00A876F3" w:rsidRPr="0088780C" w14:paraId="7032709A" w14:textId="77777777" w:rsidTr="006972AD">
        <w:tc>
          <w:tcPr>
            <w:tcW w:w="779" w:type="pct"/>
            <w:shd w:val="clear" w:color="auto" w:fill="auto"/>
          </w:tcPr>
          <w:p w14:paraId="6FB8BDDD"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productivity</w:t>
            </w:r>
          </w:p>
        </w:tc>
        <w:tc>
          <w:tcPr>
            <w:tcW w:w="2280" w:type="pct"/>
            <w:shd w:val="clear" w:color="auto" w:fill="auto"/>
          </w:tcPr>
          <w:p w14:paraId="1D58B176"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containing species, populations or communities with comparatively higher natural biological productivity.</w:t>
            </w:r>
          </w:p>
        </w:tc>
        <w:tc>
          <w:tcPr>
            <w:tcW w:w="684" w:type="pct"/>
            <w:gridSpan w:val="3"/>
            <w:shd w:val="clear" w:color="auto" w:fill="auto"/>
          </w:tcPr>
          <w:p w14:paraId="6E9CBE2D"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E38BB0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316C1752"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36" w:type="pct"/>
            <w:gridSpan w:val="2"/>
            <w:shd w:val="clear" w:color="auto" w:fill="auto"/>
          </w:tcPr>
          <w:p w14:paraId="1AC7707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r>
      <w:tr w:rsidR="00A876F3" w:rsidRPr="0088780C" w14:paraId="178458C7" w14:textId="77777777" w:rsidTr="006972AD">
        <w:tc>
          <w:tcPr>
            <w:tcW w:w="5000" w:type="pct"/>
            <w:gridSpan w:val="11"/>
            <w:shd w:val="clear" w:color="auto" w:fill="auto"/>
          </w:tcPr>
          <w:p w14:paraId="5A16A8F3"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325C466C" w14:textId="2188B6FA" w:rsidR="00A876F3" w:rsidRPr="0088780C" w:rsidRDefault="00A876F3" w:rsidP="001013AF">
            <w:pPr>
              <w:suppressLineNumbers/>
              <w:suppressAutoHyphens/>
              <w:kinsoku w:val="0"/>
              <w:overflowPunct w:val="0"/>
              <w:autoSpaceDE w:val="0"/>
              <w:autoSpaceDN w:val="0"/>
              <w:adjustRightInd w:val="0"/>
              <w:rPr>
                <w:bCs/>
                <w:snapToGrid w:val="0"/>
                <w:kern w:val="22"/>
                <w:szCs w:val="22"/>
              </w:rPr>
            </w:pPr>
            <w:r w:rsidRPr="0088780C">
              <w:rPr>
                <w:bCs/>
                <w:snapToGrid w:val="0"/>
                <w:kern w:val="22"/>
                <w:szCs w:val="22"/>
              </w:rPr>
              <w:t>Shallow waters of northern Caspian Sea are the most productive part of the Caspian Sea (Шабоянц, 2011) High density of living organisms, including those on the upper levels of the food chain, indicates the abundance of food resources.</w:t>
            </w:r>
          </w:p>
          <w:p w14:paraId="19067667" w14:textId="77777777" w:rsidR="00A876F3" w:rsidRPr="0088780C" w:rsidRDefault="00A876F3" w:rsidP="001013AF">
            <w:pPr>
              <w:suppressLineNumbers/>
              <w:suppressAutoHyphens/>
              <w:kinsoku w:val="0"/>
              <w:overflowPunct w:val="0"/>
              <w:autoSpaceDE w:val="0"/>
              <w:autoSpaceDN w:val="0"/>
              <w:adjustRightInd w:val="0"/>
              <w:rPr>
                <w:bCs/>
                <w:snapToGrid w:val="0"/>
                <w:kern w:val="22"/>
                <w:szCs w:val="22"/>
              </w:rPr>
            </w:pPr>
          </w:p>
          <w:p w14:paraId="27F906BD" w14:textId="14E05D5B"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bCs/>
                <w:snapToGrid w:val="0"/>
                <w:kern w:val="22"/>
                <w:szCs w:val="22"/>
              </w:rPr>
              <w:t>Favourable feeding conditions are created due to the high degree of water heating due to shallow depths and climatic features. The abundance of food attracts animals. For example, the accumulation of waterfowl and waterbirds in the autumn reaches millions of individuals.</w:t>
            </w:r>
          </w:p>
        </w:tc>
      </w:tr>
      <w:tr w:rsidR="00A876F3" w:rsidRPr="0088780C" w14:paraId="215090AD" w14:textId="77777777" w:rsidTr="006972AD">
        <w:tc>
          <w:tcPr>
            <w:tcW w:w="779" w:type="pct"/>
            <w:shd w:val="clear" w:color="auto" w:fill="auto"/>
          </w:tcPr>
          <w:p w14:paraId="4B4E9525" w14:textId="77777777" w:rsidR="00A876F3" w:rsidRPr="0088780C" w:rsidRDefault="00A876F3" w:rsidP="001013AF">
            <w:pPr>
              <w:suppressLineNumbers/>
              <w:suppressAutoHyphens/>
              <w:kinsoku w:val="0"/>
              <w:overflowPunct w:val="0"/>
              <w:autoSpaceDE w:val="0"/>
              <w:autoSpaceDN w:val="0"/>
              <w:adjustRightInd w:val="0"/>
              <w:rPr>
                <w:rFonts w:eastAsia="MS Mincho"/>
                <w:b/>
                <w:bCs/>
                <w:snapToGrid w:val="0"/>
                <w:color w:val="000000"/>
                <w:kern w:val="22"/>
                <w:szCs w:val="22"/>
              </w:rPr>
            </w:pPr>
            <w:r w:rsidRPr="0088780C">
              <w:rPr>
                <w:rFonts w:eastAsia="MS Mincho"/>
                <w:b/>
                <w:bCs/>
                <w:snapToGrid w:val="0"/>
                <w:color w:val="000000"/>
                <w:kern w:val="22"/>
                <w:szCs w:val="22"/>
              </w:rPr>
              <w:t>Biological diversity</w:t>
            </w:r>
          </w:p>
        </w:tc>
        <w:tc>
          <w:tcPr>
            <w:tcW w:w="2280" w:type="pct"/>
            <w:shd w:val="clear" w:color="auto" w:fill="auto"/>
          </w:tcPr>
          <w:p w14:paraId="20BC97E4" w14:textId="77777777" w:rsidR="00A876F3" w:rsidRPr="0088780C" w:rsidRDefault="00A876F3" w:rsidP="001013AF">
            <w:pPr>
              <w:suppressLineNumbers/>
              <w:suppressAutoHyphens/>
              <w:kinsoku w:val="0"/>
              <w:overflowPunct w:val="0"/>
              <w:autoSpaceDE w:val="0"/>
              <w:autoSpaceDN w:val="0"/>
              <w:adjustRightInd w:val="0"/>
              <w:rPr>
                <w:rFonts w:eastAsia="MS Mincho"/>
                <w:bCs/>
                <w:snapToGrid w:val="0"/>
                <w:color w:val="000000"/>
                <w:kern w:val="22"/>
                <w:szCs w:val="22"/>
              </w:rPr>
            </w:pPr>
            <w:r w:rsidRPr="0088780C">
              <w:rPr>
                <w:rFonts w:eastAsia="MS Mincho"/>
                <w:bCs/>
                <w:snapToGrid w:val="0"/>
                <w:color w:val="000000"/>
                <w:kern w:val="22"/>
                <w:szCs w:val="22"/>
              </w:rPr>
              <w:t>Area contains comparatively higher diversity of ecosystems, habitats, communities, or species, or has higher genetic diversity.</w:t>
            </w:r>
          </w:p>
        </w:tc>
        <w:tc>
          <w:tcPr>
            <w:tcW w:w="684" w:type="pct"/>
            <w:gridSpan w:val="3"/>
            <w:shd w:val="clear" w:color="auto" w:fill="auto"/>
          </w:tcPr>
          <w:p w14:paraId="7E1BCB6F"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0" w:type="pct"/>
            <w:gridSpan w:val="2"/>
            <w:shd w:val="clear" w:color="auto" w:fill="auto"/>
          </w:tcPr>
          <w:p w14:paraId="0B5857B7"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c>
          <w:tcPr>
            <w:tcW w:w="411" w:type="pct"/>
            <w:gridSpan w:val="2"/>
            <w:shd w:val="clear" w:color="auto" w:fill="auto"/>
          </w:tcPr>
          <w:p w14:paraId="5729BAA8"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r w:rsidRPr="0088780C">
              <w:rPr>
                <w:rFonts w:eastAsia="MS Mincho"/>
                <w:bCs/>
                <w:snapToGrid w:val="0"/>
                <w:color w:val="000000"/>
                <w:kern w:val="22"/>
                <w:szCs w:val="22"/>
              </w:rPr>
              <w:t>Х</w:t>
            </w:r>
          </w:p>
        </w:tc>
        <w:tc>
          <w:tcPr>
            <w:tcW w:w="436" w:type="pct"/>
            <w:gridSpan w:val="2"/>
            <w:shd w:val="clear" w:color="auto" w:fill="auto"/>
          </w:tcPr>
          <w:p w14:paraId="76EA9B31" w14:textId="77777777" w:rsidR="00A876F3" w:rsidRPr="0088780C" w:rsidRDefault="00A876F3" w:rsidP="001013AF">
            <w:pPr>
              <w:suppressLineNumbers/>
              <w:suppressAutoHyphens/>
              <w:kinsoku w:val="0"/>
              <w:overflowPunct w:val="0"/>
              <w:autoSpaceDE w:val="0"/>
              <w:autoSpaceDN w:val="0"/>
              <w:adjustRightInd w:val="0"/>
              <w:jc w:val="center"/>
              <w:rPr>
                <w:rFonts w:eastAsia="MS Mincho"/>
                <w:bCs/>
                <w:snapToGrid w:val="0"/>
                <w:color w:val="000000"/>
                <w:kern w:val="22"/>
                <w:szCs w:val="22"/>
              </w:rPr>
            </w:pPr>
          </w:p>
        </w:tc>
      </w:tr>
      <w:tr w:rsidR="00A876F3" w:rsidRPr="0088780C" w14:paraId="72F0422D" w14:textId="77777777" w:rsidTr="006972AD">
        <w:tc>
          <w:tcPr>
            <w:tcW w:w="5000" w:type="pct"/>
            <w:gridSpan w:val="11"/>
            <w:shd w:val="clear" w:color="auto" w:fill="auto"/>
          </w:tcPr>
          <w:p w14:paraId="2ACB09A7"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4A3E061D"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The species abundance in this region does not differ significantly among most groups of organisms. The reasons for this are the complex living conditions: cold, snowless winters, a long flood period, and high summer temperature.</w:t>
            </w:r>
          </w:p>
          <w:p w14:paraId="487D5416"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0B0FA9C3"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The number of fish species (61) is also large enough for a freshwater ecosystem (Никитин, 2003). The ornithofauna, numbering 301 species, is predominantly diverse, mainly a water and a near-water complex (Астраханский заповедник, 1991).</w:t>
            </w:r>
          </w:p>
        </w:tc>
      </w:tr>
      <w:tr w:rsidR="00A876F3" w:rsidRPr="0088780C" w14:paraId="57E065A8" w14:textId="77777777" w:rsidTr="006972AD">
        <w:tc>
          <w:tcPr>
            <w:tcW w:w="783" w:type="pct"/>
            <w:shd w:val="clear" w:color="auto" w:fill="auto"/>
          </w:tcPr>
          <w:p w14:paraId="0627BC3A" w14:textId="77777777" w:rsidR="00A876F3" w:rsidRPr="0088780C" w:rsidRDefault="00A876F3" w:rsidP="001013AF">
            <w:pPr>
              <w:suppressLineNumbers/>
              <w:suppressAutoHyphens/>
              <w:kinsoku w:val="0"/>
              <w:overflowPunct w:val="0"/>
              <w:autoSpaceDE w:val="0"/>
              <w:autoSpaceDN w:val="0"/>
              <w:adjustRightInd w:val="0"/>
              <w:rPr>
                <w:rFonts w:eastAsia="MS Mincho"/>
                <w:b/>
                <w:snapToGrid w:val="0"/>
                <w:color w:val="000000"/>
                <w:kern w:val="22"/>
                <w:szCs w:val="22"/>
              </w:rPr>
            </w:pPr>
            <w:r w:rsidRPr="0088780C">
              <w:rPr>
                <w:rFonts w:eastAsia="MS Mincho"/>
                <w:b/>
                <w:snapToGrid w:val="0"/>
                <w:color w:val="000000"/>
                <w:kern w:val="22"/>
                <w:szCs w:val="22"/>
              </w:rPr>
              <w:t>Naturalness</w:t>
            </w:r>
          </w:p>
        </w:tc>
        <w:tc>
          <w:tcPr>
            <w:tcW w:w="2295" w:type="pct"/>
            <w:gridSpan w:val="2"/>
            <w:shd w:val="clear" w:color="auto" w:fill="auto"/>
          </w:tcPr>
          <w:p w14:paraId="3D6CA48F" w14:textId="77777777"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rFonts w:eastAsia="MS Mincho"/>
                <w:snapToGrid w:val="0"/>
                <w:color w:val="000000"/>
                <w:kern w:val="22"/>
                <w:szCs w:val="22"/>
              </w:rPr>
              <w:t>Area with a comparatively higher degree of naturalness as a result of the lack of or low level of human-induced disturbance or degradation.</w:t>
            </w:r>
          </w:p>
        </w:tc>
        <w:tc>
          <w:tcPr>
            <w:tcW w:w="684" w:type="pct"/>
            <w:gridSpan w:val="3"/>
            <w:shd w:val="clear" w:color="auto" w:fill="auto"/>
          </w:tcPr>
          <w:p w14:paraId="0BF1D13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53" w:type="pct"/>
            <w:gridSpan w:val="2"/>
            <w:shd w:val="clear" w:color="auto" w:fill="auto"/>
          </w:tcPr>
          <w:p w14:paraId="56F4584A"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c>
          <w:tcPr>
            <w:tcW w:w="400" w:type="pct"/>
            <w:gridSpan w:val="2"/>
            <w:shd w:val="clear" w:color="auto" w:fill="auto"/>
          </w:tcPr>
          <w:p w14:paraId="76EBEDE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r w:rsidRPr="0088780C">
              <w:rPr>
                <w:rFonts w:eastAsia="MS Mincho"/>
                <w:snapToGrid w:val="0"/>
                <w:color w:val="000000"/>
                <w:kern w:val="22"/>
                <w:szCs w:val="22"/>
              </w:rPr>
              <w:t>Х</w:t>
            </w:r>
          </w:p>
        </w:tc>
        <w:tc>
          <w:tcPr>
            <w:tcW w:w="385" w:type="pct"/>
            <w:shd w:val="clear" w:color="auto" w:fill="auto"/>
          </w:tcPr>
          <w:p w14:paraId="541229F4" w14:textId="77777777" w:rsidR="00A876F3" w:rsidRPr="0088780C" w:rsidRDefault="00A876F3" w:rsidP="001013AF">
            <w:pPr>
              <w:suppressLineNumbers/>
              <w:suppressAutoHyphens/>
              <w:kinsoku w:val="0"/>
              <w:overflowPunct w:val="0"/>
              <w:autoSpaceDE w:val="0"/>
              <w:autoSpaceDN w:val="0"/>
              <w:adjustRightInd w:val="0"/>
              <w:jc w:val="center"/>
              <w:rPr>
                <w:rFonts w:eastAsia="MS Mincho"/>
                <w:snapToGrid w:val="0"/>
                <w:color w:val="000000"/>
                <w:kern w:val="22"/>
                <w:szCs w:val="22"/>
              </w:rPr>
            </w:pPr>
          </w:p>
        </w:tc>
      </w:tr>
      <w:tr w:rsidR="00A876F3" w:rsidRPr="0088780C" w14:paraId="693B3A2E" w14:textId="77777777" w:rsidTr="006972AD">
        <w:tc>
          <w:tcPr>
            <w:tcW w:w="5000" w:type="pct"/>
            <w:gridSpan w:val="11"/>
            <w:shd w:val="clear" w:color="auto" w:fill="auto"/>
          </w:tcPr>
          <w:p w14:paraId="56A8CD13" w14:textId="77777777" w:rsidR="00A876F3" w:rsidRPr="0088780C" w:rsidRDefault="00A876F3" w:rsidP="001013AF">
            <w:pPr>
              <w:suppressLineNumbers/>
              <w:suppressAutoHyphens/>
              <w:kinsoku w:val="0"/>
              <w:overflowPunct w:val="0"/>
              <w:autoSpaceDE w:val="0"/>
              <w:autoSpaceDN w:val="0"/>
              <w:adjustRightInd w:val="0"/>
              <w:rPr>
                <w:rFonts w:eastAsia="MS Mincho"/>
                <w:bCs/>
                <w:i/>
                <w:iCs/>
                <w:snapToGrid w:val="0"/>
                <w:color w:val="000000"/>
                <w:kern w:val="22"/>
                <w:szCs w:val="22"/>
              </w:rPr>
            </w:pPr>
            <w:r w:rsidRPr="0088780C">
              <w:rPr>
                <w:rFonts w:eastAsia="MS Mincho"/>
                <w:bCs/>
                <w:i/>
                <w:iCs/>
                <w:snapToGrid w:val="0"/>
                <w:color w:val="000000"/>
                <w:kern w:val="22"/>
                <w:szCs w:val="22"/>
              </w:rPr>
              <w:t>Explanation for ranking</w:t>
            </w:r>
          </w:p>
          <w:p w14:paraId="24D03316" w14:textId="47A74A70" w:rsidR="00A876F3" w:rsidRPr="0088780C" w:rsidRDefault="00A876F3" w:rsidP="001013AF">
            <w:pPr>
              <w:suppressLineNumbers/>
              <w:suppressAutoHyphens/>
              <w:kinsoku w:val="0"/>
              <w:overflowPunct w:val="0"/>
              <w:autoSpaceDE w:val="0"/>
              <w:autoSpaceDN w:val="0"/>
              <w:adjustRightInd w:val="0"/>
              <w:rPr>
                <w:snapToGrid w:val="0"/>
                <w:kern w:val="22"/>
                <w:szCs w:val="22"/>
              </w:rPr>
            </w:pPr>
            <w:r w:rsidRPr="0088780C">
              <w:rPr>
                <w:snapToGrid w:val="0"/>
                <w:kern w:val="22"/>
                <w:szCs w:val="22"/>
              </w:rPr>
              <w:t>Despite the high potential for short-term self-restoration, leveling short-term impacts in the area, there are several factors that have a long-term / regular impact: the regulated runoff of the Volga River and the presence of fish-canal channels. These factors lead to some deviations in the watering regime from the natural one (</w:t>
            </w:r>
            <w:r w:rsidRPr="0088780C">
              <w:rPr>
                <w:rFonts w:eastAsia="Times New Roman"/>
                <w:snapToGrid w:val="0"/>
                <w:color w:val="000000"/>
                <w:kern w:val="22"/>
                <w:szCs w:val="22"/>
                <w:lang w:eastAsia="ru-RU"/>
              </w:rPr>
              <w:t>Беляева,</w:t>
            </w:r>
            <w:r w:rsidR="00EC65BD" w:rsidRPr="0088780C">
              <w:rPr>
                <w:rFonts w:eastAsia="Times New Roman"/>
                <w:snapToGrid w:val="0"/>
                <w:color w:val="000000"/>
                <w:kern w:val="22"/>
                <w:szCs w:val="22"/>
                <w:lang w:eastAsia="ru-RU"/>
              </w:rPr>
              <w:t xml:space="preserve"> </w:t>
            </w:r>
            <w:r w:rsidRPr="0088780C">
              <w:rPr>
                <w:rFonts w:eastAsia="Times New Roman"/>
                <w:snapToGrid w:val="0"/>
                <w:color w:val="000000"/>
                <w:kern w:val="22"/>
                <w:szCs w:val="22"/>
                <w:lang w:eastAsia="ru-RU"/>
              </w:rPr>
              <w:t>1998; Катунин, 2012)</w:t>
            </w:r>
            <w:r w:rsidRPr="0088780C">
              <w:rPr>
                <w:snapToGrid w:val="0"/>
                <w:kern w:val="22"/>
                <w:szCs w:val="22"/>
              </w:rPr>
              <w:t>.</w:t>
            </w:r>
          </w:p>
          <w:p w14:paraId="62449D05" w14:textId="77777777" w:rsidR="00A876F3" w:rsidRPr="0088780C" w:rsidRDefault="00A876F3" w:rsidP="001013AF">
            <w:pPr>
              <w:suppressLineNumbers/>
              <w:suppressAutoHyphens/>
              <w:kinsoku w:val="0"/>
              <w:overflowPunct w:val="0"/>
              <w:autoSpaceDE w:val="0"/>
              <w:autoSpaceDN w:val="0"/>
              <w:adjustRightInd w:val="0"/>
              <w:rPr>
                <w:snapToGrid w:val="0"/>
                <w:kern w:val="22"/>
                <w:szCs w:val="22"/>
              </w:rPr>
            </w:pPr>
          </w:p>
          <w:p w14:paraId="7D48B456" w14:textId="7E6A18F0" w:rsidR="00A876F3" w:rsidRPr="0088780C" w:rsidRDefault="00A876F3" w:rsidP="001013AF">
            <w:pPr>
              <w:suppressLineNumbers/>
              <w:suppressAutoHyphens/>
              <w:kinsoku w:val="0"/>
              <w:overflowPunct w:val="0"/>
              <w:autoSpaceDE w:val="0"/>
              <w:autoSpaceDN w:val="0"/>
              <w:adjustRightInd w:val="0"/>
              <w:rPr>
                <w:rFonts w:eastAsia="MS Mincho"/>
                <w:snapToGrid w:val="0"/>
                <w:color w:val="000000"/>
                <w:kern w:val="22"/>
                <w:szCs w:val="22"/>
              </w:rPr>
            </w:pPr>
            <w:r w:rsidRPr="0088780C">
              <w:rPr>
                <w:snapToGrid w:val="0"/>
                <w:kern w:val="22"/>
                <w:szCs w:val="22"/>
              </w:rPr>
              <w:t>In addition, sport fishing and hunting take place in the area.</w:t>
            </w:r>
          </w:p>
        </w:tc>
      </w:tr>
    </w:tbl>
    <w:p w14:paraId="2033E921" w14:textId="77777777" w:rsidR="00A876F3" w:rsidRPr="0088780C" w:rsidRDefault="00A876F3" w:rsidP="001013AF">
      <w:pPr>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kinsoku w:val="0"/>
        <w:overflowPunct w:val="0"/>
        <w:autoSpaceDE w:val="0"/>
        <w:autoSpaceDN w:val="0"/>
        <w:adjustRightInd w:val="0"/>
        <w:rPr>
          <w:rFonts w:eastAsia="MS Mincho"/>
          <w:snapToGrid w:val="0"/>
          <w:color w:val="000000"/>
          <w:kern w:val="22"/>
          <w:szCs w:val="22"/>
        </w:rPr>
      </w:pPr>
    </w:p>
    <w:p w14:paraId="7CC20895" w14:textId="6031AB70" w:rsidR="00971F54" w:rsidRPr="0088780C" w:rsidRDefault="00A876F3" w:rsidP="00971F54">
      <w:pPr>
        <w:keepNext/>
        <w:suppressLineNumbers/>
        <w:suppressAutoHyphens/>
        <w:kinsoku w:val="0"/>
        <w:overflowPunct w:val="0"/>
        <w:autoSpaceDE w:val="0"/>
        <w:autoSpaceDN w:val="0"/>
        <w:adjustRightInd w:val="0"/>
        <w:spacing w:after="60"/>
        <w:rPr>
          <w:rFonts w:eastAsia="MS Mincho"/>
          <w:b/>
          <w:snapToGrid w:val="0"/>
          <w:kern w:val="22"/>
          <w:szCs w:val="22"/>
        </w:rPr>
      </w:pPr>
      <w:r w:rsidRPr="0088780C">
        <w:rPr>
          <w:rFonts w:eastAsia="MS Mincho"/>
          <w:b/>
          <w:snapToGrid w:val="0"/>
          <w:kern w:val="22"/>
          <w:szCs w:val="22"/>
        </w:rPr>
        <w:t>References</w:t>
      </w:r>
    </w:p>
    <w:p w14:paraId="0283587B" w14:textId="3AD03297" w:rsidR="00A876F3" w:rsidRPr="0088780C" w:rsidRDefault="00A876F3" w:rsidP="001013AF">
      <w:pPr>
        <w:suppressLineNumbers/>
        <w:suppressAutoHyphens/>
        <w:kinsoku w:val="0"/>
        <w:overflowPunct w:val="0"/>
        <w:autoSpaceDE w:val="0"/>
        <w:autoSpaceDN w:val="0"/>
        <w:adjustRightInd w:val="0"/>
        <w:spacing w:after="60"/>
        <w:rPr>
          <w:snapToGrid w:val="0"/>
          <w:color w:val="000000"/>
          <w:kern w:val="22"/>
          <w:szCs w:val="22"/>
          <w:lang w:val="ru-RU"/>
        </w:rPr>
      </w:pPr>
      <w:r w:rsidRPr="0088780C">
        <w:rPr>
          <w:snapToGrid w:val="0"/>
          <w:kern w:val="22"/>
          <w:szCs w:val="22"/>
          <w:lang w:val="ru-RU"/>
        </w:rPr>
        <w:t>Астраханский заповедник. 1991. Под ред. Г. А. Кривоносова, Г. В. Русакова. М.: Агропромиздат. 192 с.</w:t>
      </w:r>
    </w:p>
    <w:p w14:paraId="03E610B9"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Белевич Е.Ф.</w:t>
      </w:r>
      <w:r w:rsidRPr="0088780C">
        <w:rPr>
          <w:rStyle w:val="apple-converted-space"/>
          <w:snapToGrid w:val="0"/>
          <w:color w:val="000000"/>
          <w:kern w:val="22"/>
          <w:szCs w:val="22"/>
          <w:lang w:val="ru-RU"/>
        </w:rPr>
        <w:t> </w:t>
      </w:r>
      <w:r w:rsidRPr="0088780C">
        <w:rPr>
          <w:snapToGrid w:val="0"/>
          <w:color w:val="000000"/>
          <w:kern w:val="22"/>
          <w:szCs w:val="22"/>
          <w:lang w:val="ru-RU"/>
        </w:rPr>
        <w:t>Геоморфологическая характеристика авандельты реки Волги // Тр. Астраханского заповедника. 1965. Вып. 10. C. 81-103.</w:t>
      </w:r>
    </w:p>
    <w:p w14:paraId="2C1C38DE" w14:textId="77777777" w:rsidR="00A876F3" w:rsidRPr="0088780C" w:rsidRDefault="00A876F3" w:rsidP="00971F54">
      <w:pPr>
        <w:suppressLineNumbers/>
        <w:shd w:val="clear" w:color="auto" w:fill="FFFFFF"/>
        <w:suppressAutoHyphens/>
        <w:kinsoku w:val="0"/>
        <w:overflowPunct w:val="0"/>
        <w:autoSpaceDE w:val="0"/>
        <w:autoSpaceDN w:val="0"/>
        <w:adjustRightInd w:val="0"/>
        <w:spacing w:after="60"/>
        <w:ind w:left="720" w:hanging="720"/>
        <w:rPr>
          <w:rFonts w:eastAsia="Times New Roman"/>
          <w:snapToGrid w:val="0"/>
          <w:color w:val="000000"/>
          <w:kern w:val="22"/>
          <w:szCs w:val="22"/>
          <w:lang w:val="ru-RU" w:eastAsia="ru-RU"/>
        </w:rPr>
      </w:pPr>
      <w:r w:rsidRPr="0088780C">
        <w:rPr>
          <w:rFonts w:eastAsia="Times New Roman"/>
          <w:snapToGrid w:val="0"/>
          <w:color w:val="000000"/>
          <w:kern w:val="22"/>
          <w:szCs w:val="22"/>
          <w:lang w:val="ru-RU" w:eastAsia="ru-RU"/>
        </w:rPr>
        <w:t>Беляева В.Н., Иванов В.П., Зиланов В.К. Научные основы устойчивого рыболовства и регионального распределения промысловых объектов Каспийского моря.- М.: ВНИРО, 1998. – 167 с.</w:t>
      </w:r>
    </w:p>
    <w:p w14:paraId="51BE54D6" w14:textId="77777777" w:rsidR="00A876F3" w:rsidRPr="0088780C" w:rsidRDefault="00E7219D" w:rsidP="00971F54">
      <w:pPr>
        <w:suppressLineNumbers/>
        <w:suppressAutoHyphens/>
        <w:kinsoku w:val="0"/>
        <w:overflowPunct w:val="0"/>
        <w:autoSpaceDE w:val="0"/>
        <w:autoSpaceDN w:val="0"/>
        <w:adjustRightInd w:val="0"/>
        <w:spacing w:after="60"/>
        <w:ind w:left="720" w:hanging="720"/>
        <w:rPr>
          <w:snapToGrid w:val="0"/>
          <w:kern w:val="22"/>
          <w:szCs w:val="22"/>
          <w:lang w:val="ru-RU"/>
        </w:rPr>
      </w:pPr>
      <w:hyperlink r:id="rId356" w:history="1">
        <w:r w:rsidR="00A876F3" w:rsidRPr="0088780C">
          <w:rPr>
            <w:snapToGrid w:val="0"/>
            <w:kern w:val="22"/>
            <w:szCs w:val="22"/>
            <w:lang w:val="ru-RU"/>
          </w:rPr>
          <w:t>Гаврилов И. Н.</w:t>
        </w:r>
      </w:hyperlink>
      <w:r w:rsidR="00A876F3" w:rsidRPr="0088780C">
        <w:rPr>
          <w:snapToGrid w:val="0"/>
          <w:kern w:val="22"/>
          <w:szCs w:val="22"/>
          <w:lang w:val="ru-RU"/>
        </w:rPr>
        <w:t> Состояние гнездовых колоний веслоногих и голенастых птиц в дельте Волги и на Северном Каспии в 1975-2003 гг. (период подъема уровня Каспия)//Долговременный мониторинг и сохранение колониальных водных птиц Северного Каспия в связи с многолетними колебаниями уровня Каспийского моря. -Астрахань, 2005. -С. 214-268.</w:t>
      </w:r>
    </w:p>
    <w:p w14:paraId="0DC9692E" w14:textId="474BA7D2"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Громов В.В.</w:t>
      </w:r>
      <w:r w:rsidRPr="0088780C">
        <w:rPr>
          <w:snapToGrid w:val="0"/>
          <w:color w:val="000000"/>
          <w:kern w:val="22"/>
          <w:szCs w:val="22"/>
          <w:lang w:val="ru-RU"/>
        </w:rPr>
        <w:t xml:space="preserve"> 2010. </w:t>
      </w:r>
      <w:r w:rsidRPr="0088780C">
        <w:rPr>
          <w:bCs/>
          <w:snapToGrid w:val="0"/>
          <w:color w:val="000000"/>
          <w:kern w:val="22"/>
          <w:szCs w:val="22"/>
          <w:lang w:val="ru-RU"/>
        </w:rPr>
        <w:t>Водная и прибрежно-водная растительность северного Каспия: авандельта р. Волги, калмыцкое и казахское побережья</w:t>
      </w:r>
      <w:r w:rsidR="00EC65BD" w:rsidRPr="0088780C">
        <w:rPr>
          <w:snapToGrid w:val="0"/>
          <w:color w:val="000000"/>
          <w:kern w:val="22"/>
          <w:szCs w:val="22"/>
          <w:lang w:val="ru-RU"/>
        </w:rPr>
        <w:t xml:space="preserve"> </w:t>
      </w:r>
      <w:r w:rsidRPr="0088780C">
        <w:rPr>
          <w:snapToGrid w:val="0"/>
          <w:color w:val="000000"/>
          <w:kern w:val="22"/>
          <w:szCs w:val="22"/>
          <w:lang w:val="ru-RU"/>
        </w:rPr>
        <w:t>Журнал Сибирского федерального университета. Серия: Биология. Т. 3. № 3. С. 250-266.</w:t>
      </w:r>
    </w:p>
    <w:p w14:paraId="02D4B3D3" w14:textId="7E924F6E"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 xml:space="preserve">Зволинский В.П., Мельник И.В., Королев А.В., Меджидов Р.Д. </w:t>
      </w:r>
      <w:r w:rsidRPr="0088780C">
        <w:rPr>
          <w:bCs/>
          <w:snapToGrid w:val="0"/>
          <w:color w:val="000000"/>
          <w:kern w:val="22"/>
          <w:szCs w:val="22"/>
          <w:lang w:val="ru-RU"/>
        </w:rPr>
        <w:t>Численность и распределение охотничьих птиц на территории дельты реки Волга</w:t>
      </w:r>
      <w:r w:rsidR="00EC65BD" w:rsidRPr="0088780C">
        <w:rPr>
          <w:snapToGrid w:val="0"/>
          <w:color w:val="000000"/>
          <w:kern w:val="22"/>
          <w:szCs w:val="22"/>
          <w:lang w:val="ru-RU"/>
        </w:rPr>
        <w:t xml:space="preserve"> </w:t>
      </w:r>
      <w:r w:rsidRPr="0088780C">
        <w:rPr>
          <w:snapToGrid w:val="0"/>
          <w:color w:val="000000"/>
          <w:kern w:val="22"/>
          <w:szCs w:val="22"/>
          <w:lang w:val="ru-RU"/>
        </w:rPr>
        <w:t>Известия Нижневолжского агроуниверситетского комплекса: Наука и высшее профессиональное образование. 2016. № 4 (44). С. 162-170.</w:t>
      </w:r>
    </w:p>
    <w:p w14:paraId="35035C47" w14:textId="77777777" w:rsidR="00A876F3" w:rsidRPr="0088780C" w:rsidRDefault="00A876F3" w:rsidP="00971F54">
      <w:pPr>
        <w:suppressLineNumbers/>
        <w:shd w:val="clear" w:color="auto" w:fill="FFFFFF"/>
        <w:suppressAutoHyphens/>
        <w:kinsoku w:val="0"/>
        <w:overflowPunct w:val="0"/>
        <w:autoSpaceDE w:val="0"/>
        <w:autoSpaceDN w:val="0"/>
        <w:adjustRightInd w:val="0"/>
        <w:spacing w:after="60"/>
        <w:ind w:left="720" w:hanging="720"/>
        <w:rPr>
          <w:rFonts w:eastAsia="Times New Roman"/>
          <w:snapToGrid w:val="0"/>
          <w:color w:val="000000"/>
          <w:kern w:val="22"/>
          <w:szCs w:val="22"/>
          <w:lang w:val="ru-RU" w:eastAsia="ru-RU"/>
        </w:rPr>
      </w:pPr>
      <w:r w:rsidRPr="0088780C">
        <w:rPr>
          <w:rFonts w:eastAsia="Times New Roman"/>
          <w:snapToGrid w:val="0"/>
          <w:color w:val="000000"/>
          <w:kern w:val="22"/>
          <w:szCs w:val="22"/>
          <w:lang w:val="ru-RU" w:eastAsia="ru-RU"/>
        </w:rPr>
        <w:t>Исбеков К.Б., Асылбекова С.Ж., Куликов Е.В., Ким А.И. Браконьерство – один из основных факторов снижения численности осетровых рыб Каспийского бассейна//Астраханский вестник экологического образования, 2015. – № 1(31). – С. 50-57.</w:t>
      </w:r>
    </w:p>
    <w:p w14:paraId="5CF7D33B" w14:textId="657A1543"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en-US"/>
        </w:rPr>
      </w:pPr>
      <w:r w:rsidRPr="0088780C">
        <w:rPr>
          <w:iCs/>
          <w:snapToGrid w:val="0"/>
          <w:color w:val="000000"/>
          <w:kern w:val="22"/>
          <w:szCs w:val="22"/>
          <w:lang w:val="ru-RU"/>
        </w:rPr>
        <w:t>Исеналиева Ж.Н., Волкова И.В.</w:t>
      </w:r>
      <w:r w:rsidRPr="0088780C">
        <w:rPr>
          <w:snapToGrid w:val="0"/>
          <w:color w:val="000000"/>
          <w:kern w:val="22"/>
          <w:szCs w:val="22"/>
          <w:lang w:val="ru-RU"/>
        </w:rPr>
        <w:t xml:space="preserve"> 2012. </w:t>
      </w:r>
      <w:r w:rsidRPr="0088780C">
        <w:rPr>
          <w:bCs/>
          <w:snapToGrid w:val="0"/>
          <w:color w:val="000000"/>
          <w:kern w:val="22"/>
          <w:szCs w:val="22"/>
          <w:lang w:val="ru-RU"/>
        </w:rPr>
        <w:t>Оценка качества среды аквальных комплексов дельты р. Волги</w:t>
      </w:r>
      <w:r w:rsidRPr="0088780C">
        <w:rPr>
          <w:snapToGrid w:val="0"/>
          <w:color w:val="000000"/>
          <w:kern w:val="22"/>
          <w:szCs w:val="22"/>
          <w:lang w:val="ru-RU"/>
        </w:rPr>
        <w:t xml:space="preserve"> // Международный журнал прикладных и фундаментальных исследований. № 1. С. 89.</w:t>
      </w:r>
    </w:p>
    <w:p w14:paraId="2A6F5B32" w14:textId="77777777" w:rsidR="00A876F3" w:rsidRPr="0088780C" w:rsidRDefault="00A876F3" w:rsidP="00971F54">
      <w:pPr>
        <w:suppressLineNumbers/>
        <w:shd w:val="clear" w:color="auto" w:fill="FFFFFF"/>
        <w:suppressAutoHyphens/>
        <w:kinsoku w:val="0"/>
        <w:overflowPunct w:val="0"/>
        <w:autoSpaceDE w:val="0"/>
        <w:autoSpaceDN w:val="0"/>
        <w:adjustRightInd w:val="0"/>
        <w:spacing w:after="60"/>
        <w:ind w:left="720" w:hanging="720"/>
        <w:rPr>
          <w:rFonts w:eastAsia="Times New Roman"/>
          <w:snapToGrid w:val="0"/>
          <w:color w:val="000000"/>
          <w:kern w:val="22"/>
          <w:szCs w:val="22"/>
          <w:lang w:val="ru-RU" w:eastAsia="ru-RU"/>
        </w:rPr>
      </w:pPr>
      <w:r w:rsidRPr="0088780C">
        <w:rPr>
          <w:rFonts w:eastAsia="Times New Roman"/>
          <w:snapToGrid w:val="0"/>
          <w:color w:val="000000"/>
          <w:kern w:val="22"/>
          <w:szCs w:val="22"/>
          <w:lang w:val="ru-RU" w:eastAsia="ru-RU"/>
        </w:rPr>
        <w:t>Камелов А.К., Сокольский А.Ф., Альпеисов Ш.А. Современное состояние и подходы к восстановлению численности русского осетра Урало-Каспийского бассейна. – Алматы, 2005. – 41 с.</w:t>
      </w:r>
    </w:p>
    <w:p w14:paraId="0D0A6210" w14:textId="77777777" w:rsidR="00A876F3" w:rsidRPr="0088780C" w:rsidRDefault="00A876F3" w:rsidP="00971F54">
      <w:pPr>
        <w:suppressLineNumbers/>
        <w:shd w:val="clear" w:color="auto" w:fill="FFFFFF"/>
        <w:suppressAutoHyphens/>
        <w:kinsoku w:val="0"/>
        <w:overflowPunct w:val="0"/>
        <w:autoSpaceDE w:val="0"/>
        <w:autoSpaceDN w:val="0"/>
        <w:adjustRightInd w:val="0"/>
        <w:spacing w:after="60"/>
        <w:ind w:left="720" w:hanging="720"/>
        <w:rPr>
          <w:rFonts w:eastAsia="Times New Roman"/>
          <w:snapToGrid w:val="0"/>
          <w:color w:val="000000"/>
          <w:kern w:val="22"/>
          <w:szCs w:val="22"/>
          <w:lang w:val="ru-RU" w:eastAsia="ru-RU"/>
        </w:rPr>
      </w:pPr>
      <w:r w:rsidRPr="0088780C">
        <w:rPr>
          <w:rFonts w:eastAsia="Times New Roman"/>
          <w:snapToGrid w:val="0"/>
          <w:color w:val="000000"/>
          <w:kern w:val="22"/>
          <w:szCs w:val="22"/>
          <w:lang w:val="ru-RU" w:eastAsia="ru-RU"/>
        </w:rPr>
        <w:t>Каналы-рыбоходы дельты реки Волги/Катунин Д.Н., Хрипунов И.А. и др. – Астрахань: ФГУП «КаспНИИРХ», 2012. – 140 с.</w:t>
      </w:r>
    </w:p>
    <w:p w14:paraId="6260AB92"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Климов В.</w:t>
      </w:r>
      <w:r w:rsidRPr="0088780C">
        <w:rPr>
          <w:snapToGrid w:val="0"/>
          <w:color w:val="000000"/>
          <w:kern w:val="22"/>
          <w:szCs w:val="22"/>
          <w:lang w:val="ru-RU"/>
        </w:rPr>
        <w:t xml:space="preserve"> 2007. </w:t>
      </w:r>
      <w:r w:rsidRPr="0088780C">
        <w:rPr>
          <w:bCs/>
          <w:snapToGrid w:val="0"/>
          <w:color w:val="000000"/>
          <w:kern w:val="22"/>
          <w:szCs w:val="22"/>
          <w:lang w:val="ru-RU"/>
        </w:rPr>
        <w:t>Астраханский заповедник в дельте Волги. очередное путешествие журнала</w:t>
      </w:r>
      <w:r w:rsidRPr="0088780C">
        <w:rPr>
          <w:snapToGrid w:val="0"/>
          <w:color w:val="000000"/>
          <w:kern w:val="22"/>
          <w:szCs w:val="22"/>
          <w:lang w:val="ru-RU"/>
        </w:rPr>
        <w:t>. Экология и жизнь. № 6. С. 52-58.</w:t>
      </w:r>
    </w:p>
    <w:p w14:paraId="31A2DCE0" w14:textId="77777777" w:rsidR="00A876F3" w:rsidRPr="0088780C" w:rsidRDefault="00A876F3" w:rsidP="00971F54">
      <w:pPr>
        <w:suppressLineNumbers/>
        <w:shd w:val="clear" w:color="auto" w:fill="FFFFFF"/>
        <w:suppressAutoHyphens/>
        <w:kinsoku w:val="0"/>
        <w:overflowPunct w:val="0"/>
        <w:autoSpaceDE w:val="0"/>
        <w:autoSpaceDN w:val="0"/>
        <w:adjustRightInd w:val="0"/>
        <w:spacing w:after="60"/>
        <w:ind w:left="720" w:hanging="720"/>
        <w:rPr>
          <w:rFonts w:eastAsia="Times New Roman"/>
          <w:snapToGrid w:val="0"/>
          <w:color w:val="000000"/>
          <w:kern w:val="22"/>
          <w:szCs w:val="22"/>
          <w:lang w:val="ru-RU" w:eastAsia="ru-RU"/>
        </w:rPr>
      </w:pPr>
      <w:r w:rsidRPr="0088780C">
        <w:rPr>
          <w:rFonts w:eastAsia="Times New Roman"/>
          <w:snapToGrid w:val="0"/>
          <w:color w:val="000000"/>
          <w:kern w:val="22"/>
          <w:szCs w:val="22"/>
          <w:lang w:val="ru-RU" w:eastAsia="ru-RU"/>
        </w:rPr>
        <w:t>Ким Ю.А., Куликов Е.В., Кузьменко С.В. Методы подхода сохранения биоресурсов Жайык-Каспийского бассейна// Сб. Управление инновациями в современной науке, 2015. – г. Самара. – С. 21-27.</w:t>
      </w:r>
    </w:p>
    <w:p w14:paraId="5000593D"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bCs/>
          <w:snapToGrid w:val="0"/>
          <w:kern w:val="22"/>
          <w:szCs w:val="22"/>
          <w:shd w:val="clear" w:color="auto" w:fill="FFFFFF"/>
          <w:lang w:val="ru-RU"/>
        </w:rPr>
        <w:t>Красная книга Астраханской области</w:t>
      </w:r>
      <w:r w:rsidRPr="0088780C">
        <w:rPr>
          <w:snapToGrid w:val="0"/>
          <w:kern w:val="22"/>
          <w:szCs w:val="22"/>
          <w:shd w:val="clear" w:color="auto" w:fill="FFFFFF"/>
          <w:lang w:val="ru-RU"/>
        </w:rPr>
        <w:t>/ Астрахань: Астраханский государственный университет, Издательский дом «Астраханский университет», 2014. – 413 с., ил.</w:t>
      </w:r>
    </w:p>
    <w:p w14:paraId="386C4729"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kern w:val="22"/>
          <w:szCs w:val="22"/>
          <w:lang w:val="ru-RU"/>
        </w:rPr>
      </w:pPr>
      <w:r w:rsidRPr="0088780C">
        <w:rPr>
          <w:bCs/>
          <w:snapToGrid w:val="0"/>
          <w:kern w:val="22"/>
          <w:szCs w:val="22"/>
          <w:shd w:val="clear" w:color="auto" w:fill="FFFFFF"/>
          <w:lang w:val="ru-RU"/>
        </w:rPr>
        <w:t>Красная</w:t>
      </w:r>
      <w:r w:rsidRPr="0088780C">
        <w:rPr>
          <w:rStyle w:val="apple-converted-space"/>
          <w:snapToGrid w:val="0"/>
          <w:kern w:val="22"/>
          <w:szCs w:val="22"/>
          <w:shd w:val="clear" w:color="auto" w:fill="FFFFFF"/>
          <w:lang w:val="ru-RU"/>
        </w:rPr>
        <w:t> </w:t>
      </w:r>
      <w:r w:rsidRPr="0088780C">
        <w:rPr>
          <w:bCs/>
          <w:snapToGrid w:val="0"/>
          <w:kern w:val="22"/>
          <w:szCs w:val="22"/>
          <w:shd w:val="clear" w:color="auto" w:fill="FFFFFF"/>
          <w:lang w:val="ru-RU"/>
        </w:rPr>
        <w:t>книга</w:t>
      </w:r>
      <w:r w:rsidRPr="0088780C">
        <w:rPr>
          <w:rStyle w:val="apple-converted-space"/>
          <w:snapToGrid w:val="0"/>
          <w:kern w:val="22"/>
          <w:szCs w:val="22"/>
          <w:shd w:val="clear" w:color="auto" w:fill="FFFFFF"/>
          <w:lang w:val="ru-RU"/>
        </w:rPr>
        <w:t> </w:t>
      </w:r>
      <w:r w:rsidRPr="0088780C">
        <w:rPr>
          <w:snapToGrid w:val="0"/>
          <w:kern w:val="22"/>
          <w:szCs w:val="22"/>
          <w:shd w:val="clear" w:color="auto" w:fill="FFFFFF"/>
          <w:lang w:val="ru-RU"/>
        </w:rPr>
        <w:t>Российской Федерации (растения и грибы)/ министерство</w:t>
      </w:r>
      <w:r w:rsidRPr="0088780C">
        <w:rPr>
          <w:rStyle w:val="apple-converted-space"/>
          <w:snapToGrid w:val="0"/>
          <w:kern w:val="22"/>
          <w:szCs w:val="22"/>
          <w:shd w:val="clear" w:color="auto" w:fill="FFFFFF"/>
          <w:lang w:val="ru-RU"/>
        </w:rPr>
        <w:t> </w:t>
      </w:r>
      <w:r w:rsidRPr="0088780C">
        <w:rPr>
          <w:snapToGrid w:val="0"/>
          <w:kern w:val="22"/>
          <w:szCs w:val="22"/>
          <w:shd w:val="clear" w:color="auto" w:fill="FFFFFF"/>
          <w:lang w:val="ru-RU"/>
        </w:rPr>
        <w:t>природных ресурсов и экологии</w:t>
      </w:r>
      <w:r w:rsidRPr="0088780C">
        <w:rPr>
          <w:rStyle w:val="apple-converted-space"/>
          <w:snapToGrid w:val="0"/>
          <w:kern w:val="22"/>
          <w:szCs w:val="22"/>
          <w:shd w:val="clear" w:color="auto" w:fill="FFFFFF"/>
          <w:lang w:val="ru-RU"/>
        </w:rPr>
        <w:t> </w:t>
      </w:r>
      <w:r w:rsidRPr="0088780C">
        <w:rPr>
          <w:bCs/>
          <w:snapToGrid w:val="0"/>
          <w:kern w:val="22"/>
          <w:szCs w:val="22"/>
          <w:shd w:val="clear" w:color="auto" w:fill="FFFFFF"/>
          <w:lang w:val="ru-RU"/>
        </w:rPr>
        <w:t>РФ</w:t>
      </w:r>
      <w:r w:rsidRPr="0088780C">
        <w:rPr>
          <w:snapToGrid w:val="0"/>
          <w:kern w:val="22"/>
          <w:szCs w:val="22"/>
          <w:shd w:val="clear" w:color="auto" w:fill="FFFFFF"/>
          <w:lang w:val="ru-RU"/>
        </w:rPr>
        <w:t>; Федеральная служба по надзору в</w:t>
      </w:r>
      <w:r w:rsidRPr="0088780C">
        <w:rPr>
          <w:rStyle w:val="apple-converted-space"/>
          <w:snapToGrid w:val="0"/>
          <w:kern w:val="22"/>
          <w:szCs w:val="22"/>
          <w:shd w:val="clear" w:color="auto" w:fill="FFFFFF"/>
          <w:lang w:val="ru-RU"/>
        </w:rPr>
        <w:t> </w:t>
      </w:r>
      <w:r w:rsidRPr="0088780C">
        <w:rPr>
          <w:snapToGrid w:val="0"/>
          <w:kern w:val="22"/>
          <w:szCs w:val="22"/>
          <w:shd w:val="clear" w:color="auto" w:fill="FFFFFF"/>
          <w:lang w:val="ru-RU"/>
        </w:rPr>
        <w:t>сфере </w:t>
      </w:r>
      <w:r w:rsidRPr="0088780C">
        <w:rPr>
          <w:bCs/>
          <w:snapToGrid w:val="0"/>
          <w:kern w:val="22"/>
          <w:szCs w:val="22"/>
          <w:shd w:val="clear" w:color="auto" w:fill="FFFFFF"/>
          <w:lang w:val="ru-RU"/>
        </w:rPr>
        <w:t>...</w:t>
      </w:r>
      <w:r w:rsidRPr="0088780C">
        <w:rPr>
          <w:rStyle w:val="apple-converted-space"/>
          <w:bCs/>
          <w:snapToGrid w:val="0"/>
          <w:kern w:val="22"/>
          <w:szCs w:val="22"/>
          <w:shd w:val="clear" w:color="auto" w:fill="FFFFFF"/>
          <w:lang w:val="ru-RU"/>
        </w:rPr>
        <w:t> </w:t>
      </w:r>
      <w:r w:rsidRPr="0088780C">
        <w:rPr>
          <w:snapToGrid w:val="0"/>
          <w:kern w:val="22"/>
          <w:szCs w:val="22"/>
          <w:shd w:val="clear" w:color="auto" w:fill="FFFFFF"/>
          <w:lang w:val="ru-RU"/>
        </w:rPr>
        <w:t>Р. В. Камелин и др. — М.: Товарищество научных изданий КМК,</w:t>
      </w:r>
      <w:r w:rsidRPr="0088780C">
        <w:rPr>
          <w:rStyle w:val="apple-converted-space"/>
          <w:snapToGrid w:val="0"/>
          <w:kern w:val="22"/>
          <w:szCs w:val="22"/>
          <w:shd w:val="clear" w:color="auto" w:fill="FFFFFF"/>
          <w:lang w:val="ru-RU"/>
        </w:rPr>
        <w:t> </w:t>
      </w:r>
      <w:r w:rsidRPr="0088780C">
        <w:rPr>
          <w:bCs/>
          <w:snapToGrid w:val="0"/>
          <w:kern w:val="22"/>
          <w:szCs w:val="22"/>
          <w:shd w:val="clear" w:color="auto" w:fill="FFFFFF"/>
          <w:lang w:val="ru-RU"/>
        </w:rPr>
        <w:t>2008</w:t>
      </w:r>
      <w:r w:rsidRPr="0088780C">
        <w:rPr>
          <w:snapToGrid w:val="0"/>
          <w:kern w:val="22"/>
          <w:szCs w:val="22"/>
          <w:shd w:val="clear" w:color="auto" w:fill="FFFFFF"/>
          <w:lang w:val="ru-RU"/>
        </w:rPr>
        <w:t>.</w:t>
      </w:r>
    </w:p>
    <w:p w14:paraId="2CF2CD1B"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rFonts w:eastAsia="Times New Roman"/>
          <w:snapToGrid w:val="0"/>
          <w:kern w:val="22"/>
          <w:szCs w:val="22"/>
          <w:lang w:val="ru-RU" w:eastAsia="ru-RU"/>
        </w:rPr>
        <w:t xml:space="preserve">Никитин Э.В., Кушнаренко Р.Э., Хара-Лемайтре А.И. 2003. Особенности распределения и качественная структура полупроходных и туводных рыб в западной зоне мелководий Северного Каспия. Астрахань: КаспНИРХ. С.276. </w:t>
      </w:r>
    </w:p>
    <w:p w14:paraId="79B35D25" w14:textId="77777777" w:rsidR="00A876F3" w:rsidRPr="0088780C" w:rsidRDefault="00A876F3" w:rsidP="00971F54">
      <w:pPr>
        <w:suppressLineNumbers/>
        <w:shd w:val="clear" w:color="auto" w:fill="FFFFFF"/>
        <w:suppressAutoHyphens/>
        <w:kinsoku w:val="0"/>
        <w:overflowPunct w:val="0"/>
        <w:autoSpaceDE w:val="0"/>
        <w:autoSpaceDN w:val="0"/>
        <w:adjustRightInd w:val="0"/>
        <w:spacing w:after="60"/>
        <w:ind w:left="720" w:hanging="720"/>
        <w:rPr>
          <w:rFonts w:eastAsia="Times New Roman"/>
          <w:snapToGrid w:val="0"/>
          <w:color w:val="000000"/>
          <w:kern w:val="22"/>
          <w:szCs w:val="22"/>
          <w:lang w:val="ru-RU" w:eastAsia="ru-RU"/>
        </w:rPr>
      </w:pPr>
      <w:r w:rsidRPr="0088780C">
        <w:rPr>
          <w:rFonts w:eastAsia="Times New Roman"/>
          <w:snapToGrid w:val="0"/>
          <w:color w:val="000000"/>
          <w:kern w:val="22"/>
          <w:szCs w:val="22"/>
          <w:lang w:val="ru-RU" w:eastAsia="ru-RU"/>
        </w:rPr>
        <w:t>Определение рыбопродуктивности рыбохозяйственных водоемов и/или их участков, разработка биологических обоснований ОДУ и ООПТ, режиму и регулированию рыболовства на водоемах международного, республиканского и местного значений Жайык-Каспийского бассейна. Раздел: Река Жайык с предустьевым пространством, река Кигаш с предустьевым пространством, буферная зона государственного природного резервата «АкЖайык» (закл.)//Биологическое обоснование. – ТОО «КазНИИРХ», 2016. – 261 с.</w:t>
      </w:r>
    </w:p>
    <w:p w14:paraId="71095A8F" w14:textId="77777777" w:rsidR="00A876F3" w:rsidRPr="0088780C" w:rsidRDefault="00A876F3" w:rsidP="00971F54">
      <w:pPr>
        <w:keepLines/>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Попова Н.В., Курапов А.А., Умербаева Р.И., Монахов С.К., Зубанов С.А., Непоменко Л.Ф., Лобов А.Л., Елисов В.В., Батов В.И., Островская Е.В., Макарова Е.Н., Васильева Т.В., Кашин Д.В., Литвинов К.В., Русанов Г.М., Курманбаева А.Р., Соколова И.В.</w:t>
      </w:r>
      <w:r w:rsidRPr="0088780C">
        <w:rPr>
          <w:snapToGrid w:val="0"/>
          <w:color w:val="000000"/>
          <w:kern w:val="22"/>
          <w:szCs w:val="22"/>
          <w:lang w:val="ru-RU"/>
        </w:rPr>
        <w:t xml:space="preserve"> 2015. </w:t>
      </w:r>
      <w:r w:rsidRPr="0088780C">
        <w:rPr>
          <w:bCs/>
          <w:snapToGrid w:val="0"/>
          <w:color w:val="000000"/>
          <w:kern w:val="22"/>
          <w:szCs w:val="22"/>
          <w:lang w:val="ru-RU"/>
        </w:rPr>
        <w:t>Состояние природной среды мелководной части Северного Каспия.</w:t>
      </w:r>
      <w:r w:rsidRPr="0088780C">
        <w:rPr>
          <w:snapToGrid w:val="0"/>
          <w:color w:val="000000"/>
          <w:kern w:val="22"/>
          <w:szCs w:val="22"/>
          <w:lang w:val="ru-RU"/>
        </w:rPr>
        <w:t xml:space="preserve"> Астрахань. 118 с.</w:t>
      </w:r>
    </w:p>
    <w:p w14:paraId="0EE4258D" w14:textId="77777777" w:rsidR="00A876F3" w:rsidRPr="0088780C" w:rsidRDefault="00A876F3" w:rsidP="00971F54">
      <w:pPr>
        <w:suppressLineNumbers/>
        <w:shd w:val="clear" w:color="auto" w:fill="FFFFFF"/>
        <w:suppressAutoHyphens/>
        <w:kinsoku w:val="0"/>
        <w:overflowPunct w:val="0"/>
        <w:autoSpaceDE w:val="0"/>
        <w:autoSpaceDN w:val="0"/>
        <w:adjustRightInd w:val="0"/>
        <w:spacing w:after="60"/>
        <w:ind w:left="720" w:hanging="720"/>
        <w:rPr>
          <w:rFonts w:eastAsia="Times New Roman"/>
          <w:snapToGrid w:val="0"/>
          <w:color w:val="000000"/>
          <w:kern w:val="22"/>
          <w:szCs w:val="22"/>
          <w:lang w:val="ru-RU" w:eastAsia="ru-RU"/>
        </w:rPr>
      </w:pPr>
      <w:r w:rsidRPr="0088780C">
        <w:rPr>
          <w:rFonts w:eastAsia="Times New Roman"/>
          <w:snapToGrid w:val="0"/>
          <w:color w:val="000000"/>
          <w:kern w:val="22"/>
          <w:szCs w:val="22"/>
          <w:lang w:val="ru-RU" w:eastAsia="ru-RU"/>
        </w:rPr>
        <w:t>Проведение комплексных морских исследований по оценке состояния биологических ресурсов казахстанской части Каспийского моря//Биологическое обоснование. – ТОО «КАПЭ», Алматы, 2015. – 163 с.</w:t>
      </w:r>
    </w:p>
    <w:p w14:paraId="6181409A"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Раскурин В.Н.</w:t>
      </w:r>
      <w:r w:rsidRPr="0088780C">
        <w:rPr>
          <w:snapToGrid w:val="0"/>
          <w:color w:val="000000"/>
          <w:kern w:val="22"/>
          <w:szCs w:val="22"/>
          <w:lang w:val="ru-RU"/>
        </w:rPr>
        <w:t xml:space="preserve"> 2016. </w:t>
      </w:r>
      <w:r w:rsidRPr="0088780C">
        <w:rPr>
          <w:bCs/>
          <w:snapToGrid w:val="0"/>
          <w:color w:val="000000"/>
          <w:kern w:val="22"/>
          <w:szCs w:val="22"/>
          <w:lang w:val="ru-RU"/>
        </w:rPr>
        <w:t>Влияние изменений водного стока Волги и колебаний уровня Каспийского моря на состояние экосистем низовий дельты Волги</w:t>
      </w:r>
      <w:r w:rsidRPr="0088780C">
        <w:rPr>
          <w:snapToGrid w:val="0"/>
          <w:color w:val="000000"/>
          <w:kern w:val="22"/>
          <w:szCs w:val="22"/>
          <w:lang w:val="ru-RU"/>
        </w:rPr>
        <w:br/>
        <w:t>В сборнике: Биоразнообразие: глобальные и региональные процессы материалы Всероссийской конференции молодых ученых с международным участием. Институт общей и экспериментальной биологии СО РАН. С. 204.</w:t>
      </w:r>
    </w:p>
    <w:p w14:paraId="36983E7F"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Реуцкий Н.Д.</w:t>
      </w:r>
      <w:r w:rsidRPr="0088780C">
        <w:rPr>
          <w:snapToGrid w:val="0"/>
          <w:color w:val="000000"/>
          <w:kern w:val="22"/>
          <w:szCs w:val="22"/>
          <w:lang w:val="ru-RU"/>
        </w:rPr>
        <w:t xml:space="preserve"> 2014а. </w:t>
      </w:r>
      <w:r w:rsidRPr="0088780C">
        <w:rPr>
          <w:bCs/>
          <w:snapToGrid w:val="0"/>
          <w:color w:val="000000"/>
          <w:kern w:val="22"/>
          <w:szCs w:val="22"/>
          <w:lang w:val="ru-RU"/>
        </w:rPr>
        <w:t>Аннотированный список птиц астраханского региона с указанием их распределения по природно-территориальным комплексам</w:t>
      </w:r>
      <w:r w:rsidRPr="0088780C">
        <w:rPr>
          <w:snapToGrid w:val="0"/>
          <w:color w:val="000000"/>
          <w:kern w:val="22"/>
          <w:szCs w:val="22"/>
          <w:lang w:val="ru-RU"/>
        </w:rPr>
        <w:t xml:space="preserve"> Астраханский вестник экологического образования. № 1 (27). С. 159-208.</w:t>
      </w:r>
    </w:p>
    <w:p w14:paraId="09A24CDB"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Реуцкий Н.Д.</w:t>
      </w:r>
      <w:r w:rsidRPr="0088780C">
        <w:rPr>
          <w:snapToGrid w:val="0"/>
          <w:color w:val="000000"/>
          <w:kern w:val="22"/>
          <w:szCs w:val="22"/>
          <w:lang w:val="ru-RU"/>
        </w:rPr>
        <w:t xml:space="preserve"> 2014б. </w:t>
      </w:r>
      <w:r w:rsidRPr="0088780C">
        <w:rPr>
          <w:bCs/>
          <w:snapToGrid w:val="0"/>
          <w:color w:val="000000"/>
          <w:kern w:val="22"/>
          <w:szCs w:val="22"/>
          <w:lang w:val="ru-RU"/>
        </w:rPr>
        <w:t>Аннотированный список птиц астраханского региона с указанием их распределения по природно-территориальным комплексам</w:t>
      </w:r>
      <w:r w:rsidRPr="0088780C">
        <w:rPr>
          <w:snapToGrid w:val="0"/>
          <w:color w:val="000000"/>
          <w:kern w:val="22"/>
          <w:szCs w:val="22"/>
          <w:lang w:val="ru-RU"/>
        </w:rPr>
        <w:t xml:space="preserve"> Астраханский вестник экологического образования. № 2 (28). С. 121-159.</w:t>
      </w:r>
    </w:p>
    <w:p w14:paraId="326B224F"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Реуцкий Н.Д.</w:t>
      </w:r>
      <w:r w:rsidRPr="0088780C">
        <w:rPr>
          <w:snapToGrid w:val="0"/>
          <w:color w:val="000000"/>
          <w:kern w:val="22"/>
          <w:szCs w:val="22"/>
          <w:lang w:val="ru-RU"/>
        </w:rPr>
        <w:t xml:space="preserve"> 2014в. </w:t>
      </w:r>
      <w:r w:rsidRPr="0088780C">
        <w:rPr>
          <w:bCs/>
          <w:snapToGrid w:val="0"/>
          <w:color w:val="000000"/>
          <w:kern w:val="22"/>
          <w:szCs w:val="22"/>
          <w:lang w:val="ru-RU"/>
        </w:rPr>
        <w:t>Аннотированный список птиц астраханского региона с указанием их распределения по природно-территориальным комплексам</w:t>
      </w:r>
      <w:r w:rsidRPr="0088780C">
        <w:rPr>
          <w:snapToGrid w:val="0"/>
          <w:color w:val="000000"/>
          <w:kern w:val="22"/>
          <w:szCs w:val="22"/>
          <w:lang w:val="ru-RU"/>
        </w:rPr>
        <w:t xml:space="preserve"> Астраханский вестник экологического образования. № 3 (29). С. 91-153.</w:t>
      </w:r>
    </w:p>
    <w:p w14:paraId="531005BE"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Реуцкий Н.Д.</w:t>
      </w:r>
      <w:r w:rsidRPr="0088780C">
        <w:rPr>
          <w:snapToGrid w:val="0"/>
          <w:color w:val="000000"/>
          <w:kern w:val="22"/>
          <w:szCs w:val="22"/>
          <w:lang w:val="ru-RU"/>
        </w:rPr>
        <w:t xml:space="preserve"> 2014г. </w:t>
      </w:r>
      <w:r w:rsidRPr="0088780C">
        <w:rPr>
          <w:bCs/>
          <w:snapToGrid w:val="0"/>
          <w:color w:val="000000"/>
          <w:kern w:val="22"/>
          <w:szCs w:val="22"/>
          <w:lang w:val="ru-RU"/>
        </w:rPr>
        <w:t>Аннотированный список птиц астраханского региона с указанием их распределения по природно-территориальным комплексам</w:t>
      </w:r>
      <w:r w:rsidRPr="0088780C">
        <w:rPr>
          <w:snapToGrid w:val="0"/>
          <w:color w:val="000000"/>
          <w:kern w:val="22"/>
          <w:szCs w:val="22"/>
          <w:lang w:val="ru-RU"/>
        </w:rPr>
        <w:t xml:space="preserve"> Астраханский вестник экологического образования. № 4 (30). С. 109-180.</w:t>
      </w:r>
    </w:p>
    <w:p w14:paraId="28B92A15"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Реуцкий Н.Д.</w:t>
      </w:r>
      <w:r w:rsidRPr="0088780C">
        <w:rPr>
          <w:snapToGrid w:val="0"/>
          <w:color w:val="000000"/>
          <w:kern w:val="22"/>
          <w:szCs w:val="22"/>
          <w:lang w:val="ru-RU"/>
        </w:rPr>
        <w:t xml:space="preserve"> 2015а. </w:t>
      </w:r>
      <w:r w:rsidRPr="0088780C">
        <w:rPr>
          <w:bCs/>
          <w:snapToGrid w:val="0"/>
          <w:color w:val="000000"/>
          <w:kern w:val="22"/>
          <w:szCs w:val="22"/>
          <w:lang w:val="ru-RU"/>
        </w:rPr>
        <w:t>Аннотированный список птиц астраханского региона с указанием их распределения по природно-территориальным комплексам</w:t>
      </w:r>
      <w:r w:rsidRPr="0088780C">
        <w:rPr>
          <w:snapToGrid w:val="0"/>
          <w:color w:val="000000"/>
          <w:kern w:val="22"/>
          <w:szCs w:val="22"/>
          <w:lang w:val="ru-RU"/>
        </w:rPr>
        <w:t xml:space="preserve"> Астраханский вестник экологического образования. № 1 (31). С. 75-108.</w:t>
      </w:r>
    </w:p>
    <w:p w14:paraId="62903C39"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Реуцкий Н.Д.</w:t>
      </w:r>
      <w:r w:rsidRPr="0088780C">
        <w:rPr>
          <w:snapToGrid w:val="0"/>
          <w:color w:val="000000"/>
          <w:kern w:val="22"/>
          <w:szCs w:val="22"/>
          <w:lang w:val="ru-RU"/>
        </w:rPr>
        <w:t xml:space="preserve"> 2015б. </w:t>
      </w:r>
      <w:r w:rsidRPr="0088780C">
        <w:rPr>
          <w:bCs/>
          <w:snapToGrid w:val="0"/>
          <w:color w:val="000000"/>
          <w:kern w:val="22"/>
          <w:szCs w:val="22"/>
          <w:lang w:val="ru-RU"/>
        </w:rPr>
        <w:t>Аннотированный список птиц астраханского региона с указанием их распределения по природно-территориальным комплексам</w:t>
      </w:r>
      <w:r w:rsidRPr="0088780C">
        <w:rPr>
          <w:snapToGrid w:val="0"/>
          <w:color w:val="000000"/>
          <w:kern w:val="22"/>
          <w:szCs w:val="22"/>
          <w:lang w:val="ru-RU"/>
        </w:rPr>
        <w:t xml:space="preserve"> Астраханский вестник экологического образования. № 3 (33). С. 27-88.</w:t>
      </w:r>
    </w:p>
    <w:p w14:paraId="52633351"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iCs/>
          <w:snapToGrid w:val="0"/>
          <w:color w:val="000000"/>
          <w:kern w:val="22"/>
          <w:szCs w:val="22"/>
          <w:lang w:val="ru-RU"/>
        </w:rPr>
        <w:t>Русанов Г.М.</w:t>
      </w:r>
      <w:r w:rsidRPr="0088780C">
        <w:rPr>
          <w:snapToGrid w:val="0"/>
          <w:color w:val="000000"/>
          <w:kern w:val="22"/>
          <w:szCs w:val="22"/>
          <w:lang w:val="ru-RU"/>
        </w:rPr>
        <w:t xml:space="preserve"> 2013. </w:t>
      </w:r>
      <w:r w:rsidRPr="0088780C">
        <w:rPr>
          <w:bCs/>
          <w:snapToGrid w:val="0"/>
          <w:color w:val="000000"/>
          <w:kern w:val="22"/>
          <w:szCs w:val="22"/>
          <w:lang w:val="ru-RU"/>
        </w:rPr>
        <w:t>Птичье население низовьев дельты Волги в условиях изменений гидрологического режима и антропогенных нагрузок (1969-2010)</w:t>
      </w:r>
      <w:r w:rsidRPr="0088780C">
        <w:rPr>
          <w:snapToGrid w:val="0"/>
          <w:color w:val="000000"/>
          <w:kern w:val="22"/>
          <w:szCs w:val="22"/>
          <w:lang w:val="ru-RU"/>
        </w:rPr>
        <w:br/>
        <w:t>Астраханский вестник экологического образования. № 4 (26). С. 89-109.</w:t>
      </w:r>
    </w:p>
    <w:p w14:paraId="42B497BF"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snapToGrid w:val="0"/>
          <w:color w:val="000000"/>
          <w:kern w:val="22"/>
          <w:szCs w:val="22"/>
          <w:lang w:val="ru-RU"/>
        </w:rPr>
        <w:t xml:space="preserve">Чуйков Юрий Сергеевич Особенности структуры биогеоценозов колониальных гнездовий веслоногих и голенастых птиц в дельте Волги // Рус. орнитол. журн.. 2012. №776. </w:t>
      </w:r>
    </w:p>
    <w:p w14:paraId="252E54C1"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color w:val="000000"/>
          <w:kern w:val="22"/>
          <w:szCs w:val="22"/>
          <w:lang w:val="ru-RU"/>
        </w:rPr>
      </w:pPr>
      <w:r w:rsidRPr="0088780C">
        <w:rPr>
          <w:snapToGrid w:val="0"/>
          <w:color w:val="000000"/>
          <w:kern w:val="22"/>
          <w:szCs w:val="22"/>
          <w:lang w:val="ru-RU"/>
        </w:rPr>
        <w:t>Шабоянц Н. Г., Шипулин С. В. Формирование биопродуктивности Северного Каспия // Юг России: экология, развитие. 2011. №3.</w:t>
      </w:r>
    </w:p>
    <w:p w14:paraId="7D7625D5" w14:textId="77777777" w:rsidR="00A876F3" w:rsidRPr="0088780C" w:rsidRDefault="00A876F3" w:rsidP="00971F54">
      <w:pPr>
        <w:pStyle w:val="NormalWeb"/>
        <w:suppressLineNumbers/>
        <w:shd w:val="clear" w:color="auto" w:fill="FFFFFF"/>
        <w:suppressAutoHyphens/>
        <w:kinsoku w:val="0"/>
        <w:overflowPunct w:val="0"/>
        <w:autoSpaceDE w:val="0"/>
        <w:autoSpaceDN w:val="0"/>
        <w:adjustRightInd w:val="0"/>
        <w:spacing w:before="0" w:beforeAutospacing="0" w:after="60" w:afterAutospacing="0"/>
        <w:ind w:left="720" w:hanging="720"/>
        <w:jc w:val="both"/>
        <w:rPr>
          <w:snapToGrid w:val="0"/>
          <w:color w:val="000000"/>
          <w:kern w:val="22"/>
          <w:sz w:val="22"/>
          <w:szCs w:val="22"/>
          <w:lang w:val="en-GB"/>
        </w:rPr>
      </w:pPr>
      <w:r w:rsidRPr="0088780C">
        <w:rPr>
          <w:snapToGrid w:val="0"/>
          <w:color w:val="000000"/>
          <w:kern w:val="22"/>
          <w:sz w:val="22"/>
          <w:szCs w:val="22"/>
          <w:lang w:val="en-GB"/>
        </w:rPr>
        <w:t>BirdLife International, 2017a. Important Bird Areas factsheet: Volga Delta. Downloaded from http://datazone.birdlife.org/site/factsheet/volga-delta-iba-russia-(european)/text on 27/04/2017</w:t>
      </w:r>
    </w:p>
    <w:p w14:paraId="389665A6" w14:textId="77777777" w:rsidR="00A876F3" w:rsidRPr="0088780C" w:rsidRDefault="00A876F3" w:rsidP="00971F54">
      <w:pPr>
        <w:pStyle w:val="NormalWeb"/>
        <w:suppressLineNumbers/>
        <w:shd w:val="clear" w:color="auto" w:fill="FFFFFF"/>
        <w:suppressAutoHyphens/>
        <w:kinsoku w:val="0"/>
        <w:overflowPunct w:val="0"/>
        <w:autoSpaceDE w:val="0"/>
        <w:autoSpaceDN w:val="0"/>
        <w:adjustRightInd w:val="0"/>
        <w:spacing w:before="0" w:beforeAutospacing="0" w:after="60" w:afterAutospacing="0"/>
        <w:ind w:left="720" w:hanging="720"/>
        <w:jc w:val="both"/>
        <w:rPr>
          <w:snapToGrid w:val="0"/>
          <w:color w:val="000000"/>
          <w:kern w:val="22"/>
          <w:sz w:val="22"/>
          <w:szCs w:val="22"/>
          <w:lang w:val="en-GB"/>
        </w:rPr>
      </w:pPr>
      <w:r w:rsidRPr="0088780C">
        <w:rPr>
          <w:snapToGrid w:val="0"/>
          <w:color w:val="000000"/>
          <w:kern w:val="22"/>
          <w:sz w:val="22"/>
          <w:szCs w:val="22"/>
          <w:lang w:val="en-GB"/>
        </w:rPr>
        <w:t>BirdLife International 2017b. IUCN Red List for birds. Downloaded from</w:t>
      </w:r>
      <w:r w:rsidRPr="0088780C">
        <w:rPr>
          <w:rStyle w:val="apple-converted-space"/>
          <w:snapToGrid w:val="0"/>
          <w:color w:val="000000"/>
          <w:kern w:val="22"/>
          <w:sz w:val="22"/>
          <w:szCs w:val="22"/>
          <w:lang w:val="en-GB"/>
        </w:rPr>
        <w:t> </w:t>
      </w:r>
      <w:hyperlink r:id="rId357" w:tgtFrame="_blank" w:history="1">
        <w:r w:rsidRPr="0088780C">
          <w:rPr>
            <w:rStyle w:val="Hyperlink"/>
            <w:snapToGrid w:val="0"/>
            <w:kern w:val="22"/>
            <w:sz w:val="22"/>
            <w:szCs w:val="22"/>
            <w:lang w:val="en-GB"/>
          </w:rPr>
          <w:t>http://www.birdlife.org</w:t>
        </w:r>
      </w:hyperlink>
      <w:r w:rsidRPr="0088780C">
        <w:rPr>
          <w:rStyle w:val="apple-converted-space"/>
          <w:snapToGrid w:val="0"/>
          <w:color w:val="000000"/>
          <w:kern w:val="22"/>
          <w:sz w:val="22"/>
          <w:szCs w:val="22"/>
          <w:lang w:val="en-GB"/>
        </w:rPr>
        <w:t> </w:t>
      </w:r>
      <w:r w:rsidRPr="0088780C">
        <w:rPr>
          <w:snapToGrid w:val="0"/>
          <w:color w:val="000000"/>
          <w:kern w:val="22"/>
          <w:sz w:val="22"/>
          <w:szCs w:val="22"/>
          <w:lang w:val="en-GB"/>
        </w:rPr>
        <w:t>on 27/04/2017.</w:t>
      </w:r>
    </w:p>
    <w:p w14:paraId="7CC66226"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Hänﬂing B., Dümpelmann C., Bogutskaya N.G., Brandl R. &amp; Brändle M. 2009. Shallow phylogeographic structuring of Vimba vimba L. across Europe suggests two distinct refugia during the last glaciation. </w:t>
      </w:r>
      <w:r w:rsidRPr="0088780C">
        <w:rPr>
          <w:i/>
          <w:snapToGrid w:val="0"/>
          <w:kern w:val="22"/>
          <w:szCs w:val="22"/>
        </w:rPr>
        <w:t>Journal of Fish Biology</w:t>
      </w:r>
      <w:r w:rsidRPr="0088780C">
        <w:rPr>
          <w:snapToGrid w:val="0"/>
          <w:kern w:val="22"/>
          <w:szCs w:val="22"/>
        </w:rPr>
        <w:t>, 75(9): 2269–2286.</w:t>
      </w:r>
    </w:p>
    <w:p w14:paraId="61B04BA1"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Levin B.A., Simonov E.P., Ermakov O.A., Levina M.A., Interesova E.A., Kovalchuk O.M., Malinina Y.A., Mamilov N.S., Mustafayev N.J., Pilin D.V., Pozdeev I.V., Prostakov N.I., Roubenyan H.R., Titov S.V. &amp; Vekhov D.A. 2016. Phylogeny and phylogeography of the roaches, genus Rutilus (Cyprinidae), at the Eastern part of its range as inferred from mtDNA analysis. [online] Springer International Publishing Switzerland. Available from: </w:t>
      </w:r>
      <w:hyperlink r:id="rId358" w:history="1">
        <w:r w:rsidRPr="0088780C">
          <w:rPr>
            <w:rStyle w:val="Hyperlink"/>
            <w:snapToGrid w:val="0"/>
            <w:kern w:val="22"/>
            <w:szCs w:val="22"/>
          </w:rPr>
          <w:t>https://www.researchgate.net/profile/Oleksandr_Kovalchuk2/publication/308231044_Phylogeny_and_phylogeography_of_the_roaches_genus_Rutilus_Cyprinidae_at_the_Eastern_part_of_its_range_as_inferred_from_mtDNA_analysis/links/57dedcbe08aeea19593b50c0.pdf?origin=publication_list</w:t>
        </w:r>
      </w:hyperlink>
      <w:r w:rsidRPr="0088780C">
        <w:rPr>
          <w:snapToGrid w:val="0"/>
          <w:kern w:val="22"/>
          <w:szCs w:val="22"/>
        </w:rPr>
        <w:t xml:space="preserve"> [updated 6 September 2016; visited 1 Dezember 2016].</w:t>
      </w:r>
    </w:p>
    <w:p w14:paraId="43525B32"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Litvinov K.V. &amp; Podolyako S.A. 2013. The species composition and status for ichtyofauna of the Volga delta lowlands in 2006–2011 in Astrakhan State Universe Reserve. Identiﬁcation keys for ﬁsh and invertebrates. </w:t>
      </w:r>
      <w:r w:rsidRPr="0088780C">
        <w:rPr>
          <w:i/>
          <w:snapToGrid w:val="0"/>
          <w:kern w:val="22"/>
          <w:szCs w:val="22"/>
        </w:rPr>
        <w:t>In</w:t>
      </w:r>
      <w:r w:rsidRPr="0088780C">
        <w:rPr>
          <w:snapToGrid w:val="0"/>
          <w:kern w:val="22"/>
          <w:szCs w:val="22"/>
        </w:rPr>
        <w:t xml:space="preserve">: </w:t>
      </w:r>
      <w:r w:rsidRPr="0088780C">
        <w:rPr>
          <w:i/>
          <w:snapToGrid w:val="0"/>
          <w:kern w:val="22"/>
          <w:szCs w:val="22"/>
        </w:rPr>
        <w:t>Opredelitel` ryb I bespozvonochnykh Kaspiyskovo morya. Ryby I mollyuski.</w:t>
      </w:r>
      <w:r w:rsidRPr="0088780C">
        <w:rPr>
          <w:snapToGrid w:val="0"/>
          <w:kern w:val="22"/>
          <w:szCs w:val="22"/>
        </w:rPr>
        <w:t xml:space="preserve"> Identiﬁcation keys for ﬁsh and invertebrates. Fish and mollusks]. 1 St. Peterburg–Moskow: KMK Scientiﬁc Press Ltd.: 516–525. (In Russian)</w:t>
      </w:r>
    </w:p>
    <w:p w14:paraId="498162BB" w14:textId="77777777"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Naseka A.M. &amp; Bogutskaya N.G. 2009. Fishes of the Caspian Sea: zoogeography and updated check-list. </w:t>
      </w:r>
      <w:r w:rsidRPr="0088780C">
        <w:rPr>
          <w:i/>
          <w:snapToGrid w:val="0"/>
          <w:kern w:val="22"/>
          <w:szCs w:val="22"/>
        </w:rPr>
        <w:t>Zoosystematica Rossica</w:t>
      </w:r>
      <w:r w:rsidRPr="0088780C">
        <w:rPr>
          <w:snapToGrid w:val="0"/>
          <w:kern w:val="22"/>
          <w:szCs w:val="22"/>
        </w:rPr>
        <w:t>, 18: 295–317.</w:t>
      </w:r>
    </w:p>
    <w:p w14:paraId="03B58A69" w14:textId="79C26DCA" w:rsidR="00A876F3" w:rsidRPr="0088780C" w:rsidRDefault="00A876F3" w:rsidP="00971F54">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Podolyako S.A., Fedorovich V.V., Litvinov K.V. 2017. The ichthyofauna catalogue of the Astrakhan Nature Reserve. Zoosystematika Rossica. №1 (in print)</w:t>
      </w:r>
      <w:r w:rsidR="00EC65BD" w:rsidRPr="0088780C">
        <w:rPr>
          <w:snapToGrid w:val="0"/>
          <w:kern w:val="22"/>
          <w:szCs w:val="22"/>
        </w:rPr>
        <w:t>.</w:t>
      </w:r>
    </w:p>
    <w:p w14:paraId="668B95E4" w14:textId="1DD7C58D" w:rsidR="00A876F3" w:rsidRPr="0088780C" w:rsidRDefault="00A876F3" w:rsidP="00971F54">
      <w:pPr>
        <w:pStyle w:val="NormalWeb"/>
        <w:suppressLineNumbers/>
        <w:shd w:val="clear" w:color="auto" w:fill="FFFFFF"/>
        <w:suppressAutoHyphens/>
        <w:kinsoku w:val="0"/>
        <w:overflowPunct w:val="0"/>
        <w:autoSpaceDE w:val="0"/>
        <w:autoSpaceDN w:val="0"/>
        <w:adjustRightInd w:val="0"/>
        <w:spacing w:before="0" w:beforeAutospacing="0" w:after="60" w:afterAutospacing="0"/>
        <w:ind w:left="720" w:hanging="720"/>
        <w:jc w:val="both"/>
        <w:rPr>
          <w:snapToGrid w:val="0"/>
          <w:color w:val="000000"/>
          <w:kern w:val="22"/>
          <w:sz w:val="22"/>
          <w:szCs w:val="22"/>
          <w:lang w:val="en-GB"/>
        </w:rPr>
      </w:pPr>
      <w:r w:rsidRPr="0088780C">
        <w:rPr>
          <w:snapToGrid w:val="0"/>
          <w:color w:val="000000"/>
          <w:kern w:val="22"/>
          <w:sz w:val="22"/>
          <w:szCs w:val="22"/>
          <w:lang w:val="en-GB"/>
        </w:rPr>
        <w:t>Solokha, A. 2006. Results from the International Waterbird Census in Central Asia and the Caucasus 2003–2005. Wetlands International, Moscow, Russia</w:t>
      </w:r>
      <w:r w:rsidR="00EC65BD" w:rsidRPr="0088780C">
        <w:rPr>
          <w:snapToGrid w:val="0"/>
          <w:color w:val="000000"/>
          <w:kern w:val="22"/>
          <w:sz w:val="22"/>
          <w:szCs w:val="22"/>
          <w:lang w:val="en-GB"/>
        </w:rPr>
        <w:t>n Federation.</w:t>
      </w:r>
    </w:p>
    <w:p w14:paraId="14022B11" w14:textId="77777777" w:rsidR="00A876F3" w:rsidRPr="0088780C" w:rsidRDefault="00A876F3" w:rsidP="00971F54">
      <w:pPr>
        <w:suppressLineNumbers/>
        <w:suppressAutoHyphens/>
        <w:kinsoku w:val="0"/>
        <w:overflowPunct w:val="0"/>
        <w:autoSpaceDE w:val="0"/>
        <w:autoSpaceDN w:val="0"/>
        <w:rPr>
          <w:bCs/>
          <w:snapToGrid w:val="0"/>
          <w:kern w:val="22"/>
          <w:szCs w:val="22"/>
        </w:rPr>
      </w:pPr>
    </w:p>
    <w:p w14:paraId="323AD97C" w14:textId="77777777" w:rsidR="00A876F3" w:rsidRPr="0088780C" w:rsidRDefault="00A876F3" w:rsidP="001013AF">
      <w:pPr>
        <w:suppressLineNumbers/>
        <w:suppressAutoHyphens/>
        <w:kinsoku w:val="0"/>
        <w:overflowPunct w:val="0"/>
        <w:autoSpaceDE w:val="0"/>
        <w:autoSpaceDN w:val="0"/>
        <w:rPr>
          <w:b/>
          <w:snapToGrid w:val="0"/>
          <w:kern w:val="22"/>
          <w:szCs w:val="22"/>
        </w:rPr>
      </w:pPr>
      <w:r w:rsidRPr="0088780C">
        <w:rPr>
          <w:b/>
          <w:snapToGrid w:val="0"/>
          <w:kern w:val="22"/>
          <w:szCs w:val="22"/>
        </w:rPr>
        <w:br w:type="page"/>
      </w:r>
    </w:p>
    <w:p w14:paraId="16B62744"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Maps and Figures</w:t>
      </w:r>
    </w:p>
    <w:p w14:paraId="650D1E8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3596EDF"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58FF3993"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noProof/>
          <w:snapToGrid w:val="0"/>
          <w:kern w:val="22"/>
          <w:szCs w:val="22"/>
          <w:lang w:eastAsia="zh-CN"/>
        </w:rPr>
        <w:drawing>
          <wp:inline distT="0" distB="0" distL="0" distR="0" wp14:anchorId="7CF5CA66" wp14:editId="7C62B718">
            <wp:extent cx="5486400" cy="4572000"/>
            <wp:effectExtent l="0" t="0" r="0" b="0"/>
            <wp:docPr id="13323" name="Picture 13323" descr="C:\Users\grekin\AppData\Local\Microsoft\Windows\Temporary Internet Files\Content.Word\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grekin\AppData\Local\Microsoft\Windows\Temporary Internet Files\Content.Word\33.png"/>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14:paraId="5250B11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 xml:space="preserve">Figure 1. </w:t>
      </w:r>
      <w:r w:rsidRPr="0088780C">
        <w:rPr>
          <w:rFonts w:eastAsia="MS Mincho"/>
          <w:b/>
          <w:snapToGrid w:val="0"/>
          <w:color w:val="000000" w:themeColor="text1"/>
          <w:kern w:val="22"/>
          <w:szCs w:val="22"/>
        </w:rPr>
        <w:t>Area meeting the EBSA criteria</w:t>
      </w:r>
    </w:p>
    <w:p w14:paraId="7CA5ABE5"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7AC05E68"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40F2C37A"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7217004A" wp14:editId="7772F85D">
            <wp:extent cx="5760085" cy="2779870"/>
            <wp:effectExtent l="19050" t="0" r="0" b="0"/>
            <wp:docPr id="64549" name="Рисунок 3" descr="C:\Users\Администратор\Desktop\Новая папка\_IGP3241.jpg"/>
            <wp:cNvGraphicFramePr/>
            <a:graphic xmlns:a="http://schemas.openxmlformats.org/drawingml/2006/main">
              <a:graphicData uri="http://schemas.openxmlformats.org/drawingml/2006/picture">
                <pic:pic xmlns:pic="http://schemas.openxmlformats.org/drawingml/2006/picture">
                  <pic:nvPicPr>
                    <pic:cNvPr id="7" name="Picture 1" descr="C:\Users\Администратор\Desktop\Новая папка\_IGP3241.jpg"/>
                    <pic:cNvPicPr>
                      <a:picLocks noChangeAspect="1" noChangeArrowheads="1"/>
                    </pic:cNvPicPr>
                  </pic:nvPicPr>
                  <pic:blipFill>
                    <a:blip r:embed="rId360" cstate="print"/>
                    <a:srcRect/>
                    <a:stretch>
                      <a:fillRect/>
                    </a:stretch>
                  </pic:blipFill>
                  <pic:spPr bwMode="auto">
                    <a:xfrm>
                      <a:off x="0" y="0"/>
                      <a:ext cx="5760085" cy="2779870"/>
                    </a:xfrm>
                    <a:prstGeom prst="rect">
                      <a:avLst/>
                    </a:prstGeom>
                    <a:noFill/>
                  </pic:spPr>
                </pic:pic>
              </a:graphicData>
            </a:graphic>
          </wp:inline>
        </w:drawing>
      </w:r>
    </w:p>
    <w:p w14:paraId="3C41F75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 2. Reed islands in Volga Delta (photo K. Litvinov)</w:t>
      </w:r>
    </w:p>
    <w:p w14:paraId="369185B1"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10AEEDC4" wp14:editId="21E433EC">
            <wp:extent cx="5436096" cy="4077072"/>
            <wp:effectExtent l="19050" t="0" r="0" b="0"/>
            <wp:docPr id="64550" name="Рисунок 4" descr="C:\Users\Администратор\Desktop\Новая папка\G0190213.JPG"/>
            <wp:cNvGraphicFramePr/>
            <a:graphic xmlns:a="http://schemas.openxmlformats.org/drawingml/2006/main">
              <a:graphicData uri="http://schemas.openxmlformats.org/drawingml/2006/picture">
                <pic:pic xmlns:pic="http://schemas.openxmlformats.org/drawingml/2006/picture">
                  <pic:nvPicPr>
                    <pic:cNvPr id="31748" name="Picture 4" descr="C:\Users\Администратор\Desktop\Новая папка\G0190213.JPG"/>
                    <pic:cNvPicPr>
                      <a:picLocks noChangeAspect="1" noChangeArrowheads="1"/>
                    </pic:cNvPicPr>
                  </pic:nvPicPr>
                  <pic:blipFill>
                    <a:blip r:embed="rId361" cstate="print"/>
                    <a:srcRect/>
                    <a:stretch>
                      <a:fillRect/>
                    </a:stretch>
                  </pic:blipFill>
                  <pic:spPr bwMode="auto">
                    <a:xfrm>
                      <a:off x="0" y="0"/>
                      <a:ext cx="5436096" cy="4077072"/>
                    </a:xfrm>
                    <a:prstGeom prst="rect">
                      <a:avLst/>
                    </a:prstGeom>
                    <a:noFill/>
                  </pic:spPr>
                </pic:pic>
              </a:graphicData>
            </a:graphic>
          </wp:inline>
        </w:drawing>
      </w:r>
    </w:p>
    <w:p w14:paraId="07C29C8A" w14:textId="4388A1FE" w:rsidR="00A876F3" w:rsidRPr="0088780C" w:rsidRDefault="00A876F3" w:rsidP="00971F54">
      <w:pPr>
        <w:suppressLineNumbers/>
        <w:suppressAutoHyphens/>
        <w:kinsoku w:val="0"/>
        <w:overflowPunct w:val="0"/>
        <w:autoSpaceDE w:val="0"/>
        <w:autoSpaceDN w:val="0"/>
        <w:jc w:val="left"/>
        <w:rPr>
          <w:rFonts w:eastAsia="MS Mincho"/>
          <w:b/>
          <w:snapToGrid w:val="0"/>
          <w:kern w:val="22"/>
          <w:szCs w:val="22"/>
        </w:rPr>
      </w:pPr>
      <w:r w:rsidRPr="0088780C">
        <w:rPr>
          <w:rFonts w:eastAsia="MS Mincho"/>
          <w:b/>
          <w:snapToGrid w:val="0"/>
          <w:kern w:val="22"/>
          <w:szCs w:val="22"/>
        </w:rPr>
        <w:t>Figure 3. Goldfish (</w:t>
      </w:r>
      <w:r w:rsidRPr="0088780C">
        <w:rPr>
          <w:rFonts w:eastAsia="MS Mincho"/>
          <w:b/>
          <w:i/>
          <w:snapToGrid w:val="0"/>
          <w:kern w:val="22"/>
          <w:szCs w:val="22"/>
        </w:rPr>
        <w:t>Carassius gibelio L</w:t>
      </w:r>
      <w:r w:rsidRPr="0088780C">
        <w:rPr>
          <w:rFonts w:eastAsia="MS Mincho"/>
          <w:b/>
          <w:snapToGrid w:val="0"/>
          <w:kern w:val="22"/>
          <w:szCs w:val="22"/>
        </w:rPr>
        <w:t xml:space="preserve">.) - one of the </w:t>
      </w:r>
      <w:r w:rsidR="00971F54" w:rsidRPr="0088780C">
        <w:rPr>
          <w:rFonts w:eastAsia="MS Mincho"/>
          <w:b/>
          <w:snapToGrid w:val="0"/>
          <w:kern w:val="22"/>
          <w:szCs w:val="22"/>
        </w:rPr>
        <w:t>mass species in the Volga Delta</w:t>
      </w:r>
      <w:r w:rsidR="00971F54" w:rsidRPr="0088780C">
        <w:rPr>
          <w:rFonts w:eastAsia="MS Mincho"/>
          <w:b/>
          <w:snapToGrid w:val="0"/>
          <w:kern w:val="22"/>
          <w:szCs w:val="22"/>
        </w:rPr>
        <w:br/>
      </w:r>
      <w:r w:rsidRPr="0088780C">
        <w:rPr>
          <w:rFonts w:eastAsia="MS Mincho"/>
          <w:b/>
          <w:snapToGrid w:val="0"/>
          <w:kern w:val="22"/>
          <w:szCs w:val="22"/>
        </w:rPr>
        <w:t>(photo K. Litvinov)</w:t>
      </w:r>
    </w:p>
    <w:p w14:paraId="4FFC0750"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12B17636"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p>
    <w:p w14:paraId="3D10A98B"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noProof/>
          <w:snapToGrid w:val="0"/>
          <w:kern w:val="22"/>
          <w:szCs w:val="22"/>
          <w:lang w:eastAsia="zh-CN"/>
        </w:rPr>
        <w:drawing>
          <wp:inline distT="0" distB="0" distL="0" distR="0" wp14:anchorId="4AA8B5A8" wp14:editId="454DCE77">
            <wp:extent cx="5438775" cy="3476625"/>
            <wp:effectExtent l="19050" t="0" r="0" b="0"/>
            <wp:docPr id="49" name="Рисунок 5" descr="F:\Рабочие Литвинов\Фотографии\2016\Фотографии в СЛУЖБУ...2014 год. Г,М,Русанов, К,В, Литвинов_Астраханский заповедник\Цветок Лотоса_К.Литвинов.jpg"/>
            <wp:cNvGraphicFramePr/>
            <a:graphic xmlns:a="http://schemas.openxmlformats.org/drawingml/2006/main">
              <a:graphicData uri="http://schemas.openxmlformats.org/drawingml/2006/picture">
                <pic:pic xmlns:pic="http://schemas.openxmlformats.org/drawingml/2006/picture">
                  <pic:nvPicPr>
                    <pic:cNvPr id="32770" name="Picture 2" descr="F:\Рабочие Литвинов\Фотографии\2016\Фотографии в СЛУЖБУ...2014 год. Г,М,Русанов, К,В, Литвинов_Астраханский заповедник\Цветок Лотоса_К.Литвинов.jpg"/>
                    <pic:cNvPicPr>
                      <a:picLocks noChangeAspect="1" noChangeArrowheads="1"/>
                    </pic:cNvPicPr>
                  </pic:nvPicPr>
                  <pic:blipFill>
                    <a:blip r:embed="rId362" cstate="print"/>
                    <a:srcRect/>
                    <a:stretch>
                      <a:fillRect/>
                    </a:stretch>
                  </pic:blipFill>
                  <pic:spPr bwMode="auto">
                    <a:xfrm>
                      <a:off x="0" y="0"/>
                      <a:ext cx="5437809" cy="3476008"/>
                    </a:xfrm>
                    <a:prstGeom prst="rect">
                      <a:avLst/>
                    </a:prstGeom>
                    <a:noFill/>
                  </pic:spPr>
                </pic:pic>
              </a:graphicData>
            </a:graphic>
          </wp:inline>
        </w:drawing>
      </w:r>
    </w:p>
    <w:p w14:paraId="43450E9D" w14:textId="77777777" w:rsidR="00A876F3" w:rsidRPr="0088780C" w:rsidRDefault="00A876F3" w:rsidP="001013AF">
      <w:pPr>
        <w:suppressLineNumbers/>
        <w:suppressAutoHyphens/>
        <w:kinsoku w:val="0"/>
        <w:overflowPunct w:val="0"/>
        <w:autoSpaceDE w:val="0"/>
        <w:autoSpaceDN w:val="0"/>
        <w:rPr>
          <w:rFonts w:eastAsia="MS Mincho"/>
          <w:b/>
          <w:snapToGrid w:val="0"/>
          <w:kern w:val="22"/>
          <w:szCs w:val="22"/>
        </w:rPr>
      </w:pPr>
      <w:r w:rsidRPr="0088780C">
        <w:rPr>
          <w:rFonts w:eastAsia="MS Mincho"/>
          <w:b/>
          <w:snapToGrid w:val="0"/>
          <w:kern w:val="22"/>
          <w:szCs w:val="22"/>
        </w:rPr>
        <w:t>Figure</w:t>
      </w:r>
      <w:r w:rsidRPr="0088780C">
        <w:rPr>
          <w:b/>
          <w:bCs/>
          <w:snapToGrid w:val="0"/>
          <w:color w:val="333333"/>
          <w:kern w:val="22"/>
          <w:szCs w:val="22"/>
          <w:lang w:eastAsia="ru-RU"/>
        </w:rPr>
        <w:t xml:space="preserve"> 4</w:t>
      </w:r>
      <w:r w:rsidRPr="0088780C">
        <w:rPr>
          <w:b/>
          <w:snapToGrid w:val="0"/>
          <w:color w:val="333333"/>
          <w:kern w:val="22"/>
          <w:szCs w:val="22"/>
          <w:lang w:eastAsia="ru-RU"/>
        </w:rPr>
        <w:t>. Caspian lotus</w:t>
      </w:r>
      <w:r w:rsidRPr="0088780C">
        <w:rPr>
          <w:bCs/>
          <w:snapToGrid w:val="0"/>
          <w:color w:val="333333"/>
          <w:kern w:val="22"/>
          <w:szCs w:val="22"/>
          <w:lang w:eastAsia="ru-RU"/>
        </w:rPr>
        <w:t xml:space="preserve"> (</w:t>
      </w:r>
      <w:hyperlink r:id="rId363" w:tgtFrame="_blank" w:history="1">
        <w:r w:rsidRPr="0088780C">
          <w:rPr>
            <w:rStyle w:val="Hyperlink"/>
            <w:rFonts w:eastAsia="MS Mincho"/>
            <w:i/>
            <w:snapToGrid w:val="0"/>
            <w:kern w:val="22"/>
            <w:szCs w:val="22"/>
          </w:rPr>
          <w:t>Nelumbo nucifera</w:t>
        </w:r>
      </w:hyperlink>
      <w:r w:rsidRPr="0088780C">
        <w:rPr>
          <w:rFonts w:eastAsia="MS Mincho"/>
          <w:i/>
          <w:snapToGrid w:val="0"/>
          <w:kern w:val="22"/>
          <w:szCs w:val="22"/>
        </w:rPr>
        <w:t xml:space="preserve"> L.</w:t>
      </w:r>
      <w:r w:rsidRPr="0088780C">
        <w:rPr>
          <w:rFonts w:eastAsia="MS Mincho"/>
          <w:snapToGrid w:val="0"/>
          <w:kern w:val="22"/>
          <w:szCs w:val="22"/>
        </w:rPr>
        <w:t xml:space="preserve">) </w:t>
      </w:r>
      <w:r w:rsidRPr="0088780C">
        <w:rPr>
          <w:rFonts w:eastAsia="MS Mincho"/>
          <w:b/>
          <w:bCs/>
          <w:snapToGrid w:val="0"/>
          <w:kern w:val="22"/>
          <w:szCs w:val="22"/>
        </w:rPr>
        <w:t>in Astrakhan biosphere reserve (photo K.Litvinov)</w:t>
      </w:r>
    </w:p>
    <w:p w14:paraId="39AEC916" w14:textId="77777777" w:rsidR="006A5004" w:rsidRPr="0088780C" w:rsidRDefault="006A5004" w:rsidP="001013AF">
      <w:pPr>
        <w:suppressLineNumbers/>
        <w:suppressAutoHyphens/>
        <w:kinsoku w:val="0"/>
        <w:overflowPunct w:val="0"/>
        <w:autoSpaceDE w:val="0"/>
        <w:autoSpaceDN w:val="0"/>
        <w:rPr>
          <w:bCs/>
          <w:i/>
          <w:snapToGrid w:val="0"/>
          <w:kern w:val="22"/>
          <w:szCs w:val="22"/>
        </w:rPr>
      </w:pPr>
      <w:r w:rsidRPr="0088780C">
        <w:rPr>
          <w:bCs/>
          <w:snapToGrid w:val="0"/>
          <w:kern w:val="22"/>
          <w:szCs w:val="22"/>
          <w:lang w:eastAsia="ko-KR"/>
        </w:rPr>
        <w:br w:type="page"/>
      </w:r>
    </w:p>
    <w:p w14:paraId="0165364D" w14:textId="19E456E8" w:rsidR="00DC57E6" w:rsidRPr="0088780C" w:rsidRDefault="007022F4" w:rsidP="001013AF">
      <w:pPr>
        <w:suppressLineNumbers/>
        <w:suppressAutoHyphens/>
        <w:kinsoku w:val="0"/>
        <w:overflowPunct w:val="0"/>
        <w:autoSpaceDE w:val="0"/>
        <w:autoSpaceDN w:val="0"/>
        <w:jc w:val="center"/>
        <w:rPr>
          <w:i/>
          <w:snapToGrid w:val="0"/>
          <w:kern w:val="22"/>
          <w:szCs w:val="22"/>
          <w:lang w:eastAsia="ko-KR"/>
        </w:rPr>
      </w:pPr>
      <w:bookmarkStart w:id="9" w:name="START"/>
      <w:bookmarkEnd w:id="9"/>
      <w:r w:rsidRPr="0088780C">
        <w:rPr>
          <w:i/>
          <w:snapToGrid w:val="0"/>
          <w:kern w:val="22"/>
          <w:szCs w:val="22"/>
        </w:rPr>
        <w:t>Annex V</w:t>
      </w:r>
      <w:r w:rsidR="00787F60" w:rsidRPr="0088780C">
        <w:rPr>
          <w:i/>
          <w:snapToGrid w:val="0"/>
          <w:kern w:val="22"/>
          <w:szCs w:val="22"/>
        </w:rPr>
        <w:t>I</w:t>
      </w:r>
    </w:p>
    <w:p w14:paraId="22E0CB44" w14:textId="77777777" w:rsidR="00DC57E6" w:rsidRPr="0088780C" w:rsidRDefault="00DC57E6" w:rsidP="001013AF">
      <w:pPr>
        <w:keepNext/>
        <w:suppressLineNumbers/>
        <w:tabs>
          <w:tab w:val="left" w:pos="9072"/>
        </w:tabs>
        <w:suppressAutoHyphens/>
        <w:kinsoku w:val="0"/>
        <w:overflowPunct w:val="0"/>
        <w:autoSpaceDE w:val="0"/>
        <w:autoSpaceDN w:val="0"/>
        <w:ind w:right="146"/>
        <w:outlineLvl w:val="0"/>
        <w:rPr>
          <w:bCs/>
          <w:snapToGrid w:val="0"/>
          <w:kern w:val="22"/>
          <w:szCs w:val="22"/>
        </w:rPr>
      </w:pPr>
    </w:p>
    <w:p w14:paraId="24E2B863" w14:textId="55BDF4B2" w:rsidR="00DC57E6" w:rsidRPr="0088780C" w:rsidRDefault="00DC57E6" w:rsidP="001013AF">
      <w:pPr>
        <w:keepNext/>
        <w:suppressLineNumbers/>
        <w:tabs>
          <w:tab w:val="left" w:pos="9072"/>
        </w:tabs>
        <w:suppressAutoHyphens/>
        <w:kinsoku w:val="0"/>
        <w:overflowPunct w:val="0"/>
        <w:autoSpaceDE w:val="0"/>
        <w:autoSpaceDN w:val="0"/>
        <w:jc w:val="center"/>
        <w:outlineLvl w:val="0"/>
        <w:rPr>
          <w:b/>
          <w:snapToGrid w:val="0"/>
          <w:kern w:val="22"/>
          <w:szCs w:val="22"/>
        </w:rPr>
      </w:pPr>
      <w:r w:rsidRPr="0088780C">
        <w:rPr>
          <w:b/>
          <w:snapToGrid w:val="0"/>
          <w:kern w:val="22"/>
          <w:szCs w:val="22"/>
        </w:rPr>
        <w:t xml:space="preserve">SUMMARY OF THE WORKSHOP DISCUSSION ON IDENTIFICATION OF GAPS AND NEEDS FOR FURTHER ELABORATION IN DESCRIBING ECOLOGICALLY OR BIOLOGICALLY SIGNIFICANT MARINE AREAS, INCLUDING THE NEED FOR </w:t>
      </w:r>
      <w:r w:rsidR="00787F60" w:rsidRPr="0088780C">
        <w:rPr>
          <w:b/>
          <w:snapToGrid w:val="0"/>
          <w:kern w:val="22"/>
          <w:szCs w:val="22"/>
        </w:rPr>
        <w:t xml:space="preserve">SCIENTIFIC INFORMATION, </w:t>
      </w:r>
      <w:r w:rsidRPr="0088780C">
        <w:rPr>
          <w:b/>
          <w:snapToGrid w:val="0"/>
          <w:kern w:val="22"/>
          <w:szCs w:val="22"/>
        </w:rPr>
        <w:t>DEVELOPMENT OF</w:t>
      </w:r>
      <w:r w:rsidR="002319AE" w:rsidRPr="0088780C">
        <w:rPr>
          <w:b/>
          <w:snapToGrid w:val="0"/>
          <w:kern w:val="22"/>
          <w:szCs w:val="22"/>
        </w:rPr>
        <w:t xml:space="preserve"> SCIENTIFIC CAPACITY AS WELL AS </w:t>
      </w:r>
      <w:r w:rsidRPr="0088780C">
        <w:rPr>
          <w:b/>
          <w:snapToGrid w:val="0"/>
          <w:kern w:val="22"/>
          <w:szCs w:val="22"/>
        </w:rPr>
        <w:t>SCIENTIFIC COLLABORATION</w:t>
      </w:r>
    </w:p>
    <w:p w14:paraId="2D21ED33" w14:textId="77777777" w:rsidR="00E91935" w:rsidRPr="0088780C" w:rsidRDefault="00E91935" w:rsidP="001013AF">
      <w:pPr>
        <w:suppressLineNumbers/>
        <w:suppressAutoHyphens/>
        <w:kinsoku w:val="0"/>
        <w:overflowPunct w:val="0"/>
        <w:autoSpaceDE w:val="0"/>
        <w:autoSpaceDN w:val="0"/>
        <w:rPr>
          <w:snapToGrid w:val="0"/>
          <w:kern w:val="22"/>
          <w:szCs w:val="22"/>
        </w:rPr>
      </w:pPr>
    </w:p>
    <w:p w14:paraId="51969307" w14:textId="4916280E" w:rsidR="00C74463" w:rsidRPr="0088780C" w:rsidRDefault="00125653" w:rsidP="001013AF">
      <w:pPr>
        <w:suppressLineNumbers/>
        <w:suppressAutoHyphens/>
        <w:kinsoku w:val="0"/>
        <w:overflowPunct w:val="0"/>
        <w:autoSpaceDE w:val="0"/>
        <w:autoSpaceDN w:val="0"/>
        <w:jc w:val="left"/>
        <w:rPr>
          <w:rFonts w:ascii="Times New Roman Bold" w:hAnsi="Times New Roman Bold" w:cs="Times New Roman Bold"/>
          <w:b/>
          <w:snapToGrid w:val="0"/>
          <w:kern w:val="22"/>
          <w:szCs w:val="22"/>
        </w:rPr>
      </w:pPr>
      <w:r w:rsidRPr="0088780C">
        <w:rPr>
          <w:rFonts w:ascii="Times New Roman Bold" w:hAnsi="Times New Roman Bold" w:cs="Times New Roman Bold"/>
          <w:b/>
          <w:snapToGrid w:val="0"/>
          <w:kern w:val="22"/>
          <w:szCs w:val="22"/>
        </w:rPr>
        <w:t xml:space="preserve">I. </w:t>
      </w:r>
      <w:r w:rsidR="00C74463" w:rsidRPr="0088780C">
        <w:rPr>
          <w:rFonts w:ascii="Times New Roman Bold" w:hAnsi="Times New Roman Bold" w:cs="Times New Roman Bold"/>
          <w:b/>
          <w:snapToGrid w:val="0"/>
          <w:kern w:val="22"/>
          <w:szCs w:val="22"/>
        </w:rPr>
        <w:t>Black Sea</w:t>
      </w:r>
    </w:p>
    <w:p w14:paraId="10EF2553" w14:textId="77777777" w:rsidR="0006218F" w:rsidRPr="0088780C" w:rsidRDefault="0006218F" w:rsidP="001013AF">
      <w:pPr>
        <w:suppressLineNumbers/>
        <w:suppressAutoHyphens/>
        <w:kinsoku w:val="0"/>
        <w:overflowPunct w:val="0"/>
        <w:autoSpaceDE w:val="0"/>
        <w:autoSpaceDN w:val="0"/>
        <w:rPr>
          <w:bCs/>
          <w:smallCaps/>
          <w:snapToGrid w:val="0"/>
          <w:kern w:val="22"/>
          <w:szCs w:val="22"/>
        </w:rPr>
      </w:pPr>
    </w:p>
    <w:p w14:paraId="6008CD12" w14:textId="4DFE2413" w:rsidR="0076367C" w:rsidRPr="0088780C" w:rsidRDefault="0006218F"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rPr>
        <w:t>1.</w:t>
      </w:r>
      <w:r w:rsidRPr="0088780C">
        <w:rPr>
          <w:snapToGrid w:val="0"/>
          <w:kern w:val="22"/>
          <w:szCs w:val="22"/>
        </w:rPr>
        <w:tab/>
        <w:t>The workshop benefitted from the participation of experts from all the countries in this region as well as from relevant international/regional organisations (i.e.</w:t>
      </w:r>
      <w:r w:rsidR="000512A9" w:rsidRPr="0088780C">
        <w:rPr>
          <w:snapToGrid w:val="0"/>
          <w:kern w:val="22"/>
          <w:szCs w:val="22"/>
        </w:rPr>
        <w:t>,</w:t>
      </w:r>
      <w:r w:rsidRPr="0088780C">
        <w:rPr>
          <w:snapToGrid w:val="0"/>
          <w:kern w:val="22"/>
          <w:szCs w:val="22"/>
        </w:rPr>
        <w:t xml:space="preserve"> Black Sea Commission, OBIS, GOBI, BirdLife International) to describe areas</w:t>
      </w:r>
      <w:r w:rsidR="00726C6F" w:rsidRPr="0088780C">
        <w:rPr>
          <w:snapToGrid w:val="0"/>
          <w:kern w:val="22"/>
          <w:szCs w:val="22"/>
        </w:rPr>
        <w:t xml:space="preserve"> meeting the EBSA criteria</w:t>
      </w:r>
      <w:r w:rsidRPr="0088780C">
        <w:rPr>
          <w:snapToGrid w:val="0"/>
          <w:kern w:val="22"/>
          <w:szCs w:val="22"/>
        </w:rPr>
        <w:t xml:space="preserve"> in the Black Sea. Participants were aware that describing areas meeting the EBSA criteria is an open and ongoing process, and hence participants </w:t>
      </w:r>
      <w:r w:rsidR="00726C6F" w:rsidRPr="0088780C">
        <w:rPr>
          <w:snapToGrid w:val="0"/>
          <w:kern w:val="22"/>
          <w:szCs w:val="22"/>
        </w:rPr>
        <w:t>discussed</w:t>
      </w:r>
      <w:r w:rsidRPr="0088780C">
        <w:rPr>
          <w:snapToGrid w:val="0"/>
          <w:kern w:val="22"/>
          <w:szCs w:val="22"/>
        </w:rPr>
        <w:t xml:space="preserve"> </w:t>
      </w:r>
      <w:r w:rsidR="00726C6F" w:rsidRPr="0088780C">
        <w:rPr>
          <w:snapToGrid w:val="0"/>
          <w:kern w:val="22"/>
          <w:szCs w:val="22"/>
        </w:rPr>
        <w:t>a</w:t>
      </w:r>
      <w:r w:rsidRPr="0088780C">
        <w:rPr>
          <w:snapToGrid w:val="0"/>
          <w:kern w:val="22"/>
          <w:szCs w:val="22"/>
        </w:rPr>
        <w:t xml:space="preserve"> list of potential species, populations, habitats and/or areas requiring further information and additional research</w:t>
      </w:r>
      <w:r w:rsidR="00726C6F" w:rsidRPr="0088780C">
        <w:rPr>
          <w:snapToGrid w:val="0"/>
          <w:kern w:val="22"/>
          <w:szCs w:val="22"/>
        </w:rPr>
        <w:t xml:space="preserve"> that could be useful for future processes</w:t>
      </w:r>
      <w:r w:rsidRPr="0088780C">
        <w:rPr>
          <w:snapToGrid w:val="0"/>
          <w:kern w:val="22"/>
          <w:szCs w:val="22"/>
        </w:rPr>
        <w:t>.</w:t>
      </w:r>
    </w:p>
    <w:p w14:paraId="082B472F" w14:textId="08E98D65" w:rsidR="0006218F" w:rsidRPr="0088780C" w:rsidRDefault="0006218F" w:rsidP="001013AF">
      <w:pPr>
        <w:suppressLineNumbers/>
        <w:suppressAutoHyphens/>
        <w:kinsoku w:val="0"/>
        <w:overflowPunct w:val="0"/>
        <w:autoSpaceDE w:val="0"/>
        <w:autoSpaceDN w:val="0"/>
        <w:rPr>
          <w:snapToGrid w:val="0"/>
          <w:kern w:val="22"/>
          <w:szCs w:val="22"/>
        </w:rPr>
      </w:pPr>
    </w:p>
    <w:p w14:paraId="65302D10" w14:textId="29BAC326" w:rsidR="0006218F" w:rsidRPr="0088780C" w:rsidRDefault="000512A9" w:rsidP="001013AF">
      <w:pPr>
        <w:suppressLineNumbers/>
        <w:suppressAutoHyphens/>
        <w:kinsoku w:val="0"/>
        <w:overflowPunct w:val="0"/>
        <w:autoSpaceDE w:val="0"/>
        <w:autoSpaceDN w:val="0"/>
        <w:spacing w:after="120"/>
        <w:rPr>
          <w:snapToGrid w:val="0"/>
          <w:kern w:val="22"/>
          <w:szCs w:val="22"/>
          <w:u w:val="single"/>
        </w:rPr>
      </w:pPr>
      <w:r w:rsidRPr="0088780C">
        <w:rPr>
          <w:b/>
          <w:snapToGrid w:val="0"/>
          <w:kern w:val="22"/>
          <w:szCs w:val="22"/>
          <w:u w:val="single"/>
        </w:rPr>
        <w:t>The Black Sea Rim Current</w:t>
      </w:r>
    </w:p>
    <w:p w14:paraId="689D1A2F" w14:textId="7CDD3EE6" w:rsidR="00C8034C" w:rsidRPr="0088780C" w:rsidRDefault="00103028"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rPr>
        <w:t>2.</w:t>
      </w:r>
      <w:r w:rsidR="009F47E9" w:rsidRPr="0088780C">
        <w:rPr>
          <w:snapToGrid w:val="0"/>
          <w:kern w:val="22"/>
          <w:szCs w:val="22"/>
        </w:rPr>
        <w:tab/>
      </w:r>
      <w:r w:rsidR="0006218F" w:rsidRPr="0088780C">
        <w:rPr>
          <w:snapToGrid w:val="0"/>
          <w:kern w:val="22"/>
          <w:szCs w:val="22"/>
        </w:rPr>
        <w:t xml:space="preserve">The </w:t>
      </w:r>
      <w:r w:rsidR="00C3265C" w:rsidRPr="0088780C">
        <w:rPr>
          <w:snapToGrid w:val="0"/>
          <w:kern w:val="22"/>
          <w:szCs w:val="22"/>
        </w:rPr>
        <w:t>R</w:t>
      </w:r>
      <w:r w:rsidR="0006218F" w:rsidRPr="0088780C">
        <w:rPr>
          <w:snapToGrid w:val="0"/>
          <w:kern w:val="22"/>
          <w:szCs w:val="22"/>
        </w:rPr>
        <w:t xml:space="preserve">im </w:t>
      </w:r>
      <w:r w:rsidR="00C3265C" w:rsidRPr="0088780C">
        <w:rPr>
          <w:snapToGrid w:val="0"/>
          <w:kern w:val="22"/>
          <w:szCs w:val="22"/>
        </w:rPr>
        <w:t>C</w:t>
      </w:r>
      <w:r w:rsidR="0006218F" w:rsidRPr="0088780C">
        <w:rPr>
          <w:snapToGrid w:val="0"/>
          <w:kern w:val="22"/>
          <w:szCs w:val="22"/>
        </w:rPr>
        <w:t>urrent</w:t>
      </w:r>
      <w:r w:rsidR="00C3265C" w:rsidRPr="0088780C">
        <w:rPr>
          <w:snapToGrid w:val="0"/>
          <w:kern w:val="22"/>
          <w:szCs w:val="22"/>
        </w:rPr>
        <w:t>,</w:t>
      </w:r>
      <w:r w:rsidR="0006218F" w:rsidRPr="0088780C">
        <w:rPr>
          <w:snapToGrid w:val="0"/>
          <w:kern w:val="22"/>
          <w:szCs w:val="22"/>
        </w:rPr>
        <w:t xml:space="preserve"> along the periphery of the entire Black Sea</w:t>
      </w:r>
      <w:r w:rsidR="00C3265C" w:rsidRPr="0088780C">
        <w:rPr>
          <w:snapToGrid w:val="0"/>
          <w:kern w:val="22"/>
          <w:szCs w:val="22"/>
        </w:rPr>
        <w:t>,</w:t>
      </w:r>
      <w:r w:rsidR="0006218F" w:rsidRPr="0088780C">
        <w:rPr>
          <w:snapToGrid w:val="0"/>
          <w:kern w:val="22"/>
          <w:szCs w:val="22"/>
        </w:rPr>
        <w:t xml:space="preserve"> is one of the most important oceanographic characteristics of the Black Sea</w:t>
      </w:r>
      <w:r w:rsidR="00C3265C" w:rsidRPr="0088780C">
        <w:rPr>
          <w:snapToGrid w:val="0"/>
          <w:kern w:val="22"/>
          <w:szCs w:val="22"/>
        </w:rPr>
        <w:t>,</w:t>
      </w:r>
      <w:r w:rsidR="0006218F" w:rsidRPr="0088780C">
        <w:rPr>
          <w:snapToGrid w:val="0"/>
          <w:kern w:val="22"/>
          <w:szCs w:val="22"/>
        </w:rPr>
        <w:t xml:space="preserve"> controlling the structure </w:t>
      </w:r>
      <w:r w:rsidR="00C3265C" w:rsidRPr="0088780C">
        <w:rPr>
          <w:snapToGrid w:val="0"/>
          <w:kern w:val="22"/>
          <w:szCs w:val="22"/>
        </w:rPr>
        <w:t xml:space="preserve">of its ecosystem </w:t>
      </w:r>
      <w:r w:rsidR="0006218F" w:rsidRPr="0088780C">
        <w:rPr>
          <w:snapToGrid w:val="0"/>
          <w:kern w:val="22"/>
          <w:szCs w:val="22"/>
        </w:rPr>
        <w:t>(Oğuz 2017). The Rim Current jet has a speed of 50–100 cm/s within the upper layer, and about 10–20 cm/s within the 150–300 m depth range (Oğuz et al. 2005). The mesoscale features of the Rim Current dynamic structure apparently provide a mechanism for two-way transport between nearshore and offshore regions. Considering the relatively narrow width of the basin into account, such mesoscale processes can result in meridional transport from one coast to another.</w:t>
      </w:r>
    </w:p>
    <w:p w14:paraId="28710104" w14:textId="4EC3034D" w:rsidR="00C8034C" w:rsidRPr="0088780C" w:rsidRDefault="00103028"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rPr>
        <w:t>3.</w:t>
      </w:r>
      <w:r w:rsidR="00C8034C" w:rsidRPr="0088780C">
        <w:rPr>
          <w:snapToGrid w:val="0"/>
          <w:kern w:val="22"/>
          <w:szCs w:val="22"/>
        </w:rPr>
        <w:tab/>
      </w:r>
      <w:r w:rsidR="0006218F" w:rsidRPr="0088780C">
        <w:rPr>
          <w:snapToGrid w:val="0"/>
          <w:kern w:val="22"/>
          <w:szCs w:val="22"/>
        </w:rPr>
        <w:t>This narrow peripheral zone of the Black Sea appears to be always more productive (as seen also from satellite observations) at all trophic levels than the interior basin (Yunev et al</w:t>
      </w:r>
      <w:r w:rsidR="007B3098" w:rsidRPr="0088780C">
        <w:rPr>
          <w:snapToGrid w:val="0"/>
          <w:kern w:val="22"/>
          <w:szCs w:val="22"/>
        </w:rPr>
        <w:t>.</w:t>
      </w:r>
      <w:r w:rsidR="0006218F" w:rsidRPr="0088780C">
        <w:rPr>
          <w:snapToGrid w:val="0"/>
          <w:kern w:val="22"/>
          <w:szCs w:val="22"/>
        </w:rPr>
        <w:t xml:space="preserve"> 2002; Mikaelyan et al. 2013). This is the main spawning area of the anchovy (the most abundant fish) and almost all other fish in the Black Sea (Niermann et al., 1994; Kideys et al., 1999; Gucu et al., 2016). It is also </w:t>
      </w:r>
      <w:r w:rsidR="007B3098" w:rsidRPr="0088780C">
        <w:rPr>
          <w:snapToGrid w:val="0"/>
          <w:kern w:val="22"/>
          <w:szCs w:val="22"/>
        </w:rPr>
        <w:t xml:space="preserve">a </w:t>
      </w:r>
      <w:r w:rsidR="0006218F" w:rsidRPr="0088780C">
        <w:rPr>
          <w:snapToGrid w:val="0"/>
          <w:kern w:val="22"/>
          <w:szCs w:val="22"/>
        </w:rPr>
        <w:t>concentration area for the gelatinous species</w:t>
      </w:r>
      <w:r w:rsidR="007B3098" w:rsidRPr="0088780C">
        <w:rPr>
          <w:snapToGrid w:val="0"/>
          <w:kern w:val="22"/>
          <w:szCs w:val="22"/>
        </w:rPr>
        <w:t>,</w:t>
      </w:r>
      <w:r w:rsidR="0006218F" w:rsidRPr="0088780C">
        <w:rPr>
          <w:snapToGrid w:val="0"/>
          <w:kern w:val="22"/>
          <w:szCs w:val="22"/>
        </w:rPr>
        <w:t xml:space="preserve"> including invasives (Kideys and Romanova 2001; Mutlu, 2009). The mechanisms promoting relatively high phytoplankton population and thus supporting more effective zooplankton, small pelagic fish, and larvae populations around the periphery with respect to the cyclonic domes of the interior basin was unknown until recently and could not be attributed to the higher nutrient transport from rivers alone.</w:t>
      </w:r>
    </w:p>
    <w:p w14:paraId="4AE22728" w14:textId="624633AC" w:rsidR="0006218F" w:rsidRPr="0088780C" w:rsidRDefault="00103028" w:rsidP="002319AE">
      <w:pPr>
        <w:suppressLineNumbers/>
        <w:suppressAutoHyphens/>
        <w:kinsoku w:val="0"/>
        <w:overflowPunct w:val="0"/>
        <w:autoSpaceDE w:val="0"/>
        <w:autoSpaceDN w:val="0"/>
        <w:spacing w:after="120"/>
        <w:rPr>
          <w:snapToGrid w:val="0"/>
          <w:kern w:val="22"/>
          <w:szCs w:val="22"/>
        </w:rPr>
      </w:pPr>
      <w:r w:rsidRPr="0088780C">
        <w:rPr>
          <w:snapToGrid w:val="0"/>
          <w:kern w:val="22"/>
          <w:szCs w:val="22"/>
        </w:rPr>
        <w:t>4.</w:t>
      </w:r>
      <w:r w:rsidR="00C8034C" w:rsidRPr="0088780C">
        <w:rPr>
          <w:snapToGrid w:val="0"/>
          <w:kern w:val="22"/>
          <w:szCs w:val="22"/>
        </w:rPr>
        <w:tab/>
      </w:r>
      <w:r w:rsidR="0006218F" w:rsidRPr="0088780C">
        <w:rPr>
          <w:snapToGrid w:val="0"/>
          <w:kern w:val="22"/>
          <w:szCs w:val="22"/>
        </w:rPr>
        <w:t xml:space="preserve">The recent modeling study by Oguz (pers. </w:t>
      </w:r>
      <w:r w:rsidR="007B3098" w:rsidRPr="0088780C">
        <w:rPr>
          <w:snapToGrid w:val="0"/>
          <w:kern w:val="22"/>
          <w:szCs w:val="22"/>
        </w:rPr>
        <w:t>c</w:t>
      </w:r>
      <w:r w:rsidR="0006218F" w:rsidRPr="0088780C">
        <w:rPr>
          <w:snapToGrid w:val="0"/>
          <w:kern w:val="22"/>
          <w:szCs w:val="22"/>
        </w:rPr>
        <w:t>omm.) relates this feature to the frontogenesis mechanism of the Rim Current circulation arising from its nonlinearity and collapse of the along-front geostrophic balance providing high vertical velocities (</w:t>
      </w:r>
      <w:r w:rsidR="0006218F" w:rsidRPr="0088780C">
        <w:rPr>
          <w:rFonts w:ascii="Cambria Math" w:eastAsia="MS Mincho" w:hAnsi="Cambria Math" w:cs="Cambria Math"/>
          <w:snapToGrid w:val="0"/>
          <w:kern w:val="22"/>
          <w:szCs w:val="22"/>
        </w:rPr>
        <w:t>∼</w:t>
      </w:r>
      <w:r w:rsidR="0006218F" w:rsidRPr="0088780C">
        <w:rPr>
          <w:snapToGrid w:val="0"/>
          <w:kern w:val="22"/>
          <w:szCs w:val="22"/>
        </w:rPr>
        <w:t xml:space="preserve">10–50m d−1) at meander crests on the less dense coastal anticyclonic sides of the front. This results in supplying nutrients effectively into the euphotic zone relative to the cyclonic offshore side and to produce locally high plankton </w:t>
      </w:r>
      <w:r w:rsidR="009F47E9" w:rsidRPr="0088780C">
        <w:rPr>
          <w:snapToGrid w:val="0"/>
          <w:kern w:val="22"/>
          <w:szCs w:val="22"/>
        </w:rPr>
        <w:t>biomass. This phenomenon affects</w:t>
      </w:r>
      <w:r w:rsidR="0006218F" w:rsidRPr="0088780C">
        <w:rPr>
          <w:snapToGrid w:val="0"/>
          <w:kern w:val="22"/>
          <w:szCs w:val="22"/>
        </w:rPr>
        <w:t xml:space="preserve"> the entire food chain and biodiversity in the Black Sea. Thus</w:t>
      </w:r>
      <w:r w:rsidR="002319AE" w:rsidRPr="0088780C">
        <w:rPr>
          <w:snapToGrid w:val="0"/>
          <w:kern w:val="22"/>
          <w:szCs w:val="22"/>
        </w:rPr>
        <w:t>,</w:t>
      </w:r>
      <w:r w:rsidR="0006218F" w:rsidRPr="0088780C">
        <w:rPr>
          <w:snapToGrid w:val="0"/>
          <w:kern w:val="22"/>
          <w:szCs w:val="22"/>
        </w:rPr>
        <w:t xml:space="preserve"> </w:t>
      </w:r>
      <w:r w:rsidR="002319AE" w:rsidRPr="0088780C">
        <w:rPr>
          <w:snapToGrid w:val="0"/>
          <w:kern w:val="22"/>
          <w:szCs w:val="22"/>
        </w:rPr>
        <w:t>apart from</w:t>
      </w:r>
      <w:r w:rsidR="0006218F" w:rsidRPr="0088780C">
        <w:rPr>
          <w:snapToGrid w:val="0"/>
          <w:kern w:val="22"/>
          <w:szCs w:val="22"/>
        </w:rPr>
        <w:t xml:space="preserve"> its role in driving the entire ecosystem, due to associated planktonic biomass and biodiversity along with the rim current, this structure </w:t>
      </w:r>
      <w:r w:rsidR="005C61B6" w:rsidRPr="0088780C">
        <w:rPr>
          <w:snapToGrid w:val="0"/>
          <w:kern w:val="22"/>
          <w:szCs w:val="22"/>
        </w:rPr>
        <w:t>has the</w:t>
      </w:r>
      <w:r w:rsidR="009F47E9" w:rsidRPr="0088780C">
        <w:rPr>
          <w:snapToGrid w:val="0"/>
          <w:kern w:val="22"/>
          <w:szCs w:val="22"/>
        </w:rPr>
        <w:t xml:space="preserve"> potential to be described </w:t>
      </w:r>
      <w:r w:rsidR="00BE5389" w:rsidRPr="0088780C">
        <w:rPr>
          <w:snapToGrid w:val="0"/>
          <w:kern w:val="22"/>
          <w:szCs w:val="22"/>
        </w:rPr>
        <w:t xml:space="preserve">in the future </w:t>
      </w:r>
      <w:r w:rsidR="009F47E9" w:rsidRPr="0088780C">
        <w:rPr>
          <w:snapToGrid w:val="0"/>
          <w:kern w:val="22"/>
          <w:szCs w:val="22"/>
        </w:rPr>
        <w:t>as meeting the EBSA criteria</w:t>
      </w:r>
      <w:r w:rsidR="00BB7CBD" w:rsidRPr="0088780C">
        <w:rPr>
          <w:snapToGrid w:val="0"/>
          <w:kern w:val="22"/>
          <w:szCs w:val="22"/>
        </w:rPr>
        <w:t xml:space="preserve"> with adequate provision of scientific information and expertise</w:t>
      </w:r>
      <w:r w:rsidR="0006218F" w:rsidRPr="0088780C">
        <w:rPr>
          <w:snapToGrid w:val="0"/>
          <w:kern w:val="22"/>
          <w:szCs w:val="22"/>
        </w:rPr>
        <w:t>.</w:t>
      </w:r>
    </w:p>
    <w:p w14:paraId="6105113B" w14:textId="77777777" w:rsidR="0006218F" w:rsidRPr="0088780C" w:rsidRDefault="0006218F" w:rsidP="001013AF">
      <w:pPr>
        <w:suppressLineNumbers/>
        <w:suppressAutoHyphens/>
        <w:kinsoku w:val="0"/>
        <w:overflowPunct w:val="0"/>
        <w:autoSpaceDE w:val="0"/>
        <w:autoSpaceDN w:val="0"/>
        <w:rPr>
          <w:snapToGrid w:val="0"/>
          <w:kern w:val="22"/>
          <w:szCs w:val="22"/>
        </w:rPr>
      </w:pPr>
    </w:p>
    <w:p w14:paraId="4604DB3C" w14:textId="57775949" w:rsidR="0006218F" w:rsidRPr="0088780C" w:rsidRDefault="0006218F" w:rsidP="005C61B6">
      <w:pPr>
        <w:keepNext/>
        <w:suppressLineNumbers/>
        <w:suppressAutoHyphens/>
        <w:kinsoku w:val="0"/>
        <w:overflowPunct w:val="0"/>
        <w:autoSpaceDE w:val="0"/>
        <w:autoSpaceDN w:val="0"/>
        <w:spacing w:after="60"/>
        <w:ind w:left="720" w:hanging="720"/>
        <w:rPr>
          <w:snapToGrid w:val="0"/>
          <w:kern w:val="22"/>
          <w:szCs w:val="22"/>
        </w:rPr>
      </w:pPr>
      <w:r w:rsidRPr="0088780C">
        <w:rPr>
          <w:b/>
          <w:bCs/>
          <w:snapToGrid w:val="0"/>
          <w:kern w:val="22"/>
          <w:szCs w:val="22"/>
        </w:rPr>
        <w:t>References</w:t>
      </w:r>
    </w:p>
    <w:p w14:paraId="435B79F8" w14:textId="77777777" w:rsidR="0006218F" w:rsidRPr="0088780C" w:rsidRDefault="0006218F"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Gucu, A. C., Inanmaz, O., Ok, M., and Sakınan, S. (2016). Recent changes in the spawning grounds of Black Sea anchovy, Engraulis encrasicolus. Fish. Oceanogr. 25, 67–84. doi: 10.1111/fog.12135</w:t>
      </w:r>
    </w:p>
    <w:p w14:paraId="18F231A6" w14:textId="77777777" w:rsidR="0006218F" w:rsidRPr="0088780C" w:rsidRDefault="0006218F"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Kideys A. E., A. Gordina, F. Bingel &amp; U. Niermann 1999. The role of environmental conditions on the distribution of eggs and larvae of anchovy (Engraulis encrasicolus L.) in the Black Sea. ICES Journal of Marine Science, 56: 58-64.</w:t>
      </w:r>
    </w:p>
    <w:p w14:paraId="0037BBFA" w14:textId="77777777" w:rsidR="0006218F" w:rsidRPr="0088780C" w:rsidRDefault="0006218F"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Kideys A.E. &amp; Z. Romanova 2001. Distribution of gelatinous macrozooplankton in the southern Black Sea during 1996-1999. Marine Biology 139: 535-547.</w:t>
      </w:r>
    </w:p>
    <w:p w14:paraId="44BD2604" w14:textId="77777777" w:rsidR="0006218F" w:rsidRPr="0088780C" w:rsidRDefault="0006218F"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Mikaelyan, A. S., Zatsepin, A. G., and Chasovnikov, V. K., (2013). Long-term changes in nutrient supply of phytoplankton growth in the Black Sea. J. Mar. Syst. 117, 53–64. doi: 10.1016/j.jmarsys.2013.02.012</w:t>
      </w:r>
    </w:p>
    <w:p w14:paraId="649537D0" w14:textId="18A91998" w:rsidR="0006218F" w:rsidRPr="0088780C" w:rsidRDefault="0006218F"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Mutlu, E. (2009). Recent distribution and size structure of gelatinous organisms in the southern Black Sea and their interactions with fish catches. Mar. Biol. 156, 935–957. doi: 10.1007/s00227-009-1139</w:t>
      </w:r>
      <w:r w:rsidR="00CF09AA" w:rsidRPr="0088780C">
        <w:rPr>
          <w:snapToGrid w:val="0"/>
          <w:kern w:val="22"/>
          <w:szCs w:val="22"/>
        </w:rPr>
        <w:noBreakHyphen/>
      </w:r>
      <w:r w:rsidRPr="0088780C">
        <w:rPr>
          <w:snapToGrid w:val="0"/>
          <w:kern w:val="22"/>
          <w:szCs w:val="22"/>
        </w:rPr>
        <w:t>8</w:t>
      </w:r>
    </w:p>
    <w:p w14:paraId="339D4769" w14:textId="77777777" w:rsidR="0006218F" w:rsidRPr="0088780C" w:rsidRDefault="0006218F"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Niermann U., F. Bingel, A. Gorban, A. D. Gordina, A. C. Gücü, </w:t>
      </w:r>
      <w:r w:rsidRPr="0088780C">
        <w:rPr>
          <w:snapToGrid w:val="0"/>
          <w:kern w:val="22"/>
          <w:szCs w:val="22"/>
          <w:u w:val="single"/>
        </w:rPr>
        <w:t>A. E. Kideys</w:t>
      </w:r>
      <w:r w:rsidRPr="0088780C">
        <w:rPr>
          <w:snapToGrid w:val="0"/>
          <w:kern w:val="22"/>
          <w:szCs w:val="22"/>
        </w:rPr>
        <w:t>, A. Konsulov, G. Radu, A. A. Subbotin &amp; V. E. Zaika 1994. Distribution of anchovy eggs and larvae (Engraulis encrasicolus Cuv.) in the Black Sea in 1991 and 1992 in comparison to former surveys. ICES Journal of Marine Science 51:395-406.</w:t>
      </w:r>
    </w:p>
    <w:p w14:paraId="500D700C" w14:textId="153B3E88" w:rsidR="0006218F" w:rsidRPr="0088780C" w:rsidRDefault="0006218F"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Oğuz T. 2017. Controls of Multiple Stressors on the Black Sea Fishery. Frontiers in Marine Science 4:1</w:t>
      </w:r>
      <w:r w:rsidR="00CF09AA" w:rsidRPr="0088780C">
        <w:rPr>
          <w:snapToGrid w:val="0"/>
          <w:kern w:val="22"/>
          <w:szCs w:val="22"/>
        </w:rPr>
        <w:noBreakHyphen/>
      </w:r>
      <w:r w:rsidRPr="0088780C">
        <w:rPr>
          <w:snapToGrid w:val="0"/>
          <w:kern w:val="22"/>
          <w:szCs w:val="22"/>
        </w:rPr>
        <w:t>12.</w:t>
      </w:r>
    </w:p>
    <w:p w14:paraId="708188A1" w14:textId="77777777" w:rsidR="0006218F" w:rsidRPr="0088780C" w:rsidRDefault="0006218F"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Oguz T., S. Tugrul, A. E. Kideys, V. Ediger &amp; N. Kubilay 2005. Physical and biogeochemical characteristics of the Black Sea.  In: The Sea, </w:t>
      </w:r>
      <w:r w:rsidRPr="0088780C">
        <w:rPr>
          <w:bCs/>
          <w:snapToGrid w:val="0"/>
          <w:kern w:val="22"/>
          <w:szCs w:val="22"/>
        </w:rPr>
        <w:t>Vol. 14, Chapter 33, 1331-1369.</w:t>
      </w:r>
      <w:r w:rsidRPr="0088780C">
        <w:rPr>
          <w:snapToGrid w:val="0"/>
          <w:kern w:val="22"/>
          <w:szCs w:val="22"/>
        </w:rPr>
        <w:t xml:space="preserve"> edited by Allan R. Robinson and Kenneth H. Brink, ISBN 0–674– ©2004 by the President and Fellows of Harvard College.</w:t>
      </w:r>
    </w:p>
    <w:p w14:paraId="694642A2" w14:textId="77777777" w:rsidR="0006218F" w:rsidRPr="0088780C" w:rsidRDefault="0006218F" w:rsidP="001013AF">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 xml:space="preserve">Yunev O.A. , V. I. Vedernikov, O. Basturk, A. Yilmaz, A. E. Kideys, S. Moncheva &amp; S. K. Konovalov 2002. Long-term variations of surface chlorophyll-a and primary production levels in the open Black Sea. Marine Ecology Progress Series </w:t>
      </w:r>
      <w:r w:rsidRPr="0088780C">
        <w:rPr>
          <w:bCs/>
          <w:snapToGrid w:val="0"/>
          <w:kern w:val="22"/>
          <w:szCs w:val="22"/>
        </w:rPr>
        <w:t>230: 11-28</w:t>
      </w:r>
      <w:r w:rsidRPr="0088780C">
        <w:rPr>
          <w:snapToGrid w:val="0"/>
          <w:kern w:val="22"/>
          <w:szCs w:val="22"/>
        </w:rPr>
        <w:t>.</w:t>
      </w:r>
    </w:p>
    <w:p w14:paraId="411C54E5" w14:textId="77777777" w:rsidR="0006218F" w:rsidRPr="0088780C" w:rsidRDefault="0006218F" w:rsidP="001013AF">
      <w:pPr>
        <w:suppressLineNumbers/>
        <w:suppressAutoHyphens/>
        <w:kinsoku w:val="0"/>
        <w:overflowPunct w:val="0"/>
        <w:autoSpaceDE w:val="0"/>
        <w:autoSpaceDN w:val="0"/>
        <w:rPr>
          <w:snapToGrid w:val="0"/>
          <w:kern w:val="22"/>
          <w:szCs w:val="22"/>
        </w:rPr>
      </w:pPr>
    </w:p>
    <w:p w14:paraId="76F19B06" w14:textId="09242566" w:rsidR="0006218F" w:rsidRPr="0088780C" w:rsidRDefault="0006218F" w:rsidP="001013AF">
      <w:pPr>
        <w:suppressLineNumbers/>
        <w:suppressAutoHyphens/>
        <w:kinsoku w:val="0"/>
        <w:overflowPunct w:val="0"/>
        <w:autoSpaceDE w:val="0"/>
        <w:autoSpaceDN w:val="0"/>
        <w:spacing w:after="60"/>
        <w:rPr>
          <w:b/>
          <w:snapToGrid w:val="0"/>
          <w:kern w:val="22"/>
          <w:szCs w:val="22"/>
        </w:rPr>
      </w:pPr>
      <w:r w:rsidRPr="0088780C">
        <w:rPr>
          <w:b/>
          <w:snapToGrid w:val="0"/>
          <w:kern w:val="22"/>
          <w:szCs w:val="22"/>
        </w:rPr>
        <w:t>C</w:t>
      </w:r>
      <w:r w:rsidR="000512A9" w:rsidRPr="0088780C">
        <w:rPr>
          <w:b/>
          <w:snapToGrid w:val="0"/>
          <w:kern w:val="22"/>
          <w:szCs w:val="22"/>
        </w:rPr>
        <w:t xml:space="preserve">old </w:t>
      </w:r>
      <w:r w:rsidRPr="0088780C">
        <w:rPr>
          <w:b/>
          <w:snapToGrid w:val="0"/>
          <w:kern w:val="22"/>
          <w:szCs w:val="22"/>
        </w:rPr>
        <w:t>(M</w:t>
      </w:r>
      <w:r w:rsidR="000512A9" w:rsidRPr="0088780C">
        <w:rPr>
          <w:b/>
          <w:snapToGrid w:val="0"/>
          <w:kern w:val="22"/>
          <w:szCs w:val="22"/>
        </w:rPr>
        <w:t>ethane) Seeps</w:t>
      </w:r>
      <w:r w:rsidRPr="0088780C">
        <w:rPr>
          <w:b/>
          <w:snapToGrid w:val="0"/>
          <w:kern w:val="22"/>
          <w:szCs w:val="22"/>
        </w:rPr>
        <w:t xml:space="preserve">, </w:t>
      </w:r>
      <w:r w:rsidR="000512A9" w:rsidRPr="0088780C">
        <w:rPr>
          <w:b/>
          <w:snapToGrid w:val="0"/>
          <w:kern w:val="22"/>
          <w:szCs w:val="22"/>
        </w:rPr>
        <w:t>Mud Volcanoes and Associated Biological Communities in the Black</w:t>
      </w:r>
      <w:r w:rsidR="009F47E9" w:rsidRPr="0088780C">
        <w:rPr>
          <w:b/>
          <w:snapToGrid w:val="0"/>
          <w:kern w:val="22"/>
          <w:szCs w:val="22"/>
        </w:rPr>
        <w:t xml:space="preserve"> </w:t>
      </w:r>
      <w:r w:rsidR="000512A9" w:rsidRPr="0088780C">
        <w:rPr>
          <w:b/>
          <w:snapToGrid w:val="0"/>
          <w:kern w:val="22"/>
          <w:szCs w:val="22"/>
        </w:rPr>
        <w:t>Sea</w:t>
      </w:r>
    </w:p>
    <w:p w14:paraId="11D48EB3" w14:textId="5DE4C85D" w:rsidR="00C8034C" w:rsidRPr="0088780C" w:rsidRDefault="00103028" w:rsidP="001013AF">
      <w:pPr>
        <w:suppressLineNumbers/>
        <w:suppressAutoHyphens/>
        <w:kinsoku w:val="0"/>
        <w:overflowPunct w:val="0"/>
        <w:autoSpaceDE w:val="0"/>
        <w:autoSpaceDN w:val="0"/>
        <w:spacing w:after="60"/>
        <w:rPr>
          <w:snapToGrid w:val="0"/>
          <w:kern w:val="22"/>
          <w:szCs w:val="22"/>
        </w:rPr>
      </w:pPr>
      <w:r w:rsidRPr="0088780C">
        <w:rPr>
          <w:snapToGrid w:val="0"/>
          <w:kern w:val="22"/>
          <w:szCs w:val="22"/>
        </w:rPr>
        <w:t>5.</w:t>
      </w:r>
      <w:r w:rsidR="009F47E9" w:rsidRPr="0088780C">
        <w:rPr>
          <w:snapToGrid w:val="0"/>
          <w:kern w:val="22"/>
          <w:szCs w:val="22"/>
        </w:rPr>
        <w:tab/>
      </w:r>
      <w:r w:rsidR="0006218F" w:rsidRPr="0088780C">
        <w:rPr>
          <w:snapToGrid w:val="0"/>
          <w:kern w:val="22"/>
          <w:szCs w:val="22"/>
        </w:rPr>
        <w:t>In the Black Sea, waters deeper than 150-200 m</w:t>
      </w:r>
      <w:r w:rsidR="00705792" w:rsidRPr="0088780C">
        <w:rPr>
          <w:snapToGrid w:val="0"/>
          <w:kern w:val="22"/>
          <w:szCs w:val="22"/>
        </w:rPr>
        <w:t xml:space="preserve">, </w:t>
      </w:r>
      <w:r w:rsidR="0006218F" w:rsidRPr="0088780C">
        <w:rPr>
          <w:snapToGrid w:val="0"/>
          <w:kern w:val="22"/>
          <w:szCs w:val="22"/>
        </w:rPr>
        <w:t>down to 2200</w:t>
      </w:r>
      <w:r w:rsidR="00D77AA8" w:rsidRPr="0088780C">
        <w:rPr>
          <w:snapToGrid w:val="0"/>
          <w:kern w:val="22"/>
          <w:szCs w:val="22"/>
        </w:rPr>
        <w:t> </w:t>
      </w:r>
      <w:r w:rsidR="0006218F" w:rsidRPr="0088780C">
        <w:rPr>
          <w:snapToGrid w:val="0"/>
          <w:kern w:val="22"/>
          <w:szCs w:val="22"/>
        </w:rPr>
        <w:t>m bottom depth</w:t>
      </w:r>
      <w:r w:rsidR="00705792" w:rsidRPr="0088780C">
        <w:rPr>
          <w:snapToGrid w:val="0"/>
          <w:kern w:val="22"/>
          <w:szCs w:val="22"/>
        </w:rPr>
        <w:t>,</w:t>
      </w:r>
      <w:r w:rsidR="0006218F" w:rsidRPr="0088780C">
        <w:rPr>
          <w:snapToGrid w:val="0"/>
          <w:kern w:val="22"/>
          <w:szCs w:val="22"/>
        </w:rPr>
        <w:t xml:space="preserve"> </w:t>
      </w:r>
      <w:r w:rsidR="007B3098" w:rsidRPr="0088780C">
        <w:rPr>
          <w:snapToGrid w:val="0"/>
          <w:kern w:val="22"/>
          <w:szCs w:val="22"/>
        </w:rPr>
        <w:t>are anoxic (absence of</w:t>
      </w:r>
      <w:r w:rsidR="0006218F" w:rsidRPr="0088780C">
        <w:rPr>
          <w:snapToGrid w:val="0"/>
          <w:kern w:val="22"/>
          <w:szCs w:val="22"/>
        </w:rPr>
        <w:t xml:space="preserve"> oxygen</w:t>
      </w:r>
      <w:r w:rsidR="00705792" w:rsidRPr="0088780C">
        <w:rPr>
          <w:snapToGrid w:val="0"/>
          <w:kern w:val="22"/>
          <w:szCs w:val="22"/>
        </w:rPr>
        <w:t>)</w:t>
      </w:r>
      <w:r w:rsidR="009F47E9" w:rsidRPr="0088780C">
        <w:rPr>
          <w:snapToGrid w:val="0"/>
          <w:kern w:val="22"/>
          <w:szCs w:val="22"/>
        </w:rPr>
        <w:t>,</w:t>
      </w:r>
      <w:r w:rsidR="0006218F" w:rsidRPr="0088780C">
        <w:rPr>
          <w:snapToGrid w:val="0"/>
          <w:kern w:val="22"/>
          <w:szCs w:val="22"/>
        </w:rPr>
        <w:t xml:space="preserve"> </w:t>
      </w:r>
      <w:r w:rsidR="00705792" w:rsidRPr="0088780C">
        <w:rPr>
          <w:snapToGrid w:val="0"/>
          <w:kern w:val="22"/>
          <w:szCs w:val="22"/>
        </w:rPr>
        <w:t>and</w:t>
      </w:r>
      <w:r w:rsidR="0006218F" w:rsidRPr="0088780C">
        <w:rPr>
          <w:snapToGrid w:val="0"/>
          <w:kern w:val="22"/>
          <w:szCs w:val="22"/>
        </w:rPr>
        <w:t xml:space="preserve"> contaminated with hydrogen sulfide</w:t>
      </w:r>
      <w:r w:rsidR="00705792" w:rsidRPr="0088780C">
        <w:rPr>
          <w:snapToGrid w:val="0"/>
          <w:kern w:val="22"/>
          <w:szCs w:val="22"/>
        </w:rPr>
        <w:t xml:space="preserve"> (H</w:t>
      </w:r>
      <w:r w:rsidR="00705792" w:rsidRPr="0088780C">
        <w:rPr>
          <w:snapToGrid w:val="0"/>
          <w:kern w:val="22"/>
          <w:szCs w:val="22"/>
          <w:vertAlign w:val="subscript"/>
        </w:rPr>
        <w:t>2</w:t>
      </w:r>
      <w:r w:rsidR="00705792" w:rsidRPr="0088780C">
        <w:rPr>
          <w:snapToGrid w:val="0"/>
          <w:kern w:val="22"/>
          <w:szCs w:val="22"/>
        </w:rPr>
        <w:t>S)</w:t>
      </w:r>
      <w:r w:rsidR="0006218F" w:rsidRPr="0088780C">
        <w:rPr>
          <w:snapToGrid w:val="0"/>
          <w:kern w:val="22"/>
          <w:szCs w:val="22"/>
        </w:rPr>
        <w:t xml:space="preserve">. The deep seabed has life based on microbial anaerobic processes. However, </w:t>
      </w:r>
      <w:r w:rsidR="009F47E9" w:rsidRPr="0088780C">
        <w:rPr>
          <w:snapToGrid w:val="0"/>
          <w:kern w:val="22"/>
          <w:szCs w:val="22"/>
        </w:rPr>
        <w:t xml:space="preserve">the </w:t>
      </w:r>
      <w:r w:rsidR="00705792" w:rsidRPr="0088780C">
        <w:rPr>
          <w:snapToGrid w:val="0"/>
          <w:kern w:val="22"/>
          <w:szCs w:val="22"/>
        </w:rPr>
        <w:t xml:space="preserve">benthic ecosystems of the </w:t>
      </w:r>
      <w:r w:rsidR="0006218F" w:rsidRPr="0088780C">
        <w:rPr>
          <w:snapToGrid w:val="0"/>
          <w:kern w:val="22"/>
          <w:szCs w:val="22"/>
        </w:rPr>
        <w:t>Black Sea are generally poorly studied and represent a research gap.</w:t>
      </w:r>
    </w:p>
    <w:p w14:paraId="5437917B" w14:textId="4A23E3BE" w:rsidR="00C8034C" w:rsidRPr="0088780C" w:rsidRDefault="00103028" w:rsidP="001013AF">
      <w:pPr>
        <w:suppressLineNumbers/>
        <w:suppressAutoHyphens/>
        <w:kinsoku w:val="0"/>
        <w:overflowPunct w:val="0"/>
        <w:autoSpaceDE w:val="0"/>
        <w:autoSpaceDN w:val="0"/>
        <w:spacing w:after="60"/>
        <w:rPr>
          <w:snapToGrid w:val="0"/>
          <w:kern w:val="22"/>
          <w:szCs w:val="22"/>
        </w:rPr>
      </w:pPr>
      <w:r w:rsidRPr="0088780C">
        <w:rPr>
          <w:snapToGrid w:val="0"/>
          <w:kern w:val="22"/>
          <w:szCs w:val="22"/>
        </w:rPr>
        <w:t>6.</w:t>
      </w:r>
      <w:r w:rsidR="00C8034C" w:rsidRPr="0088780C">
        <w:rPr>
          <w:snapToGrid w:val="0"/>
          <w:kern w:val="22"/>
          <w:szCs w:val="22"/>
        </w:rPr>
        <w:tab/>
      </w:r>
      <w:r w:rsidR="0006218F" w:rsidRPr="0088780C">
        <w:rPr>
          <w:snapToGrid w:val="0"/>
          <w:kern w:val="22"/>
          <w:szCs w:val="22"/>
        </w:rPr>
        <w:t>Methane is a source of chemosynthe</w:t>
      </w:r>
      <w:r w:rsidR="00BF7921" w:rsidRPr="0088780C">
        <w:rPr>
          <w:snapToGrid w:val="0"/>
          <w:kern w:val="22"/>
          <w:szCs w:val="22"/>
        </w:rPr>
        <w:t>tic</w:t>
      </w:r>
      <w:r w:rsidR="0006218F" w:rsidRPr="0088780C">
        <w:rPr>
          <w:snapToGrid w:val="0"/>
          <w:kern w:val="22"/>
          <w:szCs w:val="22"/>
        </w:rPr>
        <w:t xml:space="preserve"> production in reducing </w:t>
      </w:r>
      <w:r w:rsidR="00BF7921" w:rsidRPr="0088780C">
        <w:rPr>
          <w:snapToGrid w:val="0"/>
          <w:kern w:val="22"/>
          <w:szCs w:val="22"/>
        </w:rPr>
        <w:t xml:space="preserve">the </w:t>
      </w:r>
      <w:r w:rsidR="0006218F" w:rsidRPr="0088780C">
        <w:rPr>
          <w:snapToGrid w:val="0"/>
          <w:kern w:val="22"/>
          <w:szCs w:val="22"/>
        </w:rPr>
        <w:t xml:space="preserve">hydrogen sulfide zone of the Black Sea. In 1989 methane gas jetting emissions were discovered for the first time in the Black Sea in the area of the Danube Paleodelta. </w:t>
      </w:r>
      <w:r w:rsidR="00BF7921" w:rsidRPr="0088780C">
        <w:rPr>
          <w:snapToGrid w:val="0"/>
          <w:kern w:val="22"/>
          <w:szCs w:val="22"/>
        </w:rPr>
        <w:t xml:space="preserve">Since then, </w:t>
      </w:r>
      <w:r w:rsidR="0006218F" w:rsidRPr="0088780C">
        <w:rPr>
          <w:snapToGrid w:val="0"/>
          <w:kern w:val="22"/>
          <w:szCs w:val="22"/>
        </w:rPr>
        <w:t>about 3000 seeps have been found in the northern half of the sea</w:t>
      </w:r>
      <w:r w:rsidR="00BF7921" w:rsidRPr="0088780C">
        <w:rPr>
          <w:snapToGrid w:val="0"/>
          <w:kern w:val="22"/>
          <w:szCs w:val="22"/>
        </w:rPr>
        <w:t xml:space="preserve">, </w:t>
      </w:r>
      <w:r w:rsidR="0006218F" w:rsidRPr="0088780C">
        <w:rPr>
          <w:snapToGrid w:val="0"/>
          <w:kern w:val="22"/>
          <w:szCs w:val="22"/>
        </w:rPr>
        <w:t xml:space="preserve">widely spread </w:t>
      </w:r>
      <w:r w:rsidR="00BF7921" w:rsidRPr="0088780C">
        <w:rPr>
          <w:snapToGrid w:val="0"/>
          <w:kern w:val="22"/>
          <w:szCs w:val="22"/>
        </w:rPr>
        <w:t xml:space="preserve">but </w:t>
      </w:r>
      <w:r w:rsidR="0006218F" w:rsidRPr="0088780C">
        <w:rPr>
          <w:snapToGrid w:val="0"/>
          <w:kern w:val="22"/>
          <w:szCs w:val="22"/>
        </w:rPr>
        <w:t xml:space="preserve">mostly </w:t>
      </w:r>
      <w:r w:rsidR="00BF7921" w:rsidRPr="0088780C">
        <w:rPr>
          <w:snapToGrid w:val="0"/>
          <w:kern w:val="22"/>
          <w:szCs w:val="22"/>
        </w:rPr>
        <w:t xml:space="preserve">along the </w:t>
      </w:r>
      <w:r w:rsidR="0006218F" w:rsidRPr="0088780C">
        <w:rPr>
          <w:snapToGrid w:val="0"/>
          <w:kern w:val="22"/>
          <w:szCs w:val="22"/>
        </w:rPr>
        <w:t xml:space="preserve">continental slope at depths of 60-700 m in the </w:t>
      </w:r>
      <w:r w:rsidR="00C656A2" w:rsidRPr="0088780C">
        <w:rPr>
          <w:snapToGrid w:val="0"/>
          <w:kern w:val="22"/>
          <w:szCs w:val="22"/>
        </w:rPr>
        <w:t>north-west</w:t>
      </w:r>
      <w:r w:rsidR="0006218F" w:rsidRPr="0088780C">
        <w:rPr>
          <w:snapToGrid w:val="0"/>
          <w:kern w:val="22"/>
          <w:szCs w:val="22"/>
        </w:rPr>
        <w:t>, north and eastern Black Sea (Fig. 1</w:t>
      </w:r>
      <w:r w:rsidR="00C8034C" w:rsidRPr="0088780C">
        <w:rPr>
          <w:snapToGrid w:val="0"/>
          <w:kern w:val="22"/>
          <w:szCs w:val="22"/>
        </w:rPr>
        <w:t>)</w:t>
      </w:r>
      <w:r w:rsidR="0006218F" w:rsidRPr="0088780C">
        <w:rPr>
          <w:snapToGrid w:val="0"/>
          <w:kern w:val="22"/>
          <w:szCs w:val="22"/>
        </w:rPr>
        <w:t xml:space="preserve"> </w:t>
      </w:r>
      <w:r w:rsidR="00C8034C" w:rsidRPr="0088780C">
        <w:rPr>
          <w:snapToGrid w:val="0"/>
          <w:kern w:val="22"/>
          <w:szCs w:val="22"/>
        </w:rPr>
        <w:t>(</w:t>
      </w:r>
      <w:r w:rsidR="0006218F" w:rsidRPr="0088780C">
        <w:rPr>
          <w:snapToGrid w:val="0"/>
          <w:kern w:val="22"/>
          <w:szCs w:val="22"/>
        </w:rPr>
        <w:t xml:space="preserve">Egorov et al. 2011, </w:t>
      </w:r>
      <w:r w:rsidR="0006218F" w:rsidRPr="0088780C">
        <w:rPr>
          <w:iCs/>
          <w:snapToGrid w:val="0"/>
          <w:kern w:val="22"/>
          <w:szCs w:val="22"/>
        </w:rPr>
        <w:t>Klaucke et al. 2006</w:t>
      </w:r>
      <w:r w:rsidR="0006218F" w:rsidRPr="0088780C">
        <w:rPr>
          <w:snapToGrid w:val="0"/>
          <w:kern w:val="22"/>
          <w:szCs w:val="22"/>
        </w:rPr>
        <w:t>).</w:t>
      </w:r>
    </w:p>
    <w:p w14:paraId="13AE041B" w14:textId="129DBA39" w:rsidR="00C8034C" w:rsidRPr="0088780C" w:rsidRDefault="00103028" w:rsidP="001013AF">
      <w:pPr>
        <w:suppressLineNumbers/>
        <w:suppressAutoHyphens/>
        <w:kinsoku w:val="0"/>
        <w:overflowPunct w:val="0"/>
        <w:autoSpaceDE w:val="0"/>
        <w:autoSpaceDN w:val="0"/>
        <w:spacing w:after="60"/>
        <w:rPr>
          <w:snapToGrid w:val="0"/>
          <w:kern w:val="22"/>
          <w:szCs w:val="22"/>
        </w:rPr>
      </w:pPr>
      <w:r w:rsidRPr="0088780C">
        <w:rPr>
          <w:snapToGrid w:val="0"/>
          <w:kern w:val="22"/>
          <w:szCs w:val="22"/>
        </w:rPr>
        <w:t>7.</w:t>
      </w:r>
      <w:r w:rsidR="00C8034C" w:rsidRPr="0088780C">
        <w:rPr>
          <w:snapToGrid w:val="0"/>
          <w:kern w:val="22"/>
          <w:szCs w:val="22"/>
        </w:rPr>
        <w:tab/>
      </w:r>
      <w:r w:rsidR="0006218F" w:rsidRPr="0088780C">
        <w:rPr>
          <w:snapToGrid w:val="0"/>
          <w:kern w:val="22"/>
          <w:szCs w:val="22"/>
        </w:rPr>
        <w:t>Bacteria</w:t>
      </w:r>
      <w:r w:rsidR="00BF7921" w:rsidRPr="0088780C">
        <w:rPr>
          <w:snapToGrid w:val="0"/>
          <w:kern w:val="22"/>
          <w:szCs w:val="22"/>
        </w:rPr>
        <w:t>l</w:t>
      </w:r>
      <w:r w:rsidR="0006218F" w:rsidRPr="0088780C">
        <w:rPr>
          <w:snapToGrid w:val="0"/>
          <w:kern w:val="22"/>
          <w:szCs w:val="22"/>
        </w:rPr>
        <w:t xml:space="preserve"> communities form mats or specific </w:t>
      </w:r>
      <w:r w:rsidR="0006218F" w:rsidRPr="0088780C">
        <w:rPr>
          <w:iCs/>
          <w:snapToGrid w:val="0"/>
          <w:kern w:val="22"/>
          <w:szCs w:val="22"/>
        </w:rPr>
        <w:t xml:space="preserve">carbonate </w:t>
      </w:r>
      <w:r w:rsidR="0040590E" w:rsidRPr="0088780C">
        <w:rPr>
          <w:iCs/>
          <w:snapToGrid w:val="0"/>
          <w:kern w:val="22"/>
          <w:szCs w:val="22"/>
        </w:rPr>
        <w:t>structures</w:t>
      </w:r>
      <w:r w:rsidR="0006218F" w:rsidRPr="0088780C">
        <w:rPr>
          <w:snapToGrid w:val="0"/>
          <w:kern w:val="22"/>
          <w:szCs w:val="22"/>
        </w:rPr>
        <w:t xml:space="preserve"> up to 30 cm high in the methane </w:t>
      </w:r>
      <w:r w:rsidR="00E34842" w:rsidRPr="0088780C">
        <w:rPr>
          <w:snapToGrid w:val="0"/>
          <w:kern w:val="22"/>
          <w:szCs w:val="22"/>
        </w:rPr>
        <w:t>seep</w:t>
      </w:r>
      <w:r w:rsidR="0006218F" w:rsidRPr="0088780C">
        <w:rPr>
          <w:snapToGrid w:val="0"/>
          <w:kern w:val="22"/>
          <w:szCs w:val="22"/>
        </w:rPr>
        <w:t xml:space="preserve"> zones (Fig. 2). </w:t>
      </w:r>
      <w:r w:rsidR="00E34842" w:rsidRPr="0088780C">
        <w:rPr>
          <w:snapToGrid w:val="0"/>
          <w:kern w:val="22"/>
          <w:szCs w:val="22"/>
        </w:rPr>
        <w:t>L</w:t>
      </w:r>
      <w:r w:rsidR="0006218F" w:rsidRPr="0088780C">
        <w:rPr>
          <w:snapToGrid w:val="0"/>
          <w:kern w:val="22"/>
          <w:szCs w:val="22"/>
        </w:rPr>
        <w:t>iving nematodes</w:t>
      </w:r>
      <w:r w:rsidR="00E34842" w:rsidRPr="0088780C">
        <w:rPr>
          <w:snapToGrid w:val="0"/>
          <w:kern w:val="22"/>
          <w:szCs w:val="22"/>
        </w:rPr>
        <w:t xml:space="preserve"> have been found at the methane seeps</w:t>
      </w:r>
      <w:r w:rsidR="0006218F" w:rsidRPr="0088780C">
        <w:rPr>
          <w:snapToGrid w:val="0"/>
          <w:kern w:val="22"/>
          <w:szCs w:val="22"/>
        </w:rPr>
        <w:t xml:space="preserve">, which can exist due to symbiotic relationships with bacteria (Vorobyova, 1999). </w:t>
      </w:r>
      <w:r w:rsidR="009F47E9" w:rsidRPr="0088780C">
        <w:rPr>
          <w:snapToGrid w:val="0"/>
          <w:kern w:val="22"/>
          <w:szCs w:val="22"/>
        </w:rPr>
        <w:t xml:space="preserve">It is </w:t>
      </w:r>
      <w:r w:rsidR="00C8034C" w:rsidRPr="0088780C">
        <w:rPr>
          <w:snapToGrid w:val="0"/>
          <w:kern w:val="22"/>
          <w:szCs w:val="22"/>
        </w:rPr>
        <w:t>necessary</w:t>
      </w:r>
      <w:r w:rsidR="009F47E9" w:rsidRPr="0088780C">
        <w:rPr>
          <w:snapToGrid w:val="0"/>
          <w:kern w:val="22"/>
          <w:szCs w:val="22"/>
        </w:rPr>
        <w:t xml:space="preserve"> to explore</w:t>
      </w:r>
      <w:r w:rsidR="0006218F" w:rsidRPr="0088780C">
        <w:rPr>
          <w:snapToGrid w:val="0"/>
          <w:kern w:val="22"/>
          <w:szCs w:val="22"/>
        </w:rPr>
        <w:t xml:space="preserve"> the formation of unique biocenos</w:t>
      </w:r>
      <w:r w:rsidR="0040590E" w:rsidRPr="0088780C">
        <w:rPr>
          <w:snapToGrid w:val="0"/>
          <w:kern w:val="22"/>
          <w:szCs w:val="22"/>
        </w:rPr>
        <w:t>i</w:t>
      </w:r>
      <w:r w:rsidR="0006218F" w:rsidRPr="0088780C">
        <w:rPr>
          <w:snapToGrid w:val="0"/>
          <w:kern w:val="22"/>
          <w:szCs w:val="22"/>
        </w:rPr>
        <w:t xml:space="preserve">s specific </w:t>
      </w:r>
      <w:r w:rsidR="0040590E" w:rsidRPr="0088780C">
        <w:rPr>
          <w:snapToGrid w:val="0"/>
          <w:kern w:val="22"/>
          <w:szCs w:val="22"/>
        </w:rPr>
        <w:t>to</w:t>
      </w:r>
      <w:r w:rsidR="009F47E9" w:rsidRPr="0088780C">
        <w:rPr>
          <w:snapToGrid w:val="0"/>
          <w:kern w:val="22"/>
          <w:szCs w:val="22"/>
        </w:rPr>
        <w:t xml:space="preserve"> the Black Sea.</w:t>
      </w:r>
    </w:p>
    <w:p w14:paraId="2CA7207D" w14:textId="443C5B37" w:rsidR="0006218F" w:rsidRPr="0088780C" w:rsidRDefault="00103028" w:rsidP="00A01960">
      <w:pPr>
        <w:suppressLineNumbers/>
        <w:suppressAutoHyphens/>
        <w:kinsoku w:val="0"/>
        <w:overflowPunct w:val="0"/>
        <w:autoSpaceDE w:val="0"/>
        <w:autoSpaceDN w:val="0"/>
        <w:spacing w:after="60"/>
        <w:rPr>
          <w:snapToGrid w:val="0"/>
          <w:spacing w:val="-2"/>
          <w:kern w:val="22"/>
          <w:szCs w:val="22"/>
        </w:rPr>
      </w:pPr>
      <w:r w:rsidRPr="0088780C">
        <w:rPr>
          <w:snapToGrid w:val="0"/>
          <w:spacing w:val="-2"/>
          <w:kern w:val="22"/>
          <w:szCs w:val="22"/>
        </w:rPr>
        <w:t>8.</w:t>
      </w:r>
      <w:r w:rsidR="00C8034C" w:rsidRPr="0088780C">
        <w:rPr>
          <w:snapToGrid w:val="0"/>
          <w:spacing w:val="-2"/>
          <w:kern w:val="22"/>
          <w:szCs w:val="22"/>
        </w:rPr>
        <w:tab/>
      </w:r>
      <w:r w:rsidR="009F47E9" w:rsidRPr="0088780C">
        <w:rPr>
          <w:snapToGrid w:val="0"/>
          <w:spacing w:val="-2"/>
          <w:kern w:val="22"/>
          <w:szCs w:val="22"/>
        </w:rPr>
        <w:t>Recognizing</w:t>
      </w:r>
      <w:r w:rsidR="0006218F" w:rsidRPr="0088780C">
        <w:rPr>
          <w:snapToGrid w:val="0"/>
          <w:spacing w:val="-2"/>
          <w:kern w:val="22"/>
          <w:szCs w:val="22"/>
        </w:rPr>
        <w:t xml:space="preserve"> </w:t>
      </w:r>
      <w:r w:rsidR="009F47E9" w:rsidRPr="0088780C">
        <w:rPr>
          <w:snapToGrid w:val="0"/>
          <w:spacing w:val="-2"/>
          <w:kern w:val="22"/>
          <w:szCs w:val="22"/>
        </w:rPr>
        <w:t>the</w:t>
      </w:r>
      <w:r w:rsidR="0006218F" w:rsidRPr="0088780C">
        <w:rPr>
          <w:snapToGrid w:val="0"/>
          <w:spacing w:val="-2"/>
          <w:kern w:val="22"/>
          <w:szCs w:val="22"/>
        </w:rPr>
        <w:t xml:space="preserve"> significance of these communities in the area of </w:t>
      </w:r>
      <w:r w:rsidR="009F47E9" w:rsidRPr="0088780C">
        <w:rPr>
          <w:snapToGrid w:val="0"/>
          <w:spacing w:val="-2"/>
          <w:kern w:val="22"/>
          <w:szCs w:val="22"/>
        </w:rPr>
        <w:t>t</w:t>
      </w:r>
      <w:r w:rsidR="0006218F" w:rsidRPr="0088780C">
        <w:rPr>
          <w:snapToGrid w:val="0"/>
          <w:spacing w:val="-2"/>
          <w:kern w:val="22"/>
          <w:szCs w:val="22"/>
        </w:rPr>
        <w:t>he Danube Paleodelta</w:t>
      </w:r>
      <w:r w:rsidR="009F47E9" w:rsidRPr="0088780C">
        <w:rPr>
          <w:snapToGrid w:val="0"/>
          <w:spacing w:val="-2"/>
          <w:kern w:val="22"/>
          <w:szCs w:val="22"/>
        </w:rPr>
        <w:t xml:space="preserve">, </w:t>
      </w:r>
      <w:r w:rsidR="0006218F" w:rsidRPr="0088780C">
        <w:rPr>
          <w:snapToGrid w:val="0"/>
          <w:spacing w:val="-2"/>
          <w:kern w:val="22"/>
          <w:szCs w:val="22"/>
        </w:rPr>
        <w:t>the first marine reserve in the Black Sea was established</w:t>
      </w:r>
      <w:r w:rsidR="009F47E9" w:rsidRPr="0088780C">
        <w:rPr>
          <w:snapToGrid w:val="0"/>
          <w:spacing w:val="-2"/>
          <w:kern w:val="22"/>
          <w:szCs w:val="22"/>
        </w:rPr>
        <w:t xml:space="preserve"> in Romania</w:t>
      </w:r>
      <w:r w:rsidR="0006218F" w:rsidRPr="0088780C">
        <w:rPr>
          <w:snapToGrid w:val="0"/>
          <w:spacing w:val="-2"/>
          <w:kern w:val="22"/>
          <w:szCs w:val="22"/>
        </w:rPr>
        <w:t xml:space="preserve">. The </w:t>
      </w:r>
      <w:r w:rsidR="00D8482D" w:rsidRPr="0088780C">
        <w:rPr>
          <w:snapToGrid w:val="0"/>
          <w:spacing w:val="-2"/>
          <w:kern w:val="22"/>
          <w:szCs w:val="22"/>
        </w:rPr>
        <w:t>“</w:t>
      </w:r>
      <w:r w:rsidR="0006218F" w:rsidRPr="0088780C">
        <w:rPr>
          <w:snapToGrid w:val="0"/>
          <w:spacing w:val="-2"/>
          <w:kern w:val="22"/>
          <w:szCs w:val="22"/>
        </w:rPr>
        <w:t>Methanogenic Structures from Sfantu Gheorghe: ROSCI0237</w:t>
      </w:r>
      <w:r w:rsidR="00D8482D" w:rsidRPr="0088780C">
        <w:rPr>
          <w:snapToGrid w:val="0"/>
          <w:spacing w:val="-2"/>
          <w:kern w:val="22"/>
          <w:szCs w:val="22"/>
        </w:rPr>
        <w:t>”</w:t>
      </w:r>
      <w:r w:rsidR="0006218F" w:rsidRPr="0088780C">
        <w:rPr>
          <w:snapToGrid w:val="0"/>
          <w:spacing w:val="-2"/>
          <w:kern w:val="22"/>
          <w:szCs w:val="22"/>
        </w:rPr>
        <w:t xml:space="preserve"> was created according </w:t>
      </w:r>
      <w:r w:rsidR="00BE60FC" w:rsidRPr="0088780C">
        <w:rPr>
          <w:snapToGrid w:val="0"/>
          <w:spacing w:val="-2"/>
          <w:kern w:val="22"/>
          <w:szCs w:val="22"/>
        </w:rPr>
        <w:t>to an</w:t>
      </w:r>
      <w:r w:rsidR="0006218F" w:rsidRPr="0088780C">
        <w:rPr>
          <w:snapToGrid w:val="0"/>
          <w:spacing w:val="-2"/>
          <w:kern w:val="22"/>
          <w:szCs w:val="22"/>
        </w:rPr>
        <w:t xml:space="preserve"> order of </w:t>
      </w:r>
      <w:r w:rsidR="00BE60FC" w:rsidRPr="0088780C">
        <w:rPr>
          <w:snapToGrid w:val="0"/>
          <w:spacing w:val="-2"/>
          <w:kern w:val="22"/>
          <w:szCs w:val="22"/>
        </w:rPr>
        <w:t xml:space="preserve">the </w:t>
      </w:r>
      <w:r w:rsidR="0006218F" w:rsidRPr="0088780C">
        <w:rPr>
          <w:snapToGrid w:val="0"/>
          <w:spacing w:val="-2"/>
          <w:kern w:val="22"/>
          <w:szCs w:val="22"/>
        </w:rPr>
        <w:t xml:space="preserve">Minister of Environment and Sustainable Development </w:t>
      </w:r>
      <w:r w:rsidR="00BE60FC" w:rsidRPr="0088780C">
        <w:rPr>
          <w:snapToGrid w:val="0"/>
          <w:spacing w:val="-2"/>
          <w:kern w:val="22"/>
          <w:szCs w:val="22"/>
        </w:rPr>
        <w:t>(</w:t>
      </w:r>
      <w:r w:rsidR="00F743B2" w:rsidRPr="0088780C">
        <w:rPr>
          <w:snapToGrid w:val="0"/>
          <w:spacing w:val="-2"/>
          <w:kern w:val="22"/>
          <w:szCs w:val="22"/>
        </w:rPr>
        <w:t>No.</w:t>
      </w:r>
      <w:r w:rsidR="00BE60FC" w:rsidRPr="0088780C">
        <w:rPr>
          <w:snapToGrid w:val="0"/>
          <w:spacing w:val="-2"/>
          <w:kern w:val="22"/>
          <w:szCs w:val="22"/>
        </w:rPr>
        <w:t xml:space="preserve"> </w:t>
      </w:r>
      <w:r w:rsidR="0006218F" w:rsidRPr="0088780C">
        <w:rPr>
          <w:snapToGrid w:val="0"/>
          <w:spacing w:val="-2"/>
          <w:kern w:val="22"/>
          <w:szCs w:val="22"/>
        </w:rPr>
        <w:t>1964/5</w:t>
      </w:r>
      <w:r w:rsidR="00BE60FC" w:rsidRPr="0088780C">
        <w:rPr>
          <w:snapToGrid w:val="0"/>
          <w:spacing w:val="-2"/>
          <w:kern w:val="22"/>
          <w:szCs w:val="22"/>
        </w:rPr>
        <w:t>,</w:t>
      </w:r>
      <w:r w:rsidR="0006218F" w:rsidRPr="0088780C">
        <w:rPr>
          <w:snapToGrid w:val="0"/>
          <w:spacing w:val="-2"/>
          <w:kern w:val="22"/>
          <w:szCs w:val="22"/>
        </w:rPr>
        <w:t xml:space="preserve"> December 2007</w:t>
      </w:r>
      <w:r w:rsidR="00BE60FC" w:rsidRPr="0088780C">
        <w:rPr>
          <w:snapToGrid w:val="0"/>
          <w:spacing w:val="-2"/>
          <w:kern w:val="22"/>
          <w:szCs w:val="22"/>
        </w:rPr>
        <w:t>)</w:t>
      </w:r>
      <w:r w:rsidR="0006218F" w:rsidRPr="0088780C">
        <w:rPr>
          <w:snapToGrid w:val="0"/>
          <w:spacing w:val="-2"/>
          <w:kern w:val="22"/>
          <w:szCs w:val="22"/>
        </w:rPr>
        <w:t xml:space="preserve"> regarding the </w:t>
      </w:r>
      <w:r w:rsidR="00BE60FC" w:rsidRPr="0088780C">
        <w:rPr>
          <w:snapToGrid w:val="0"/>
          <w:spacing w:val="-2"/>
          <w:kern w:val="22"/>
          <w:szCs w:val="22"/>
        </w:rPr>
        <w:t>designation</w:t>
      </w:r>
      <w:r w:rsidR="0006218F" w:rsidRPr="0088780C">
        <w:rPr>
          <w:snapToGrid w:val="0"/>
          <w:spacing w:val="-2"/>
          <w:kern w:val="22"/>
          <w:szCs w:val="22"/>
        </w:rPr>
        <w:t xml:space="preserve"> of </w:t>
      </w:r>
      <w:r w:rsidR="00BE60FC" w:rsidRPr="0088780C">
        <w:rPr>
          <w:snapToGrid w:val="0"/>
          <w:spacing w:val="-2"/>
          <w:kern w:val="22"/>
          <w:szCs w:val="22"/>
        </w:rPr>
        <w:t>S</w:t>
      </w:r>
      <w:r w:rsidR="0006218F" w:rsidRPr="0088780C">
        <w:rPr>
          <w:snapToGrid w:val="0"/>
          <w:spacing w:val="-2"/>
          <w:kern w:val="22"/>
          <w:szCs w:val="22"/>
        </w:rPr>
        <w:t xml:space="preserve">ites of </w:t>
      </w:r>
      <w:r w:rsidR="00BE60FC" w:rsidRPr="0088780C">
        <w:rPr>
          <w:snapToGrid w:val="0"/>
          <w:spacing w:val="-2"/>
          <w:kern w:val="22"/>
          <w:szCs w:val="22"/>
        </w:rPr>
        <w:t>C</w:t>
      </w:r>
      <w:r w:rsidR="0006218F" w:rsidRPr="0088780C">
        <w:rPr>
          <w:snapToGrid w:val="0"/>
          <w:spacing w:val="-2"/>
          <w:kern w:val="22"/>
          <w:szCs w:val="22"/>
        </w:rPr>
        <w:t xml:space="preserve">ommunity </w:t>
      </w:r>
      <w:r w:rsidR="00BE60FC" w:rsidRPr="0088780C">
        <w:rPr>
          <w:snapToGrid w:val="0"/>
          <w:spacing w:val="-2"/>
          <w:kern w:val="22"/>
          <w:szCs w:val="22"/>
        </w:rPr>
        <w:t>Importance</w:t>
      </w:r>
      <w:r w:rsidR="00484553" w:rsidRPr="0088780C">
        <w:rPr>
          <w:snapToGrid w:val="0"/>
          <w:spacing w:val="-2"/>
          <w:kern w:val="22"/>
          <w:szCs w:val="22"/>
        </w:rPr>
        <w:t xml:space="preserve"> </w:t>
      </w:r>
      <w:r w:rsidR="00BE60FC" w:rsidRPr="0088780C">
        <w:rPr>
          <w:snapToGrid w:val="0"/>
          <w:spacing w:val="-2"/>
          <w:kern w:val="22"/>
          <w:szCs w:val="22"/>
        </w:rPr>
        <w:t>(SCI)</w:t>
      </w:r>
      <w:r w:rsidR="0006218F" w:rsidRPr="0088780C">
        <w:rPr>
          <w:snapToGrid w:val="0"/>
          <w:spacing w:val="-2"/>
          <w:kern w:val="22"/>
          <w:szCs w:val="22"/>
        </w:rPr>
        <w:t xml:space="preserve"> as part of the European Natura 2000</w:t>
      </w:r>
      <w:r w:rsidR="00BE60FC" w:rsidRPr="0088780C">
        <w:rPr>
          <w:snapToGrid w:val="0"/>
          <w:spacing w:val="-2"/>
          <w:kern w:val="22"/>
          <w:szCs w:val="22"/>
        </w:rPr>
        <w:t xml:space="preserve"> Network</w:t>
      </w:r>
      <w:r w:rsidR="0006218F" w:rsidRPr="0088780C">
        <w:rPr>
          <w:snapToGrid w:val="0"/>
          <w:spacing w:val="-2"/>
          <w:kern w:val="22"/>
          <w:szCs w:val="22"/>
        </w:rPr>
        <w:t>. In 2016, by the Order 46/2016 of the Minister of Environment, Water and Forests of Romania regarding the establishment of natural protected areas and SCIs as integral part</w:t>
      </w:r>
      <w:r w:rsidR="00BE60FC" w:rsidRPr="0088780C">
        <w:rPr>
          <w:snapToGrid w:val="0"/>
          <w:spacing w:val="-2"/>
          <w:kern w:val="22"/>
          <w:szCs w:val="22"/>
        </w:rPr>
        <w:t>s</w:t>
      </w:r>
      <w:r w:rsidR="0006218F" w:rsidRPr="0088780C">
        <w:rPr>
          <w:snapToGrid w:val="0"/>
          <w:spacing w:val="-2"/>
          <w:kern w:val="22"/>
          <w:szCs w:val="22"/>
        </w:rPr>
        <w:t xml:space="preserve"> of </w:t>
      </w:r>
      <w:r w:rsidR="00BE60FC" w:rsidRPr="0088780C">
        <w:rPr>
          <w:snapToGrid w:val="0"/>
          <w:spacing w:val="-2"/>
          <w:kern w:val="22"/>
          <w:szCs w:val="22"/>
        </w:rPr>
        <w:t xml:space="preserve">the </w:t>
      </w:r>
      <w:r w:rsidR="0006218F" w:rsidRPr="0088780C">
        <w:rPr>
          <w:snapToGrid w:val="0"/>
          <w:spacing w:val="-2"/>
          <w:kern w:val="22"/>
          <w:szCs w:val="22"/>
        </w:rPr>
        <w:t xml:space="preserve">European Natura 2000 Network, the outer limit of the Danube Delta Marine Area was extended towards </w:t>
      </w:r>
      <w:r w:rsidR="005C61B6" w:rsidRPr="0088780C">
        <w:rPr>
          <w:snapToGrid w:val="0"/>
          <w:spacing w:val="-2"/>
          <w:kern w:val="22"/>
          <w:szCs w:val="22"/>
        </w:rPr>
        <w:t xml:space="preserve">the </w:t>
      </w:r>
      <w:r w:rsidR="0006218F" w:rsidRPr="0088780C">
        <w:rPr>
          <w:snapToGrid w:val="0"/>
          <w:spacing w:val="-2"/>
          <w:kern w:val="22"/>
          <w:szCs w:val="22"/>
        </w:rPr>
        <w:t>open sea by 40</w:t>
      </w:r>
      <w:r w:rsidR="00D77AA8" w:rsidRPr="0088780C">
        <w:rPr>
          <w:snapToGrid w:val="0"/>
          <w:spacing w:val="-2"/>
          <w:kern w:val="22"/>
          <w:szCs w:val="22"/>
        </w:rPr>
        <w:t> </w:t>
      </w:r>
      <w:r w:rsidR="0006218F" w:rsidRPr="0088780C">
        <w:rPr>
          <w:snapToGrid w:val="0"/>
          <w:spacing w:val="-2"/>
          <w:kern w:val="22"/>
          <w:szCs w:val="22"/>
        </w:rPr>
        <w:t>m isobaths, incorporating thus the Sf</w:t>
      </w:r>
      <w:r w:rsidR="00BE60FC" w:rsidRPr="0088780C">
        <w:rPr>
          <w:snapToGrid w:val="0"/>
          <w:spacing w:val="-2"/>
          <w:kern w:val="22"/>
          <w:szCs w:val="22"/>
        </w:rPr>
        <w:t>antu</w:t>
      </w:r>
      <w:r w:rsidR="0006218F" w:rsidRPr="0088780C">
        <w:rPr>
          <w:snapToGrid w:val="0"/>
          <w:spacing w:val="-2"/>
          <w:kern w:val="22"/>
          <w:szCs w:val="22"/>
        </w:rPr>
        <w:t xml:space="preserve"> Gheorghe submerged marine methanogenic structures into one SCI: ROSCI0066 – Danube Delta Marine Area.</w:t>
      </w:r>
    </w:p>
    <w:p w14:paraId="2296369A" w14:textId="77777777" w:rsidR="0006218F" w:rsidRPr="0088780C" w:rsidRDefault="0006218F" w:rsidP="001013AF">
      <w:pPr>
        <w:suppressLineNumbers/>
        <w:suppressAutoHyphens/>
        <w:kinsoku w:val="0"/>
        <w:overflowPunct w:val="0"/>
        <w:autoSpaceDE w:val="0"/>
        <w:autoSpaceDN w:val="0"/>
        <w:adjustRightInd w:val="0"/>
        <w:rPr>
          <w:snapToGrid w:val="0"/>
          <w:kern w:val="22"/>
          <w:szCs w:val="22"/>
        </w:rPr>
      </w:pPr>
    </w:p>
    <w:p w14:paraId="77B96797" w14:textId="1B63CD3C" w:rsidR="0006218F" w:rsidRPr="0088780C" w:rsidRDefault="0006218F" w:rsidP="001013AF">
      <w:pPr>
        <w:suppressLineNumbers/>
        <w:suppressAutoHyphens/>
        <w:kinsoku w:val="0"/>
        <w:overflowPunct w:val="0"/>
        <w:autoSpaceDE w:val="0"/>
        <w:autoSpaceDN w:val="0"/>
        <w:adjustRightInd w:val="0"/>
        <w:rPr>
          <w:snapToGrid w:val="0"/>
          <w:kern w:val="22"/>
          <w:szCs w:val="22"/>
        </w:rPr>
      </w:pPr>
      <w:r w:rsidRPr="0088780C">
        <w:rPr>
          <w:noProof/>
          <w:snapToGrid w:val="0"/>
          <w:kern w:val="22"/>
          <w:szCs w:val="22"/>
          <w:lang w:eastAsia="zh-CN"/>
        </w:rPr>
        <w:drawing>
          <wp:inline distT="0" distB="0" distL="0" distR="0" wp14:anchorId="2459CCFB" wp14:editId="2EBCC87A">
            <wp:extent cx="5497195" cy="354901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64">
                      <a:extLst>
                        <a:ext uri="{28A0092B-C50C-407E-A947-70E740481C1C}">
                          <a14:useLocalDpi xmlns:a14="http://schemas.microsoft.com/office/drawing/2010/main" val="0"/>
                        </a:ext>
                      </a:extLst>
                    </a:blip>
                    <a:srcRect l="21393" t="16229" r="17413" b="13557"/>
                    <a:stretch>
                      <a:fillRect/>
                    </a:stretch>
                  </pic:blipFill>
                  <pic:spPr bwMode="auto">
                    <a:xfrm>
                      <a:off x="0" y="0"/>
                      <a:ext cx="5497195" cy="3549015"/>
                    </a:xfrm>
                    <a:prstGeom prst="rect">
                      <a:avLst/>
                    </a:prstGeom>
                    <a:noFill/>
                    <a:ln>
                      <a:noFill/>
                    </a:ln>
                  </pic:spPr>
                </pic:pic>
              </a:graphicData>
            </a:graphic>
          </wp:inline>
        </w:drawing>
      </w:r>
    </w:p>
    <w:p w14:paraId="7BD3E992" w14:textId="3A92C1C7" w:rsidR="0006218F" w:rsidRPr="0088780C" w:rsidRDefault="0006218F" w:rsidP="001013AF">
      <w:pPr>
        <w:suppressLineNumbers/>
        <w:suppressAutoHyphens/>
        <w:kinsoku w:val="0"/>
        <w:overflowPunct w:val="0"/>
        <w:autoSpaceDE w:val="0"/>
        <w:autoSpaceDN w:val="0"/>
        <w:adjustRightInd w:val="0"/>
        <w:rPr>
          <w:b/>
          <w:bCs/>
          <w:snapToGrid w:val="0"/>
          <w:kern w:val="22"/>
          <w:szCs w:val="22"/>
        </w:rPr>
      </w:pPr>
      <w:r w:rsidRPr="0088780C">
        <w:rPr>
          <w:b/>
          <w:bCs/>
          <w:snapToGrid w:val="0"/>
          <w:kern w:val="22"/>
          <w:szCs w:val="22"/>
        </w:rPr>
        <w:t>Fig</w:t>
      </w:r>
      <w:r w:rsidR="005C61B6" w:rsidRPr="0088780C">
        <w:rPr>
          <w:b/>
          <w:bCs/>
          <w:snapToGrid w:val="0"/>
          <w:kern w:val="22"/>
          <w:szCs w:val="22"/>
        </w:rPr>
        <w:t>ure</w:t>
      </w:r>
      <w:r w:rsidRPr="0088780C">
        <w:rPr>
          <w:b/>
          <w:bCs/>
          <w:snapToGrid w:val="0"/>
          <w:kern w:val="22"/>
          <w:szCs w:val="22"/>
        </w:rPr>
        <w:t xml:space="preserve"> 1. Map of distribution of methane </w:t>
      </w:r>
      <w:r w:rsidR="00BB7CBD" w:rsidRPr="0088780C">
        <w:rPr>
          <w:b/>
          <w:bCs/>
          <w:snapToGrid w:val="0"/>
          <w:kern w:val="22"/>
          <w:szCs w:val="22"/>
        </w:rPr>
        <w:t>seeps</w:t>
      </w:r>
      <w:r w:rsidRPr="0088780C">
        <w:rPr>
          <w:b/>
          <w:bCs/>
          <w:snapToGrid w:val="0"/>
          <w:kern w:val="22"/>
          <w:szCs w:val="22"/>
        </w:rPr>
        <w:t xml:space="preserve"> in the Blac</w:t>
      </w:r>
      <w:r w:rsidR="005C61B6" w:rsidRPr="0088780C">
        <w:rPr>
          <w:b/>
          <w:bCs/>
          <w:snapToGrid w:val="0"/>
          <w:kern w:val="22"/>
          <w:szCs w:val="22"/>
        </w:rPr>
        <w:t>k Sea (from Egorov et al. 2011)</w:t>
      </w:r>
    </w:p>
    <w:p w14:paraId="0BB48C77" w14:textId="77777777" w:rsidR="0006218F" w:rsidRPr="0088780C" w:rsidRDefault="0006218F" w:rsidP="001013AF">
      <w:pPr>
        <w:suppressLineNumbers/>
        <w:suppressAutoHyphens/>
        <w:kinsoku w:val="0"/>
        <w:overflowPunct w:val="0"/>
        <w:autoSpaceDE w:val="0"/>
        <w:autoSpaceDN w:val="0"/>
        <w:adjustRightInd w:val="0"/>
        <w:rPr>
          <w:snapToGrid w:val="0"/>
          <w:kern w:val="22"/>
          <w:szCs w:val="22"/>
        </w:rPr>
      </w:pPr>
    </w:p>
    <w:p w14:paraId="287D5F9D" w14:textId="4E4EBCED" w:rsidR="0006218F" w:rsidRPr="0088780C" w:rsidRDefault="0006218F" w:rsidP="001013AF">
      <w:pPr>
        <w:suppressLineNumbers/>
        <w:suppressAutoHyphens/>
        <w:kinsoku w:val="0"/>
        <w:overflowPunct w:val="0"/>
        <w:autoSpaceDE w:val="0"/>
        <w:autoSpaceDN w:val="0"/>
        <w:adjustRightInd w:val="0"/>
        <w:rPr>
          <w:snapToGrid w:val="0"/>
          <w:kern w:val="22"/>
          <w:szCs w:val="22"/>
        </w:rPr>
      </w:pPr>
      <w:r w:rsidRPr="0088780C">
        <w:rPr>
          <w:noProof/>
          <w:snapToGrid w:val="0"/>
          <w:kern w:val="22"/>
          <w:szCs w:val="22"/>
          <w:lang w:eastAsia="zh-CN"/>
        </w:rPr>
        <w:drawing>
          <wp:inline distT="0" distB="0" distL="0" distR="0" wp14:anchorId="24197A86" wp14:editId="622F5EA5">
            <wp:extent cx="3625215" cy="26346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5">
                      <a:extLst>
                        <a:ext uri="{28A0092B-C50C-407E-A947-70E740481C1C}">
                          <a14:useLocalDpi xmlns:a14="http://schemas.microsoft.com/office/drawing/2010/main" val="0"/>
                        </a:ext>
                      </a:extLst>
                    </a:blip>
                    <a:srcRect l="23389" t="16362" r="21629" b="12511"/>
                    <a:stretch>
                      <a:fillRect/>
                    </a:stretch>
                  </pic:blipFill>
                  <pic:spPr bwMode="auto">
                    <a:xfrm>
                      <a:off x="0" y="0"/>
                      <a:ext cx="3625215" cy="2634615"/>
                    </a:xfrm>
                    <a:prstGeom prst="rect">
                      <a:avLst/>
                    </a:prstGeom>
                    <a:noFill/>
                    <a:ln>
                      <a:noFill/>
                    </a:ln>
                  </pic:spPr>
                </pic:pic>
              </a:graphicData>
            </a:graphic>
          </wp:inline>
        </w:drawing>
      </w:r>
    </w:p>
    <w:p w14:paraId="6CC9CE38" w14:textId="77777777" w:rsidR="0006218F" w:rsidRPr="0088780C" w:rsidRDefault="0006218F" w:rsidP="001013AF">
      <w:pPr>
        <w:suppressLineNumbers/>
        <w:suppressAutoHyphens/>
        <w:kinsoku w:val="0"/>
        <w:overflowPunct w:val="0"/>
        <w:autoSpaceDE w:val="0"/>
        <w:autoSpaceDN w:val="0"/>
        <w:adjustRightInd w:val="0"/>
        <w:rPr>
          <w:snapToGrid w:val="0"/>
          <w:kern w:val="22"/>
          <w:szCs w:val="22"/>
        </w:rPr>
      </w:pPr>
    </w:p>
    <w:p w14:paraId="14F91F6D" w14:textId="2E2CFEE8" w:rsidR="0006218F" w:rsidRPr="0088780C" w:rsidRDefault="005C61B6" w:rsidP="005C61B6">
      <w:pPr>
        <w:suppressLineNumbers/>
        <w:suppressAutoHyphens/>
        <w:kinsoku w:val="0"/>
        <w:overflowPunct w:val="0"/>
        <w:autoSpaceDE w:val="0"/>
        <w:autoSpaceDN w:val="0"/>
        <w:adjustRightInd w:val="0"/>
        <w:jc w:val="left"/>
        <w:rPr>
          <w:iCs/>
          <w:snapToGrid w:val="0"/>
          <w:kern w:val="22"/>
          <w:szCs w:val="22"/>
        </w:rPr>
      </w:pPr>
      <w:r w:rsidRPr="0088780C">
        <w:rPr>
          <w:b/>
          <w:bCs/>
          <w:iCs/>
          <w:snapToGrid w:val="0"/>
          <w:kern w:val="22"/>
          <w:szCs w:val="22"/>
        </w:rPr>
        <w:t>Figure</w:t>
      </w:r>
      <w:r w:rsidR="0006218F" w:rsidRPr="0088780C">
        <w:rPr>
          <w:b/>
          <w:bCs/>
          <w:iCs/>
          <w:snapToGrid w:val="0"/>
          <w:kern w:val="22"/>
          <w:szCs w:val="22"/>
        </w:rPr>
        <w:t xml:space="preserve"> 2. Field of carbonate </w:t>
      </w:r>
      <w:r w:rsidR="00BF7921" w:rsidRPr="0088780C">
        <w:rPr>
          <w:b/>
          <w:bCs/>
          <w:iCs/>
          <w:snapToGrid w:val="0"/>
          <w:kern w:val="22"/>
          <w:szCs w:val="22"/>
        </w:rPr>
        <w:t>structures</w:t>
      </w:r>
      <w:r w:rsidR="0006218F" w:rsidRPr="0088780C">
        <w:rPr>
          <w:b/>
          <w:bCs/>
          <w:iCs/>
          <w:snapToGrid w:val="0"/>
          <w:kern w:val="22"/>
          <w:szCs w:val="22"/>
        </w:rPr>
        <w:t xml:space="preserve"> </w:t>
      </w:r>
      <w:r w:rsidR="00D8482D" w:rsidRPr="0088780C">
        <w:rPr>
          <w:b/>
          <w:bCs/>
          <w:iCs/>
          <w:snapToGrid w:val="0"/>
          <w:kern w:val="22"/>
          <w:szCs w:val="22"/>
        </w:rPr>
        <w:t>“</w:t>
      </w:r>
      <w:r w:rsidR="0006218F" w:rsidRPr="0088780C">
        <w:rPr>
          <w:b/>
          <w:bCs/>
          <w:iCs/>
          <w:snapToGrid w:val="0"/>
          <w:kern w:val="22"/>
          <w:szCs w:val="22"/>
        </w:rPr>
        <w:t>Forest of trolls</w:t>
      </w:r>
      <w:r w:rsidR="00D8482D" w:rsidRPr="0088780C">
        <w:rPr>
          <w:b/>
          <w:bCs/>
          <w:iCs/>
          <w:snapToGrid w:val="0"/>
          <w:kern w:val="22"/>
          <w:szCs w:val="22"/>
        </w:rPr>
        <w:t>”</w:t>
      </w:r>
      <w:r w:rsidR="0006218F" w:rsidRPr="0088780C">
        <w:rPr>
          <w:b/>
          <w:bCs/>
          <w:iCs/>
          <w:snapToGrid w:val="0"/>
          <w:kern w:val="22"/>
          <w:szCs w:val="22"/>
        </w:rPr>
        <w:t xml:space="preserve"> in the area of methane </w:t>
      </w:r>
      <w:r w:rsidR="00864D91" w:rsidRPr="0088780C">
        <w:rPr>
          <w:b/>
          <w:bCs/>
          <w:iCs/>
          <w:snapToGrid w:val="0"/>
          <w:kern w:val="22"/>
          <w:szCs w:val="22"/>
        </w:rPr>
        <w:t>seeps</w:t>
      </w:r>
      <w:r w:rsidR="0006218F" w:rsidRPr="0088780C">
        <w:rPr>
          <w:b/>
          <w:bCs/>
          <w:iCs/>
          <w:snapToGrid w:val="0"/>
          <w:kern w:val="22"/>
          <w:szCs w:val="22"/>
        </w:rPr>
        <w:t xml:space="preserve"> from the bottom sediments of th</w:t>
      </w:r>
      <w:r w:rsidRPr="0088780C">
        <w:rPr>
          <w:b/>
          <w:bCs/>
          <w:iCs/>
          <w:snapToGrid w:val="0"/>
          <w:kern w:val="22"/>
          <w:szCs w:val="22"/>
        </w:rPr>
        <w:t>e deep Paleodelta of the Danube</w:t>
      </w:r>
      <w:r w:rsidRPr="0088780C">
        <w:rPr>
          <w:b/>
          <w:bCs/>
          <w:iCs/>
          <w:snapToGrid w:val="0"/>
          <w:kern w:val="22"/>
          <w:szCs w:val="22"/>
        </w:rPr>
        <w:br/>
      </w:r>
      <w:r w:rsidRPr="0088780C">
        <w:rPr>
          <w:iCs/>
          <w:snapToGrid w:val="0"/>
          <w:kern w:val="22"/>
          <w:szCs w:val="22"/>
        </w:rPr>
        <w:t>P</w:t>
      </w:r>
      <w:r w:rsidR="0006218F" w:rsidRPr="0088780C">
        <w:rPr>
          <w:iCs/>
          <w:snapToGrid w:val="0"/>
          <w:kern w:val="22"/>
          <w:szCs w:val="22"/>
        </w:rPr>
        <w:t xml:space="preserve">hoto taken during the expedition of the R / V </w:t>
      </w:r>
      <w:r w:rsidR="00D8482D" w:rsidRPr="0088780C">
        <w:rPr>
          <w:iCs/>
          <w:snapToGrid w:val="0"/>
          <w:kern w:val="22"/>
          <w:szCs w:val="22"/>
        </w:rPr>
        <w:t>“</w:t>
      </w:r>
      <w:r w:rsidR="0006218F" w:rsidRPr="0088780C">
        <w:rPr>
          <w:iCs/>
          <w:snapToGrid w:val="0"/>
          <w:kern w:val="22"/>
          <w:szCs w:val="22"/>
        </w:rPr>
        <w:t>Meteor</w:t>
      </w:r>
      <w:r w:rsidR="00D8482D" w:rsidRPr="0088780C">
        <w:rPr>
          <w:iCs/>
          <w:snapToGrid w:val="0"/>
          <w:kern w:val="22"/>
          <w:szCs w:val="22"/>
        </w:rPr>
        <w:t>”</w:t>
      </w:r>
      <w:r w:rsidRPr="0088780C">
        <w:rPr>
          <w:iCs/>
          <w:snapToGrid w:val="0"/>
          <w:kern w:val="22"/>
          <w:szCs w:val="22"/>
        </w:rPr>
        <w:t>, 2007, depth 730 m</w:t>
      </w:r>
      <w:r w:rsidR="0006218F" w:rsidRPr="0088780C">
        <w:rPr>
          <w:iCs/>
          <w:snapToGrid w:val="0"/>
          <w:kern w:val="22"/>
          <w:szCs w:val="22"/>
        </w:rPr>
        <w:t xml:space="preserve"> </w:t>
      </w:r>
      <w:r w:rsidRPr="0088780C">
        <w:rPr>
          <w:snapToGrid w:val="0"/>
          <w:kern w:val="22"/>
          <w:szCs w:val="22"/>
        </w:rPr>
        <w:t>(</w:t>
      </w:r>
      <w:r w:rsidRPr="0088780C">
        <w:rPr>
          <w:i/>
          <w:iCs/>
          <w:snapToGrid w:val="0"/>
          <w:kern w:val="22"/>
          <w:szCs w:val="22"/>
        </w:rPr>
        <w:t>S</w:t>
      </w:r>
      <w:r w:rsidR="00C8034C" w:rsidRPr="0088780C">
        <w:rPr>
          <w:i/>
          <w:iCs/>
          <w:snapToGrid w:val="0"/>
          <w:kern w:val="22"/>
          <w:szCs w:val="22"/>
        </w:rPr>
        <w:t>ource</w:t>
      </w:r>
      <w:r w:rsidR="00C8034C" w:rsidRPr="0088780C">
        <w:rPr>
          <w:snapToGrid w:val="0"/>
          <w:kern w:val="22"/>
          <w:szCs w:val="22"/>
        </w:rPr>
        <w:t>:</w:t>
      </w:r>
      <w:r w:rsidR="0006218F" w:rsidRPr="0088780C">
        <w:rPr>
          <w:snapToGrid w:val="0"/>
          <w:kern w:val="22"/>
          <w:szCs w:val="22"/>
        </w:rPr>
        <w:t xml:space="preserve"> Egorov et al. 2011).</w:t>
      </w:r>
    </w:p>
    <w:p w14:paraId="34374D6C" w14:textId="77777777" w:rsidR="0006218F" w:rsidRPr="0088780C" w:rsidRDefault="0006218F" w:rsidP="001013AF">
      <w:pPr>
        <w:suppressLineNumbers/>
        <w:suppressAutoHyphens/>
        <w:kinsoku w:val="0"/>
        <w:overflowPunct w:val="0"/>
        <w:autoSpaceDE w:val="0"/>
        <w:autoSpaceDN w:val="0"/>
        <w:adjustRightInd w:val="0"/>
        <w:rPr>
          <w:iCs/>
          <w:snapToGrid w:val="0"/>
          <w:kern w:val="22"/>
          <w:szCs w:val="22"/>
        </w:rPr>
      </w:pPr>
    </w:p>
    <w:p w14:paraId="48A2043F" w14:textId="1CC25907" w:rsidR="002C34E6" w:rsidRPr="0088780C" w:rsidRDefault="002C34E6">
      <w:pPr>
        <w:jc w:val="left"/>
        <w:rPr>
          <w:iCs/>
          <w:snapToGrid w:val="0"/>
          <w:kern w:val="22"/>
          <w:szCs w:val="22"/>
        </w:rPr>
      </w:pPr>
      <w:r w:rsidRPr="0088780C">
        <w:rPr>
          <w:iCs/>
          <w:snapToGrid w:val="0"/>
          <w:kern w:val="22"/>
          <w:szCs w:val="22"/>
        </w:rPr>
        <w:br w:type="page"/>
      </w:r>
    </w:p>
    <w:p w14:paraId="0A89C0D4" w14:textId="5EA05047" w:rsidR="0006218F" w:rsidRPr="0088780C" w:rsidRDefault="00103028" w:rsidP="001013AF">
      <w:pPr>
        <w:suppressLineNumbers/>
        <w:suppressAutoHyphens/>
        <w:kinsoku w:val="0"/>
        <w:overflowPunct w:val="0"/>
        <w:autoSpaceDE w:val="0"/>
        <w:autoSpaceDN w:val="0"/>
        <w:rPr>
          <w:snapToGrid w:val="0"/>
          <w:kern w:val="22"/>
          <w:szCs w:val="22"/>
        </w:rPr>
      </w:pPr>
      <w:r w:rsidRPr="0088780C">
        <w:rPr>
          <w:snapToGrid w:val="0"/>
          <w:kern w:val="22"/>
          <w:szCs w:val="22"/>
        </w:rPr>
        <w:t>9.</w:t>
      </w:r>
      <w:r w:rsidR="00C8034C" w:rsidRPr="0088780C">
        <w:rPr>
          <w:snapToGrid w:val="0"/>
          <w:kern w:val="22"/>
          <w:szCs w:val="22"/>
        </w:rPr>
        <w:tab/>
      </w:r>
      <w:r w:rsidR="0006218F" w:rsidRPr="0088780C">
        <w:rPr>
          <w:snapToGrid w:val="0"/>
          <w:kern w:val="22"/>
          <w:szCs w:val="22"/>
        </w:rPr>
        <w:t>Much of the abyssal Black Sea</w:t>
      </w:r>
      <w:r w:rsidR="00DB5B45" w:rsidRPr="0088780C">
        <w:rPr>
          <w:snapToGrid w:val="0"/>
          <w:kern w:val="22"/>
          <w:szCs w:val="22"/>
        </w:rPr>
        <w:t>,</w:t>
      </w:r>
      <w:r w:rsidR="0006218F" w:rsidRPr="0088780C">
        <w:rPr>
          <w:snapToGrid w:val="0"/>
          <w:kern w:val="22"/>
          <w:szCs w:val="22"/>
        </w:rPr>
        <w:t xml:space="preserve"> in particular the entire sout</w:t>
      </w:r>
      <w:r w:rsidR="00771AE1" w:rsidRPr="0088780C">
        <w:rPr>
          <w:snapToGrid w:val="0"/>
          <w:kern w:val="22"/>
          <w:szCs w:val="22"/>
        </w:rPr>
        <w:t>hern half of the Black Sea</w:t>
      </w:r>
      <w:r w:rsidR="0006218F" w:rsidRPr="0088780C">
        <w:rPr>
          <w:snapToGrid w:val="0"/>
          <w:kern w:val="22"/>
          <w:szCs w:val="22"/>
        </w:rPr>
        <w:t>, has not been surveyed in detail. Targeted research is needed on methane gas seeps and associated reef structures. In addition there are known concentrations of mud volcanoes in waters deeper than the basin shelf, including the Dvurechenskii mud volcano</w:t>
      </w:r>
      <w:r w:rsidR="00DB5B45" w:rsidRPr="0088780C">
        <w:rPr>
          <w:snapToGrid w:val="0"/>
          <w:kern w:val="22"/>
          <w:szCs w:val="22"/>
        </w:rPr>
        <w:t>, which</w:t>
      </w:r>
      <w:r w:rsidR="0006218F" w:rsidRPr="0088780C">
        <w:rPr>
          <w:snapToGrid w:val="0"/>
          <w:kern w:val="22"/>
          <w:szCs w:val="22"/>
        </w:rPr>
        <w:t xml:space="preserve"> rises 80</w:t>
      </w:r>
      <w:r w:rsidR="00D77AA8" w:rsidRPr="0088780C">
        <w:rPr>
          <w:snapToGrid w:val="0"/>
          <w:kern w:val="22"/>
          <w:szCs w:val="22"/>
        </w:rPr>
        <w:t xml:space="preserve"> </w:t>
      </w:r>
      <w:r w:rsidR="0006218F" w:rsidRPr="0088780C">
        <w:rPr>
          <w:snapToGrid w:val="0"/>
          <w:kern w:val="22"/>
          <w:szCs w:val="22"/>
        </w:rPr>
        <w:t xml:space="preserve">m above the seabed with gas flumes </w:t>
      </w:r>
      <w:r w:rsidR="008C5577" w:rsidRPr="0088780C">
        <w:rPr>
          <w:snapToGrid w:val="0"/>
          <w:kern w:val="22"/>
          <w:szCs w:val="22"/>
        </w:rPr>
        <w:t xml:space="preserve">rising </w:t>
      </w:r>
      <w:r w:rsidR="0006218F" w:rsidRPr="0088780C">
        <w:rPr>
          <w:snapToGrid w:val="0"/>
          <w:kern w:val="22"/>
          <w:szCs w:val="22"/>
        </w:rPr>
        <w:t>up to 1,300m (Lichtschlag et al., 2010). Microbial communities (bacteria and archaea) with high genetic diversity</w:t>
      </w:r>
      <w:r w:rsidR="008C5577" w:rsidRPr="0088780C">
        <w:rPr>
          <w:snapToGrid w:val="0"/>
          <w:kern w:val="22"/>
          <w:szCs w:val="22"/>
        </w:rPr>
        <w:t>,</w:t>
      </w:r>
      <w:r w:rsidR="0006218F" w:rsidRPr="0088780C">
        <w:rPr>
          <w:snapToGrid w:val="0"/>
          <w:kern w:val="22"/>
          <w:szCs w:val="22"/>
        </w:rPr>
        <w:t xml:space="preserve"> present in extreme deep-sea environments</w:t>
      </w:r>
      <w:r w:rsidR="008C5577" w:rsidRPr="0088780C">
        <w:rPr>
          <w:snapToGrid w:val="0"/>
          <w:kern w:val="22"/>
          <w:szCs w:val="22"/>
        </w:rPr>
        <w:t>,</w:t>
      </w:r>
      <w:r w:rsidR="0006218F" w:rsidRPr="0088780C">
        <w:rPr>
          <w:snapToGrid w:val="0"/>
          <w:kern w:val="22"/>
          <w:szCs w:val="22"/>
        </w:rPr>
        <w:t xml:space="preserve"> are likely to be ecologically or biologically significant in terms of their gen</w:t>
      </w:r>
      <w:r w:rsidR="005C61B6" w:rsidRPr="0088780C">
        <w:rPr>
          <w:snapToGrid w:val="0"/>
          <w:kern w:val="22"/>
          <w:szCs w:val="22"/>
        </w:rPr>
        <w:t>etic DNA sequence variability.</w:t>
      </w:r>
    </w:p>
    <w:p w14:paraId="62B21BB7" w14:textId="77777777" w:rsidR="000512A9" w:rsidRPr="0088780C" w:rsidRDefault="000512A9" w:rsidP="001013AF">
      <w:pPr>
        <w:suppressLineNumbers/>
        <w:suppressAutoHyphens/>
        <w:kinsoku w:val="0"/>
        <w:overflowPunct w:val="0"/>
        <w:autoSpaceDE w:val="0"/>
        <w:autoSpaceDN w:val="0"/>
        <w:rPr>
          <w:snapToGrid w:val="0"/>
          <w:kern w:val="22"/>
          <w:szCs w:val="22"/>
        </w:rPr>
      </w:pPr>
    </w:p>
    <w:p w14:paraId="61B7339F" w14:textId="77777777" w:rsidR="0006218F" w:rsidRPr="0088780C" w:rsidRDefault="0006218F" w:rsidP="00484553">
      <w:pPr>
        <w:keepNext/>
        <w:suppressLineNumbers/>
        <w:suppressAutoHyphens/>
        <w:kinsoku w:val="0"/>
        <w:overflowPunct w:val="0"/>
        <w:autoSpaceDE w:val="0"/>
        <w:autoSpaceDN w:val="0"/>
        <w:adjustRightInd w:val="0"/>
        <w:spacing w:after="60"/>
        <w:ind w:left="720" w:hanging="720"/>
        <w:rPr>
          <w:b/>
          <w:snapToGrid w:val="0"/>
          <w:kern w:val="22"/>
          <w:szCs w:val="22"/>
        </w:rPr>
      </w:pPr>
      <w:r w:rsidRPr="0088780C">
        <w:rPr>
          <w:b/>
          <w:snapToGrid w:val="0"/>
          <w:kern w:val="22"/>
          <w:szCs w:val="22"/>
        </w:rPr>
        <w:t>References</w:t>
      </w:r>
    </w:p>
    <w:p w14:paraId="4C4433DA" w14:textId="77777777" w:rsidR="0006218F" w:rsidRPr="0088780C" w:rsidRDefault="0006218F"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Egorov V.N., Artemov Y.G., Gulin S.B. </w:t>
      </w:r>
      <w:r w:rsidRPr="0088780C">
        <w:rPr>
          <w:bCs/>
          <w:snapToGrid w:val="0"/>
          <w:kern w:val="22"/>
          <w:szCs w:val="22"/>
        </w:rPr>
        <w:t>Methane seeps in the Black Sea: Environment-forming and ecological role /</w:t>
      </w:r>
      <w:r w:rsidRPr="0088780C">
        <w:rPr>
          <w:snapToGrid w:val="0"/>
          <w:kern w:val="22"/>
          <w:szCs w:val="22"/>
        </w:rPr>
        <w:t xml:space="preserve"> Ed. by G.G. Polikarpov. – Sevastopol: ECOSEA Hydrophysics, 2011. – 405 pp. (in Russian).</w:t>
      </w:r>
    </w:p>
    <w:p w14:paraId="045D68E3" w14:textId="2CA7EAD4" w:rsidR="0006218F" w:rsidRPr="0088780C" w:rsidRDefault="0006218F" w:rsidP="001013AF">
      <w:pPr>
        <w:suppressLineNumbers/>
        <w:suppressAutoHyphens/>
        <w:kinsoku w:val="0"/>
        <w:overflowPunct w:val="0"/>
        <w:autoSpaceDE w:val="0"/>
        <w:autoSpaceDN w:val="0"/>
        <w:adjustRightInd w:val="0"/>
        <w:spacing w:after="60"/>
        <w:ind w:left="720" w:hanging="720"/>
        <w:rPr>
          <w:iCs/>
          <w:snapToGrid w:val="0"/>
          <w:kern w:val="22"/>
          <w:szCs w:val="22"/>
        </w:rPr>
      </w:pPr>
      <w:r w:rsidRPr="0088780C">
        <w:rPr>
          <w:iCs/>
          <w:snapToGrid w:val="0"/>
          <w:kern w:val="22"/>
          <w:szCs w:val="22"/>
        </w:rPr>
        <w:t>Klaucke I, H Sahling, W. Weinrebe, V. Blinova. D. Bürk, N. Lursmanashvili, G. Bohrmann. Acoustic investigation of cold seeps offshore Georgia, eastern Black Sea. Marine Geology 231 (2006) 51</w:t>
      </w:r>
      <w:r w:rsidR="00664AA7" w:rsidRPr="0088780C">
        <w:rPr>
          <w:iCs/>
          <w:snapToGrid w:val="0"/>
          <w:kern w:val="22"/>
          <w:szCs w:val="22"/>
        </w:rPr>
        <w:noBreakHyphen/>
      </w:r>
      <w:r w:rsidRPr="0088780C">
        <w:rPr>
          <w:iCs/>
          <w:snapToGrid w:val="0"/>
          <w:kern w:val="22"/>
          <w:szCs w:val="22"/>
        </w:rPr>
        <w:t>67.</w:t>
      </w:r>
    </w:p>
    <w:p w14:paraId="6327AC9A" w14:textId="3952E4A3" w:rsidR="0006218F" w:rsidRPr="0088780C" w:rsidRDefault="0006218F"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Lichtschlag, A., Felden, J., Wenzhofer, F., Schubotz, F., Ertefai, TF., Boetius, A. and de Beer, D. (2010) Methane and sulfide fluxes in permanent anoxia: In situ studies at the Dvurechenskii mud volcano (Sorokia Trough, Black sea). Geochimica et Cosmochimica Acta. 74: 5002-5018</w:t>
      </w:r>
      <w:r w:rsidR="00484553" w:rsidRPr="0088780C">
        <w:rPr>
          <w:snapToGrid w:val="0"/>
          <w:kern w:val="22"/>
          <w:szCs w:val="22"/>
        </w:rPr>
        <w:t>.</w:t>
      </w:r>
    </w:p>
    <w:p w14:paraId="04158C68" w14:textId="5F1EBD59" w:rsidR="0006218F" w:rsidRPr="0088780C" w:rsidRDefault="0006218F"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Oguz, T., Tugrul, S., Kideys, AE., Ediger, V. and Kubilay, N. (2005) Physical and biogeochemical characteristics of the Black Sea. The Sea 14, Chapter 33: 1331-1369</w:t>
      </w:r>
      <w:r w:rsidR="00484553" w:rsidRPr="0088780C">
        <w:rPr>
          <w:snapToGrid w:val="0"/>
          <w:kern w:val="22"/>
          <w:szCs w:val="22"/>
        </w:rPr>
        <w:t>.</w:t>
      </w:r>
    </w:p>
    <w:p w14:paraId="49B819F1" w14:textId="3C1A0ADF" w:rsidR="0006218F" w:rsidRPr="0088780C" w:rsidRDefault="0006218F"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Schipers, A., Kock, D., Hoft, C., Koweker, G., and Seigert, M. (2012) Quantification of Microbial Communities in subsurface marine sediments of the Black Sea and off Namibia. Frontiers in Microbiology 3: 16</w:t>
      </w:r>
      <w:r w:rsidR="00484553" w:rsidRPr="0088780C">
        <w:rPr>
          <w:snapToGrid w:val="0"/>
          <w:kern w:val="22"/>
          <w:szCs w:val="22"/>
        </w:rPr>
        <w:t>.</w:t>
      </w:r>
    </w:p>
    <w:p w14:paraId="36C81A2D" w14:textId="77777777" w:rsidR="0006218F" w:rsidRPr="0088780C" w:rsidRDefault="0006218F" w:rsidP="001013AF">
      <w:pPr>
        <w:suppressLineNumbers/>
        <w:suppressAutoHyphens/>
        <w:kinsoku w:val="0"/>
        <w:overflowPunct w:val="0"/>
        <w:autoSpaceDE w:val="0"/>
        <w:autoSpaceDN w:val="0"/>
        <w:adjustRightInd w:val="0"/>
        <w:spacing w:after="60"/>
        <w:ind w:left="720" w:hanging="720"/>
        <w:rPr>
          <w:snapToGrid w:val="0"/>
          <w:kern w:val="22"/>
          <w:szCs w:val="22"/>
        </w:rPr>
      </w:pPr>
      <w:r w:rsidRPr="0088780C">
        <w:rPr>
          <w:iCs/>
          <w:snapToGrid w:val="0"/>
          <w:kern w:val="22"/>
          <w:szCs w:val="22"/>
        </w:rPr>
        <w:t>Vorobyova L.V. Meiobenthos of Ukrainian shelf of the Black Sea and the Sea of Azov</w:t>
      </w:r>
      <w:r w:rsidRPr="0088780C">
        <w:rPr>
          <w:snapToGrid w:val="0"/>
          <w:kern w:val="22"/>
          <w:szCs w:val="22"/>
        </w:rPr>
        <w:t>. – К.: Naukova dumka Publ., 1999. – 299 pp. (in Russian).</w:t>
      </w:r>
    </w:p>
    <w:p w14:paraId="35A11234" w14:textId="77777777" w:rsidR="0006218F" w:rsidRPr="0088780C" w:rsidRDefault="0006218F" w:rsidP="001013AF">
      <w:pPr>
        <w:suppressLineNumbers/>
        <w:suppressAutoHyphens/>
        <w:kinsoku w:val="0"/>
        <w:overflowPunct w:val="0"/>
        <w:autoSpaceDE w:val="0"/>
        <w:autoSpaceDN w:val="0"/>
        <w:adjustRightInd w:val="0"/>
        <w:rPr>
          <w:bCs/>
          <w:snapToGrid w:val="0"/>
          <w:kern w:val="22"/>
          <w:szCs w:val="22"/>
        </w:rPr>
      </w:pPr>
    </w:p>
    <w:p w14:paraId="019E9AA1" w14:textId="40E8A1E7" w:rsidR="0006218F" w:rsidRPr="0088780C" w:rsidRDefault="0006218F" w:rsidP="001013AF">
      <w:pPr>
        <w:suppressLineNumbers/>
        <w:suppressAutoHyphens/>
        <w:kinsoku w:val="0"/>
        <w:overflowPunct w:val="0"/>
        <w:autoSpaceDE w:val="0"/>
        <w:autoSpaceDN w:val="0"/>
        <w:spacing w:after="120"/>
        <w:jc w:val="left"/>
        <w:rPr>
          <w:b/>
          <w:iCs/>
          <w:snapToGrid w:val="0"/>
          <w:kern w:val="22"/>
          <w:szCs w:val="22"/>
        </w:rPr>
      </w:pPr>
      <w:r w:rsidRPr="0088780C">
        <w:rPr>
          <w:b/>
          <w:iCs/>
          <w:snapToGrid w:val="0"/>
          <w:kern w:val="22"/>
          <w:szCs w:val="22"/>
        </w:rPr>
        <w:t>Birds of the Black Sea</w:t>
      </w:r>
    </w:p>
    <w:p w14:paraId="3C9EB901" w14:textId="72009883" w:rsidR="0006218F" w:rsidRPr="0088780C" w:rsidRDefault="00103028"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rPr>
        <w:t>10.</w:t>
      </w:r>
      <w:r w:rsidR="00F21DC1" w:rsidRPr="0088780C">
        <w:rPr>
          <w:snapToGrid w:val="0"/>
          <w:kern w:val="22"/>
          <w:szCs w:val="22"/>
        </w:rPr>
        <w:tab/>
      </w:r>
      <w:r w:rsidR="0006218F" w:rsidRPr="0088780C">
        <w:rPr>
          <w:snapToGrid w:val="0"/>
          <w:kern w:val="22"/>
          <w:szCs w:val="22"/>
        </w:rPr>
        <w:t xml:space="preserve">In </w:t>
      </w:r>
      <w:r w:rsidR="00914E8B" w:rsidRPr="0088780C">
        <w:rPr>
          <w:snapToGrid w:val="0"/>
          <w:kern w:val="22"/>
          <w:szCs w:val="22"/>
        </w:rPr>
        <w:t>recent</w:t>
      </w:r>
      <w:r w:rsidR="0006218F" w:rsidRPr="0088780C">
        <w:rPr>
          <w:snapToGrid w:val="0"/>
          <w:kern w:val="22"/>
          <w:szCs w:val="22"/>
        </w:rPr>
        <w:t xml:space="preserve"> years, considerable effort </w:t>
      </w:r>
      <w:r w:rsidR="00914E8B" w:rsidRPr="0088780C">
        <w:rPr>
          <w:snapToGrid w:val="0"/>
          <w:kern w:val="22"/>
          <w:szCs w:val="22"/>
        </w:rPr>
        <w:t>h</w:t>
      </w:r>
      <w:r w:rsidR="0006218F" w:rsidRPr="0088780C">
        <w:rPr>
          <w:snapToGrid w:val="0"/>
          <w:kern w:val="22"/>
          <w:szCs w:val="22"/>
        </w:rPr>
        <w:t xml:space="preserve">as </w:t>
      </w:r>
      <w:r w:rsidR="00914E8B" w:rsidRPr="0088780C">
        <w:rPr>
          <w:snapToGrid w:val="0"/>
          <w:kern w:val="22"/>
          <w:szCs w:val="22"/>
        </w:rPr>
        <w:t xml:space="preserve">been </w:t>
      </w:r>
      <w:r w:rsidR="0006218F" w:rsidRPr="0088780C">
        <w:rPr>
          <w:snapToGrid w:val="0"/>
          <w:kern w:val="22"/>
          <w:szCs w:val="22"/>
        </w:rPr>
        <w:t>made to fill some of the major gaps in the knowledge of seabirds in the Black Sea (e.g.</w:t>
      </w:r>
      <w:r w:rsidR="00914E8B" w:rsidRPr="0088780C">
        <w:rPr>
          <w:snapToGrid w:val="0"/>
          <w:kern w:val="22"/>
          <w:szCs w:val="22"/>
        </w:rPr>
        <w:t>,</w:t>
      </w:r>
      <w:r w:rsidR="0006218F" w:rsidRPr="0088780C">
        <w:rPr>
          <w:snapToGrid w:val="0"/>
          <w:kern w:val="22"/>
          <w:szCs w:val="22"/>
        </w:rPr>
        <w:t xml:space="preserve"> Doğa Derneği 2014). Nevertheless, the area is still relatively poorly known in terms of </w:t>
      </w:r>
      <w:r w:rsidR="00914E8B" w:rsidRPr="0088780C">
        <w:rPr>
          <w:snapToGrid w:val="0"/>
          <w:kern w:val="22"/>
          <w:szCs w:val="22"/>
        </w:rPr>
        <w:t>its</w:t>
      </w:r>
      <w:r w:rsidR="0006218F" w:rsidRPr="0088780C">
        <w:rPr>
          <w:snapToGrid w:val="0"/>
          <w:kern w:val="22"/>
          <w:szCs w:val="22"/>
        </w:rPr>
        <w:t xml:space="preserve"> importance for seabirds, particularly in the more central, deep areas located away from the coasts.</w:t>
      </w:r>
    </w:p>
    <w:p w14:paraId="6393EE32" w14:textId="4633D02A" w:rsidR="00F21DC1" w:rsidRPr="0088780C" w:rsidRDefault="00103028"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rPr>
        <w:t>11.</w:t>
      </w:r>
      <w:r w:rsidR="00F21DC1" w:rsidRPr="0088780C">
        <w:rPr>
          <w:snapToGrid w:val="0"/>
          <w:kern w:val="22"/>
          <w:szCs w:val="22"/>
        </w:rPr>
        <w:tab/>
      </w:r>
      <w:r w:rsidR="0006218F" w:rsidRPr="0088780C">
        <w:rPr>
          <w:snapToGrid w:val="0"/>
          <w:kern w:val="22"/>
          <w:szCs w:val="22"/>
        </w:rPr>
        <w:t xml:space="preserve">Some threatened seabird species are known to occur in the area, such as the </w:t>
      </w:r>
      <w:r w:rsidR="00914E8B" w:rsidRPr="0088780C">
        <w:rPr>
          <w:snapToGrid w:val="0"/>
          <w:kern w:val="22"/>
          <w:szCs w:val="22"/>
        </w:rPr>
        <w:t>y</w:t>
      </w:r>
      <w:r w:rsidR="0006218F" w:rsidRPr="0088780C">
        <w:rPr>
          <w:snapToGrid w:val="0"/>
          <w:kern w:val="22"/>
          <w:szCs w:val="22"/>
        </w:rPr>
        <w:t xml:space="preserve">elkouan shearwater </w:t>
      </w:r>
      <w:r w:rsidR="00914E8B" w:rsidRPr="0088780C">
        <w:rPr>
          <w:snapToGrid w:val="0"/>
          <w:kern w:val="22"/>
          <w:szCs w:val="22"/>
        </w:rPr>
        <w:t>(</w:t>
      </w:r>
      <w:r w:rsidR="0006218F" w:rsidRPr="0088780C">
        <w:rPr>
          <w:i/>
          <w:snapToGrid w:val="0"/>
          <w:kern w:val="22"/>
          <w:szCs w:val="22"/>
        </w:rPr>
        <w:t>Puffinus yelkouan</w:t>
      </w:r>
      <w:r w:rsidR="00914E8B" w:rsidRPr="0088780C">
        <w:rPr>
          <w:i/>
          <w:snapToGrid w:val="0"/>
          <w:kern w:val="22"/>
          <w:szCs w:val="22"/>
        </w:rPr>
        <w:t>)</w:t>
      </w:r>
      <w:r w:rsidR="0006218F" w:rsidRPr="0088780C">
        <w:rPr>
          <w:snapToGrid w:val="0"/>
          <w:kern w:val="22"/>
          <w:szCs w:val="22"/>
        </w:rPr>
        <w:t xml:space="preserve">, </w:t>
      </w:r>
      <w:r w:rsidR="00914E8B" w:rsidRPr="0088780C">
        <w:rPr>
          <w:snapToGrid w:val="0"/>
          <w:kern w:val="22"/>
          <w:szCs w:val="22"/>
        </w:rPr>
        <w:t>v</w:t>
      </w:r>
      <w:r w:rsidR="0006218F" w:rsidRPr="0088780C">
        <w:rPr>
          <w:snapToGrid w:val="0"/>
          <w:kern w:val="22"/>
          <w:szCs w:val="22"/>
        </w:rPr>
        <w:t xml:space="preserve">elvet </w:t>
      </w:r>
      <w:r w:rsidR="00914E8B" w:rsidRPr="0088780C">
        <w:rPr>
          <w:snapToGrid w:val="0"/>
          <w:kern w:val="22"/>
          <w:szCs w:val="22"/>
        </w:rPr>
        <w:t>s</w:t>
      </w:r>
      <w:r w:rsidR="0006218F" w:rsidRPr="0088780C">
        <w:rPr>
          <w:snapToGrid w:val="0"/>
          <w:kern w:val="22"/>
          <w:szCs w:val="22"/>
        </w:rPr>
        <w:t xml:space="preserve">coter </w:t>
      </w:r>
      <w:r w:rsidR="00914E8B" w:rsidRPr="0088780C">
        <w:rPr>
          <w:snapToGrid w:val="0"/>
          <w:kern w:val="22"/>
          <w:szCs w:val="22"/>
        </w:rPr>
        <w:t>(</w:t>
      </w:r>
      <w:r w:rsidR="0006218F" w:rsidRPr="0088780C">
        <w:rPr>
          <w:i/>
          <w:snapToGrid w:val="0"/>
          <w:kern w:val="22"/>
          <w:szCs w:val="22"/>
        </w:rPr>
        <w:t>Melanitta fusca</w:t>
      </w:r>
      <w:r w:rsidR="00914E8B" w:rsidRPr="0088780C">
        <w:rPr>
          <w:i/>
          <w:snapToGrid w:val="0"/>
          <w:kern w:val="22"/>
          <w:szCs w:val="22"/>
        </w:rPr>
        <w:t>)</w:t>
      </w:r>
      <w:r w:rsidR="0006218F" w:rsidRPr="0088780C">
        <w:rPr>
          <w:snapToGrid w:val="0"/>
          <w:kern w:val="22"/>
          <w:szCs w:val="22"/>
        </w:rPr>
        <w:t xml:space="preserve"> and </w:t>
      </w:r>
      <w:r w:rsidR="00914E8B" w:rsidRPr="0088780C">
        <w:rPr>
          <w:snapToGrid w:val="0"/>
          <w:kern w:val="22"/>
          <w:szCs w:val="22"/>
        </w:rPr>
        <w:t>h</w:t>
      </w:r>
      <w:r w:rsidR="0006218F" w:rsidRPr="0088780C">
        <w:rPr>
          <w:snapToGrid w:val="0"/>
          <w:kern w:val="22"/>
          <w:szCs w:val="22"/>
        </w:rPr>
        <w:t xml:space="preserve">orned </w:t>
      </w:r>
      <w:r w:rsidR="00914E8B" w:rsidRPr="0088780C">
        <w:rPr>
          <w:snapToGrid w:val="0"/>
          <w:kern w:val="22"/>
          <w:szCs w:val="22"/>
        </w:rPr>
        <w:t>g</w:t>
      </w:r>
      <w:r w:rsidR="0006218F" w:rsidRPr="0088780C">
        <w:rPr>
          <w:snapToGrid w:val="0"/>
          <w:kern w:val="22"/>
          <w:szCs w:val="22"/>
        </w:rPr>
        <w:t xml:space="preserve">rebe </w:t>
      </w:r>
      <w:r w:rsidR="00914E8B" w:rsidRPr="0088780C">
        <w:rPr>
          <w:snapToGrid w:val="0"/>
          <w:kern w:val="22"/>
          <w:szCs w:val="22"/>
        </w:rPr>
        <w:t>(</w:t>
      </w:r>
      <w:r w:rsidR="0006218F" w:rsidRPr="0088780C">
        <w:rPr>
          <w:i/>
          <w:snapToGrid w:val="0"/>
          <w:kern w:val="22"/>
          <w:szCs w:val="22"/>
        </w:rPr>
        <w:t>Podiceps auritus</w:t>
      </w:r>
      <w:r w:rsidR="00914E8B" w:rsidRPr="0088780C">
        <w:rPr>
          <w:i/>
          <w:snapToGrid w:val="0"/>
          <w:kern w:val="22"/>
          <w:szCs w:val="22"/>
        </w:rPr>
        <w:t>)</w:t>
      </w:r>
      <w:r w:rsidR="0006218F" w:rsidRPr="0088780C">
        <w:rPr>
          <w:snapToGrid w:val="0"/>
          <w:kern w:val="22"/>
          <w:szCs w:val="22"/>
        </w:rPr>
        <w:t>. While some information is already available about the distribution of the Yelkouan shearwater in the Black Sea (e.g.</w:t>
      </w:r>
      <w:r w:rsidR="00187D62" w:rsidRPr="0088780C">
        <w:rPr>
          <w:snapToGrid w:val="0"/>
          <w:kern w:val="22"/>
          <w:szCs w:val="22"/>
        </w:rPr>
        <w:t>,</w:t>
      </w:r>
      <w:r w:rsidR="0006218F" w:rsidRPr="0088780C">
        <w:rPr>
          <w:snapToGrid w:val="0"/>
          <w:kern w:val="22"/>
          <w:szCs w:val="22"/>
        </w:rPr>
        <w:t xml:space="preserve"> Ortega and İsfendiyaroğlu 2017), most of the data are from birds tracked from distant colonies located in the Mediterranean and migrating to the Black Sea (Raine et al. 2012, Péron et al. 2013, Seabird Tracking Database 2017), or limited to areas in proximity to the coast (Doğa Derneği 2014). An at-sea </w:t>
      </w:r>
      <w:r w:rsidR="00187D62" w:rsidRPr="0088780C">
        <w:rPr>
          <w:snapToGrid w:val="0"/>
          <w:kern w:val="22"/>
          <w:szCs w:val="22"/>
        </w:rPr>
        <w:t xml:space="preserve">seabird </w:t>
      </w:r>
      <w:r w:rsidR="0006218F" w:rsidRPr="0088780C">
        <w:rPr>
          <w:snapToGrid w:val="0"/>
          <w:kern w:val="22"/>
          <w:szCs w:val="22"/>
        </w:rPr>
        <w:t xml:space="preserve">survey has also been </w:t>
      </w:r>
      <w:r w:rsidR="00187D62" w:rsidRPr="0088780C">
        <w:rPr>
          <w:snapToGrid w:val="0"/>
          <w:kern w:val="22"/>
          <w:szCs w:val="22"/>
        </w:rPr>
        <w:t>conducted</w:t>
      </w:r>
      <w:r w:rsidR="0006218F" w:rsidRPr="0088780C">
        <w:rPr>
          <w:snapToGrid w:val="0"/>
          <w:kern w:val="22"/>
          <w:szCs w:val="22"/>
        </w:rPr>
        <w:t xml:space="preserve">, but </w:t>
      </w:r>
      <w:r w:rsidR="00A01D1E" w:rsidRPr="0088780C">
        <w:rPr>
          <w:snapToGrid w:val="0"/>
          <w:kern w:val="22"/>
          <w:szCs w:val="22"/>
        </w:rPr>
        <w:t xml:space="preserve">it </w:t>
      </w:r>
      <w:r w:rsidR="0006218F" w:rsidRPr="0088780C">
        <w:rPr>
          <w:snapToGrid w:val="0"/>
          <w:kern w:val="22"/>
          <w:szCs w:val="22"/>
        </w:rPr>
        <w:t xml:space="preserve">covered only a relatively narrow transect area between Turkey and Ukraine (Doğa Derneği 2014). Therefore, a more comprehensive survey of the area based on at-sea counts (focusing mostly on offshore areas), along with tracking studies of local birds using more accurate devices (such as </w:t>
      </w:r>
      <w:r w:rsidR="00187D62" w:rsidRPr="0088780C">
        <w:rPr>
          <w:snapToGrid w:val="0"/>
          <w:kern w:val="22"/>
          <w:szCs w:val="22"/>
        </w:rPr>
        <w:t xml:space="preserve">platform terminal transmitters, or </w:t>
      </w:r>
      <w:r w:rsidR="0006218F" w:rsidRPr="0088780C">
        <w:rPr>
          <w:snapToGrid w:val="0"/>
          <w:kern w:val="22"/>
          <w:szCs w:val="22"/>
        </w:rPr>
        <w:t>PTT), would be of great importance to reveal in more detail the specific areas used by the species in the Black Sea.</w:t>
      </w:r>
    </w:p>
    <w:p w14:paraId="302C1CC7" w14:textId="4C383FE4" w:rsidR="0006218F" w:rsidRPr="0088780C" w:rsidRDefault="00103028"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rPr>
        <w:t>12.</w:t>
      </w:r>
      <w:r w:rsidR="00F21DC1" w:rsidRPr="0088780C">
        <w:rPr>
          <w:snapToGrid w:val="0"/>
          <w:kern w:val="22"/>
          <w:szCs w:val="22"/>
        </w:rPr>
        <w:tab/>
      </w:r>
      <w:r w:rsidR="0006218F" w:rsidRPr="0088780C">
        <w:rPr>
          <w:snapToGrid w:val="0"/>
          <w:kern w:val="22"/>
          <w:szCs w:val="22"/>
        </w:rPr>
        <w:t>This knowledge would be of key importance to understand the drivers of the decline of the species, which is known to occur mostly during the non-breeding period (Oppel et al. 2011), potentially in the Black Sea. In this regard, a detailed study should also be conducted to quantify the magnitude of the incidental fishing by-catch of the Yelkouan shearwater in the Black Sea, given that this is considered the most serious threat to the species (Oppel et al. 2011, BirdLife International 2017a).</w:t>
      </w:r>
    </w:p>
    <w:p w14:paraId="02D6B869" w14:textId="5D7B524A" w:rsidR="00F21DC1" w:rsidRPr="0088780C" w:rsidRDefault="00103028"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rPr>
        <w:t>13.</w:t>
      </w:r>
      <w:r w:rsidR="00F21DC1" w:rsidRPr="0088780C">
        <w:rPr>
          <w:snapToGrid w:val="0"/>
          <w:kern w:val="22"/>
          <w:szCs w:val="22"/>
        </w:rPr>
        <w:tab/>
      </w:r>
      <w:r w:rsidR="0006218F" w:rsidRPr="0088780C">
        <w:rPr>
          <w:snapToGrid w:val="0"/>
          <w:kern w:val="22"/>
          <w:szCs w:val="22"/>
        </w:rPr>
        <w:t>At-sea</w:t>
      </w:r>
      <w:r w:rsidR="00187D62" w:rsidRPr="0088780C">
        <w:rPr>
          <w:snapToGrid w:val="0"/>
          <w:kern w:val="22"/>
          <w:szCs w:val="22"/>
        </w:rPr>
        <w:t xml:space="preserve"> </w:t>
      </w:r>
      <w:r w:rsidR="0006218F" w:rsidRPr="0088780C">
        <w:rPr>
          <w:snapToGrid w:val="0"/>
          <w:kern w:val="22"/>
          <w:szCs w:val="22"/>
        </w:rPr>
        <w:t>boat</w:t>
      </w:r>
      <w:r w:rsidR="00187D62" w:rsidRPr="0088780C">
        <w:rPr>
          <w:snapToGrid w:val="0"/>
          <w:kern w:val="22"/>
          <w:szCs w:val="22"/>
        </w:rPr>
        <w:t xml:space="preserve"> </w:t>
      </w:r>
      <w:r w:rsidR="0006218F" w:rsidRPr="0088780C">
        <w:rPr>
          <w:snapToGrid w:val="0"/>
          <w:kern w:val="22"/>
          <w:szCs w:val="22"/>
        </w:rPr>
        <w:t>surveys would be also important to help understand the diversity, abundance and distribution of other species of seabirds occurring in the Black Sea. Forty-one species of seabirds have been identified so far (Ortega and İsfendiyaroğlu 2017), but clearly more studies are needed to inform the list of species and their phenology.</w:t>
      </w:r>
    </w:p>
    <w:p w14:paraId="2758D330" w14:textId="24A4B74B" w:rsidR="0006218F" w:rsidRPr="0088780C" w:rsidRDefault="00103028"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rPr>
        <w:t>14.</w:t>
      </w:r>
      <w:r w:rsidR="00F21DC1" w:rsidRPr="0088780C">
        <w:rPr>
          <w:snapToGrid w:val="0"/>
          <w:kern w:val="22"/>
          <w:szCs w:val="22"/>
        </w:rPr>
        <w:tab/>
      </w:r>
      <w:r w:rsidR="0006218F" w:rsidRPr="0088780C">
        <w:rPr>
          <w:snapToGrid w:val="0"/>
          <w:kern w:val="22"/>
          <w:szCs w:val="22"/>
        </w:rPr>
        <w:t xml:space="preserve">The Black Sea is an important destination for some migrants from other parts of Europe, and some of the local breeders are also migrants that leave the region during the winter. To understand this seasonally dynamic environment, the surveys should ideally </w:t>
      </w:r>
      <w:r w:rsidR="00187D62" w:rsidRPr="0088780C">
        <w:rPr>
          <w:snapToGrid w:val="0"/>
          <w:kern w:val="22"/>
          <w:szCs w:val="22"/>
        </w:rPr>
        <w:t xml:space="preserve">be </w:t>
      </w:r>
      <w:r w:rsidR="0006218F" w:rsidRPr="0088780C">
        <w:rPr>
          <w:snapToGrid w:val="0"/>
          <w:kern w:val="22"/>
          <w:szCs w:val="22"/>
        </w:rPr>
        <w:t xml:space="preserve">repeated </w:t>
      </w:r>
      <w:r w:rsidR="00187D62" w:rsidRPr="0088780C">
        <w:rPr>
          <w:snapToGrid w:val="0"/>
          <w:kern w:val="22"/>
          <w:szCs w:val="22"/>
        </w:rPr>
        <w:t xml:space="preserve">throughout </w:t>
      </w:r>
      <w:r w:rsidR="0006218F" w:rsidRPr="0088780C">
        <w:rPr>
          <w:snapToGrid w:val="0"/>
          <w:kern w:val="22"/>
          <w:szCs w:val="22"/>
        </w:rPr>
        <w:t xml:space="preserve">the year. These surveys would also be relevant to identify the areas more intensively used by the other two vulnerable species, the </w:t>
      </w:r>
      <w:r w:rsidR="00187D62" w:rsidRPr="0088780C">
        <w:rPr>
          <w:snapToGrid w:val="0"/>
          <w:kern w:val="22"/>
          <w:szCs w:val="22"/>
        </w:rPr>
        <w:t>v</w:t>
      </w:r>
      <w:r w:rsidR="0006218F" w:rsidRPr="0088780C">
        <w:rPr>
          <w:snapToGrid w:val="0"/>
          <w:kern w:val="22"/>
          <w:szCs w:val="22"/>
        </w:rPr>
        <w:t xml:space="preserve">elvet </w:t>
      </w:r>
      <w:r w:rsidR="00187D62" w:rsidRPr="0088780C">
        <w:rPr>
          <w:snapToGrid w:val="0"/>
          <w:kern w:val="22"/>
          <w:szCs w:val="22"/>
        </w:rPr>
        <w:t>s</w:t>
      </w:r>
      <w:r w:rsidR="0006218F" w:rsidRPr="0088780C">
        <w:rPr>
          <w:snapToGrid w:val="0"/>
          <w:kern w:val="22"/>
          <w:szCs w:val="22"/>
        </w:rPr>
        <w:t xml:space="preserve">coter and the </w:t>
      </w:r>
      <w:r w:rsidR="00187D62" w:rsidRPr="0088780C">
        <w:rPr>
          <w:snapToGrid w:val="0"/>
          <w:kern w:val="22"/>
          <w:szCs w:val="22"/>
        </w:rPr>
        <w:t>h</w:t>
      </w:r>
      <w:r w:rsidR="0006218F" w:rsidRPr="0088780C">
        <w:rPr>
          <w:snapToGrid w:val="0"/>
          <w:kern w:val="22"/>
          <w:szCs w:val="22"/>
        </w:rPr>
        <w:t xml:space="preserve">orned </w:t>
      </w:r>
      <w:r w:rsidR="00187D62" w:rsidRPr="0088780C">
        <w:rPr>
          <w:snapToGrid w:val="0"/>
          <w:kern w:val="22"/>
          <w:szCs w:val="22"/>
        </w:rPr>
        <w:t>g</w:t>
      </w:r>
      <w:r w:rsidR="0006218F" w:rsidRPr="0088780C">
        <w:rPr>
          <w:snapToGrid w:val="0"/>
          <w:kern w:val="22"/>
          <w:szCs w:val="22"/>
        </w:rPr>
        <w:t>rebe. While the overall distribution of these species is known (BirdLife International 2017b), virtually no information is available about the most important hotpots in the Black Sea. These species are rarely mention</w:t>
      </w:r>
      <w:r w:rsidR="00F21DC1" w:rsidRPr="0088780C">
        <w:rPr>
          <w:snapToGrid w:val="0"/>
          <w:kern w:val="22"/>
          <w:szCs w:val="22"/>
        </w:rPr>
        <w:t>ed</w:t>
      </w:r>
      <w:r w:rsidR="0006218F" w:rsidRPr="0088780C">
        <w:rPr>
          <w:snapToGrid w:val="0"/>
          <w:kern w:val="22"/>
          <w:szCs w:val="22"/>
        </w:rPr>
        <w:t xml:space="preserve"> in the inventory of the bird species present in the current network of Important Bird and Biodiversity Areas </w:t>
      </w:r>
      <w:r w:rsidR="00CD5BB2" w:rsidRPr="0088780C">
        <w:rPr>
          <w:snapToGrid w:val="0"/>
          <w:kern w:val="22"/>
          <w:szCs w:val="22"/>
        </w:rPr>
        <w:t xml:space="preserve">(IBAs) </w:t>
      </w:r>
      <w:r w:rsidR="0006218F" w:rsidRPr="0088780C">
        <w:rPr>
          <w:snapToGrid w:val="0"/>
          <w:kern w:val="22"/>
          <w:szCs w:val="22"/>
        </w:rPr>
        <w:t>in the region, which highlights the current lack of knowledge.</w:t>
      </w:r>
    </w:p>
    <w:p w14:paraId="15AAAA90" w14:textId="5D2E7DB2" w:rsidR="0006218F" w:rsidRPr="0088780C" w:rsidRDefault="00103028"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rPr>
        <w:t>15.</w:t>
      </w:r>
      <w:r w:rsidR="00F21DC1" w:rsidRPr="0088780C">
        <w:rPr>
          <w:snapToGrid w:val="0"/>
          <w:kern w:val="22"/>
          <w:szCs w:val="22"/>
        </w:rPr>
        <w:tab/>
      </w:r>
      <w:r w:rsidR="0006218F" w:rsidRPr="0088780C">
        <w:rPr>
          <w:snapToGrid w:val="0"/>
          <w:kern w:val="22"/>
          <w:szCs w:val="22"/>
        </w:rPr>
        <w:t xml:space="preserve">Along with at-sea surveys, counts from the coast can also provide very relevant information, especially about the more coastal species such as gulls, terns and cormorants. The Black </w:t>
      </w:r>
      <w:r w:rsidR="00CD5BB2" w:rsidRPr="0088780C">
        <w:rPr>
          <w:snapToGrid w:val="0"/>
          <w:kern w:val="22"/>
          <w:szCs w:val="22"/>
        </w:rPr>
        <w:t>S</w:t>
      </w:r>
      <w:r w:rsidR="0006218F" w:rsidRPr="0088780C">
        <w:rPr>
          <w:snapToGrid w:val="0"/>
          <w:kern w:val="22"/>
          <w:szCs w:val="22"/>
        </w:rPr>
        <w:t xml:space="preserve">ea is particularly important for the Mediterranean gull </w:t>
      </w:r>
      <w:r w:rsidR="0006218F" w:rsidRPr="0088780C">
        <w:rPr>
          <w:i/>
          <w:snapToGrid w:val="0"/>
          <w:kern w:val="22"/>
          <w:szCs w:val="22"/>
        </w:rPr>
        <w:t>Larus melanocephalus</w:t>
      </w:r>
      <w:r w:rsidR="0006218F" w:rsidRPr="0088780C">
        <w:rPr>
          <w:snapToGrid w:val="0"/>
          <w:kern w:val="22"/>
          <w:szCs w:val="22"/>
        </w:rPr>
        <w:t xml:space="preserve"> (holding over 90% of the global population; Ortega and İsfendiyaroğlu 2017) and for the Mediterranean endemic subspecies of the European </w:t>
      </w:r>
      <w:r w:rsidR="00CD5BB2" w:rsidRPr="0088780C">
        <w:rPr>
          <w:snapToGrid w:val="0"/>
          <w:kern w:val="22"/>
          <w:szCs w:val="22"/>
        </w:rPr>
        <w:t>s</w:t>
      </w:r>
      <w:r w:rsidR="0006218F" w:rsidRPr="0088780C">
        <w:rPr>
          <w:snapToGrid w:val="0"/>
          <w:kern w:val="22"/>
          <w:szCs w:val="22"/>
        </w:rPr>
        <w:t xml:space="preserve">hag </w:t>
      </w:r>
      <w:r w:rsidR="00CD5BB2" w:rsidRPr="0088780C">
        <w:rPr>
          <w:snapToGrid w:val="0"/>
          <w:kern w:val="22"/>
          <w:szCs w:val="22"/>
        </w:rPr>
        <w:t>(</w:t>
      </w:r>
      <w:r w:rsidR="0006218F" w:rsidRPr="0088780C">
        <w:rPr>
          <w:i/>
          <w:snapToGrid w:val="0"/>
          <w:kern w:val="22"/>
          <w:szCs w:val="22"/>
        </w:rPr>
        <w:t>Phalacrocorax aristotelis desmarestii</w:t>
      </w:r>
      <w:r w:rsidR="00CD5BB2" w:rsidRPr="0088780C">
        <w:rPr>
          <w:i/>
          <w:snapToGrid w:val="0"/>
          <w:kern w:val="22"/>
          <w:szCs w:val="22"/>
        </w:rPr>
        <w:t>)</w:t>
      </w:r>
      <w:r w:rsidR="0006218F" w:rsidRPr="0088780C">
        <w:rPr>
          <w:snapToGrid w:val="0"/>
          <w:kern w:val="22"/>
          <w:szCs w:val="22"/>
        </w:rPr>
        <w:t>. While some areas have been studied in the above</w:t>
      </w:r>
      <w:r w:rsidR="00CD5BB2" w:rsidRPr="0088780C">
        <w:rPr>
          <w:snapToGrid w:val="0"/>
          <w:kern w:val="22"/>
          <w:szCs w:val="22"/>
        </w:rPr>
        <w:t>-</w:t>
      </w:r>
      <w:r w:rsidR="0006218F" w:rsidRPr="0088780C">
        <w:rPr>
          <w:snapToGrid w:val="0"/>
          <w:kern w:val="22"/>
          <w:szCs w:val="22"/>
        </w:rPr>
        <w:t>mentioned projects (Doğa Derneği 2014), these covered mostly the west coast (Bulgaria and Romania). A monitoring programme that would include the key known areas (e</w:t>
      </w:r>
      <w:r w:rsidR="00CD5BB2" w:rsidRPr="0088780C">
        <w:rPr>
          <w:snapToGrid w:val="0"/>
          <w:kern w:val="22"/>
          <w:szCs w:val="22"/>
        </w:rPr>
        <w:t>.</w:t>
      </w:r>
      <w:r w:rsidR="0006218F" w:rsidRPr="0088780C">
        <w:rPr>
          <w:snapToGrid w:val="0"/>
          <w:kern w:val="22"/>
          <w:szCs w:val="22"/>
        </w:rPr>
        <w:t>g</w:t>
      </w:r>
      <w:r w:rsidR="00CD5BB2" w:rsidRPr="0088780C">
        <w:rPr>
          <w:snapToGrid w:val="0"/>
          <w:kern w:val="22"/>
          <w:szCs w:val="22"/>
        </w:rPr>
        <w:t>.</w:t>
      </w:r>
      <w:r w:rsidR="0006218F" w:rsidRPr="0088780C">
        <w:rPr>
          <w:snapToGrid w:val="0"/>
          <w:kern w:val="22"/>
          <w:szCs w:val="22"/>
        </w:rPr>
        <w:t>, current IBAs) and some additional potentially suitable new sites would be of high relevance to understand better the distribution of the seabirds along the coastal areas. Such programme</w:t>
      </w:r>
      <w:r w:rsidR="00CD5BB2" w:rsidRPr="0088780C">
        <w:rPr>
          <w:snapToGrid w:val="0"/>
          <w:kern w:val="22"/>
          <w:szCs w:val="22"/>
        </w:rPr>
        <w:t>s</w:t>
      </w:r>
      <w:r w:rsidR="0006218F" w:rsidRPr="0088780C">
        <w:rPr>
          <w:snapToGrid w:val="0"/>
          <w:kern w:val="22"/>
          <w:szCs w:val="22"/>
        </w:rPr>
        <w:t xml:space="preserve"> would also be of high value to understand the population trends of the seabirds in the region.</w:t>
      </w:r>
    </w:p>
    <w:p w14:paraId="6A72F020" w14:textId="77777777" w:rsidR="0006218F" w:rsidRPr="0088780C" w:rsidRDefault="0006218F" w:rsidP="001013AF">
      <w:pPr>
        <w:suppressLineNumbers/>
        <w:suppressAutoHyphens/>
        <w:kinsoku w:val="0"/>
        <w:overflowPunct w:val="0"/>
        <w:autoSpaceDE w:val="0"/>
        <w:autoSpaceDN w:val="0"/>
        <w:rPr>
          <w:snapToGrid w:val="0"/>
          <w:kern w:val="22"/>
          <w:szCs w:val="22"/>
        </w:rPr>
      </w:pPr>
    </w:p>
    <w:p w14:paraId="4F5E0CC9" w14:textId="77777777" w:rsidR="0006218F" w:rsidRPr="0088780C" w:rsidRDefault="0006218F" w:rsidP="00A01D1E">
      <w:pPr>
        <w:keepNext/>
        <w:suppressLineNumbers/>
        <w:suppressAutoHyphens/>
        <w:kinsoku w:val="0"/>
        <w:overflowPunct w:val="0"/>
        <w:autoSpaceDE w:val="0"/>
        <w:autoSpaceDN w:val="0"/>
        <w:spacing w:after="60"/>
        <w:rPr>
          <w:b/>
          <w:iCs/>
          <w:snapToGrid w:val="0"/>
          <w:kern w:val="22"/>
          <w:szCs w:val="22"/>
        </w:rPr>
      </w:pPr>
      <w:r w:rsidRPr="0088780C">
        <w:rPr>
          <w:b/>
          <w:iCs/>
          <w:snapToGrid w:val="0"/>
          <w:kern w:val="22"/>
          <w:szCs w:val="22"/>
        </w:rPr>
        <w:t>References</w:t>
      </w:r>
    </w:p>
    <w:p w14:paraId="661D56E1" w14:textId="77777777" w:rsidR="0006218F" w:rsidRPr="0088780C" w:rsidRDefault="0006218F" w:rsidP="00A01D1E">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BirdLife International, 2017a. Species factsheet: </w:t>
      </w:r>
      <w:r w:rsidRPr="0088780C">
        <w:rPr>
          <w:i/>
          <w:snapToGrid w:val="0"/>
          <w:kern w:val="22"/>
          <w:szCs w:val="22"/>
        </w:rPr>
        <w:t>Puffinus yelkouan</w:t>
      </w:r>
      <w:r w:rsidRPr="0088780C">
        <w:rPr>
          <w:snapToGrid w:val="0"/>
          <w:kern w:val="22"/>
          <w:szCs w:val="22"/>
        </w:rPr>
        <w:t>. Downloaded from http://www.birdlife.org on 10/03/2017.</w:t>
      </w:r>
    </w:p>
    <w:p w14:paraId="0E9AEA1B" w14:textId="77777777" w:rsidR="0006218F" w:rsidRPr="0088780C" w:rsidRDefault="0006218F" w:rsidP="00A01D1E">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BirdLife International, 2017b. IUCN Red List for birds. Downloaded from http://www.birdlife.org on 10/03/2017</w:t>
      </w:r>
    </w:p>
    <w:p w14:paraId="6813C4A7" w14:textId="467E90F3" w:rsidR="0006218F" w:rsidRPr="0088780C" w:rsidRDefault="0006218F" w:rsidP="00A01D1E">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Doğa Derneği, 2014. Black Sea Seabirds Project Layman’s report, Istanbul</w:t>
      </w:r>
      <w:r w:rsidR="00CD5BB2" w:rsidRPr="0088780C">
        <w:rPr>
          <w:snapToGrid w:val="0"/>
          <w:kern w:val="22"/>
          <w:szCs w:val="22"/>
        </w:rPr>
        <w:t>.</w:t>
      </w:r>
    </w:p>
    <w:p w14:paraId="596C395F" w14:textId="5B98ED54" w:rsidR="0006218F" w:rsidRPr="0088780C" w:rsidRDefault="0006218F" w:rsidP="00A01D1E">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Oppel S., Raine, A.F., Borg, J.J., Raine, H., Bonnaud, E., Bourgeois, K., Breton, AR., 2011. Is the Yelkouan shearwater </w:t>
      </w:r>
      <w:r w:rsidRPr="0088780C">
        <w:rPr>
          <w:i/>
          <w:snapToGrid w:val="0"/>
          <w:kern w:val="22"/>
          <w:szCs w:val="22"/>
        </w:rPr>
        <w:t>Puffinus yelkouan</w:t>
      </w:r>
      <w:r w:rsidRPr="0088780C">
        <w:rPr>
          <w:snapToGrid w:val="0"/>
          <w:kern w:val="22"/>
          <w:szCs w:val="22"/>
        </w:rPr>
        <w:t xml:space="preserve"> threatened by low adult survival probabilities? Biological Conservation 1</w:t>
      </w:r>
      <w:r w:rsidR="00CD5BB2" w:rsidRPr="0088780C">
        <w:rPr>
          <w:snapToGrid w:val="0"/>
          <w:kern w:val="22"/>
          <w:szCs w:val="22"/>
        </w:rPr>
        <w:t>4</w:t>
      </w:r>
      <w:r w:rsidRPr="0088780C">
        <w:rPr>
          <w:snapToGrid w:val="0"/>
          <w:kern w:val="22"/>
          <w:szCs w:val="22"/>
        </w:rPr>
        <w:t>4</w:t>
      </w:r>
      <w:r w:rsidR="00CD5BB2" w:rsidRPr="0088780C">
        <w:rPr>
          <w:snapToGrid w:val="0"/>
          <w:kern w:val="22"/>
          <w:szCs w:val="22"/>
        </w:rPr>
        <w:t>(9)</w:t>
      </w:r>
      <w:r w:rsidRPr="0088780C">
        <w:rPr>
          <w:snapToGrid w:val="0"/>
          <w:kern w:val="22"/>
          <w:szCs w:val="22"/>
        </w:rPr>
        <w:t>: 2255- 2263.</w:t>
      </w:r>
    </w:p>
    <w:p w14:paraId="27E1D146" w14:textId="77777777" w:rsidR="0006218F" w:rsidRPr="0088780C" w:rsidRDefault="0006218F" w:rsidP="00A01D1E">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Ortega M.P., İsfendiyaroğlu S., 2017. Predicting foraging hotspots for Yelkouan Shearwater in the Black Sea. Deep-Sea Research Part II </w:t>
      </w:r>
      <w:r w:rsidRPr="0088780C">
        <w:rPr>
          <w:i/>
          <w:snapToGrid w:val="0"/>
          <w:kern w:val="22"/>
          <w:szCs w:val="22"/>
        </w:rPr>
        <w:t>in press</w:t>
      </w:r>
    </w:p>
    <w:p w14:paraId="1D262327" w14:textId="77777777" w:rsidR="0006218F" w:rsidRPr="0088780C" w:rsidRDefault="0006218F" w:rsidP="00A01D1E">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Péron, C., Grémillet, D., Prudor, A., Pettex, E., Saraux, C., Soriano-Redondo, A., Authier, M., Fort J., 2013. Importance of coastal Marine Protected Areas for the conservation of pelagic seabirds: The case of Vulnerable yelkouan shearwaters in the Mediterranean Sea. Biological Conservation 168: 210-221.</w:t>
      </w:r>
    </w:p>
    <w:p w14:paraId="5B1F55E6" w14:textId="77777777" w:rsidR="0006218F" w:rsidRPr="0088780C" w:rsidRDefault="0006218F" w:rsidP="00A01D1E">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 xml:space="preserve">Raine, A.F., Borg, J.J., Raine, H., Phillips, R.A., 2012. Migration strategies of the Yelkouan Shearwater </w:t>
      </w:r>
      <w:r w:rsidRPr="0088780C">
        <w:rPr>
          <w:i/>
          <w:snapToGrid w:val="0"/>
          <w:kern w:val="22"/>
          <w:szCs w:val="22"/>
        </w:rPr>
        <w:t>Puffinus yelkouan</w:t>
      </w:r>
      <w:r w:rsidRPr="0088780C">
        <w:rPr>
          <w:snapToGrid w:val="0"/>
          <w:kern w:val="22"/>
          <w:szCs w:val="22"/>
        </w:rPr>
        <w:t>. Journal of Ornithology 154: 411-422.</w:t>
      </w:r>
    </w:p>
    <w:p w14:paraId="5C2F4460" w14:textId="77777777" w:rsidR="0006218F" w:rsidRPr="0088780C" w:rsidRDefault="0006218F" w:rsidP="00A01D1E">
      <w:pPr>
        <w:suppressLineNumbers/>
        <w:suppressAutoHyphens/>
        <w:kinsoku w:val="0"/>
        <w:overflowPunct w:val="0"/>
        <w:autoSpaceDE w:val="0"/>
        <w:autoSpaceDN w:val="0"/>
        <w:adjustRightInd w:val="0"/>
        <w:spacing w:after="60"/>
        <w:ind w:left="720" w:hanging="720"/>
        <w:rPr>
          <w:snapToGrid w:val="0"/>
          <w:kern w:val="22"/>
          <w:szCs w:val="22"/>
        </w:rPr>
      </w:pPr>
      <w:r w:rsidRPr="0088780C">
        <w:rPr>
          <w:snapToGrid w:val="0"/>
          <w:kern w:val="22"/>
          <w:szCs w:val="22"/>
        </w:rPr>
        <w:t>Seabird Tracking Database 2017. Tracking Ocean Wanderers – BirdLife Seabird Tracking Database www. http://seabirdtracking.org/, accessed on 10/03/2017</w:t>
      </w:r>
    </w:p>
    <w:p w14:paraId="1C5EFF54" w14:textId="77777777" w:rsidR="0006218F" w:rsidRPr="0088780C" w:rsidRDefault="0006218F" w:rsidP="001013AF">
      <w:pPr>
        <w:suppressLineNumbers/>
        <w:suppressAutoHyphens/>
        <w:kinsoku w:val="0"/>
        <w:overflowPunct w:val="0"/>
        <w:autoSpaceDE w:val="0"/>
        <w:autoSpaceDN w:val="0"/>
        <w:rPr>
          <w:snapToGrid w:val="0"/>
          <w:kern w:val="22"/>
          <w:szCs w:val="22"/>
        </w:rPr>
      </w:pPr>
    </w:p>
    <w:p w14:paraId="0375F4F0" w14:textId="24A385A9" w:rsidR="0006218F" w:rsidRPr="0088780C" w:rsidRDefault="0006218F" w:rsidP="00A01D1E">
      <w:pPr>
        <w:keepNext/>
        <w:suppressLineNumbers/>
        <w:suppressAutoHyphens/>
        <w:kinsoku w:val="0"/>
        <w:overflowPunct w:val="0"/>
        <w:autoSpaceDE w:val="0"/>
        <w:autoSpaceDN w:val="0"/>
        <w:spacing w:after="120"/>
        <w:rPr>
          <w:b/>
          <w:snapToGrid w:val="0"/>
          <w:kern w:val="22"/>
          <w:szCs w:val="22"/>
        </w:rPr>
      </w:pPr>
      <w:r w:rsidRPr="0088780C">
        <w:rPr>
          <w:b/>
          <w:snapToGrid w:val="0"/>
          <w:kern w:val="22"/>
          <w:szCs w:val="22"/>
        </w:rPr>
        <w:t xml:space="preserve">Mapping of </w:t>
      </w:r>
      <w:r w:rsidRPr="0088780C">
        <w:rPr>
          <w:b/>
          <w:snapToGrid w:val="0"/>
          <w:kern w:val="22"/>
          <w:szCs w:val="22"/>
          <w:lang w:eastAsia="bg-BG"/>
        </w:rPr>
        <w:t xml:space="preserve">the mussel fields of the subtype of habitat 1170 </w:t>
      </w:r>
      <w:r w:rsidR="00D8482D" w:rsidRPr="0088780C">
        <w:rPr>
          <w:b/>
          <w:snapToGrid w:val="0"/>
          <w:kern w:val="22"/>
          <w:szCs w:val="22"/>
          <w:lang w:eastAsia="bg-BG"/>
        </w:rPr>
        <w:t>“</w:t>
      </w:r>
      <w:r w:rsidRPr="0088780C">
        <w:rPr>
          <w:b/>
          <w:snapToGrid w:val="0"/>
          <w:kern w:val="22"/>
          <w:szCs w:val="22"/>
          <w:lang w:eastAsia="bg-BG"/>
        </w:rPr>
        <w:t>Mussel banks on sediment</w:t>
      </w:r>
      <w:r w:rsidR="00D8482D" w:rsidRPr="0088780C">
        <w:rPr>
          <w:b/>
          <w:snapToGrid w:val="0"/>
          <w:kern w:val="22"/>
          <w:szCs w:val="22"/>
          <w:lang w:eastAsia="bg-BG"/>
        </w:rPr>
        <w:t>”</w:t>
      </w:r>
      <w:r w:rsidRPr="0088780C">
        <w:rPr>
          <w:b/>
          <w:snapToGrid w:val="0"/>
          <w:kern w:val="22"/>
          <w:szCs w:val="22"/>
          <w:lang w:eastAsia="bg-BG"/>
        </w:rPr>
        <w:t xml:space="preserve"> </w:t>
      </w:r>
      <w:r w:rsidRPr="0088780C">
        <w:rPr>
          <w:b/>
          <w:snapToGrid w:val="0"/>
          <w:kern w:val="22"/>
          <w:szCs w:val="22"/>
        </w:rPr>
        <w:t>and research of its biodivers</w:t>
      </w:r>
      <w:r w:rsidR="00F21DC1" w:rsidRPr="0088780C">
        <w:rPr>
          <w:b/>
          <w:snapToGrid w:val="0"/>
          <w:kern w:val="22"/>
          <w:szCs w:val="22"/>
        </w:rPr>
        <w:t>ity and productivity</w:t>
      </w:r>
    </w:p>
    <w:p w14:paraId="0E0CFEB8" w14:textId="1204694C" w:rsidR="0006218F" w:rsidRPr="0088780C" w:rsidRDefault="00103028"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lang w:eastAsia="bg-BG"/>
        </w:rPr>
        <w:t>16.</w:t>
      </w:r>
      <w:r w:rsidR="00C3152E" w:rsidRPr="0088780C">
        <w:rPr>
          <w:snapToGrid w:val="0"/>
          <w:kern w:val="22"/>
          <w:szCs w:val="22"/>
          <w:lang w:eastAsia="bg-BG"/>
        </w:rPr>
        <w:tab/>
      </w:r>
      <w:r w:rsidR="0006218F" w:rsidRPr="0088780C">
        <w:rPr>
          <w:snapToGrid w:val="0"/>
          <w:kern w:val="22"/>
          <w:szCs w:val="22"/>
          <w:lang w:eastAsia="bg-BG"/>
        </w:rPr>
        <w:t xml:space="preserve">The subtype of habitat 1170, namely </w:t>
      </w:r>
      <w:r w:rsidR="00D8482D" w:rsidRPr="0088780C">
        <w:rPr>
          <w:snapToGrid w:val="0"/>
          <w:kern w:val="22"/>
          <w:szCs w:val="22"/>
          <w:lang w:eastAsia="bg-BG"/>
        </w:rPr>
        <w:t>“</w:t>
      </w:r>
      <w:r w:rsidR="0006218F" w:rsidRPr="0088780C">
        <w:rPr>
          <w:snapToGrid w:val="0"/>
          <w:kern w:val="22"/>
          <w:szCs w:val="22"/>
          <w:lang w:eastAsia="bg-BG"/>
        </w:rPr>
        <w:t>Mussel banks on sediment</w:t>
      </w:r>
      <w:r w:rsidR="00D8482D" w:rsidRPr="0088780C">
        <w:rPr>
          <w:snapToGrid w:val="0"/>
          <w:kern w:val="22"/>
          <w:szCs w:val="22"/>
          <w:lang w:eastAsia="bg-BG"/>
        </w:rPr>
        <w:t>”</w:t>
      </w:r>
      <w:r w:rsidR="0006218F" w:rsidRPr="0088780C">
        <w:rPr>
          <w:snapToGrid w:val="0"/>
          <w:kern w:val="22"/>
          <w:szCs w:val="22"/>
          <w:lang w:eastAsia="bg-BG"/>
        </w:rPr>
        <w:t xml:space="preserve">, has a significant coverage in the </w:t>
      </w:r>
      <w:r w:rsidR="00F23055" w:rsidRPr="0088780C">
        <w:rPr>
          <w:rFonts w:eastAsia="MS Mincho"/>
          <w:snapToGrid w:val="0"/>
          <w:kern w:val="22"/>
          <w:szCs w:val="22"/>
        </w:rPr>
        <w:t>Special Area of Conservation</w:t>
      </w:r>
      <w:r w:rsidR="00F23055" w:rsidRPr="0088780C">
        <w:rPr>
          <w:snapToGrid w:val="0"/>
          <w:kern w:val="22"/>
          <w:szCs w:val="22"/>
        </w:rPr>
        <w:t xml:space="preserve"> (SAC)</w:t>
      </w:r>
      <w:r w:rsidR="000239E2" w:rsidRPr="0088780C">
        <w:rPr>
          <w:snapToGrid w:val="0"/>
          <w:kern w:val="22"/>
          <w:szCs w:val="22"/>
          <w:lang w:eastAsia="bg-BG"/>
        </w:rPr>
        <w:t xml:space="preserve"> </w:t>
      </w:r>
      <w:r w:rsidR="0006218F" w:rsidRPr="0088780C">
        <w:rPr>
          <w:snapToGrid w:val="0"/>
          <w:kern w:val="22"/>
          <w:szCs w:val="22"/>
          <w:lang w:eastAsia="bg-BG"/>
        </w:rPr>
        <w:t xml:space="preserve">Ropotamo protected area </w:t>
      </w:r>
      <w:r w:rsidR="00F23055" w:rsidRPr="0088780C">
        <w:rPr>
          <w:snapToGrid w:val="0"/>
          <w:kern w:val="22"/>
          <w:szCs w:val="22"/>
          <w:lang w:eastAsia="bg-BG"/>
        </w:rPr>
        <w:t xml:space="preserve">(Area No. B1: Ropotamo) </w:t>
      </w:r>
      <w:r w:rsidR="0006218F" w:rsidRPr="0088780C">
        <w:rPr>
          <w:snapToGrid w:val="0"/>
          <w:kern w:val="22"/>
          <w:szCs w:val="22"/>
          <w:lang w:eastAsia="bg-BG"/>
        </w:rPr>
        <w:t>as well as significant biomass and good dimensional structure of the habitat-forming species Mediterranean mussel</w:t>
      </w:r>
      <w:r w:rsidR="0006218F" w:rsidRPr="0088780C">
        <w:rPr>
          <w:i/>
          <w:snapToGrid w:val="0"/>
          <w:kern w:val="22"/>
          <w:szCs w:val="22"/>
          <w:lang w:eastAsia="bg-BG"/>
        </w:rPr>
        <w:t xml:space="preserve"> </w:t>
      </w:r>
      <w:r w:rsidR="0006218F" w:rsidRPr="0088780C">
        <w:rPr>
          <w:i/>
          <w:iCs/>
          <w:snapToGrid w:val="0"/>
          <w:kern w:val="22"/>
          <w:szCs w:val="22"/>
        </w:rPr>
        <w:t>(</w:t>
      </w:r>
      <w:r w:rsidR="0006218F" w:rsidRPr="0088780C">
        <w:rPr>
          <w:i/>
          <w:iCs/>
          <w:snapToGrid w:val="0"/>
          <w:kern w:val="22"/>
          <w:szCs w:val="22"/>
          <w:lang w:eastAsia="bg-BG"/>
        </w:rPr>
        <w:t>Mytilus galloprovincialis</w:t>
      </w:r>
      <w:r w:rsidR="0006218F" w:rsidRPr="0088780C">
        <w:rPr>
          <w:i/>
          <w:iCs/>
          <w:snapToGrid w:val="0"/>
          <w:kern w:val="22"/>
          <w:szCs w:val="22"/>
        </w:rPr>
        <w:t>)</w:t>
      </w:r>
      <w:r w:rsidR="0006218F" w:rsidRPr="0088780C">
        <w:rPr>
          <w:snapToGrid w:val="0"/>
          <w:kern w:val="22"/>
          <w:szCs w:val="22"/>
          <w:lang w:eastAsia="bg-BG"/>
        </w:rPr>
        <w:t xml:space="preserve">. </w:t>
      </w:r>
      <w:r w:rsidR="00B22DDD" w:rsidRPr="0088780C">
        <w:rPr>
          <w:snapToGrid w:val="0"/>
          <w:kern w:val="22"/>
          <w:szCs w:val="22"/>
          <w:lang w:eastAsia="bg-BG"/>
        </w:rPr>
        <w:t xml:space="preserve">Black mussels </w:t>
      </w:r>
      <w:r w:rsidR="0006218F" w:rsidRPr="0088780C">
        <w:rPr>
          <w:snapToGrid w:val="0"/>
          <w:kern w:val="22"/>
          <w:szCs w:val="22"/>
          <w:lang w:eastAsia="bg-BG"/>
        </w:rPr>
        <w:t>also ha</w:t>
      </w:r>
      <w:r w:rsidR="00B22DDD" w:rsidRPr="0088780C">
        <w:rPr>
          <w:snapToGrid w:val="0"/>
          <w:kern w:val="22"/>
          <w:szCs w:val="22"/>
          <w:lang w:eastAsia="bg-BG"/>
        </w:rPr>
        <w:t>ve</w:t>
      </w:r>
      <w:r w:rsidR="0006218F" w:rsidRPr="0088780C">
        <w:rPr>
          <w:snapToGrid w:val="0"/>
          <w:kern w:val="22"/>
          <w:szCs w:val="22"/>
          <w:lang w:eastAsia="bg-BG"/>
        </w:rPr>
        <w:t xml:space="preserve"> a relatively large average size and good dimensional structure, </w:t>
      </w:r>
      <w:r w:rsidR="0006218F" w:rsidRPr="0088780C">
        <w:rPr>
          <w:snapToGrid w:val="0"/>
          <w:kern w:val="22"/>
          <w:szCs w:val="22"/>
        </w:rPr>
        <w:t xml:space="preserve">maintaining a high level of biodiversity </w:t>
      </w:r>
      <w:r w:rsidR="0006218F" w:rsidRPr="0088780C">
        <w:rPr>
          <w:snapToGrid w:val="0"/>
          <w:kern w:val="22"/>
          <w:szCs w:val="22"/>
          <w:lang w:eastAsia="bg-BG"/>
        </w:rPr>
        <w:t>of the accompanying invertebrate fauna and fishes.</w:t>
      </w:r>
      <w:r w:rsidR="0006218F" w:rsidRPr="0088780C">
        <w:rPr>
          <w:snapToGrid w:val="0"/>
          <w:kern w:val="22"/>
          <w:szCs w:val="22"/>
        </w:rPr>
        <w:t xml:space="preserve"> The species composition of the accompanying fauna is variable and depends on the sediment matrix and depth.</w:t>
      </w:r>
    </w:p>
    <w:p w14:paraId="2394820E" w14:textId="15FA8879" w:rsidR="0006218F" w:rsidRPr="0088780C" w:rsidRDefault="00103028"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rPr>
        <w:t>17.</w:t>
      </w:r>
      <w:r w:rsidR="00C3152E" w:rsidRPr="0088780C">
        <w:rPr>
          <w:snapToGrid w:val="0"/>
          <w:kern w:val="22"/>
          <w:szCs w:val="22"/>
        </w:rPr>
        <w:tab/>
      </w:r>
      <w:r w:rsidR="0006218F" w:rsidRPr="0088780C">
        <w:rPr>
          <w:snapToGrid w:val="0"/>
          <w:kern w:val="22"/>
          <w:szCs w:val="22"/>
        </w:rPr>
        <w:t>Th</w:t>
      </w:r>
      <w:r w:rsidR="00C3152E" w:rsidRPr="0088780C">
        <w:rPr>
          <w:snapToGrid w:val="0"/>
          <w:kern w:val="22"/>
          <w:szCs w:val="22"/>
        </w:rPr>
        <w:t>is</w:t>
      </w:r>
      <w:r w:rsidR="0006218F" w:rsidRPr="0088780C">
        <w:rPr>
          <w:snapToGrid w:val="0"/>
          <w:kern w:val="22"/>
          <w:szCs w:val="22"/>
        </w:rPr>
        <w:t xml:space="preserve"> habitat plays a key ecological role for the functioning and resilience of the marine ecosystem as a whole due to the strong biofiltrati</w:t>
      </w:r>
      <w:r w:rsidR="00B22DDD" w:rsidRPr="0088780C">
        <w:rPr>
          <w:snapToGrid w:val="0"/>
          <w:kern w:val="22"/>
          <w:szCs w:val="22"/>
        </w:rPr>
        <w:t>on</w:t>
      </w:r>
      <w:r w:rsidR="0006218F" w:rsidRPr="0088780C">
        <w:rPr>
          <w:snapToGrid w:val="0"/>
          <w:kern w:val="22"/>
          <w:szCs w:val="22"/>
        </w:rPr>
        <w:t xml:space="preserve"> capacity of the black mussels, hence transforming the primary production into a secondary one.</w:t>
      </w:r>
    </w:p>
    <w:p w14:paraId="134E292E" w14:textId="5411DE03" w:rsidR="0006218F" w:rsidRPr="0088780C" w:rsidRDefault="00103028" w:rsidP="001013AF">
      <w:pPr>
        <w:suppressLineNumbers/>
        <w:suppressAutoHyphens/>
        <w:kinsoku w:val="0"/>
        <w:overflowPunct w:val="0"/>
        <w:autoSpaceDE w:val="0"/>
        <w:autoSpaceDN w:val="0"/>
        <w:spacing w:after="120"/>
        <w:rPr>
          <w:snapToGrid w:val="0"/>
          <w:kern w:val="22"/>
          <w:szCs w:val="22"/>
        </w:rPr>
      </w:pPr>
      <w:r w:rsidRPr="0088780C">
        <w:rPr>
          <w:snapToGrid w:val="0"/>
          <w:kern w:val="22"/>
          <w:szCs w:val="22"/>
        </w:rPr>
        <w:t>18.</w:t>
      </w:r>
      <w:r w:rsidR="00C3152E" w:rsidRPr="0088780C">
        <w:rPr>
          <w:snapToGrid w:val="0"/>
          <w:kern w:val="22"/>
          <w:szCs w:val="22"/>
        </w:rPr>
        <w:tab/>
        <w:t>At</w:t>
      </w:r>
      <w:r w:rsidR="0006218F" w:rsidRPr="0088780C">
        <w:rPr>
          <w:snapToGrid w:val="0"/>
          <w:kern w:val="22"/>
          <w:szCs w:val="22"/>
        </w:rPr>
        <w:t xml:space="preserve"> the same time the mussel beds provide substrate for a diverse epifauna (sponges, hydrozoans, sea anemones, bryozoans, ascidians, polychaetes). They are the food source for the carnivores (</w:t>
      </w:r>
      <w:r w:rsidR="00B22DDD" w:rsidRPr="0088780C">
        <w:rPr>
          <w:snapToGrid w:val="0"/>
          <w:kern w:val="22"/>
          <w:szCs w:val="22"/>
        </w:rPr>
        <w:t>v</w:t>
      </w:r>
      <w:r w:rsidR="0006218F" w:rsidRPr="0088780C">
        <w:rPr>
          <w:snapToGrid w:val="0"/>
          <w:kern w:val="22"/>
          <w:szCs w:val="22"/>
        </w:rPr>
        <w:t>eined rapa whelk, decapods, demersal fishes) and deposit-feeders (polychaetes).</w:t>
      </w:r>
    </w:p>
    <w:p w14:paraId="388E983D" w14:textId="4E484753" w:rsidR="0006218F" w:rsidRPr="0088780C" w:rsidRDefault="00103028" w:rsidP="001013AF">
      <w:pPr>
        <w:suppressLineNumbers/>
        <w:suppressAutoHyphens/>
        <w:kinsoku w:val="0"/>
        <w:overflowPunct w:val="0"/>
        <w:autoSpaceDE w:val="0"/>
        <w:autoSpaceDN w:val="0"/>
        <w:spacing w:after="120"/>
        <w:rPr>
          <w:snapToGrid w:val="0"/>
          <w:kern w:val="22"/>
          <w:szCs w:val="22"/>
          <w:lang w:eastAsia="bg-BG"/>
        </w:rPr>
      </w:pPr>
      <w:r w:rsidRPr="0088780C">
        <w:rPr>
          <w:snapToGrid w:val="0"/>
          <w:kern w:val="22"/>
          <w:szCs w:val="22"/>
        </w:rPr>
        <w:t>19.</w:t>
      </w:r>
      <w:r w:rsidR="00C3152E" w:rsidRPr="0088780C">
        <w:rPr>
          <w:snapToGrid w:val="0"/>
          <w:kern w:val="22"/>
          <w:szCs w:val="22"/>
        </w:rPr>
        <w:tab/>
        <w:t>This habitat also provides</w:t>
      </w:r>
      <w:r w:rsidR="0006218F" w:rsidRPr="0088780C">
        <w:rPr>
          <w:snapToGrid w:val="0"/>
          <w:kern w:val="22"/>
          <w:szCs w:val="22"/>
        </w:rPr>
        <w:t xml:space="preserve"> suitable places for the reproduction and growth of numerous organisms, some of which are important fishing species such as </w:t>
      </w:r>
      <w:r w:rsidR="00B22DDD" w:rsidRPr="0088780C">
        <w:rPr>
          <w:snapToGrid w:val="0"/>
          <w:kern w:val="22"/>
          <w:szCs w:val="22"/>
        </w:rPr>
        <w:t>t</w:t>
      </w:r>
      <w:r w:rsidR="0006218F" w:rsidRPr="0088780C">
        <w:rPr>
          <w:snapToGrid w:val="0"/>
          <w:kern w:val="22"/>
          <w:szCs w:val="22"/>
        </w:rPr>
        <w:t xml:space="preserve">urbot </w:t>
      </w:r>
      <w:r w:rsidR="0006218F" w:rsidRPr="0088780C">
        <w:rPr>
          <w:i/>
          <w:snapToGrid w:val="0"/>
          <w:kern w:val="22"/>
          <w:szCs w:val="22"/>
        </w:rPr>
        <w:t>(Scophthalmus maximus)</w:t>
      </w:r>
      <w:r w:rsidR="0006218F" w:rsidRPr="0088780C">
        <w:rPr>
          <w:snapToGrid w:val="0"/>
          <w:kern w:val="22"/>
          <w:szCs w:val="22"/>
        </w:rPr>
        <w:t xml:space="preserve">, European flounder </w:t>
      </w:r>
      <w:r w:rsidR="0006218F" w:rsidRPr="0088780C">
        <w:rPr>
          <w:i/>
          <w:iCs/>
          <w:snapToGrid w:val="0"/>
          <w:kern w:val="22"/>
          <w:szCs w:val="22"/>
        </w:rPr>
        <w:t>(</w:t>
      </w:r>
      <w:r w:rsidR="0006218F" w:rsidRPr="0088780C">
        <w:rPr>
          <w:rStyle w:val="st"/>
          <w:i/>
          <w:iCs/>
          <w:snapToGrid w:val="0"/>
          <w:kern w:val="22"/>
          <w:szCs w:val="22"/>
        </w:rPr>
        <w:t>Platichthys flesus)</w:t>
      </w:r>
      <w:r w:rsidR="0006218F" w:rsidRPr="0088780C">
        <w:rPr>
          <w:snapToGrid w:val="0"/>
          <w:kern w:val="22"/>
          <w:szCs w:val="22"/>
        </w:rPr>
        <w:t xml:space="preserve">, </w:t>
      </w:r>
      <w:r w:rsidR="00B22DDD" w:rsidRPr="0088780C">
        <w:rPr>
          <w:snapToGrid w:val="0"/>
          <w:kern w:val="22"/>
          <w:szCs w:val="22"/>
        </w:rPr>
        <w:t>v</w:t>
      </w:r>
      <w:r w:rsidR="0006218F" w:rsidRPr="0088780C">
        <w:rPr>
          <w:snapToGrid w:val="0"/>
          <w:kern w:val="22"/>
          <w:szCs w:val="22"/>
        </w:rPr>
        <w:t xml:space="preserve">eined rapa whelk </w:t>
      </w:r>
      <w:r w:rsidR="0006218F" w:rsidRPr="0088780C">
        <w:rPr>
          <w:i/>
          <w:iCs/>
          <w:snapToGrid w:val="0"/>
          <w:kern w:val="22"/>
          <w:szCs w:val="22"/>
        </w:rPr>
        <w:t xml:space="preserve">(Rapana venosa), </w:t>
      </w:r>
      <w:r w:rsidR="00C3152E" w:rsidRPr="0088780C">
        <w:rPr>
          <w:iCs/>
          <w:snapToGrid w:val="0"/>
          <w:kern w:val="22"/>
          <w:szCs w:val="22"/>
        </w:rPr>
        <w:t>and</w:t>
      </w:r>
      <w:r w:rsidR="00C3152E" w:rsidRPr="0088780C">
        <w:rPr>
          <w:i/>
          <w:iCs/>
          <w:snapToGrid w:val="0"/>
          <w:kern w:val="22"/>
          <w:szCs w:val="22"/>
        </w:rPr>
        <w:t xml:space="preserve"> </w:t>
      </w:r>
      <w:r w:rsidR="0006218F" w:rsidRPr="0088780C">
        <w:rPr>
          <w:snapToGrid w:val="0"/>
          <w:kern w:val="22"/>
          <w:szCs w:val="22"/>
        </w:rPr>
        <w:t xml:space="preserve">sturgeons. It is an </w:t>
      </w:r>
      <w:r w:rsidR="0006218F" w:rsidRPr="0088780C">
        <w:rPr>
          <w:snapToGrid w:val="0"/>
          <w:kern w:val="22"/>
          <w:szCs w:val="22"/>
          <w:lang w:eastAsia="bg-BG"/>
        </w:rPr>
        <w:t>important habitat of the shad fishes of the genus Alosa</w:t>
      </w:r>
      <w:r w:rsidR="00B22DDD" w:rsidRPr="0088780C">
        <w:rPr>
          <w:snapToGrid w:val="0"/>
          <w:kern w:val="22"/>
          <w:szCs w:val="22"/>
          <w:lang w:eastAsia="bg-BG"/>
        </w:rPr>
        <w:t>,</w:t>
      </w:r>
      <w:r w:rsidR="0006218F" w:rsidRPr="0088780C">
        <w:rPr>
          <w:snapToGrid w:val="0"/>
          <w:kern w:val="22"/>
          <w:szCs w:val="22"/>
          <w:lang w:eastAsia="bg-BG"/>
        </w:rPr>
        <w:t xml:space="preserve"> providing feeding grounds and migration routes to the spawning grounds.</w:t>
      </w:r>
    </w:p>
    <w:p w14:paraId="5672DC95" w14:textId="45E51644" w:rsidR="0006218F" w:rsidRPr="0088780C" w:rsidRDefault="00103028" w:rsidP="001013AF">
      <w:pPr>
        <w:suppressLineNumbers/>
        <w:suppressAutoHyphens/>
        <w:kinsoku w:val="0"/>
        <w:overflowPunct w:val="0"/>
        <w:autoSpaceDE w:val="0"/>
        <w:autoSpaceDN w:val="0"/>
        <w:spacing w:after="120"/>
        <w:rPr>
          <w:snapToGrid w:val="0"/>
          <w:kern w:val="22"/>
          <w:szCs w:val="22"/>
          <w:lang w:eastAsia="bg-BG"/>
        </w:rPr>
      </w:pPr>
      <w:r w:rsidRPr="0088780C">
        <w:rPr>
          <w:snapToGrid w:val="0"/>
          <w:kern w:val="22"/>
          <w:szCs w:val="22"/>
          <w:lang w:eastAsia="bg-BG"/>
        </w:rPr>
        <w:t>20.</w:t>
      </w:r>
      <w:r w:rsidR="009D1211" w:rsidRPr="0088780C">
        <w:rPr>
          <w:snapToGrid w:val="0"/>
          <w:kern w:val="22"/>
          <w:szCs w:val="22"/>
          <w:lang w:eastAsia="bg-BG"/>
        </w:rPr>
        <w:tab/>
      </w:r>
      <w:r w:rsidR="0006218F" w:rsidRPr="0088780C">
        <w:rPr>
          <w:snapToGrid w:val="0"/>
          <w:kern w:val="22"/>
          <w:szCs w:val="22"/>
          <w:lang w:eastAsia="bg-BG"/>
        </w:rPr>
        <w:t>However, its exact area is u</w:t>
      </w:r>
      <w:r w:rsidR="009D1211" w:rsidRPr="0088780C">
        <w:rPr>
          <w:snapToGrid w:val="0"/>
          <w:kern w:val="22"/>
          <w:szCs w:val="22"/>
          <w:lang w:eastAsia="bg-BG"/>
        </w:rPr>
        <w:t xml:space="preserve">nknown, </w:t>
      </w:r>
      <w:r w:rsidR="0006218F" w:rsidRPr="0088780C">
        <w:rPr>
          <w:snapToGrid w:val="0"/>
          <w:kern w:val="22"/>
          <w:szCs w:val="22"/>
          <w:lang w:eastAsia="bg-BG"/>
        </w:rPr>
        <w:t>hence requir</w:t>
      </w:r>
      <w:r w:rsidR="009D1211" w:rsidRPr="0088780C">
        <w:rPr>
          <w:snapToGrid w:val="0"/>
          <w:kern w:val="22"/>
          <w:szCs w:val="22"/>
          <w:lang w:eastAsia="bg-BG"/>
        </w:rPr>
        <w:t>ing</w:t>
      </w:r>
      <w:r w:rsidR="0006218F" w:rsidRPr="0088780C">
        <w:rPr>
          <w:snapToGrid w:val="0"/>
          <w:kern w:val="22"/>
          <w:szCs w:val="22"/>
          <w:lang w:eastAsia="bg-BG"/>
        </w:rPr>
        <w:t xml:space="preserve"> further investigation </w:t>
      </w:r>
      <w:r w:rsidR="009D1211" w:rsidRPr="0088780C">
        <w:rPr>
          <w:snapToGrid w:val="0"/>
          <w:kern w:val="22"/>
          <w:szCs w:val="22"/>
          <w:lang w:eastAsia="bg-BG"/>
        </w:rPr>
        <w:t>to consider its potential to meet the EBSA criteria</w:t>
      </w:r>
      <w:r w:rsidR="00DB7F56" w:rsidRPr="0088780C">
        <w:rPr>
          <w:snapToGrid w:val="0"/>
          <w:kern w:val="22"/>
          <w:szCs w:val="22"/>
          <w:lang w:eastAsia="bg-BG"/>
        </w:rPr>
        <w:t>.</w:t>
      </w:r>
    </w:p>
    <w:p w14:paraId="483C9A17" w14:textId="77777777" w:rsidR="0006218F" w:rsidRPr="0088780C" w:rsidRDefault="0006218F" w:rsidP="00A01D1E">
      <w:pPr>
        <w:keepNext/>
        <w:suppressLineNumbers/>
        <w:suppressAutoHyphens/>
        <w:kinsoku w:val="0"/>
        <w:overflowPunct w:val="0"/>
        <w:autoSpaceDE w:val="0"/>
        <w:autoSpaceDN w:val="0"/>
        <w:spacing w:after="120"/>
        <w:jc w:val="left"/>
        <w:rPr>
          <w:b/>
          <w:snapToGrid w:val="0"/>
          <w:kern w:val="22"/>
          <w:szCs w:val="22"/>
        </w:rPr>
      </w:pPr>
      <w:r w:rsidRPr="0088780C">
        <w:rPr>
          <w:b/>
          <w:snapToGrid w:val="0"/>
          <w:kern w:val="22"/>
          <w:szCs w:val="22"/>
        </w:rPr>
        <w:t xml:space="preserve">Mapping of </w:t>
      </w:r>
      <w:r w:rsidRPr="0088780C">
        <w:rPr>
          <w:b/>
          <w:snapToGrid w:val="0"/>
          <w:kern w:val="22"/>
          <w:szCs w:val="22"/>
          <w:lang w:eastAsia="bg-BG"/>
        </w:rPr>
        <w:t xml:space="preserve">the </w:t>
      </w:r>
      <w:r w:rsidRPr="0088780C">
        <w:rPr>
          <w:b/>
          <w:bCs/>
          <w:snapToGrid w:val="0"/>
          <w:kern w:val="22"/>
          <w:szCs w:val="22"/>
        </w:rPr>
        <w:t xml:space="preserve">biogenic </w:t>
      </w:r>
      <w:r w:rsidRPr="0088780C">
        <w:rPr>
          <w:b/>
          <w:bCs/>
          <w:i/>
          <w:snapToGrid w:val="0"/>
          <w:kern w:val="22"/>
          <w:szCs w:val="22"/>
        </w:rPr>
        <w:t>Ostrea edulis</w:t>
      </w:r>
      <w:r w:rsidRPr="0088780C">
        <w:rPr>
          <w:b/>
          <w:snapToGrid w:val="0"/>
          <w:kern w:val="22"/>
          <w:szCs w:val="22"/>
          <w:lang w:eastAsia="bg-BG"/>
        </w:rPr>
        <w:t xml:space="preserve"> structures</w:t>
      </w:r>
      <w:r w:rsidRPr="0088780C">
        <w:rPr>
          <w:b/>
          <w:bCs/>
          <w:snapToGrid w:val="0"/>
          <w:kern w:val="22"/>
          <w:szCs w:val="22"/>
        </w:rPr>
        <w:t xml:space="preserve"> (reefs) </w:t>
      </w:r>
      <w:r w:rsidRPr="0088780C">
        <w:rPr>
          <w:b/>
          <w:snapToGrid w:val="0"/>
          <w:kern w:val="22"/>
          <w:szCs w:val="22"/>
        </w:rPr>
        <w:t>and research of its biodiversity</w:t>
      </w:r>
    </w:p>
    <w:p w14:paraId="57F046BC" w14:textId="3B3AFCCD" w:rsidR="0006218F" w:rsidRPr="0088780C" w:rsidRDefault="00103028" w:rsidP="001013AF">
      <w:pPr>
        <w:suppressLineNumbers/>
        <w:suppressAutoHyphens/>
        <w:kinsoku w:val="0"/>
        <w:overflowPunct w:val="0"/>
        <w:autoSpaceDE w:val="0"/>
        <w:autoSpaceDN w:val="0"/>
        <w:spacing w:after="120"/>
        <w:rPr>
          <w:bCs/>
          <w:snapToGrid w:val="0"/>
          <w:kern w:val="22"/>
          <w:szCs w:val="22"/>
        </w:rPr>
      </w:pPr>
      <w:r w:rsidRPr="0088780C">
        <w:rPr>
          <w:bCs/>
          <w:snapToGrid w:val="0"/>
          <w:kern w:val="22"/>
          <w:szCs w:val="22"/>
        </w:rPr>
        <w:t>21.</w:t>
      </w:r>
      <w:r w:rsidR="009D1211" w:rsidRPr="0088780C">
        <w:rPr>
          <w:bCs/>
          <w:snapToGrid w:val="0"/>
          <w:kern w:val="22"/>
          <w:szCs w:val="22"/>
        </w:rPr>
        <w:tab/>
      </w:r>
      <w:r w:rsidR="0006218F" w:rsidRPr="0088780C">
        <w:rPr>
          <w:bCs/>
          <w:snapToGrid w:val="0"/>
          <w:kern w:val="22"/>
          <w:szCs w:val="22"/>
        </w:rPr>
        <w:t xml:space="preserve">It is </w:t>
      </w:r>
      <w:r w:rsidR="009D1211" w:rsidRPr="0088780C">
        <w:rPr>
          <w:bCs/>
          <w:snapToGrid w:val="0"/>
          <w:kern w:val="22"/>
          <w:szCs w:val="22"/>
        </w:rPr>
        <w:t xml:space="preserve">a </w:t>
      </w:r>
      <w:r w:rsidR="0006218F" w:rsidRPr="0088780C">
        <w:rPr>
          <w:bCs/>
          <w:snapToGrid w:val="0"/>
          <w:kern w:val="22"/>
          <w:szCs w:val="22"/>
        </w:rPr>
        <w:t>unique and remarkable habitat</w:t>
      </w:r>
      <w:r w:rsidR="009D1211" w:rsidRPr="0088780C">
        <w:rPr>
          <w:bCs/>
          <w:snapToGrid w:val="0"/>
          <w:kern w:val="22"/>
          <w:szCs w:val="22"/>
        </w:rPr>
        <w:t>, but not well-studied, fou</w:t>
      </w:r>
      <w:r w:rsidR="0006218F" w:rsidRPr="0088780C">
        <w:rPr>
          <w:bCs/>
          <w:snapToGrid w:val="0"/>
          <w:kern w:val="22"/>
          <w:szCs w:val="22"/>
        </w:rPr>
        <w:t xml:space="preserve">nd in the </w:t>
      </w:r>
      <w:r w:rsidR="00F23055" w:rsidRPr="0088780C">
        <w:rPr>
          <w:bCs/>
          <w:snapToGrid w:val="0"/>
          <w:kern w:val="22"/>
          <w:szCs w:val="22"/>
        </w:rPr>
        <w:t xml:space="preserve">Ropotamo </w:t>
      </w:r>
      <w:r w:rsidR="0006218F" w:rsidRPr="0088780C">
        <w:rPr>
          <w:bCs/>
          <w:snapToGrid w:val="0"/>
          <w:kern w:val="22"/>
          <w:szCs w:val="22"/>
        </w:rPr>
        <w:t xml:space="preserve">area representing a huge biogenic reef built by the native </w:t>
      </w:r>
      <w:r w:rsidR="0006218F" w:rsidRPr="0088780C">
        <w:rPr>
          <w:snapToGrid w:val="0"/>
          <w:kern w:val="22"/>
          <w:szCs w:val="22"/>
          <w:lang w:eastAsia="bg-BG"/>
        </w:rPr>
        <w:t xml:space="preserve">and unique </w:t>
      </w:r>
      <w:r w:rsidR="0006218F" w:rsidRPr="0088780C">
        <w:rPr>
          <w:snapToGrid w:val="0"/>
          <w:kern w:val="22"/>
          <w:szCs w:val="22"/>
        </w:rPr>
        <w:t xml:space="preserve">European </w:t>
      </w:r>
      <w:r w:rsidR="00F23055" w:rsidRPr="0088780C">
        <w:rPr>
          <w:bCs/>
          <w:snapToGrid w:val="0"/>
          <w:kern w:val="22"/>
          <w:szCs w:val="22"/>
        </w:rPr>
        <w:t>f</w:t>
      </w:r>
      <w:r w:rsidR="0006218F" w:rsidRPr="0088780C">
        <w:rPr>
          <w:bCs/>
          <w:snapToGrid w:val="0"/>
          <w:kern w:val="22"/>
          <w:szCs w:val="22"/>
        </w:rPr>
        <w:t xml:space="preserve">lat </w:t>
      </w:r>
      <w:r w:rsidR="00F23055" w:rsidRPr="0088780C">
        <w:rPr>
          <w:bCs/>
          <w:snapToGrid w:val="0"/>
          <w:kern w:val="22"/>
          <w:szCs w:val="22"/>
        </w:rPr>
        <w:t>o</w:t>
      </w:r>
      <w:r w:rsidR="0006218F" w:rsidRPr="0088780C">
        <w:rPr>
          <w:bCs/>
          <w:snapToGrid w:val="0"/>
          <w:kern w:val="22"/>
          <w:szCs w:val="22"/>
        </w:rPr>
        <w:t xml:space="preserve">yster </w:t>
      </w:r>
      <w:r w:rsidR="0006218F" w:rsidRPr="0088780C">
        <w:rPr>
          <w:bCs/>
          <w:i/>
          <w:snapToGrid w:val="0"/>
          <w:kern w:val="22"/>
          <w:szCs w:val="22"/>
        </w:rPr>
        <w:t>Ostrea edulis</w:t>
      </w:r>
      <w:r w:rsidR="0006218F" w:rsidRPr="0088780C">
        <w:rPr>
          <w:bCs/>
          <w:snapToGrid w:val="0"/>
          <w:kern w:val="22"/>
          <w:szCs w:val="22"/>
        </w:rPr>
        <w:t xml:space="preserve">, called </w:t>
      </w:r>
      <w:r w:rsidR="00D8482D" w:rsidRPr="0088780C">
        <w:rPr>
          <w:bCs/>
          <w:snapToGrid w:val="0"/>
          <w:kern w:val="22"/>
          <w:szCs w:val="22"/>
        </w:rPr>
        <w:t>“</w:t>
      </w:r>
      <w:r w:rsidR="0006218F" w:rsidRPr="0088780C">
        <w:rPr>
          <w:bCs/>
          <w:snapToGrid w:val="0"/>
          <w:kern w:val="22"/>
          <w:szCs w:val="22"/>
        </w:rPr>
        <w:t>Ostrak</w:t>
      </w:r>
      <w:r w:rsidR="00D8482D" w:rsidRPr="0088780C">
        <w:rPr>
          <w:bCs/>
          <w:snapToGrid w:val="0"/>
          <w:kern w:val="22"/>
          <w:szCs w:val="22"/>
        </w:rPr>
        <w:t>”</w:t>
      </w:r>
      <w:r w:rsidR="0006218F" w:rsidRPr="0088780C">
        <w:rPr>
          <w:bCs/>
          <w:snapToGrid w:val="0"/>
          <w:kern w:val="22"/>
          <w:szCs w:val="22"/>
        </w:rPr>
        <w:t>. Tube-building serpul</w:t>
      </w:r>
      <w:r w:rsidR="009D1211" w:rsidRPr="0088780C">
        <w:rPr>
          <w:bCs/>
          <w:snapToGrid w:val="0"/>
          <w:kern w:val="22"/>
          <w:szCs w:val="22"/>
        </w:rPr>
        <w:t>id polychaetes also contribute</w:t>
      </w:r>
      <w:r w:rsidR="0006218F" w:rsidRPr="0088780C">
        <w:rPr>
          <w:bCs/>
          <w:snapToGrid w:val="0"/>
          <w:kern w:val="22"/>
          <w:szCs w:val="22"/>
        </w:rPr>
        <w:t xml:space="preserve"> </w:t>
      </w:r>
      <w:r w:rsidR="009D1211" w:rsidRPr="0088780C">
        <w:rPr>
          <w:bCs/>
          <w:snapToGrid w:val="0"/>
          <w:kern w:val="22"/>
          <w:szCs w:val="22"/>
        </w:rPr>
        <w:t>to</w:t>
      </w:r>
      <w:r w:rsidR="0006218F" w:rsidRPr="0088780C">
        <w:rPr>
          <w:bCs/>
          <w:snapToGrid w:val="0"/>
          <w:kern w:val="22"/>
          <w:szCs w:val="22"/>
        </w:rPr>
        <w:t xml:space="preserve"> the reef structure as cementing element</w:t>
      </w:r>
      <w:r w:rsidR="00F23055" w:rsidRPr="0088780C">
        <w:rPr>
          <w:bCs/>
          <w:snapToGrid w:val="0"/>
          <w:kern w:val="22"/>
          <w:szCs w:val="22"/>
        </w:rPr>
        <w:t>s</w:t>
      </w:r>
      <w:r w:rsidR="0006218F" w:rsidRPr="0088780C">
        <w:rPr>
          <w:bCs/>
          <w:snapToGrid w:val="0"/>
          <w:kern w:val="22"/>
          <w:szCs w:val="22"/>
        </w:rPr>
        <w:t xml:space="preserve">. Unlike the flat oyster beds commonly known from the intertidal </w:t>
      </w:r>
      <w:r w:rsidR="00F23055" w:rsidRPr="0088780C">
        <w:rPr>
          <w:bCs/>
          <w:snapToGrid w:val="0"/>
          <w:kern w:val="22"/>
          <w:szCs w:val="22"/>
        </w:rPr>
        <w:t xml:space="preserve">areas </w:t>
      </w:r>
      <w:r w:rsidR="0006218F" w:rsidRPr="0088780C">
        <w:rPr>
          <w:bCs/>
          <w:snapToGrid w:val="0"/>
          <w:kern w:val="22"/>
          <w:szCs w:val="22"/>
        </w:rPr>
        <w:t xml:space="preserve">of Western Europe and North America, </w:t>
      </w:r>
      <w:r w:rsidR="00F23055" w:rsidRPr="0088780C">
        <w:rPr>
          <w:bCs/>
          <w:snapToGrid w:val="0"/>
          <w:kern w:val="22"/>
          <w:szCs w:val="22"/>
        </w:rPr>
        <w:t xml:space="preserve">the </w:t>
      </w:r>
      <w:r w:rsidR="0006218F" w:rsidRPr="0088780C">
        <w:rPr>
          <w:bCs/>
          <w:snapToGrid w:val="0"/>
          <w:kern w:val="22"/>
          <w:szCs w:val="22"/>
        </w:rPr>
        <w:t xml:space="preserve">Black Sea’s </w:t>
      </w:r>
      <w:r w:rsidR="00D8482D" w:rsidRPr="0088780C">
        <w:rPr>
          <w:bCs/>
          <w:snapToGrid w:val="0"/>
          <w:kern w:val="22"/>
          <w:szCs w:val="22"/>
        </w:rPr>
        <w:t>“</w:t>
      </w:r>
      <w:r w:rsidR="0006218F" w:rsidRPr="0088780C">
        <w:rPr>
          <w:bCs/>
          <w:snapToGrid w:val="0"/>
          <w:kern w:val="22"/>
          <w:szCs w:val="22"/>
        </w:rPr>
        <w:t>Ostrak</w:t>
      </w:r>
      <w:r w:rsidR="00D8482D" w:rsidRPr="0088780C">
        <w:rPr>
          <w:bCs/>
          <w:snapToGrid w:val="0"/>
          <w:kern w:val="22"/>
          <w:szCs w:val="22"/>
        </w:rPr>
        <w:t>”</w:t>
      </w:r>
      <w:r w:rsidR="0006218F" w:rsidRPr="0088780C">
        <w:rPr>
          <w:bCs/>
          <w:snapToGrid w:val="0"/>
          <w:kern w:val="22"/>
          <w:szCs w:val="22"/>
        </w:rPr>
        <w:t xml:space="preserve"> are massive, towering biogenic structures.</w:t>
      </w:r>
    </w:p>
    <w:p w14:paraId="37D68718" w14:textId="2DF57D38" w:rsidR="0006218F" w:rsidRPr="0088780C" w:rsidRDefault="00103028" w:rsidP="001013AF">
      <w:pPr>
        <w:suppressLineNumbers/>
        <w:suppressAutoHyphens/>
        <w:kinsoku w:val="0"/>
        <w:overflowPunct w:val="0"/>
        <w:autoSpaceDE w:val="0"/>
        <w:autoSpaceDN w:val="0"/>
        <w:adjustRightInd w:val="0"/>
        <w:spacing w:after="120"/>
        <w:rPr>
          <w:snapToGrid w:val="0"/>
          <w:kern w:val="22"/>
          <w:szCs w:val="22"/>
        </w:rPr>
      </w:pPr>
      <w:r w:rsidRPr="0088780C">
        <w:rPr>
          <w:snapToGrid w:val="0"/>
          <w:kern w:val="22"/>
          <w:szCs w:val="22"/>
        </w:rPr>
        <w:t>22.</w:t>
      </w:r>
      <w:r w:rsidR="009D1211" w:rsidRPr="0088780C">
        <w:rPr>
          <w:snapToGrid w:val="0"/>
          <w:kern w:val="22"/>
          <w:szCs w:val="22"/>
        </w:rPr>
        <w:tab/>
      </w:r>
      <w:r w:rsidR="0006218F" w:rsidRPr="0088780C">
        <w:rPr>
          <w:snapToGrid w:val="0"/>
          <w:kern w:val="22"/>
          <w:szCs w:val="22"/>
        </w:rPr>
        <w:t>In terms of biodiversity, reefs are overgrown by blue mussels, sponges and sciaphilic algae (</w:t>
      </w:r>
      <w:r w:rsidR="0006218F" w:rsidRPr="0088780C">
        <w:rPr>
          <w:i/>
          <w:iCs/>
          <w:snapToGrid w:val="0"/>
          <w:kern w:val="22"/>
          <w:szCs w:val="22"/>
        </w:rPr>
        <w:t>Delesseria ruscifolia</w:t>
      </w:r>
      <w:r w:rsidR="0006218F" w:rsidRPr="0088780C">
        <w:rPr>
          <w:snapToGrid w:val="0"/>
          <w:kern w:val="22"/>
          <w:szCs w:val="22"/>
        </w:rPr>
        <w:t xml:space="preserve">, </w:t>
      </w:r>
      <w:r w:rsidR="0006218F" w:rsidRPr="0088780C">
        <w:rPr>
          <w:i/>
          <w:iCs/>
          <w:snapToGrid w:val="0"/>
          <w:kern w:val="22"/>
          <w:szCs w:val="22"/>
        </w:rPr>
        <w:t>Zanardinia prototypus</w:t>
      </w:r>
      <w:r w:rsidR="0006218F" w:rsidRPr="0088780C">
        <w:rPr>
          <w:snapToGrid w:val="0"/>
          <w:kern w:val="22"/>
          <w:szCs w:val="22"/>
        </w:rPr>
        <w:t>) and harbour diverse marine life</w:t>
      </w:r>
      <w:r w:rsidR="00F23055" w:rsidRPr="0088780C">
        <w:rPr>
          <w:snapToGrid w:val="0"/>
          <w:kern w:val="22"/>
          <w:szCs w:val="22"/>
        </w:rPr>
        <w:t>:</w:t>
      </w:r>
      <w:r w:rsidR="0006218F" w:rsidRPr="0088780C">
        <w:rPr>
          <w:snapToGrid w:val="0"/>
          <w:kern w:val="22"/>
          <w:szCs w:val="22"/>
        </w:rPr>
        <w:t xml:space="preserve"> abundant crabs (</w:t>
      </w:r>
      <w:r w:rsidR="0006218F" w:rsidRPr="0088780C">
        <w:rPr>
          <w:i/>
          <w:iCs/>
          <w:snapToGrid w:val="0"/>
          <w:kern w:val="22"/>
          <w:szCs w:val="22"/>
        </w:rPr>
        <w:t>Eri phia verrucosa</w:t>
      </w:r>
      <w:r w:rsidR="0006218F" w:rsidRPr="0088780C">
        <w:rPr>
          <w:snapToGrid w:val="0"/>
          <w:kern w:val="22"/>
          <w:szCs w:val="22"/>
        </w:rPr>
        <w:t>), blennies, gobies (</w:t>
      </w:r>
      <w:r w:rsidR="0006218F" w:rsidRPr="0088780C">
        <w:rPr>
          <w:i/>
          <w:iCs/>
          <w:snapToGrid w:val="0"/>
          <w:kern w:val="22"/>
          <w:szCs w:val="22"/>
        </w:rPr>
        <w:t>Aphia minuta, Mesogobius batrachocephalus</w:t>
      </w:r>
      <w:r w:rsidR="0006218F" w:rsidRPr="0088780C">
        <w:rPr>
          <w:snapToGrid w:val="0"/>
          <w:kern w:val="22"/>
          <w:szCs w:val="22"/>
        </w:rPr>
        <w:t>), scorpionfishes (</w:t>
      </w:r>
      <w:r w:rsidR="0006218F" w:rsidRPr="0088780C">
        <w:rPr>
          <w:i/>
          <w:iCs/>
          <w:snapToGrid w:val="0"/>
          <w:kern w:val="22"/>
          <w:szCs w:val="22"/>
        </w:rPr>
        <w:t>Scorpaena porcus</w:t>
      </w:r>
      <w:r w:rsidR="0006218F" w:rsidRPr="0088780C">
        <w:rPr>
          <w:snapToGrid w:val="0"/>
          <w:kern w:val="22"/>
          <w:szCs w:val="22"/>
        </w:rPr>
        <w:t>), wrasses and mullets.</w:t>
      </w:r>
    </w:p>
    <w:p w14:paraId="51A739B1" w14:textId="04AC80F4" w:rsidR="0006218F" w:rsidRPr="0088780C" w:rsidRDefault="00103028" w:rsidP="001013AF">
      <w:pPr>
        <w:suppressLineNumbers/>
        <w:suppressAutoHyphens/>
        <w:kinsoku w:val="0"/>
        <w:overflowPunct w:val="0"/>
        <w:autoSpaceDE w:val="0"/>
        <w:autoSpaceDN w:val="0"/>
        <w:adjustRightInd w:val="0"/>
        <w:spacing w:after="120"/>
        <w:rPr>
          <w:snapToGrid w:val="0"/>
          <w:kern w:val="22"/>
          <w:szCs w:val="22"/>
        </w:rPr>
      </w:pPr>
      <w:r w:rsidRPr="0088780C">
        <w:rPr>
          <w:snapToGrid w:val="0"/>
          <w:kern w:val="22"/>
          <w:szCs w:val="22"/>
        </w:rPr>
        <w:t>23.</w:t>
      </w:r>
      <w:r w:rsidR="008C7D69" w:rsidRPr="0088780C">
        <w:rPr>
          <w:snapToGrid w:val="0"/>
          <w:kern w:val="22"/>
          <w:szCs w:val="22"/>
        </w:rPr>
        <w:tab/>
      </w:r>
      <w:r w:rsidR="009D1211" w:rsidRPr="0088780C">
        <w:rPr>
          <w:snapToGrid w:val="0"/>
          <w:kern w:val="22"/>
          <w:szCs w:val="22"/>
        </w:rPr>
        <w:t xml:space="preserve">No information is available on </w:t>
      </w:r>
      <w:r w:rsidR="0006218F" w:rsidRPr="0088780C">
        <w:rPr>
          <w:snapToGrid w:val="0"/>
          <w:kern w:val="22"/>
          <w:szCs w:val="22"/>
        </w:rPr>
        <w:t>whether live oyster reefs still exist. Information based on personal conversation</w:t>
      </w:r>
      <w:r w:rsidR="00F23055" w:rsidRPr="0088780C">
        <w:rPr>
          <w:snapToGrid w:val="0"/>
          <w:kern w:val="22"/>
          <w:szCs w:val="22"/>
        </w:rPr>
        <w:t>s</w:t>
      </w:r>
      <w:r w:rsidR="0006218F" w:rsidRPr="0088780C">
        <w:rPr>
          <w:snapToGrid w:val="0"/>
          <w:kern w:val="22"/>
          <w:szCs w:val="22"/>
        </w:rPr>
        <w:t xml:space="preserve"> with local spear-fisher</w:t>
      </w:r>
      <w:r w:rsidR="00F23055" w:rsidRPr="0088780C">
        <w:rPr>
          <w:snapToGrid w:val="0"/>
          <w:kern w:val="22"/>
          <w:szCs w:val="22"/>
        </w:rPr>
        <w:t>s</w:t>
      </w:r>
      <w:r w:rsidR="0006218F" w:rsidRPr="0088780C">
        <w:rPr>
          <w:snapToGrid w:val="0"/>
          <w:kern w:val="22"/>
          <w:szCs w:val="22"/>
        </w:rPr>
        <w:t xml:space="preserve"> and observation</w:t>
      </w:r>
      <w:r w:rsidR="000239E2" w:rsidRPr="0088780C">
        <w:rPr>
          <w:snapToGrid w:val="0"/>
          <w:kern w:val="22"/>
          <w:szCs w:val="22"/>
        </w:rPr>
        <w:t>s</w:t>
      </w:r>
      <w:r w:rsidR="0006218F" w:rsidRPr="0088780C">
        <w:rPr>
          <w:snapToGrid w:val="0"/>
          <w:kern w:val="22"/>
          <w:szCs w:val="22"/>
        </w:rPr>
        <w:t xml:space="preserve"> </w:t>
      </w:r>
      <w:r w:rsidR="000239E2" w:rsidRPr="0088780C">
        <w:rPr>
          <w:snapToGrid w:val="0"/>
          <w:kern w:val="22"/>
          <w:szCs w:val="22"/>
        </w:rPr>
        <w:t>indicate</w:t>
      </w:r>
      <w:r w:rsidR="0006218F" w:rsidRPr="0088780C">
        <w:rPr>
          <w:snapToGrid w:val="0"/>
          <w:kern w:val="22"/>
          <w:szCs w:val="22"/>
        </w:rPr>
        <w:t xml:space="preserve"> that fresh oyster shells were visible on the reefs more than 10 years ago</w:t>
      </w:r>
      <w:r w:rsidR="000239E2" w:rsidRPr="0088780C">
        <w:rPr>
          <w:snapToGrid w:val="0"/>
          <w:kern w:val="22"/>
          <w:szCs w:val="22"/>
        </w:rPr>
        <w:t>;</w:t>
      </w:r>
      <w:r w:rsidR="0006218F" w:rsidRPr="0088780C">
        <w:rPr>
          <w:snapToGrid w:val="0"/>
          <w:kern w:val="22"/>
          <w:szCs w:val="22"/>
        </w:rPr>
        <w:t xml:space="preserve"> none were found live during the </w:t>
      </w:r>
      <w:r w:rsidR="000239E2" w:rsidRPr="0088780C">
        <w:rPr>
          <w:snapToGrid w:val="0"/>
          <w:kern w:val="22"/>
          <w:szCs w:val="22"/>
        </w:rPr>
        <w:t xml:space="preserve">recent </w:t>
      </w:r>
      <w:r w:rsidR="0006218F" w:rsidRPr="0088780C">
        <w:rPr>
          <w:snapToGrid w:val="0"/>
          <w:kern w:val="22"/>
          <w:szCs w:val="22"/>
        </w:rPr>
        <w:t xml:space="preserve">observation. However, records of abundant oysters date back decades ago </w:t>
      </w:r>
      <w:r w:rsidR="0006218F" w:rsidRPr="0088780C">
        <w:rPr>
          <w:bCs/>
          <w:snapToGrid w:val="0"/>
          <w:kern w:val="22"/>
          <w:szCs w:val="22"/>
        </w:rPr>
        <w:t>(</w:t>
      </w:r>
      <w:r w:rsidR="0006218F" w:rsidRPr="0088780C">
        <w:rPr>
          <w:snapToGrid w:val="0"/>
          <w:kern w:val="22"/>
          <w:szCs w:val="22"/>
        </w:rPr>
        <w:t>Todorova et al</w:t>
      </w:r>
      <w:r w:rsidR="000239E2" w:rsidRPr="0088780C">
        <w:rPr>
          <w:snapToGrid w:val="0"/>
          <w:kern w:val="22"/>
          <w:szCs w:val="22"/>
        </w:rPr>
        <w:t>.</w:t>
      </w:r>
      <w:r w:rsidR="0006218F" w:rsidRPr="0088780C">
        <w:rPr>
          <w:snapToGrid w:val="0"/>
          <w:kern w:val="22"/>
          <w:szCs w:val="22"/>
        </w:rPr>
        <w:t xml:space="preserve">, 2008). Besides mapping the </w:t>
      </w:r>
      <w:r w:rsidR="00D8482D" w:rsidRPr="0088780C">
        <w:rPr>
          <w:snapToGrid w:val="0"/>
          <w:kern w:val="22"/>
          <w:szCs w:val="22"/>
        </w:rPr>
        <w:t>“</w:t>
      </w:r>
      <w:r w:rsidR="0006218F" w:rsidRPr="0088780C">
        <w:rPr>
          <w:snapToGrid w:val="0"/>
          <w:kern w:val="22"/>
          <w:szCs w:val="22"/>
        </w:rPr>
        <w:t>Ostrak</w:t>
      </w:r>
      <w:r w:rsidR="00D8482D" w:rsidRPr="0088780C">
        <w:rPr>
          <w:snapToGrid w:val="0"/>
          <w:kern w:val="22"/>
          <w:szCs w:val="22"/>
        </w:rPr>
        <w:t>”</w:t>
      </w:r>
      <w:r w:rsidR="0006218F" w:rsidRPr="0088780C">
        <w:rPr>
          <w:snapToGrid w:val="0"/>
          <w:kern w:val="22"/>
          <w:szCs w:val="22"/>
        </w:rPr>
        <w:t xml:space="preserve"> boundaries, </w:t>
      </w:r>
      <w:r w:rsidR="009D1211" w:rsidRPr="0088780C">
        <w:rPr>
          <w:snapToGrid w:val="0"/>
          <w:kern w:val="22"/>
          <w:szCs w:val="22"/>
        </w:rPr>
        <w:t xml:space="preserve">there is a need to investigate </w:t>
      </w:r>
      <w:r w:rsidR="0006218F" w:rsidRPr="0088780C">
        <w:rPr>
          <w:snapToGrid w:val="0"/>
          <w:kern w:val="22"/>
          <w:szCs w:val="22"/>
        </w:rPr>
        <w:t xml:space="preserve">whether live specimens </w:t>
      </w:r>
      <w:r w:rsidR="000239E2" w:rsidRPr="0088780C">
        <w:rPr>
          <w:snapToGrid w:val="0"/>
          <w:kern w:val="22"/>
          <w:szCs w:val="22"/>
        </w:rPr>
        <w:t xml:space="preserve">are </w:t>
      </w:r>
      <w:r w:rsidR="0006218F" w:rsidRPr="0088780C">
        <w:rPr>
          <w:snapToGrid w:val="0"/>
          <w:kern w:val="22"/>
          <w:szCs w:val="22"/>
        </w:rPr>
        <w:t>present or not.</w:t>
      </w:r>
    </w:p>
    <w:p w14:paraId="69F80CA0" w14:textId="77777777" w:rsidR="0006218F" w:rsidRPr="0088780C" w:rsidRDefault="0006218F" w:rsidP="00037C1C">
      <w:pPr>
        <w:keepNext/>
        <w:suppressLineNumbers/>
        <w:suppressAutoHyphens/>
        <w:kinsoku w:val="0"/>
        <w:overflowPunct w:val="0"/>
        <w:autoSpaceDE w:val="0"/>
        <w:autoSpaceDN w:val="0"/>
        <w:spacing w:after="60"/>
        <w:ind w:left="720" w:hanging="720"/>
        <w:rPr>
          <w:rFonts w:eastAsia="MS Mincho"/>
          <w:b/>
          <w:iCs/>
          <w:snapToGrid w:val="0"/>
          <w:kern w:val="22"/>
          <w:szCs w:val="22"/>
        </w:rPr>
      </w:pPr>
      <w:r w:rsidRPr="0088780C">
        <w:rPr>
          <w:rFonts w:eastAsia="MS Mincho"/>
          <w:b/>
          <w:iCs/>
          <w:snapToGrid w:val="0"/>
          <w:kern w:val="22"/>
          <w:szCs w:val="22"/>
        </w:rPr>
        <w:t>References</w:t>
      </w:r>
    </w:p>
    <w:p w14:paraId="6C094CBC" w14:textId="2D90F578" w:rsidR="0006218F" w:rsidRPr="0088780C" w:rsidRDefault="0006218F" w:rsidP="001013AF">
      <w:pPr>
        <w:suppressLineNumbers/>
        <w:suppressAutoHyphens/>
        <w:kinsoku w:val="0"/>
        <w:overflowPunct w:val="0"/>
        <w:autoSpaceDE w:val="0"/>
        <w:autoSpaceDN w:val="0"/>
        <w:spacing w:after="60"/>
        <w:ind w:left="720" w:hanging="720"/>
        <w:jc w:val="left"/>
        <w:rPr>
          <w:snapToGrid w:val="0"/>
          <w:kern w:val="22"/>
          <w:szCs w:val="22"/>
        </w:rPr>
      </w:pPr>
      <w:r w:rsidRPr="0088780C">
        <w:rPr>
          <w:rFonts w:eastAsia="MS Mincho"/>
          <w:snapToGrid w:val="0"/>
          <w:kern w:val="22"/>
          <w:szCs w:val="22"/>
        </w:rPr>
        <w:t xml:space="preserve">Red Data Book of </w:t>
      </w:r>
      <w:r w:rsidR="00664AA7" w:rsidRPr="0088780C">
        <w:rPr>
          <w:rFonts w:eastAsia="MS Mincho"/>
          <w:snapToGrid w:val="0"/>
          <w:kern w:val="22"/>
          <w:szCs w:val="22"/>
        </w:rPr>
        <w:t>t</w:t>
      </w:r>
      <w:r w:rsidRPr="0088780C">
        <w:rPr>
          <w:rFonts w:eastAsia="MS Mincho"/>
          <w:snapToGrid w:val="0"/>
          <w:kern w:val="22"/>
          <w:szCs w:val="22"/>
        </w:rPr>
        <w:t xml:space="preserve">he Republic of Bulgaria, Vol. 3 Natural Habitats. </w:t>
      </w:r>
      <w:r w:rsidR="00664AA7" w:rsidRPr="0088780C">
        <w:rPr>
          <w:rFonts w:eastAsia="MS Mincho"/>
          <w:snapToGrid w:val="0"/>
          <w:kern w:val="22"/>
          <w:szCs w:val="22"/>
        </w:rPr>
        <w:br/>
      </w:r>
      <w:hyperlink r:id="rId366" w:history="1">
        <w:r w:rsidRPr="0088780C">
          <w:rPr>
            <w:rStyle w:val="Hyperlink"/>
            <w:snapToGrid w:val="0"/>
            <w:kern w:val="22"/>
            <w:szCs w:val="22"/>
          </w:rPr>
          <w:t>http://e-ecodb.bas.bg/rdb/en/vol3/11a4.html</w:t>
        </w:r>
      </w:hyperlink>
    </w:p>
    <w:p w14:paraId="3BD1B6BE" w14:textId="77777777" w:rsidR="0006218F" w:rsidRPr="0088780C" w:rsidRDefault="0006218F" w:rsidP="001013AF">
      <w:pPr>
        <w:suppressLineNumbers/>
        <w:suppressAutoHyphens/>
        <w:kinsoku w:val="0"/>
        <w:overflowPunct w:val="0"/>
        <w:autoSpaceDE w:val="0"/>
        <w:autoSpaceDN w:val="0"/>
        <w:spacing w:after="60"/>
        <w:ind w:left="720" w:hanging="720"/>
        <w:rPr>
          <w:bCs/>
          <w:snapToGrid w:val="0"/>
          <w:kern w:val="22"/>
          <w:szCs w:val="22"/>
          <w:lang w:eastAsia="bg-BG"/>
        </w:rPr>
      </w:pPr>
      <w:r w:rsidRPr="0088780C">
        <w:rPr>
          <w:bCs/>
          <w:snapToGrid w:val="0"/>
          <w:kern w:val="22"/>
          <w:szCs w:val="22"/>
          <w:lang w:eastAsia="bg-BG"/>
        </w:rPr>
        <w:t xml:space="preserve">NATURA 2000 – Standard Data Form of </w:t>
      </w:r>
      <w:r w:rsidRPr="0088780C">
        <w:rPr>
          <w:rFonts w:eastAsia="MS Mincho"/>
          <w:snapToGrid w:val="0"/>
          <w:kern w:val="22"/>
          <w:szCs w:val="22"/>
        </w:rPr>
        <w:t>Special Area of Conservation</w:t>
      </w:r>
      <w:r w:rsidRPr="0088780C">
        <w:rPr>
          <w:snapToGrid w:val="0"/>
          <w:kern w:val="22"/>
          <w:szCs w:val="22"/>
        </w:rPr>
        <w:t xml:space="preserve"> </w:t>
      </w:r>
      <w:r w:rsidRPr="0088780C">
        <w:rPr>
          <w:rFonts w:eastAsia="MS Mincho"/>
          <w:snapToGrid w:val="0"/>
          <w:kern w:val="22"/>
          <w:szCs w:val="22"/>
        </w:rPr>
        <w:t>Ropotamo</w:t>
      </w:r>
      <w:r w:rsidRPr="0088780C">
        <w:rPr>
          <w:rFonts w:eastAsia="MS Mincho"/>
          <w:b/>
          <w:snapToGrid w:val="0"/>
          <w:kern w:val="22"/>
          <w:szCs w:val="22"/>
        </w:rPr>
        <w:t xml:space="preserve"> </w:t>
      </w:r>
      <w:r w:rsidRPr="0088780C">
        <w:rPr>
          <w:snapToGrid w:val="0"/>
          <w:kern w:val="22"/>
          <w:szCs w:val="22"/>
          <w:lang w:eastAsia="bg-BG"/>
        </w:rPr>
        <w:t>BG0001001, designated under the Habitats Directive.</w:t>
      </w:r>
    </w:p>
    <w:p w14:paraId="775C66F8" w14:textId="77777777" w:rsidR="0006218F" w:rsidRPr="0088780C" w:rsidRDefault="00E7219D" w:rsidP="001013AF">
      <w:pPr>
        <w:suppressLineNumbers/>
        <w:suppressAutoHyphens/>
        <w:kinsoku w:val="0"/>
        <w:overflowPunct w:val="0"/>
        <w:autoSpaceDE w:val="0"/>
        <w:autoSpaceDN w:val="0"/>
        <w:spacing w:after="60"/>
        <w:ind w:left="720" w:hanging="720"/>
        <w:rPr>
          <w:rStyle w:val="Hyperlink"/>
          <w:bCs/>
          <w:snapToGrid w:val="0"/>
          <w:spacing w:val="-4"/>
          <w:kern w:val="22"/>
          <w:szCs w:val="22"/>
          <w:lang w:eastAsia="bg-BG"/>
        </w:rPr>
      </w:pPr>
      <w:hyperlink r:id="rId367" w:history="1">
        <w:r w:rsidR="0006218F" w:rsidRPr="0088780C">
          <w:rPr>
            <w:rStyle w:val="Hyperlink"/>
            <w:bCs/>
            <w:snapToGrid w:val="0"/>
            <w:spacing w:val="-4"/>
            <w:kern w:val="22"/>
            <w:szCs w:val="22"/>
            <w:lang w:eastAsia="bg-BG"/>
          </w:rPr>
          <w:t>http://natura2000.moew.government.bg/PublicDownloads/Auto/PS_SCI/BG0001001/BG0001001_PS_16.pdf</w:t>
        </w:r>
      </w:hyperlink>
    </w:p>
    <w:p w14:paraId="7650B9F9" w14:textId="2D25C1C1" w:rsidR="0006218F" w:rsidRPr="0088780C" w:rsidRDefault="0006218F" w:rsidP="00037C1C">
      <w:pPr>
        <w:suppressLineNumbers/>
        <w:suppressAutoHyphens/>
        <w:kinsoku w:val="0"/>
        <w:overflowPunct w:val="0"/>
        <w:autoSpaceDE w:val="0"/>
        <w:autoSpaceDN w:val="0"/>
        <w:spacing w:after="60"/>
        <w:ind w:left="720" w:hanging="720"/>
        <w:rPr>
          <w:snapToGrid w:val="0"/>
          <w:kern w:val="22"/>
          <w:szCs w:val="22"/>
        </w:rPr>
      </w:pPr>
      <w:r w:rsidRPr="0088780C">
        <w:rPr>
          <w:snapToGrid w:val="0"/>
          <w:kern w:val="22"/>
          <w:szCs w:val="22"/>
        </w:rPr>
        <w:t>Todorova V., Micu D., Panayotov M., Konsulova T., 2008. Marine Protected Areas in Bulgaria – Present and Prospects, Publishing House: HelixPress, StenoPublishing House, Varna, ISBN 978-954-449-373-8, p. 13.</w:t>
      </w:r>
    </w:p>
    <w:p w14:paraId="11FB7CE5" w14:textId="77777777" w:rsidR="0006218F" w:rsidRPr="0088780C" w:rsidRDefault="0006218F" w:rsidP="001013AF">
      <w:pPr>
        <w:suppressLineNumbers/>
        <w:suppressAutoHyphens/>
        <w:kinsoku w:val="0"/>
        <w:overflowPunct w:val="0"/>
        <w:autoSpaceDE w:val="0"/>
        <w:autoSpaceDN w:val="0"/>
        <w:rPr>
          <w:snapToGrid w:val="0"/>
          <w:kern w:val="22"/>
          <w:szCs w:val="22"/>
        </w:rPr>
      </w:pPr>
    </w:p>
    <w:p w14:paraId="0AFFE205" w14:textId="54E3FAB7" w:rsidR="00C74463" w:rsidRPr="0088780C" w:rsidRDefault="00125653" w:rsidP="00037C1C">
      <w:pPr>
        <w:pStyle w:val="Default"/>
        <w:keepNext/>
        <w:pageBreakBefore/>
        <w:widowControl/>
        <w:suppressLineNumbers/>
        <w:suppressAutoHyphens/>
        <w:kinsoku w:val="0"/>
        <w:overflowPunct w:val="0"/>
        <w:rPr>
          <w:b/>
          <w:snapToGrid w:val="0"/>
          <w:color w:val="auto"/>
          <w:kern w:val="22"/>
          <w:sz w:val="22"/>
          <w:szCs w:val="22"/>
          <w:lang w:val="en-GB"/>
        </w:rPr>
      </w:pPr>
      <w:r w:rsidRPr="0088780C">
        <w:rPr>
          <w:b/>
          <w:snapToGrid w:val="0"/>
          <w:color w:val="auto"/>
          <w:kern w:val="22"/>
          <w:sz w:val="22"/>
          <w:szCs w:val="22"/>
          <w:lang w:val="en-GB"/>
        </w:rPr>
        <w:t xml:space="preserve">II. </w:t>
      </w:r>
      <w:r w:rsidR="00C74463" w:rsidRPr="0088780C">
        <w:rPr>
          <w:b/>
          <w:snapToGrid w:val="0"/>
          <w:color w:val="auto"/>
          <w:kern w:val="22"/>
          <w:sz w:val="22"/>
          <w:szCs w:val="22"/>
          <w:lang w:val="en-GB"/>
        </w:rPr>
        <w:t>Caspian Sea</w:t>
      </w:r>
    </w:p>
    <w:p w14:paraId="7198B90B" w14:textId="77777777" w:rsidR="00E91935" w:rsidRPr="0088780C" w:rsidRDefault="00E91935" w:rsidP="00037C1C">
      <w:pPr>
        <w:keepNext/>
        <w:suppressLineNumbers/>
        <w:suppressAutoHyphens/>
        <w:kinsoku w:val="0"/>
        <w:overflowPunct w:val="0"/>
        <w:autoSpaceDE w:val="0"/>
        <w:autoSpaceDN w:val="0"/>
        <w:adjustRightInd w:val="0"/>
        <w:jc w:val="left"/>
        <w:rPr>
          <w:snapToGrid w:val="0"/>
          <w:kern w:val="22"/>
          <w:szCs w:val="22"/>
        </w:rPr>
      </w:pPr>
    </w:p>
    <w:p w14:paraId="66E0E157" w14:textId="77777777" w:rsidR="00B52FF4" w:rsidRPr="0088780C" w:rsidRDefault="00B52FF4" w:rsidP="00037C1C">
      <w:pPr>
        <w:keepNext/>
        <w:suppressLineNumbers/>
        <w:suppressAutoHyphens/>
        <w:kinsoku w:val="0"/>
        <w:overflowPunct w:val="0"/>
        <w:autoSpaceDE w:val="0"/>
        <w:autoSpaceDN w:val="0"/>
        <w:adjustRightInd w:val="0"/>
        <w:spacing w:after="120"/>
        <w:rPr>
          <w:b/>
          <w:snapToGrid w:val="0"/>
          <w:kern w:val="22"/>
          <w:szCs w:val="22"/>
        </w:rPr>
      </w:pPr>
      <w:r w:rsidRPr="0088780C">
        <w:rPr>
          <w:b/>
          <w:snapToGrid w:val="0"/>
          <w:kern w:val="22"/>
          <w:szCs w:val="22"/>
        </w:rPr>
        <w:t>Data/Information gaps</w:t>
      </w:r>
    </w:p>
    <w:p w14:paraId="20936513" w14:textId="2947CD96" w:rsidR="00B52FF4" w:rsidRPr="0088780C" w:rsidRDefault="00080C39" w:rsidP="001013AF">
      <w:pPr>
        <w:suppressLineNumbers/>
        <w:suppressAutoHyphens/>
        <w:kinsoku w:val="0"/>
        <w:overflowPunct w:val="0"/>
        <w:autoSpaceDE w:val="0"/>
        <w:autoSpaceDN w:val="0"/>
        <w:adjustRightInd w:val="0"/>
        <w:spacing w:after="120"/>
        <w:rPr>
          <w:snapToGrid w:val="0"/>
          <w:kern w:val="22"/>
          <w:szCs w:val="22"/>
        </w:rPr>
      </w:pPr>
      <w:r w:rsidRPr="0088780C">
        <w:rPr>
          <w:snapToGrid w:val="0"/>
          <w:kern w:val="22"/>
          <w:szCs w:val="22"/>
        </w:rPr>
        <w:t>1.</w:t>
      </w:r>
      <w:r w:rsidRPr="0088780C">
        <w:rPr>
          <w:snapToGrid w:val="0"/>
          <w:kern w:val="22"/>
          <w:szCs w:val="22"/>
        </w:rPr>
        <w:tab/>
      </w:r>
      <w:r w:rsidR="00131500" w:rsidRPr="0088780C">
        <w:rPr>
          <w:snapToGrid w:val="0"/>
          <w:kern w:val="22"/>
          <w:szCs w:val="22"/>
        </w:rPr>
        <w:t xml:space="preserve">Noting </w:t>
      </w:r>
      <w:r w:rsidR="00B52FF4" w:rsidRPr="0088780C">
        <w:rPr>
          <w:snapToGrid w:val="0"/>
          <w:kern w:val="22"/>
          <w:szCs w:val="22"/>
        </w:rPr>
        <w:t xml:space="preserve">the existence of various data related to the Caspian Seal, </w:t>
      </w:r>
      <w:r w:rsidR="00131500" w:rsidRPr="0088780C">
        <w:rPr>
          <w:snapToGrid w:val="0"/>
          <w:kern w:val="22"/>
          <w:szCs w:val="22"/>
        </w:rPr>
        <w:t>the group on the Caspian Sea highlighted the urgent need for a</w:t>
      </w:r>
      <w:r w:rsidR="00BC011A" w:rsidRPr="0088780C">
        <w:rPr>
          <w:snapToGrid w:val="0"/>
          <w:kern w:val="22"/>
          <w:szCs w:val="22"/>
        </w:rPr>
        <w:t xml:space="preserve"> coordinating</w:t>
      </w:r>
      <w:r w:rsidR="00131500" w:rsidRPr="0088780C">
        <w:rPr>
          <w:snapToGrid w:val="0"/>
          <w:kern w:val="22"/>
          <w:szCs w:val="22"/>
        </w:rPr>
        <w:t xml:space="preserve"> mechanism/platform</w:t>
      </w:r>
      <w:r w:rsidR="00B52FF4" w:rsidRPr="0088780C">
        <w:rPr>
          <w:snapToGrid w:val="0"/>
          <w:kern w:val="22"/>
          <w:szCs w:val="22"/>
        </w:rPr>
        <w:t xml:space="preserve"> that could </w:t>
      </w:r>
      <w:r w:rsidR="00131500" w:rsidRPr="0088780C">
        <w:rPr>
          <w:snapToGrid w:val="0"/>
          <w:kern w:val="22"/>
          <w:szCs w:val="22"/>
        </w:rPr>
        <w:t xml:space="preserve">facilitate </w:t>
      </w:r>
      <w:r w:rsidR="00B52FF4" w:rsidRPr="0088780C">
        <w:rPr>
          <w:snapToGrid w:val="0"/>
          <w:kern w:val="22"/>
          <w:szCs w:val="22"/>
        </w:rPr>
        <w:t>comb</w:t>
      </w:r>
      <w:r w:rsidR="00131500" w:rsidRPr="0088780C">
        <w:rPr>
          <w:snapToGrid w:val="0"/>
          <w:kern w:val="22"/>
          <w:szCs w:val="22"/>
        </w:rPr>
        <w:t>ining</w:t>
      </w:r>
      <w:r w:rsidR="00B52FF4" w:rsidRPr="0088780C">
        <w:rPr>
          <w:snapToGrid w:val="0"/>
          <w:kern w:val="22"/>
          <w:szCs w:val="22"/>
        </w:rPr>
        <w:t xml:space="preserve"> </w:t>
      </w:r>
      <w:r w:rsidR="00131500" w:rsidRPr="0088780C">
        <w:rPr>
          <w:snapToGrid w:val="0"/>
          <w:kern w:val="22"/>
          <w:szCs w:val="22"/>
        </w:rPr>
        <w:t xml:space="preserve">the </w:t>
      </w:r>
      <w:r w:rsidR="00B52FF4" w:rsidRPr="0088780C">
        <w:rPr>
          <w:snapToGrid w:val="0"/>
          <w:kern w:val="22"/>
          <w:szCs w:val="22"/>
        </w:rPr>
        <w:t xml:space="preserve">Caspian Sea data both </w:t>
      </w:r>
      <w:r w:rsidR="00131500" w:rsidRPr="0088780C">
        <w:rPr>
          <w:snapToGrid w:val="0"/>
          <w:kern w:val="22"/>
          <w:szCs w:val="22"/>
        </w:rPr>
        <w:t>at</w:t>
      </w:r>
      <w:r w:rsidR="00B52FF4" w:rsidRPr="0088780C">
        <w:rPr>
          <w:snapToGrid w:val="0"/>
          <w:kern w:val="22"/>
          <w:szCs w:val="22"/>
        </w:rPr>
        <w:t xml:space="preserve"> the national and regional level</w:t>
      </w:r>
      <w:r w:rsidR="00131500" w:rsidRPr="0088780C">
        <w:rPr>
          <w:snapToGrid w:val="0"/>
          <w:kern w:val="22"/>
          <w:szCs w:val="22"/>
        </w:rPr>
        <w:t>s</w:t>
      </w:r>
      <w:r w:rsidR="00BC011A" w:rsidRPr="0088780C">
        <w:rPr>
          <w:snapToGrid w:val="0"/>
          <w:kern w:val="22"/>
          <w:szCs w:val="22"/>
        </w:rPr>
        <w:t xml:space="preserve"> as well as increasing public accessibility to the information</w:t>
      </w:r>
      <w:r w:rsidR="00B52FF4" w:rsidRPr="0088780C">
        <w:rPr>
          <w:snapToGrid w:val="0"/>
          <w:kern w:val="22"/>
          <w:szCs w:val="22"/>
        </w:rPr>
        <w:t>. However, some specific data gaps were noted regarding:</w:t>
      </w:r>
    </w:p>
    <w:p w14:paraId="00B76E30" w14:textId="7BC0B333" w:rsidR="00B52FF4" w:rsidRPr="0088780C" w:rsidRDefault="00B52FF4" w:rsidP="00327F71">
      <w:pPr>
        <w:pStyle w:val="ListParagraph"/>
        <w:numPr>
          <w:ilvl w:val="0"/>
          <w:numId w:val="41"/>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 xml:space="preserve">Productivity for the different </w:t>
      </w:r>
      <w:r w:rsidR="00BC011A" w:rsidRPr="0088780C">
        <w:rPr>
          <w:snapToGrid w:val="0"/>
          <w:kern w:val="22"/>
          <w:szCs w:val="22"/>
        </w:rPr>
        <w:t>subregions of the Caspian Sea;</w:t>
      </w:r>
    </w:p>
    <w:p w14:paraId="180AD8AB" w14:textId="2AA7ABCE" w:rsidR="00B52FF4" w:rsidRPr="0088780C" w:rsidRDefault="00B52FF4" w:rsidP="00327F71">
      <w:pPr>
        <w:pStyle w:val="ListParagraph"/>
        <w:numPr>
          <w:ilvl w:val="0"/>
          <w:numId w:val="41"/>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Sea</w:t>
      </w:r>
      <w:r w:rsidR="000239E2" w:rsidRPr="0088780C">
        <w:rPr>
          <w:snapToGrid w:val="0"/>
          <w:kern w:val="22"/>
          <w:szCs w:val="22"/>
        </w:rPr>
        <w:t>-</w:t>
      </w:r>
      <w:r w:rsidRPr="0088780C">
        <w:rPr>
          <w:snapToGrid w:val="0"/>
          <w:kern w:val="22"/>
          <w:szCs w:val="22"/>
        </w:rPr>
        <w:t xml:space="preserve">level fluctuation and its impact on the biodiversity in different </w:t>
      </w:r>
      <w:r w:rsidR="00BC011A" w:rsidRPr="0088780C">
        <w:rPr>
          <w:snapToGrid w:val="0"/>
          <w:kern w:val="22"/>
          <w:szCs w:val="22"/>
        </w:rPr>
        <w:t>sub</w:t>
      </w:r>
      <w:r w:rsidRPr="0088780C">
        <w:rPr>
          <w:snapToGrid w:val="0"/>
          <w:kern w:val="22"/>
          <w:szCs w:val="22"/>
        </w:rPr>
        <w:t>regions</w:t>
      </w:r>
      <w:r w:rsidR="000239E2" w:rsidRPr="0088780C">
        <w:rPr>
          <w:snapToGrid w:val="0"/>
          <w:kern w:val="22"/>
          <w:szCs w:val="22"/>
        </w:rPr>
        <w:t xml:space="preserve"> of the Caspian</w:t>
      </w:r>
      <w:r w:rsidRPr="0088780C">
        <w:rPr>
          <w:snapToGrid w:val="0"/>
          <w:kern w:val="22"/>
          <w:szCs w:val="22"/>
        </w:rPr>
        <w:t>;</w:t>
      </w:r>
    </w:p>
    <w:p w14:paraId="7326D88F" w14:textId="3866BA9F" w:rsidR="00B52FF4" w:rsidRPr="0088780C" w:rsidRDefault="00B52FF4" w:rsidP="00327F71">
      <w:pPr>
        <w:pStyle w:val="ListParagraph"/>
        <w:numPr>
          <w:ilvl w:val="0"/>
          <w:numId w:val="41"/>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 xml:space="preserve">Up-to-date </w:t>
      </w:r>
      <w:r w:rsidR="000239E2" w:rsidRPr="0088780C">
        <w:rPr>
          <w:snapToGrid w:val="0"/>
          <w:kern w:val="22"/>
          <w:szCs w:val="22"/>
        </w:rPr>
        <w:t xml:space="preserve">population surveys of the </w:t>
      </w:r>
      <w:r w:rsidRPr="0088780C">
        <w:rPr>
          <w:snapToGrid w:val="0"/>
          <w:kern w:val="22"/>
          <w:szCs w:val="22"/>
        </w:rPr>
        <w:t xml:space="preserve">Caspian </w:t>
      </w:r>
      <w:r w:rsidR="000239E2" w:rsidRPr="0088780C">
        <w:rPr>
          <w:snapToGrid w:val="0"/>
          <w:kern w:val="22"/>
          <w:szCs w:val="22"/>
        </w:rPr>
        <w:t>s</w:t>
      </w:r>
      <w:r w:rsidRPr="0088780C">
        <w:rPr>
          <w:snapToGrid w:val="0"/>
          <w:kern w:val="22"/>
          <w:szCs w:val="22"/>
        </w:rPr>
        <w:t>eal</w:t>
      </w:r>
      <w:r w:rsidR="00BC011A" w:rsidRPr="0088780C">
        <w:rPr>
          <w:snapToGrid w:val="0"/>
          <w:kern w:val="22"/>
          <w:szCs w:val="22"/>
        </w:rPr>
        <w:t>;</w:t>
      </w:r>
    </w:p>
    <w:p w14:paraId="344ED362" w14:textId="7D76D679" w:rsidR="00B52FF4" w:rsidRPr="0088780C" w:rsidRDefault="00B52FF4" w:rsidP="00327F71">
      <w:pPr>
        <w:pStyle w:val="ListParagraph"/>
        <w:numPr>
          <w:ilvl w:val="0"/>
          <w:numId w:val="41"/>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Scenario</w:t>
      </w:r>
      <w:r w:rsidR="000239E2" w:rsidRPr="0088780C">
        <w:rPr>
          <w:snapToGrid w:val="0"/>
          <w:kern w:val="22"/>
          <w:szCs w:val="22"/>
        </w:rPr>
        <w:t>-</w:t>
      </w:r>
      <w:r w:rsidRPr="0088780C">
        <w:rPr>
          <w:snapToGrid w:val="0"/>
          <w:kern w:val="22"/>
          <w:szCs w:val="22"/>
        </w:rPr>
        <w:t xml:space="preserve">based modeling of </w:t>
      </w:r>
      <w:r w:rsidR="000239E2" w:rsidRPr="0088780C">
        <w:rPr>
          <w:snapToGrid w:val="0"/>
          <w:kern w:val="22"/>
          <w:szCs w:val="22"/>
        </w:rPr>
        <w:t>s</w:t>
      </w:r>
      <w:r w:rsidRPr="0088780C">
        <w:rPr>
          <w:snapToGrid w:val="0"/>
          <w:kern w:val="22"/>
          <w:szCs w:val="22"/>
        </w:rPr>
        <w:t>eals</w:t>
      </w:r>
      <w:r w:rsidR="00BC011A" w:rsidRPr="0088780C">
        <w:rPr>
          <w:snapToGrid w:val="0"/>
          <w:kern w:val="22"/>
          <w:szCs w:val="22"/>
        </w:rPr>
        <w:t>’</w:t>
      </w:r>
      <w:r w:rsidRPr="0088780C">
        <w:rPr>
          <w:snapToGrid w:val="0"/>
          <w:kern w:val="22"/>
          <w:szCs w:val="22"/>
        </w:rPr>
        <w:t xml:space="preserve"> adaptation to climatic condition</w:t>
      </w:r>
      <w:r w:rsidR="000239E2" w:rsidRPr="0088780C">
        <w:rPr>
          <w:snapToGrid w:val="0"/>
          <w:kern w:val="22"/>
          <w:szCs w:val="22"/>
        </w:rPr>
        <w:t>s</w:t>
      </w:r>
      <w:r w:rsidR="00BC011A" w:rsidRPr="0088780C">
        <w:rPr>
          <w:snapToGrid w:val="0"/>
          <w:kern w:val="22"/>
          <w:szCs w:val="22"/>
        </w:rPr>
        <w:t>;</w:t>
      </w:r>
    </w:p>
    <w:p w14:paraId="1B0A6C71" w14:textId="530EDB96" w:rsidR="00BC011A" w:rsidRPr="0088780C" w:rsidRDefault="00B52FF4" w:rsidP="00327F71">
      <w:pPr>
        <w:pStyle w:val="ListParagraph"/>
        <w:numPr>
          <w:ilvl w:val="0"/>
          <w:numId w:val="41"/>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 xml:space="preserve">State of </w:t>
      </w:r>
      <w:r w:rsidR="00BC011A" w:rsidRPr="0088780C">
        <w:rPr>
          <w:snapToGrid w:val="0"/>
          <w:kern w:val="22"/>
          <w:szCs w:val="22"/>
        </w:rPr>
        <w:t xml:space="preserve">the health of the </w:t>
      </w:r>
      <w:r w:rsidRPr="0088780C">
        <w:rPr>
          <w:snapToGrid w:val="0"/>
          <w:kern w:val="22"/>
          <w:szCs w:val="22"/>
        </w:rPr>
        <w:t xml:space="preserve">Caspian </w:t>
      </w:r>
      <w:r w:rsidR="000239E2" w:rsidRPr="0088780C">
        <w:rPr>
          <w:snapToGrid w:val="0"/>
          <w:kern w:val="22"/>
          <w:szCs w:val="22"/>
        </w:rPr>
        <w:t>s</w:t>
      </w:r>
      <w:r w:rsidRPr="0088780C">
        <w:rPr>
          <w:snapToGrid w:val="0"/>
          <w:kern w:val="22"/>
          <w:szCs w:val="22"/>
        </w:rPr>
        <w:t>eals</w:t>
      </w:r>
      <w:r w:rsidR="00BC011A" w:rsidRPr="0088780C">
        <w:rPr>
          <w:snapToGrid w:val="0"/>
          <w:kern w:val="22"/>
          <w:szCs w:val="22"/>
        </w:rPr>
        <w:t>;</w:t>
      </w:r>
    </w:p>
    <w:p w14:paraId="4F102859" w14:textId="50064BF8" w:rsidR="00B52FF4" w:rsidRPr="0088780C" w:rsidRDefault="00BC011A" w:rsidP="00327F71">
      <w:pPr>
        <w:pStyle w:val="ListParagraph"/>
        <w:numPr>
          <w:ilvl w:val="0"/>
          <w:numId w:val="41"/>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U</w:t>
      </w:r>
      <w:r w:rsidR="00B52FF4" w:rsidRPr="0088780C">
        <w:rPr>
          <w:snapToGrid w:val="0"/>
          <w:kern w:val="22"/>
          <w:szCs w:val="22"/>
        </w:rPr>
        <w:t>nderstanding of behavio</w:t>
      </w:r>
      <w:r w:rsidR="000239E2" w:rsidRPr="0088780C">
        <w:rPr>
          <w:snapToGrid w:val="0"/>
          <w:kern w:val="22"/>
          <w:szCs w:val="22"/>
        </w:rPr>
        <w:t>u</w:t>
      </w:r>
      <w:r w:rsidR="00B52FF4" w:rsidRPr="0088780C">
        <w:rPr>
          <w:snapToGrid w:val="0"/>
          <w:kern w:val="22"/>
          <w:szCs w:val="22"/>
        </w:rPr>
        <w:t xml:space="preserve">r of </w:t>
      </w:r>
      <w:r w:rsidR="000239E2" w:rsidRPr="0088780C">
        <w:rPr>
          <w:snapToGrid w:val="0"/>
          <w:kern w:val="22"/>
          <w:szCs w:val="22"/>
        </w:rPr>
        <w:t>s</w:t>
      </w:r>
      <w:r w:rsidR="00B52FF4" w:rsidRPr="0088780C">
        <w:rPr>
          <w:snapToGrid w:val="0"/>
          <w:kern w:val="22"/>
          <w:szCs w:val="22"/>
        </w:rPr>
        <w:t>eal</w:t>
      </w:r>
      <w:r w:rsidR="00ED62C8" w:rsidRPr="0088780C">
        <w:rPr>
          <w:snapToGrid w:val="0"/>
          <w:kern w:val="22"/>
          <w:szCs w:val="22"/>
        </w:rPr>
        <w:t xml:space="preserve"> pups</w:t>
      </w:r>
      <w:r w:rsidRPr="0088780C">
        <w:rPr>
          <w:snapToGrid w:val="0"/>
          <w:kern w:val="22"/>
          <w:szCs w:val="22"/>
        </w:rPr>
        <w:t>;</w:t>
      </w:r>
    </w:p>
    <w:p w14:paraId="39E8BEB1" w14:textId="4CD096BC" w:rsidR="00B52FF4" w:rsidRPr="0088780C" w:rsidRDefault="00B52FF4" w:rsidP="00327F71">
      <w:pPr>
        <w:pStyle w:val="ListParagraph"/>
        <w:numPr>
          <w:ilvl w:val="0"/>
          <w:numId w:val="41"/>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 xml:space="preserve">Impact of invasive </w:t>
      </w:r>
      <w:r w:rsidR="000239E2" w:rsidRPr="0088780C">
        <w:rPr>
          <w:snapToGrid w:val="0"/>
          <w:kern w:val="22"/>
          <w:szCs w:val="22"/>
        </w:rPr>
        <w:t xml:space="preserve">alien </w:t>
      </w:r>
      <w:r w:rsidRPr="0088780C">
        <w:rPr>
          <w:snapToGrid w:val="0"/>
          <w:kern w:val="22"/>
          <w:szCs w:val="22"/>
        </w:rPr>
        <w:t>species</w:t>
      </w:r>
      <w:r w:rsidR="004276A4" w:rsidRPr="0088780C">
        <w:rPr>
          <w:snapToGrid w:val="0"/>
          <w:kern w:val="22"/>
          <w:szCs w:val="22"/>
        </w:rPr>
        <w:t xml:space="preserve">, in particular </w:t>
      </w:r>
      <w:r w:rsidR="00ED62C8" w:rsidRPr="0088780C">
        <w:rPr>
          <w:i/>
          <w:snapToGrid w:val="0"/>
          <w:kern w:val="22"/>
          <w:szCs w:val="22"/>
        </w:rPr>
        <w:t>Mnemiopsis leidyi</w:t>
      </w:r>
      <w:r w:rsidR="000239E2" w:rsidRPr="0088780C">
        <w:rPr>
          <w:i/>
          <w:snapToGrid w:val="0"/>
          <w:kern w:val="22"/>
          <w:szCs w:val="22"/>
        </w:rPr>
        <w:t>,</w:t>
      </w:r>
      <w:r w:rsidRPr="0088780C">
        <w:rPr>
          <w:snapToGrid w:val="0"/>
          <w:kern w:val="22"/>
          <w:szCs w:val="22"/>
        </w:rPr>
        <w:t xml:space="preserve"> </w:t>
      </w:r>
      <w:r w:rsidR="000239E2" w:rsidRPr="0088780C">
        <w:rPr>
          <w:snapToGrid w:val="0"/>
          <w:kern w:val="22"/>
          <w:szCs w:val="22"/>
        </w:rPr>
        <w:t>o</w:t>
      </w:r>
      <w:r w:rsidRPr="0088780C">
        <w:rPr>
          <w:snapToGrid w:val="0"/>
          <w:kern w:val="22"/>
          <w:szCs w:val="22"/>
        </w:rPr>
        <w:t xml:space="preserve">n Caspian </w:t>
      </w:r>
      <w:r w:rsidR="000239E2" w:rsidRPr="0088780C">
        <w:rPr>
          <w:snapToGrid w:val="0"/>
          <w:kern w:val="22"/>
          <w:szCs w:val="22"/>
        </w:rPr>
        <w:t>b</w:t>
      </w:r>
      <w:r w:rsidRPr="0088780C">
        <w:rPr>
          <w:snapToGrid w:val="0"/>
          <w:kern w:val="22"/>
          <w:szCs w:val="22"/>
        </w:rPr>
        <w:t>iodiversity</w:t>
      </w:r>
      <w:r w:rsidR="00BC011A" w:rsidRPr="0088780C">
        <w:rPr>
          <w:snapToGrid w:val="0"/>
          <w:kern w:val="22"/>
          <w:szCs w:val="22"/>
        </w:rPr>
        <w:t>;</w:t>
      </w:r>
    </w:p>
    <w:p w14:paraId="30E85668" w14:textId="79338807" w:rsidR="00B52FF4" w:rsidRPr="0088780C" w:rsidRDefault="00B52FF4" w:rsidP="00327F71">
      <w:pPr>
        <w:pStyle w:val="ListParagraph"/>
        <w:numPr>
          <w:ilvl w:val="0"/>
          <w:numId w:val="41"/>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Studies o</w:t>
      </w:r>
      <w:r w:rsidR="000239E2" w:rsidRPr="0088780C">
        <w:rPr>
          <w:snapToGrid w:val="0"/>
          <w:kern w:val="22"/>
          <w:szCs w:val="22"/>
        </w:rPr>
        <w:t>f</w:t>
      </w:r>
      <w:r w:rsidRPr="0088780C">
        <w:rPr>
          <w:snapToGrid w:val="0"/>
          <w:kern w:val="22"/>
          <w:szCs w:val="22"/>
        </w:rPr>
        <w:t xml:space="preserve"> </w:t>
      </w:r>
      <w:r w:rsidR="00BC011A" w:rsidRPr="0088780C">
        <w:rPr>
          <w:snapToGrid w:val="0"/>
          <w:kern w:val="22"/>
          <w:szCs w:val="22"/>
        </w:rPr>
        <w:t xml:space="preserve"> sturgeons artificially introduced</w:t>
      </w:r>
      <w:r w:rsidRPr="0088780C">
        <w:rPr>
          <w:snapToGrid w:val="0"/>
          <w:kern w:val="22"/>
          <w:szCs w:val="22"/>
        </w:rPr>
        <w:t xml:space="preserve"> into the Caspian Sea</w:t>
      </w:r>
      <w:r w:rsidR="005E27A1" w:rsidRPr="0088780C">
        <w:rPr>
          <w:snapToGrid w:val="0"/>
          <w:kern w:val="22"/>
          <w:szCs w:val="22"/>
        </w:rPr>
        <w:t>;</w:t>
      </w:r>
    </w:p>
    <w:p w14:paraId="6E931456" w14:textId="48F67DA9" w:rsidR="005E27A1" w:rsidRPr="0088780C" w:rsidRDefault="005E27A1" w:rsidP="00327F71">
      <w:pPr>
        <w:numPr>
          <w:ilvl w:val="0"/>
          <w:numId w:val="41"/>
        </w:numPr>
        <w:suppressLineNumbers/>
        <w:suppressAutoHyphens/>
        <w:kinsoku w:val="0"/>
        <w:overflowPunct w:val="0"/>
        <w:autoSpaceDE w:val="0"/>
        <w:autoSpaceDN w:val="0"/>
        <w:adjustRightInd w:val="0"/>
        <w:spacing w:after="120"/>
        <w:ind w:left="0" w:firstLine="720"/>
        <w:rPr>
          <w:snapToGrid w:val="0"/>
          <w:kern w:val="22"/>
          <w:szCs w:val="22"/>
        </w:rPr>
      </w:pPr>
      <w:r w:rsidRPr="0088780C">
        <w:rPr>
          <w:snapToGrid w:val="0"/>
          <w:kern w:val="22"/>
          <w:szCs w:val="22"/>
        </w:rPr>
        <w:t xml:space="preserve">Habitat mapping of the </w:t>
      </w:r>
      <w:r w:rsidR="001A580B" w:rsidRPr="0088780C">
        <w:rPr>
          <w:snapToGrid w:val="0"/>
          <w:kern w:val="22"/>
          <w:szCs w:val="22"/>
        </w:rPr>
        <w:t xml:space="preserve">Caspian </w:t>
      </w:r>
      <w:r w:rsidRPr="0088780C">
        <w:rPr>
          <w:snapToGrid w:val="0"/>
          <w:kern w:val="22"/>
          <w:szCs w:val="22"/>
        </w:rPr>
        <w:t>Sea benthic ecosystems</w:t>
      </w:r>
      <w:r w:rsidR="000239E2" w:rsidRPr="0088780C">
        <w:rPr>
          <w:snapToGrid w:val="0"/>
          <w:kern w:val="22"/>
          <w:szCs w:val="22"/>
        </w:rPr>
        <w:t>;</w:t>
      </w:r>
    </w:p>
    <w:p w14:paraId="1B802C78" w14:textId="333FA5AB" w:rsidR="005E27A1" w:rsidRPr="0088780C" w:rsidRDefault="005E27A1" w:rsidP="00327F71">
      <w:pPr>
        <w:numPr>
          <w:ilvl w:val="0"/>
          <w:numId w:val="41"/>
        </w:numPr>
        <w:suppressLineNumbers/>
        <w:suppressAutoHyphens/>
        <w:kinsoku w:val="0"/>
        <w:overflowPunct w:val="0"/>
        <w:autoSpaceDE w:val="0"/>
        <w:autoSpaceDN w:val="0"/>
        <w:adjustRightInd w:val="0"/>
        <w:spacing w:after="120"/>
        <w:ind w:left="0" w:firstLine="720"/>
        <w:rPr>
          <w:snapToGrid w:val="0"/>
          <w:kern w:val="22"/>
          <w:szCs w:val="22"/>
        </w:rPr>
      </w:pPr>
      <w:r w:rsidRPr="0088780C">
        <w:rPr>
          <w:snapToGrid w:val="0"/>
          <w:kern w:val="22"/>
          <w:szCs w:val="22"/>
        </w:rPr>
        <w:t>Knowledge on species through taxonomy and molecular genetics</w:t>
      </w:r>
      <w:r w:rsidR="000239E2" w:rsidRPr="0088780C">
        <w:rPr>
          <w:snapToGrid w:val="0"/>
          <w:kern w:val="22"/>
          <w:szCs w:val="22"/>
        </w:rPr>
        <w:t>.</w:t>
      </w:r>
    </w:p>
    <w:p w14:paraId="5C479FE8" w14:textId="77777777" w:rsidR="00B52FF4" w:rsidRPr="0088780C" w:rsidRDefault="00B52FF4" w:rsidP="00037C1C">
      <w:pPr>
        <w:suppressLineNumbers/>
        <w:suppressAutoHyphens/>
        <w:kinsoku w:val="0"/>
        <w:overflowPunct w:val="0"/>
        <w:autoSpaceDE w:val="0"/>
        <w:autoSpaceDN w:val="0"/>
        <w:adjustRightInd w:val="0"/>
        <w:rPr>
          <w:snapToGrid w:val="0"/>
          <w:kern w:val="22"/>
          <w:szCs w:val="22"/>
        </w:rPr>
      </w:pPr>
    </w:p>
    <w:p w14:paraId="002BA54D" w14:textId="2BC372D4" w:rsidR="00B52FF4" w:rsidRPr="0088780C" w:rsidRDefault="00B52FF4" w:rsidP="00037C1C">
      <w:pPr>
        <w:pStyle w:val="ListParagraph"/>
        <w:keepNext/>
        <w:suppressLineNumbers/>
        <w:suppressAutoHyphens/>
        <w:kinsoku w:val="0"/>
        <w:overflowPunct w:val="0"/>
        <w:autoSpaceDE w:val="0"/>
        <w:autoSpaceDN w:val="0"/>
        <w:adjustRightInd w:val="0"/>
        <w:spacing w:after="120"/>
        <w:ind w:leftChars="0" w:left="0"/>
        <w:rPr>
          <w:snapToGrid w:val="0"/>
          <w:kern w:val="22"/>
          <w:szCs w:val="22"/>
        </w:rPr>
      </w:pPr>
      <w:r w:rsidRPr="0088780C">
        <w:rPr>
          <w:b/>
          <w:snapToGrid w:val="0"/>
          <w:kern w:val="22"/>
          <w:szCs w:val="22"/>
        </w:rPr>
        <w:t>Capacity-building</w:t>
      </w:r>
    </w:p>
    <w:p w14:paraId="25712A2E" w14:textId="42A6B115" w:rsidR="00B52FF4" w:rsidRPr="0088780C" w:rsidRDefault="00080C39" w:rsidP="001013AF">
      <w:pPr>
        <w:suppressLineNumbers/>
        <w:suppressAutoHyphens/>
        <w:kinsoku w:val="0"/>
        <w:overflowPunct w:val="0"/>
        <w:autoSpaceDE w:val="0"/>
        <w:autoSpaceDN w:val="0"/>
        <w:adjustRightInd w:val="0"/>
        <w:spacing w:after="120"/>
        <w:rPr>
          <w:snapToGrid w:val="0"/>
          <w:kern w:val="22"/>
          <w:szCs w:val="22"/>
        </w:rPr>
      </w:pPr>
      <w:r w:rsidRPr="0088780C">
        <w:rPr>
          <w:snapToGrid w:val="0"/>
          <w:kern w:val="22"/>
          <w:szCs w:val="22"/>
        </w:rPr>
        <w:t>2.</w:t>
      </w:r>
      <w:r w:rsidRPr="0088780C">
        <w:rPr>
          <w:snapToGrid w:val="0"/>
          <w:kern w:val="22"/>
          <w:szCs w:val="22"/>
        </w:rPr>
        <w:tab/>
      </w:r>
      <w:r w:rsidR="00B52FF4" w:rsidRPr="0088780C">
        <w:rPr>
          <w:snapToGrid w:val="0"/>
          <w:kern w:val="22"/>
          <w:szCs w:val="22"/>
        </w:rPr>
        <w:t>The following areas were identified as priorities for capacity-building:</w:t>
      </w:r>
    </w:p>
    <w:p w14:paraId="016BEAD4" w14:textId="570CF30A" w:rsidR="00B52FF4" w:rsidRPr="0088780C" w:rsidRDefault="00B52FF4" w:rsidP="00F1595B">
      <w:pPr>
        <w:pStyle w:val="ListParagraph"/>
        <w:numPr>
          <w:ilvl w:val="0"/>
          <w:numId w:val="40"/>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 xml:space="preserve">Support to the Caspian Environment Monitoring programme, established by </w:t>
      </w:r>
      <w:r w:rsidR="00502AB9" w:rsidRPr="0088780C">
        <w:rPr>
          <w:snapToGrid w:val="0"/>
          <w:kern w:val="22"/>
          <w:szCs w:val="22"/>
        </w:rPr>
        <w:t>T</w:t>
      </w:r>
      <w:r w:rsidR="005B4238" w:rsidRPr="0088780C">
        <w:rPr>
          <w:snapToGrid w:val="0"/>
          <w:kern w:val="22"/>
          <w:szCs w:val="22"/>
        </w:rPr>
        <w:t>hird Meeting of the Conference of the Parties to the Framework Convention for the Protection of the Marine</w:t>
      </w:r>
      <w:r w:rsidR="009058D1" w:rsidRPr="0088780C">
        <w:rPr>
          <w:snapToGrid w:val="0"/>
          <w:kern w:val="22"/>
          <w:szCs w:val="22"/>
        </w:rPr>
        <w:t xml:space="preserve"> Environment of the Caspian Sea</w:t>
      </w:r>
      <w:r w:rsidRPr="0088780C">
        <w:rPr>
          <w:snapToGrid w:val="0"/>
          <w:kern w:val="22"/>
          <w:szCs w:val="22"/>
        </w:rPr>
        <w:t xml:space="preserve">, in particular its biological dimension. The </w:t>
      </w:r>
      <w:r w:rsidR="00502AB9" w:rsidRPr="0088780C">
        <w:rPr>
          <w:snapToGrid w:val="0"/>
          <w:kern w:val="22"/>
          <w:szCs w:val="22"/>
        </w:rPr>
        <w:t>m</w:t>
      </w:r>
      <w:r w:rsidRPr="0088780C">
        <w:rPr>
          <w:snapToGrid w:val="0"/>
          <w:kern w:val="22"/>
          <w:szCs w:val="22"/>
        </w:rPr>
        <w:t>onitoring pro</w:t>
      </w:r>
      <w:r w:rsidR="00C01CA7" w:rsidRPr="0088780C">
        <w:rPr>
          <w:snapToGrid w:val="0"/>
          <w:kern w:val="22"/>
          <w:szCs w:val="22"/>
        </w:rPr>
        <w:t>g</w:t>
      </w:r>
      <w:r w:rsidRPr="0088780C">
        <w:rPr>
          <w:snapToGrid w:val="0"/>
          <w:kern w:val="22"/>
          <w:szCs w:val="22"/>
        </w:rPr>
        <w:t xml:space="preserve">ramme aims to </w:t>
      </w:r>
      <w:r w:rsidR="005F1181" w:rsidRPr="0088780C">
        <w:rPr>
          <w:snapToGrid w:val="0"/>
          <w:kern w:val="22"/>
          <w:szCs w:val="22"/>
        </w:rPr>
        <w:t>provide biolog</w:t>
      </w:r>
      <w:r w:rsidR="00502AB9" w:rsidRPr="0088780C">
        <w:rPr>
          <w:snapToGrid w:val="0"/>
          <w:kern w:val="22"/>
          <w:szCs w:val="22"/>
        </w:rPr>
        <w:t>ical</w:t>
      </w:r>
      <w:r w:rsidRPr="0088780C">
        <w:rPr>
          <w:snapToGrid w:val="0"/>
          <w:kern w:val="22"/>
          <w:szCs w:val="22"/>
        </w:rPr>
        <w:t xml:space="preserve"> data to track changes </w:t>
      </w:r>
      <w:r w:rsidR="00502AB9" w:rsidRPr="0088780C">
        <w:rPr>
          <w:snapToGrid w:val="0"/>
          <w:kern w:val="22"/>
          <w:szCs w:val="22"/>
        </w:rPr>
        <w:t>to</w:t>
      </w:r>
      <w:r w:rsidRPr="0088780C">
        <w:rPr>
          <w:snapToGrid w:val="0"/>
          <w:kern w:val="22"/>
          <w:szCs w:val="22"/>
        </w:rPr>
        <w:t xml:space="preserve"> the health and diversity of ecosystems</w:t>
      </w:r>
      <w:r w:rsidR="00F1595B" w:rsidRPr="0088780C">
        <w:rPr>
          <w:snapToGrid w:val="0"/>
          <w:kern w:val="22"/>
          <w:szCs w:val="22"/>
        </w:rPr>
        <w:t>;</w:t>
      </w:r>
    </w:p>
    <w:p w14:paraId="241C66CA" w14:textId="4DB82274" w:rsidR="00B52FF4" w:rsidRPr="0088780C" w:rsidRDefault="00B52FF4" w:rsidP="00F1595B">
      <w:pPr>
        <w:pStyle w:val="ListParagraph"/>
        <w:numPr>
          <w:ilvl w:val="0"/>
          <w:numId w:val="40"/>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 xml:space="preserve">Development and agreement on the harmonized Caspian biodiversity indicators within the Caspian Environment Monitoring and Working Group on Monitoring </w:t>
      </w:r>
      <w:r w:rsidR="008104AD" w:rsidRPr="0088780C">
        <w:rPr>
          <w:snapToGrid w:val="0"/>
          <w:kern w:val="22"/>
          <w:szCs w:val="22"/>
        </w:rPr>
        <w:t xml:space="preserve">and Assessment </w:t>
      </w:r>
      <w:r w:rsidR="00F1595B" w:rsidRPr="0088780C">
        <w:rPr>
          <w:snapToGrid w:val="0"/>
          <w:kern w:val="22"/>
          <w:szCs w:val="22"/>
        </w:rPr>
        <w:t>to the Tehran Convention;</w:t>
      </w:r>
    </w:p>
    <w:p w14:paraId="70A00775" w14:textId="0C3D21BD" w:rsidR="00B52FF4" w:rsidRPr="0088780C" w:rsidRDefault="005F1181" w:rsidP="00F1595B">
      <w:pPr>
        <w:pStyle w:val="ListParagraph"/>
        <w:numPr>
          <w:ilvl w:val="0"/>
          <w:numId w:val="40"/>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For biological data and information:</w:t>
      </w:r>
      <w:r w:rsidR="00B52FF4" w:rsidRPr="0088780C">
        <w:rPr>
          <w:snapToGrid w:val="0"/>
          <w:kern w:val="22"/>
          <w:szCs w:val="22"/>
        </w:rPr>
        <w:t xml:space="preserve"> </w:t>
      </w:r>
      <w:r w:rsidR="00923E35" w:rsidRPr="0088780C">
        <w:rPr>
          <w:snapToGrid w:val="0"/>
          <w:kern w:val="22"/>
          <w:szCs w:val="22"/>
        </w:rPr>
        <w:t>s</w:t>
      </w:r>
      <w:r w:rsidR="00B52FF4" w:rsidRPr="0088780C">
        <w:rPr>
          <w:snapToGrid w:val="0"/>
          <w:kern w:val="22"/>
          <w:szCs w:val="22"/>
        </w:rPr>
        <w:t>upport to Caspian Environ</w:t>
      </w:r>
      <w:r w:rsidR="00080C39" w:rsidRPr="0088780C">
        <w:rPr>
          <w:snapToGrid w:val="0"/>
          <w:kern w:val="22"/>
          <w:szCs w:val="22"/>
        </w:rPr>
        <w:t>mental Information Center (CEIC</w:t>
      </w:r>
      <w:r w:rsidR="00B52FF4" w:rsidRPr="0088780C">
        <w:rPr>
          <w:snapToGrid w:val="0"/>
          <w:kern w:val="22"/>
          <w:szCs w:val="22"/>
        </w:rPr>
        <w:t>), as a main regional information and data hub in the region. It would include building the capacity of governments, non-governmental organizations and private businesses to use and feed information to the CEIC</w:t>
      </w:r>
      <w:r w:rsidR="00F1595B" w:rsidRPr="0088780C">
        <w:rPr>
          <w:snapToGrid w:val="0"/>
          <w:kern w:val="22"/>
          <w:szCs w:val="22"/>
        </w:rPr>
        <w:t>;</w:t>
      </w:r>
    </w:p>
    <w:p w14:paraId="464B020F" w14:textId="5E0E64A1" w:rsidR="00B52FF4" w:rsidRPr="0088780C" w:rsidRDefault="00B52FF4" w:rsidP="00F1595B">
      <w:pPr>
        <w:pStyle w:val="ListParagraph"/>
        <w:numPr>
          <w:ilvl w:val="0"/>
          <w:numId w:val="40"/>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Development of</w:t>
      </w:r>
      <w:r w:rsidR="00ED62C8" w:rsidRPr="0088780C">
        <w:rPr>
          <w:snapToGrid w:val="0"/>
          <w:kern w:val="22"/>
          <w:szCs w:val="22"/>
        </w:rPr>
        <w:t xml:space="preserve"> the</w:t>
      </w:r>
      <w:r w:rsidRPr="0088780C">
        <w:rPr>
          <w:snapToGrid w:val="0"/>
          <w:kern w:val="22"/>
          <w:szCs w:val="22"/>
        </w:rPr>
        <w:t xml:space="preserve"> Caspian Red Book</w:t>
      </w:r>
      <w:r w:rsidR="00ED62C8" w:rsidRPr="0088780C">
        <w:rPr>
          <w:snapToGrid w:val="0"/>
          <w:kern w:val="22"/>
          <w:szCs w:val="22"/>
        </w:rPr>
        <w:t xml:space="preserve">, in compliance with the Ashgabat Protocol </w:t>
      </w:r>
      <w:r w:rsidR="008104AD" w:rsidRPr="0088780C">
        <w:rPr>
          <w:snapToGrid w:val="0"/>
          <w:kern w:val="22"/>
          <w:szCs w:val="22"/>
        </w:rPr>
        <w:t>for</w:t>
      </w:r>
      <w:r w:rsidR="00ED62C8" w:rsidRPr="0088780C">
        <w:rPr>
          <w:snapToGrid w:val="0"/>
          <w:kern w:val="22"/>
          <w:szCs w:val="22"/>
        </w:rPr>
        <w:t xml:space="preserve"> the Protection of the Biodiversity of the Caspian Sea</w:t>
      </w:r>
      <w:r w:rsidR="00F1595B" w:rsidRPr="0088780C">
        <w:rPr>
          <w:snapToGrid w:val="0"/>
          <w:kern w:val="22"/>
          <w:szCs w:val="22"/>
        </w:rPr>
        <w:t>;</w:t>
      </w:r>
    </w:p>
    <w:p w14:paraId="469AE6EB" w14:textId="60AB1E6B" w:rsidR="00B52FF4" w:rsidRPr="0088780C" w:rsidRDefault="00B52FF4" w:rsidP="00F1595B">
      <w:pPr>
        <w:pStyle w:val="ListParagraph"/>
        <w:numPr>
          <w:ilvl w:val="0"/>
          <w:numId w:val="40"/>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Development and production of a sc</w:t>
      </w:r>
      <w:r w:rsidR="00923E35" w:rsidRPr="0088780C">
        <w:rPr>
          <w:snapToGrid w:val="0"/>
          <w:kern w:val="22"/>
          <w:szCs w:val="22"/>
        </w:rPr>
        <w:t xml:space="preserve">ientific </w:t>
      </w:r>
      <w:r w:rsidRPr="0088780C">
        <w:rPr>
          <w:snapToGrid w:val="0"/>
          <w:kern w:val="22"/>
          <w:szCs w:val="22"/>
        </w:rPr>
        <w:t xml:space="preserve">information of governments, academia and private businesses on the </w:t>
      </w:r>
      <w:r w:rsidR="00502AB9" w:rsidRPr="0088780C">
        <w:rPr>
          <w:snapToGrid w:val="0"/>
          <w:kern w:val="22"/>
          <w:szCs w:val="22"/>
        </w:rPr>
        <w:t xml:space="preserve">state of biodiversity of the </w:t>
      </w:r>
      <w:r w:rsidRPr="0088780C">
        <w:rPr>
          <w:snapToGrid w:val="0"/>
          <w:kern w:val="22"/>
          <w:szCs w:val="22"/>
        </w:rPr>
        <w:t xml:space="preserve">Caspian Sea </w:t>
      </w:r>
      <w:r w:rsidR="00923E35" w:rsidRPr="0088780C">
        <w:rPr>
          <w:snapToGrid w:val="0"/>
          <w:kern w:val="22"/>
          <w:szCs w:val="22"/>
        </w:rPr>
        <w:t xml:space="preserve">and making </w:t>
      </w:r>
      <w:r w:rsidR="00502AB9" w:rsidRPr="0088780C">
        <w:rPr>
          <w:snapToGrid w:val="0"/>
          <w:kern w:val="22"/>
          <w:szCs w:val="22"/>
        </w:rPr>
        <w:t>it</w:t>
      </w:r>
      <w:r w:rsidR="00923E35" w:rsidRPr="0088780C">
        <w:rPr>
          <w:snapToGrid w:val="0"/>
          <w:kern w:val="22"/>
          <w:szCs w:val="22"/>
        </w:rPr>
        <w:t xml:space="preserve">available in </w:t>
      </w:r>
      <w:r w:rsidR="00502AB9" w:rsidRPr="0088780C">
        <w:rPr>
          <w:snapToGrid w:val="0"/>
          <w:kern w:val="22"/>
          <w:szCs w:val="22"/>
        </w:rPr>
        <w:t>user-</w:t>
      </w:r>
      <w:r w:rsidR="00923E35" w:rsidRPr="0088780C">
        <w:rPr>
          <w:snapToGrid w:val="0"/>
          <w:kern w:val="22"/>
          <w:szCs w:val="22"/>
        </w:rPr>
        <w:t>friendly format</w:t>
      </w:r>
      <w:r w:rsidRPr="0088780C">
        <w:rPr>
          <w:snapToGrid w:val="0"/>
          <w:kern w:val="22"/>
          <w:szCs w:val="22"/>
        </w:rPr>
        <w:t xml:space="preserve"> for policy-makers and the public</w:t>
      </w:r>
      <w:r w:rsidR="00F1595B" w:rsidRPr="0088780C">
        <w:rPr>
          <w:snapToGrid w:val="0"/>
          <w:kern w:val="22"/>
          <w:szCs w:val="22"/>
        </w:rPr>
        <w:t>;</w:t>
      </w:r>
    </w:p>
    <w:p w14:paraId="3F99ADAC" w14:textId="43BEC558" w:rsidR="00B52FF4" w:rsidRPr="0088780C" w:rsidRDefault="00B52FF4" w:rsidP="00F1595B">
      <w:pPr>
        <w:pStyle w:val="ListParagraph"/>
        <w:numPr>
          <w:ilvl w:val="0"/>
          <w:numId w:val="40"/>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Caspian Seal protection</w:t>
      </w:r>
      <w:r w:rsidR="00923E35" w:rsidRPr="0088780C">
        <w:rPr>
          <w:snapToGrid w:val="0"/>
          <w:kern w:val="22"/>
          <w:szCs w:val="22"/>
        </w:rPr>
        <w:t>:</w:t>
      </w:r>
      <w:r w:rsidRPr="0088780C">
        <w:rPr>
          <w:snapToGrid w:val="0"/>
          <w:kern w:val="22"/>
          <w:szCs w:val="22"/>
        </w:rPr>
        <w:t xml:space="preserve"> Under the </w:t>
      </w:r>
      <w:r w:rsidR="00C01CA7" w:rsidRPr="0088780C">
        <w:rPr>
          <w:snapToGrid w:val="0"/>
          <w:kern w:val="22"/>
          <w:szCs w:val="22"/>
        </w:rPr>
        <w:t>Caspian Environment Program (</w:t>
      </w:r>
      <w:r w:rsidRPr="0088780C">
        <w:rPr>
          <w:snapToGrid w:val="0"/>
          <w:kern w:val="22"/>
          <w:szCs w:val="22"/>
        </w:rPr>
        <w:t>Casp</w:t>
      </w:r>
      <w:r w:rsidR="00C01CA7" w:rsidRPr="0088780C">
        <w:rPr>
          <w:snapToGrid w:val="0"/>
          <w:kern w:val="22"/>
          <w:szCs w:val="22"/>
        </w:rPr>
        <w:t>e</w:t>
      </w:r>
      <w:r w:rsidRPr="0088780C">
        <w:rPr>
          <w:snapToGrid w:val="0"/>
          <w:kern w:val="22"/>
          <w:szCs w:val="22"/>
        </w:rPr>
        <w:t>co</w:t>
      </w:r>
      <w:r w:rsidR="00C01CA7" w:rsidRPr="0088780C">
        <w:rPr>
          <w:snapToGrid w:val="0"/>
          <w:kern w:val="22"/>
          <w:szCs w:val="22"/>
        </w:rPr>
        <w:t>),</w:t>
      </w:r>
      <w:r w:rsidRPr="0088780C">
        <w:rPr>
          <w:snapToGrid w:val="0"/>
          <w:kern w:val="22"/>
          <w:szCs w:val="22"/>
        </w:rPr>
        <w:t xml:space="preserve"> countries developed a draft </w:t>
      </w:r>
      <w:r w:rsidR="00923E35" w:rsidRPr="0088780C">
        <w:rPr>
          <w:snapToGrid w:val="0"/>
          <w:kern w:val="22"/>
          <w:szCs w:val="22"/>
        </w:rPr>
        <w:t>c</w:t>
      </w:r>
      <w:r w:rsidRPr="0088780C">
        <w:rPr>
          <w:snapToGrid w:val="0"/>
          <w:kern w:val="22"/>
          <w:szCs w:val="22"/>
        </w:rPr>
        <w:t xml:space="preserve">oncept </w:t>
      </w:r>
      <w:r w:rsidR="00923E35" w:rsidRPr="0088780C">
        <w:rPr>
          <w:snapToGrid w:val="0"/>
          <w:kern w:val="22"/>
          <w:szCs w:val="22"/>
        </w:rPr>
        <w:t>p</w:t>
      </w:r>
      <w:r w:rsidRPr="0088780C">
        <w:rPr>
          <w:snapToGrid w:val="0"/>
          <w:kern w:val="22"/>
          <w:szCs w:val="22"/>
        </w:rPr>
        <w:t xml:space="preserve">lan for the </w:t>
      </w:r>
      <w:r w:rsidR="00923E35" w:rsidRPr="0088780C">
        <w:rPr>
          <w:snapToGrid w:val="0"/>
          <w:kern w:val="22"/>
          <w:szCs w:val="22"/>
        </w:rPr>
        <w:t>c</w:t>
      </w:r>
      <w:r w:rsidRPr="0088780C">
        <w:rPr>
          <w:snapToGrid w:val="0"/>
          <w:kern w:val="22"/>
          <w:szCs w:val="22"/>
        </w:rPr>
        <w:t xml:space="preserve">reation of a network of special protected areas for the Caspian seal. Various supportive measures would be required to put </w:t>
      </w:r>
      <w:r w:rsidR="00923E35" w:rsidRPr="0088780C">
        <w:rPr>
          <w:snapToGrid w:val="0"/>
          <w:kern w:val="22"/>
          <w:szCs w:val="22"/>
        </w:rPr>
        <w:t>the plan into action and to develop</w:t>
      </w:r>
      <w:r w:rsidRPr="0088780C">
        <w:rPr>
          <w:snapToGrid w:val="0"/>
          <w:kern w:val="22"/>
          <w:szCs w:val="22"/>
        </w:rPr>
        <w:t xml:space="preserve"> </w:t>
      </w:r>
      <w:r w:rsidR="00C01CA7" w:rsidRPr="0088780C">
        <w:rPr>
          <w:snapToGrid w:val="0"/>
          <w:kern w:val="22"/>
          <w:szCs w:val="22"/>
        </w:rPr>
        <w:t>m</w:t>
      </w:r>
      <w:r w:rsidRPr="0088780C">
        <w:rPr>
          <w:snapToGrid w:val="0"/>
          <w:kern w:val="22"/>
          <w:szCs w:val="22"/>
        </w:rPr>
        <w:t xml:space="preserve">arine </w:t>
      </w:r>
      <w:r w:rsidR="00C01CA7" w:rsidRPr="0088780C">
        <w:rPr>
          <w:snapToGrid w:val="0"/>
          <w:kern w:val="22"/>
          <w:szCs w:val="22"/>
        </w:rPr>
        <w:t>p</w:t>
      </w:r>
      <w:r w:rsidRPr="0088780C">
        <w:rPr>
          <w:snapToGrid w:val="0"/>
          <w:kern w:val="22"/>
          <w:szCs w:val="22"/>
        </w:rPr>
        <w:t xml:space="preserve">rotected </w:t>
      </w:r>
      <w:r w:rsidR="00C01CA7" w:rsidRPr="0088780C">
        <w:rPr>
          <w:snapToGrid w:val="0"/>
          <w:kern w:val="22"/>
          <w:szCs w:val="22"/>
        </w:rPr>
        <w:t>a</w:t>
      </w:r>
      <w:r w:rsidRPr="0088780C">
        <w:rPr>
          <w:snapToGrid w:val="0"/>
          <w:kern w:val="22"/>
          <w:szCs w:val="22"/>
        </w:rPr>
        <w:t>reas</w:t>
      </w:r>
      <w:r w:rsidR="00C01CA7" w:rsidRPr="0088780C">
        <w:rPr>
          <w:snapToGrid w:val="0"/>
          <w:kern w:val="22"/>
          <w:szCs w:val="22"/>
        </w:rPr>
        <w:t xml:space="preserve"> for the</w:t>
      </w:r>
      <w:r w:rsidRPr="0088780C">
        <w:rPr>
          <w:snapToGrid w:val="0"/>
          <w:kern w:val="22"/>
          <w:szCs w:val="22"/>
        </w:rPr>
        <w:t xml:space="preserve"> </w:t>
      </w:r>
      <w:r w:rsidR="00F1595B" w:rsidRPr="0088780C">
        <w:rPr>
          <w:snapToGrid w:val="0"/>
          <w:kern w:val="22"/>
          <w:szCs w:val="22"/>
        </w:rPr>
        <w:t>Caspian seal;</w:t>
      </w:r>
    </w:p>
    <w:p w14:paraId="05A87355" w14:textId="08A5A048" w:rsidR="00B52FF4" w:rsidRPr="0088780C" w:rsidRDefault="00B52FF4" w:rsidP="00F1595B">
      <w:pPr>
        <w:pStyle w:val="ListParagraph"/>
        <w:numPr>
          <w:ilvl w:val="0"/>
          <w:numId w:val="40"/>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 xml:space="preserve">Use of EBSA </w:t>
      </w:r>
      <w:r w:rsidR="00923E35" w:rsidRPr="0088780C">
        <w:rPr>
          <w:snapToGrid w:val="0"/>
          <w:kern w:val="22"/>
          <w:szCs w:val="22"/>
        </w:rPr>
        <w:t>information in Caspian Sea</w:t>
      </w:r>
      <w:r w:rsidRPr="0088780C">
        <w:rPr>
          <w:snapToGrid w:val="0"/>
          <w:kern w:val="22"/>
          <w:szCs w:val="22"/>
        </w:rPr>
        <w:t xml:space="preserve"> to streng</w:t>
      </w:r>
      <w:r w:rsidR="00923E35" w:rsidRPr="0088780C">
        <w:rPr>
          <w:snapToGrid w:val="0"/>
          <w:kern w:val="22"/>
          <w:szCs w:val="22"/>
        </w:rPr>
        <w:t>then the existing efforts for conservation and sustainable use of marine and coastal biodiversity</w:t>
      </w:r>
      <w:r w:rsidR="00F1595B" w:rsidRPr="0088780C">
        <w:rPr>
          <w:snapToGrid w:val="0"/>
          <w:kern w:val="22"/>
          <w:szCs w:val="22"/>
        </w:rPr>
        <w:t>;</w:t>
      </w:r>
    </w:p>
    <w:p w14:paraId="2A5D412C" w14:textId="5C6ECC28" w:rsidR="00B52FF4" w:rsidRPr="0088780C" w:rsidRDefault="00B52FF4" w:rsidP="00F1595B">
      <w:pPr>
        <w:pStyle w:val="ListParagraph"/>
        <w:numPr>
          <w:ilvl w:val="0"/>
          <w:numId w:val="40"/>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G</w:t>
      </w:r>
      <w:r w:rsidR="00C01CA7" w:rsidRPr="0088780C">
        <w:rPr>
          <w:snapToGrid w:val="0"/>
          <w:kern w:val="22"/>
          <w:szCs w:val="22"/>
        </w:rPr>
        <w:t xml:space="preserve">eographic </w:t>
      </w:r>
      <w:r w:rsidRPr="0088780C">
        <w:rPr>
          <w:snapToGrid w:val="0"/>
          <w:kern w:val="22"/>
          <w:szCs w:val="22"/>
        </w:rPr>
        <w:t>I</w:t>
      </w:r>
      <w:r w:rsidR="00C01CA7" w:rsidRPr="0088780C">
        <w:rPr>
          <w:snapToGrid w:val="0"/>
          <w:kern w:val="22"/>
          <w:szCs w:val="22"/>
        </w:rPr>
        <w:t xml:space="preserve">nformation </w:t>
      </w:r>
      <w:r w:rsidRPr="0088780C">
        <w:rPr>
          <w:snapToGrid w:val="0"/>
          <w:kern w:val="22"/>
          <w:szCs w:val="22"/>
        </w:rPr>
        <w:t>S</w:t>
      </w:r>
      <w:r w:rsidR="00C01CA7" w:rsidRPr="0088780C">
        <w:rPr>
          <w:snapToGrid w:val="0"/>
          <w:kern w:val="22"/>
          <w:szCs w:val="22"/>
        </w:rPr>
        <w:t>systems</w:t>
      </w:r>
      <w:r w:rsidRPr="0088780C">
        <w:rPr>
          <w:snapToGrid w:val="0"/>
          <w:kern w:val="22"/>
          <w:szCs w:val="22"/>
        </w:rPr>
        <w:t xml:space="preserve"> and remote sensing to generate scientific data and to develop maps</w:t>
      </w:r>
      <w:r w:rsidR="00C01CA7" w:rsidRPr="0088780C">
        <w:rPr>
          <w:snapToGrid w:val="0"/>
          <w:kern w:val="22"/>
          <w:szCs w:val="22"/>
        </w:rPr>
        <w:t>.</w:t>
      </w:r>
    </w:p>
    <w:p w14:paraId="5699FECA" w14:textId="04190377" w:rsidR="00B52FF4" w:rsidRPr="0088780C" w:rsidRDefault="00B52FF4" w:rsidP="00327F71">
      <w:pPr>
        <w:pStyle w:val="ListParagraph"/>
        <w:suppressLineNumbers/>
        <w:suppressAutoHyphens/>
        <w:kinsoku w:val="0"/>
        <w:overflowPunct w:val="0"/>
        <w:autoSpaceDE w:val="0"/>
        <w:autoSpaceDN w:val="0"/>
        <w:adjustRightInd w:val="0"/>
        <w:ind w:leftChars="0" w:left="0"/>
        <w:rPr>
          <w:snapToGrid w:val="0"/>
          <w:kern w:val="22"/>
          <w:szCs w:val="22"/>
        </w:rPr>
      </w:pPr>
    </w:p>
    <w:p w14:paraId="5D7A2123" w14:textId="50B0814C" w:rsidR="006278E5" w:rsidRPr="0088780C" w:rsidRDefault="006278E5" w:rsidP="0028411E">
      <w:pPr>
        <w:keepNext/>
        <w:suppressLineNumbers/>
        <w:suppressAutoHyphens/>
        <w:kinsoku w:val="0"/>
        <w:overflowPunct w:val="0"/>
        <w:autoSpaceDE w:val="0"/>
        <w:autoSpaceDN w:val="0"/>
        <w:adjustRightInd w:val="0"/>
        <w:spacing w:after="120"/>
        <w:rPr>
          <w:b/>
          <w:snapToGrid w:val="0"/>
          <w:kern w:val="22"/>
          <w:szCs w:val="22"/>
        </w:rPr>
      </w:pPr>
      <w:r w:rsidRPr="0088780C">
        <w:rPr>
          <w:b/>
          <w:snapToGrid w:val="0"/>
          <w:kern w:val="22"/>
          <w:szCs w:val="22"/>
        </w:rPr>
        <w:t>Scientific networking and collaboration</w:t>
      </w:r>
    </w:p>
    <w:p w14:paraId="114C72F1" w14:textId="092E9EBC" w:rsidR="00B52FF4" w:rsidRPr="0088780C" w:rsidRDefault="00080C39" w:rsidP="001013AF">
      <w:pPr>
        <w:suppressLineNumbers/>
        <w:suppressAutoHyphens/>
        <w:kinsoku w:val="0"/>
        <w:overflowPunct w:val="0"/>
        <w:autoSpaceDE w:val="0"/>
        <w:autoSpaceDN w:val="0"/>
        <w:adjustRightInd w:val="0"/>
        <w:spacing w:after="120"/>
        <w:rPr>
          <w:snapToGrid w:val="0"/>
          <w:kern w:val="22"/>
          <w:szCs w:val="22"/>
        </w:rPr>
      </w:pPr>
      <w:r w:rsidRPr="0088780C">
        <w:rPr>
          <w:snapToGrid w:val="0"/>
          <w:kern w:val="22"/>
          <w:szCs w:val="22"/>
        </w:rPr>
        <w:t>3.</w:t>
      </w:r>
      <w:r w:rsidRPr="0088780C">
        <w:rPr>
          <w:snapToGrid w:val="0"/>
          <w:kern w:val="22"/>
          <w:szCs w:val="22"/>
        </w:rPr>
        <w:tab/>
      </w:r>
      <w:r w:rsidR="00C452E8" w:rsidRPr="0088780C">
        <w:rPr>
          <w:snapToGrid w:val="0"/>
          <w:kern w:val="22"/>
          <w:szCs w:val="22"/>
        </w:rPr>
        <w:t>There is a need for n</w:t>
      </w:r>
      <w:r w:rsidR="00B52FF4" w:rsidRPr="0088780C">
        <w:rPr>
          <w:snapToGrid w:val="0"/>
          <w:kern w:val="22"/>
          <w:szCs w:val="22"/>
        </w:rPr>
        <w:t>etwork-building and further collaboration among relevant organizations at the international, regional, national and local levels that can contribute to the improved understanding of marine and coastal biodiversity in the region. The participants highlighted the importance of regular meetings be</w:t>
      </w:r>
      <w:r w:rsidR="00CB03C1" w:rsidRPr="0088780C">
        <w:rPr>
          <w:snapToGrid w:val="0"/>
          <w:kern w:val="22"/>
          <w:szCs w:val="22"/>
        </w:rPr>
        <w:t>tween experts from the Caspian r</w:t>
      </w:r>
      <w:r w:rsidR="00B52FF4" w:rsidRPr="0088780C">
        <w:rPr>
          <w:snapToGrid w:val="0"/>
          <w:kern w:val="22"/>
          <w:szCs w:val="22"/>
        </w:rPr>
        <w:t xml:space="preserve">egion, which allow </w:t>
      </w:r>
      <w:r w:rsidR="006278E5" w:rsidRPr="0088780C">
        <w:rPr>
          <w:snapToGrid w:val="0"/>
          <w:kern w:val="22"/>
          <w:szCs w:val="22"/>
        </w:rPr>
        <w:t xml:space="preserve">sharing of </w:t>
      </w:r>
      <w:r w:rsidR="00B52FF4" w:rsidRPr="0088780C">
        <w:rPr>
          <w:snapToGrid w:val="0"/>
          <w:kern w:val="22"/>
          <w:szCs w:val="22"/>
        </w:rPr>
        <w:t>best practice</w:t>
      </w:r>
      <w:r w:rsidR="006278E5" w:rsidRPr="0088780C">
        <w:rPr>
          <w:snapToGrid w:val="0"/>
          <w:kern w:val="22"/>
          <w:szCs w:val="22"/>
        </w:rPr>
        <w:t>s</w:t>
      </w:r>
      <w:r w:rsidR="00B52FF4" w:rsidRPr="0088780C">
        <w:rPr>
          <w:snapToGrid w:val="0"/>
          <w:kern w:val="22"/>
          <w:szCs w:val="22"/>
        </w:rPr>
        <w:t>.</w:t>
      </w:r>
    </w:p>
    <w:p w14:paraId="3CE25268" w14:textId="6371975A" w:rsidR="00B52FF4" w:rsidRPr="0088780C" w:rsidRDefault="00080C39" w:rsidP="001013AF">
      <w:pPr>
        <w:suppressLineNumbers/>
        <w:suppressAutoHyphens/>
        <w:kinsoku w:val="0"/>
        <w:overflowPunct w:val="0"/>
        <w:autoSpaceDE w:val="0"/>
        <w:autoSpaceDN w:val="0"/>
        <w:adjustRightInd w:val="0"/>
        <w:spacing w:after="120"/>
        <w:rPr>
          <w:snapToGrid w:val="0"/>
          <w:kern w:val="22"/>
          <w:szCs w:val="22"/>
        </w:rPr>
      </w:pPr>
      <w:r w:rsidRPr="0088780C">
        <w:rPr>
          <w:snapToGrid w:val="0"/>
          <w:kern w:val="22"/>
          <w:szCs w:val="22"/>
        </w:rPr>
        <w:t>4.</w:t>
      </w:r>
      <w:r w:rsidRPr="0088780C">
        <w:rPr>
          <w:snapToGrid w:val="0"/>
          <w:kern w:val="22"/>
          <w:szCs w:val="22"/>
        </w:rPr>
        <w:tab/>
      </w:r>
      <w:r w:rsidR="006278E5" w:rsidRPr="0088780C">
        <w:rPr>
          <w:snapToGrid w:val="0"/>
          <w:kern w:val="22"/>
          <w:szCs w:val="22"/>
        </w:rPr>
        <w:t>O</w:t>
      </w:r>
      <w:r w:rsidR="00B52FF4" w:rsidRPr="0088780C">
        <w:rPr>
          <w:snapToGrid w:val="0"/>
          <w:kern w:val="22"/>
          <w:szCs w:val="22"/>
        </w:rPr>
        <w:t xml:space="preserve">rganization of an international scientific conference on the Caspian Sea environment, in particular </w:t>
      </w:r>
      <w:r w:rsidR="006278E5" w:rsidRPr="0088780C">
        <w:rPr>
          <w:snapToGrid w:val="0"/>
          <w:kern w:val="22"/>
          <w:szCs w:val="22"/>
        </w:rPr>
        <w:t xml:space="preserve">on </w:t>
      </w:r>
      <w:r w:rsidR="00B52FF4" w:rsidRPr="0088780C">
        <w:rPr>
          <w:snapToGrid w:val="0"/>
          <w:kern w:val="22"/>
          <w:szCs w:val="22"/>
        </w:rPr>
        <w:t xml:space="preserve">the topic of the </w:t>
      </w:r>
      <w:r w:rsidR="00ED62C8" w:rsidRPr="0088780C">
        <w:rPr>
          <w:snapToGrid w:val="0"/>
          <w:kern w:val="22"/>
          <w:szCs w:val="22"/>
        </w:rPr>
        <w:t xml:space="preserve">impacts of climate change on </w:t>
      </w:r>
      <w:r w:rsidR="00B52FF4" w:rsidRPr="0088780C">
        <w:rPr>
          <w:snapToGrid w:val="0"/>
          <w:kern w:val="22"/>
          <w:szCs w:val="22"/>
        </w:rPr>
        <w:t>water level fluctuation</w:t>
      </w:r>
      <w:r w:rsidR="00ED62C8" w:rsidRPr="0088780C">
        <w:rPr>
          <w:snapToGrid w:val="0"/>
          <w:kern w:val="22"/>
          <w:szCs w:val="22"/>
        </w:rPr>
        <w:t xml:space="preserve"> </w:t>
      </w:r>
      <w:r w:rsidR="00C452E8" w:rsidRPr="0088780C">
        <w:rPr>
          <w:snapToGrid w:val="0"/>
          <w:kern w:val="22"/>
          <w:szCs w:val="22"/>
        </w:rPr>
        <w:t>in the Caspian Sea</w:t>
      </w:r>
      <w:r w:rsidR="00B648C8" w:rsidRPr="0088780C">
        <w:rPr>
          <w:snapToGrid w:val="0"/>
          <w:kern w:val="22"/>
          <w:szCs w:val="22"/>
        </w:rPr>
        <w:t>.</w:t>
      </w:r>
      <w:r w:rsidR="00C452E8" w:rsidRPr="0088780C">
        <w:rPr>
          <w:snapToGrid w:val="0"/>
          <w:kern w:val="22"/>
          <w:szCs w:val="22"/>
        </w:rPr>
        <w:t xml:space="preserve"> </w:t>
      </w:r>
      <w:r w:rsidR="006278E5" w:rsidRPr="0088780C">
        <w:rPr>
          <w:snapToGrid w:val="0"/>
          <w:kern w:val="22"/>
          <w:szCs w:val="22"/>
        </w:rPr>
        <w:t>Such</w:t>
      </w:r>
      <w:r w:rsidR="00B52FF4" w:rsidRPr="0088780C">
        <w:rPr>
          <w:snapToGrid w:val="0"/>
          <w:kern w:val="22"/>
          <w:szCs w:val="22"/>
        </w:rPr>
        <w:t xml:space="preserve"> </w:t>
      </w:r>
      <w:r w:rsidR="00C452E8" w:rsidRPr="0088780C">
        <w:rPr>
          <w:snapToGrid w:val="0"/>
          <w:kern w:val="22"/>
          <w:szCs w:val="22"/>
        </w:rPr>
        <w:t>a</w:t>
      </w:r>
      <w:r w:rsidR="00B52FF4" w:rsidRPr="0088780C">
        <w:rPr>
          <w:snapToGrid w:val="0"/>
          <w:kern w:val="22"/>
          <w:szCs w:val="22"/>
        </w:rPr>
        <w:t xml:space="preserve"> conference could lead to the establishment of regional scientific centr</w:t>
      </w:r>
      <w:r w:rsidR="00C452E8" w:rsidRPr="0088780C">
        <w:rPr>
          <w:snapToGrid w:val="0"/>
          <w:kern w:val="22"/>
          <w:szCs w:val="22"/>
        </w:rPr>
        <w:t>e</w:t>
      </w:r>
      <w:r w:rsidR="00B52FF4" w:rsidRPr="0088780C">
        <w:rPr>
          <w:snapToGrid w:val="0"/>
          <w:kern w:val="22"/>
          <w:szCs w:val="22"/>
        </w:rPr>
        <w:t>s of excellence.</w:t>
      </w:r>
    </w:p>
    <w:p w14:paraId="518024DD" w14:textId="307F7C2A" w:rsidR="00B52FF4" w:rsidRPr="0088780C" w:rsidRDefault="00080C39" w:rsidP="001013AF">
      <w:pPr>
        <w:suppressLineNumbers/>
        <w:suppressAutoHyphens/>
        <w:kinsoku w:val="0"/>
        <w:overflowPunct w:val="0"/>
        <w:autoSpaceDE w:val="0"/>
        <w:autoSpaceDN w:val="0"/>
        <w:adjustRightInd w:val="0"/>
        <w:spacing w:after="120"/>
        <w:rPr>
          <w:snapToGrid w:val="0"/>
          <w:kern w:val="22"/>
          <w:szCs w:val="22"/>
        </w:rPr>
      </w:pPr>
      <w:r w:rsidRPr="0088780C">
        <w:rPr>
          <w:snapToGrid w:val="0"/>
          <w:kern w:val="22"/>
          <w:szCs w:val="22"/>
        </w:rPr>
        <w:t>5.</w:t>
      </w:r>
      <w:r w:rsidRPr="0088780C">
        <w:rPr>
          <w:snapToGrid w:val="0"/>
          <w:kern w:val="22"/>
          <w:szCs w:val="22"/>
        </w:rPr>
        <w:tab/>
      </w:r>
      <w:r w:rsidR="00B52FF4" w:rsidRPr="0088780C">
        <w:rPr>
          <w:snapToGrid w:val="0"/>
          <w:kern w:val="22"/>
          <w:szCs w:val="22"/>
        </w:rPr>
        <w:t>Further refinement of the EBSA descriptions using advancements in scientific understanding of marine biodiversity in different marine areas</w:t>
      </w:r>
      <w:r w:rsidR="006278E5" w:rsidRPr="0088780C">
        <w:rPr>
          <w:snapToGrid w:val="0"/>
          <w:kern w:val="22"/>
          <w:szCs w:val="22"/>
        </w:rPr>
        <w:t xml:space="preserve"> of the Caspian Sea</w:t>
      </w:r>
      <w:r w:rsidR="00ED62C8" w:rsidRPr="0088780C">
        <w:rPr>
          <w:snapToGrid w:val="0"/>
          <w:kern w:val="22"/>
          <w:szCs w:val="22"/>
        </w:rPr>
        <w:t>.</w:t>
      </w:r>
    </w:p>
    <w:p w14:paraId="4656ADBB" w14:textId="2C5EBD64" w:rsidR="00B52FF4" w:rsidRPr="0088780C" w:rsidRDefault="00080C39" w:rsidP="001013AF">
      <w:pPr>
        <w:suppressLineNumbers/>
        <w:suppressAutoHyphens/>
        <w:kinsoku w:val="0"/>
        <w:overflowPunct w:val="0"/>
        <w:autoSpaceDE w:val="0"/>
        <w:autoSpaceDN w:val="0"/>
        <w:adjustRightInd w:val="0"/>
        <w:spacing w:after="120"/>
        <w:rPr>
          <w:snapToGrid w:val="0"/>
          <w:kern w:val="22"/>
          <w:szCs w:val="22"/>
        </w:rPr>
      </w:pPr>
      <w:r w:rsidRPr="0088780C">
        <w:rPr>
          <w:snapToGrid w:val="0"/>
          <w:kern w:val="22"/>
          <w:szCs w:val="22"/>
        </w:rPr>
        <w:t>6.</w:t>
      </w:r>
      <w:r w:rsidRPr="0088780C">
        <w:rPr>
          <w:snapToGrid w:val="0"/>
          <w:kern w:val="22"/>
          <w:szCs w:val="22"/>
        </w:rPr>
        <w:tab/>
      </w:r>
      <w:r w:rsidR="006278E5" w:rsidRPr="0088780C">
        <w:rPr>
          <w:snapToGrid w:val="0"/>
          <w:kern w:val="22"/>
          <w:szCs w:val="22"/>
        </w:rPr>
        <w:t>It is noted</w:t>
      </w:r>
      <w:r w:rsidR="003F17C6" w:rsidRPr="0088780C">
        <w:rPr>
          <w:snapToGrid w:val="0"/>
          <w:kern w:val="22"/>
          <w:szCs w:val="22"/>
        </w:rPr>
        <w:t xml:space="preserve"> by OBIS</w:t>
      </w:r>
      <w:r w:rsidR="006278E5" w:rsidRPr="0088780C">
        <w:rPr>
          <w:snapToGrid w:val="0"/>
          <w:kern w:val="22"/>
          <w:szCs w:val="22"/>
        </w:rPr>
        <w:t xml:space="preserve"> that t</w:t>
      </w:r>
      <w:r w:rsidR="00B52FF4" w:rsidRPr="0088780C">
        <w:rPr>
          <w:snapToGrid w:val="0"/>
          <w:kern w:val="22"/>
          <w:szCs w:val="22"/>
        </w:rPr>
        <w:t>here is still no OBIS node operational within the Caspian region</w:t>
      </w:r>
      <w:r w:rsidR="00C452E8" w:rsidRPr="0088780C">
        <w:rPr>
          <w:snapToGrid w:val="0"/>
          <w:kern w:val="22"/>
          <w:szCs w:val="22"/>
        </w:rPr>
        <w:t>,</w:t>
      </w:r>
      <w:r w:rsidR="00B52FF4" w:rsidRPr="0088780C">
        <w:rPr>
          <w:snapToGrid w:val="0"/>
          <w:kern w:val="22"/>
          <w:szCs w:val="22"/>
        </w:rPr>
        <w:t xml:space="preserve"> and </w:t>
      </w:r>
      <w:r w:rsidR="00C452E8" w:rsidRPr="0088780C">
        <w:rPr>
          <w:snapToGrid w:val="0"/>
          <w:kern w:val="22"/>
          <w:szCs w:val="22"/>
        </w:rPr>
        <w:t>that there are very few</w:t>
      </w:r>
      <w:r w:rsidR="006278E5" w:rsidRPr="0088780C">
        <w:rPr>
          <w:snapToGrid w:val="0"/>
          <w:kern w:val="22"/>
          <w:szCs w:val="22"/>
        </w:rPr>
        <w:t xml:space="preserve"> data providers. Accordingly</w:t>
      </w:r>
      <w:r w:rsidR="00C452E8" w:rsidRPr="0088780C">
        <w:rPr>
          <w:snapToGrid w:val="0"/>
          <w:kern w:val="22"/>
          <w:szCs w:val="22"/>
        </w:rPr>
        <w:t>,</w:t>
      </w:r>
      <w:r w:rsidR="006278E5" w:rsidRPr="0088780C">
        <w:rPr>
          <w:snapToGrid w:val="0"/>
          <w:kern w:val="22"/>
          <w:szCs w:val="22"/>
        </w:rPr>
        <w:t xml:space="preserve"> </w:t>
      </w:r>
      <w:r w:rsidR="00C452E8" w:rsidRPr="0088780C">
        <w:rPr>
          <w:snapToGrid w:val="0"/>
          <w:kern w:val="22"/>
          <w:szCs w:val="22"/>
        </w:rPr>
        <w:t xml:space="preserve">the </w:t>
      </w:r>
      <w:r w:rsidR="006278E5" w:rsidRPr="0088780C">
        <w:rPr>
          <w:snapToGrid w:val="0"/>
          <w:kern w:val="22"/>
          <w:szCs w:val="22"/>
        </w:rPr>
        <w:t>urgent need for organizing</w:t>
      </w:r>
      <w:r w:rsidR="00B52FF4" w:rsidRPr="0088780C">
        <w:rPr>
          <w:snapToGrid w:val="0"/>
          <w:kern w:val="22"/>
          <w:szCs w:val="22"/>
        </w:rPr>
        <w:t xml:space="preserve"> OBIS capacity</w:t>
      </w:r>
      <w:r w:rsidR="00C452E8" w:rsidRPr="0088780C">
        <w:rPr>
          <w:snapToGrid w:val="0"/>
          <w:kern w:val="22"/>
          <w:szCs w:val="22"/>
        </w:rPr>
        <w:t>-</w:t>
      </w:r>
      <w:r w:rsidR="00B52FF4" w:rsidRPr="0088780C">
        <w:rPr>
          <w:snapToGrid w:val="0"/>
          <w:kern w:val="22"/>
          <w:szCs w:val="22"/>
        </w:rPr>
        <w:t xml:space="preserve">building </w:t>
      </w:r>
      <w:r w:rsidR="006278E5" w:rsidRPr="0088780C">
        <w:rPr>
          <w:snapToGrid w:val="0"/>
          <w:kern w:val="22"/>
          <w:szCs w:val="22"/>
        </w:rPr>
        <w:t>activities in the Caspian region was highlighted,</w:t>
      </w:r>
      <w:r w:rsidR="00B52FF4" w:rsidRPr="0088780C">
        <w:rPr>
          <w:snapToGrid w:val="0"/>
          <w:kern w:val="22"/>
          <w:szCs w:val="22"/>
        </w:rPr>
        <w:t xml:space="preserve"> </w:t>
      </w:r>
      <w:r w:rsidR="006278E5" w:rsidRPr="0088780C">
        <w:rPr>
          <w:snapToGrid w:val="0"/>
          <w:kern w:val="22"/>
          <w:szCs w:val="22"/>
        </w:rPr>
        <w:t>focusing</w:t>
      </w:r>
      <w:r w:rsidR="00C452E8" w:rsidRPr="0088780C">
        <w:rPr>
          <w:snapToGrid w:val="0"/>
          <w:kern w:val="22"/>
          <w:szCs w:val="22"/>
        </w:rPr>
        <w:t>,</w:t>
      </w:r>
      <w:r w:rsidR="006278E5" w:rsidRPr="0088780C">
        <w:rPr>
          <w:snapToGrid w:val="0"/>
          <w:kern w:val="22"/>
          <w:szCs w:val="22"/>
        </w:rPr>
        <w:t xml:space="preserve"> </w:t>
      </w:r>
      <w:r w:rsidR="00C452E8" w:rsidRPr="0088780C">
        <w:rPr>
          <w:snapToGrid w:val="0"/>
          <w:kern w:val="22"/>
          <w:szCs w:val="22"/>
        </w:rPr>
        <w:t xml:space="preserve">for example, </w:t>
      </w:r>
      <w:r w:rsidR="00B52FF4" w:rsidRPr="0088780C">
        <w:rPr>
          <w:snapToGrid w:val="0"/>
          <w:kern w:val="22"/>
          <w:szCs w:val="22"/>
        </w:rPr>
        <w:t>on:</w:t>
      </w:r>
    </w:p>
    <w:p w14:paraId="0653BC09" w14:textId="0717C2C4" w:rsidR="00B52FF4" w:rsidRPr="0088780C" w:rsidRDefault="00B52FF4" w:rsidP="00CB03C1">
      <w:pPr>
        <w:pStyle w:val="ListParagraph"/>
        <w:numPr>
          <w:ilvl w:val="0"/>
          <w:numId w:val="42"/>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Expand</w:t>
      </w:r>
      <w:r w:rsidR="006278E5" w:rsidRPr="0088780C">
        <w:rPr>
          <w:snapToGrid w:val="0"/>
          <w:kern w:val="22"/>
          <w:szCs w:val="22"/>
        </w:rPr>
        <w:t>ing</w:t>
      </w:r>
      <w:r w:rsidRPr="0088780C">
        <w:rPr>
          <w:snapToGrid w:val="0"/>
          <w:kern w:val="22"/>
          <w:szCs w:val="22"/>
        </w:rPr>
        <w:t xml:space="preserve"> the OBIS network of collaborators</w:t>
      </w:r>
      <w:r w:rsidR="00C452E8" w:rsidRPr="0088780C">
        <w:rPr>
          <w:snapToGrid w:val="0"/>
          <w:kern w:val="22"/>
          <w:szCs w:val="22"/>
        </w:rPr>
        <w:t>;</w:t>
      </w:r>
    </w:p>
    <w:p w14:paraId="55616003" w14:textId="4E212A7D" w:rsidR="00B52FF4" w:rsidRPr="0088780C" w:rsidRDefault="006278E5" w:rsidP="00CB03C1">
      <w:pPr>
        <w:pStyle w:val="ListParagraph"/>
        <w:numPr>
          <w:ilvl w:val="0"/>
          <w:numId w:val="42"/>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Improving</w:t>
      </w:r>
      <w:r w:rsidR="00B52FF4" w:rsidRPr="0088780C">
        <w:rPr>
          <w:snapToGrid w:val="0"/>
          <w:kern w:val="22"/>
          <w:szCs w:val="22"/>
        </w:rPr>
        <w:t xml:space="preserve"> </w:t>
      </w:r>
      <w:r w:rsidR="00C452E8" w:rsidRPr="0088780C">
        <w:rPr>
          <w:snapToGrid w:val="0"/>
          <w:kern w:val="22"/>
          <w:szCs w:val="22"/>
        </w:rPr>
        <w:t xml:space="preserve">the quality of </w:t>
      </w:r>
      <w:r w:rsidR="00B52FF4" w:rsidRPr="0088780C">
        <w:rPr>
          <w:snapToGrid w:val="0"/>
          <w:kern w:val="22"/>
          <w:szCs w:val="22"/>
        </w:rPr>
        <w:t>marine biogeographic data</w:t>
      </w:r>
      <w:r w:rsidR="00C452E8" w:rsidRPr="0088780C">
        <w:rPr>
          <w:snapToGrid w:val="0"/>
          <w:kern w:val="22"/>
          <w:szCs w:val="22"/>
        </w:rPr>
        <w:t>;</w:t>
      </w:r>
    </w:p>
    <w:p w14:paraId="13AD3C84" w14:textId="123BFE0A" w:rsidR="00B52FF4" w:rsidRPr="0088780C" w:rsidRDefault="006278E5" w:rsidP="00CB03C1">
      <w:pPr>
        <w:pStyle w:val="ListParagraph"/>
        <w:numPr>
          <w:ilvl w:val="0"/>
          <w:numId w:val="42"/>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Increasing</w:t>
      </w:r>
      <w:r w:rsidR="00B52FF4" w:rsidRPr="0088780C">
        <w:rPr>
          <w:snapToGrid w:val="0"/>
          <w:kern w:val="22"/>
          <w:szCs w:val="22"/>
        </w:rPr>
        <w:t xml:space="preserve"> awareness of international standards and best practices related to marine biogeographic data</w:t>
      </w:r>
      <w:r w:rsidR="00C452E8" w:rsidRPr="0088780C">
        <w:rPr>
          <w:snapToGrid w:val="0"/>
          <w:kern w:val="22"/>
          <w:szCs w:val="22"/>
        </w:rPr>
        <w:t>;</w:t>
      </w:r>
    </w:p>
    <w:p w14:paraId="77F75D3B" w14:textId="3E712D61" w:rsidR="00B52FF4" w:rsidRPr="0088780C" w:rsidRDefault="006278E5" w:rsidP="00CB03C1">
      <w:pPr>
        <w:pStyle w:val="ListParagraph"/>
        <w:numPr>
          <w:ilvl w:val="0"/>
          <w:numId w:val="42"/>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Increasing</w:t>
      </w:r>
      <w:r w:rsidR="00B52FF4" w:rsidRPr="0088780C">
        <w:rPr>
          <w:snapToGrid w:val="0"/>
          <w:kern w:val="22"/>
          <w:szCs w:val="22"/>
        </w:rPr>
        <w:t xml:space="preserve"> the amount of open access data published through OBIS and its OBIS nodes</w:t>
      </w:r>
      <w:r w:rsidR="00C452E8" w:rsidRPr="0088780C">
        <w:rPr>
          <w:snapToGrid w:val="0"/>
          <w:kern w:val="22"/>
          <w:szCs w:val="22"/>
        </w:rPr>
        <w:t>;</w:t>
      </w:r>
    </w:p>
    <w:p w14:paraId="61D4367F" w14:textId="2C03CF76" w:rsidR="00B52FF4" w:rsidRPr="0088780C" w:rsidRDefault="006278E5" w:rsidP="00CB03C1">
      <w:pPr>
        <w:pStyle w:val="ListParagraph"/>
        <w:numPr>
          <w:ilvl w:val="0"/>
          <w:numId w:val="42"/>
        </w:numPr>
        <w:suppressLineNumbers/>
        <w:suppressAutoHyphens/>
        <w:kinsoku w:val="0"/>
        <w:overflowPunct w:val="0"/>
        <w:autoSpaceDE w:val="0"/>
        <w:autoSpaceDN w:val="0"/>
        <w:adjustRightInd w:val="0"/>
        <w:spacing w:after="120"/>
        <w:ind w:leftChars="0" w:left="0" w:firstLine="720"/>
        <w:rPr>
          <w:snapToGrid w:val="0"/>
          <w:kern w:val="22"/>
          <w:szCs w:val="22"/>
        </w:rPr>
      </w:pPr>
      <w:r w:rsidRPr="0088780C">
        <w:rPr>
          <w:snapToGrid w:val="0"/>
          <w:kern w:val="22"/>
          <w:szCs w:val="22"/>
        </w:rPr>
        <w:t>Increasing</w:t>
      </w:r>
      <w:r w:rsidR="00B52FF4" w:rsidRPr="0088780C">
        <w:rPr>
          <w:snapToGrid w:val="0"/>
          <w:kern w:val="22"/>
          <w:szCs w:val="22"/>
        </w:rPr>
        <w:t xml:space="preserve"> the use of data from OBIS for science, species conservation and area-based management applications</w:t>
      </w:r>
      <w:r w:rsidR="00C452E8" w:rsidRPr="0088780C">
        <w:rPr>
          <w:snapToGrid w:val="0"/>
          <w:kern w:val="22"/>
          <w:szCs w:val="22"/>
        </w:rPr>
        <w:t>.</w:t>
      </w:r>
    </w:p>
    <w:p w14:paraId="5545C490" w14:textId="77777777" w:rsidR="007D1CDD" w:rsidRPr="0088780C" w:rsidRDefault="007D1CDD" w:rsidP="001013AF">
      <w:pPr>
        <w:suppressLineNumbers/>
        <w:suppressAutoHyphens/>
        <w:kinsoku w:val="0"/>
        <w:overflowPunct w:val="0"/>
        <w:autoSpaceDE w:val="0"/>
        <w:autoSpaceDN w:val="0"/>
        <w:adjustRightInd w:val="0"/>
        <w:spacing w:after="120"/>
        <w:rPr>
          <w:snapToGrid w:val="0"/>
          <w:kern w:val="22"/>
          <w:szCs w:val="22"/>
        </w:rPr>
      </w:pPr>
    </w:p>
    <w:p w14:paraId="3C3E5117" w14:textId="2E28CD29" w:rsidR="00AD335D" w:rsidRPr="001013AF" w:rsidRDefault="000A12EE" w:rsidP="001013AF">
      <w:pPr>
        <w:pStyle w:val="bodytextnoindent"/>
        <w:suppressLineNumbers/>
        <w:suppressAutoHyphens/>
        <w:kinsoku w:val="0"/>
        <w:overflowPunct w:val="0"/>
        <w:autoSpaceDE w:val="0"/>
        <w:autoSpaceDN w:val="0"/>
        <w:adjustRightInd w:val="0"/>
        <w:spacing w:before="0"/>
        <w:jc w:val="center"/>
        <w:rPr>
          <w:snapToGrid w:val="0"/>
          <w:kern w:val="22"/>
          <w:szCs w:val="22"/>
          <w:lang w:eastAsia="ko-KR"/>
        </w:rPr>
      </w:pPr>
      <w:r w:rsidRPr="0088780C">
        <w:rPr>
          <w:snapToGrid w:val="0"/>
          <w:kern w:val="22"/>
          <w:szCs w:val="22"/>
          <w:lang w:eastAsia="ko-KR"/>
        </w:rPr>
        <w:t>__________</w:t>
      </w:r>
    </w:p>
    <w:p w14:paraId="3DB9A5DD" w14:textId="77777777" w:rsidR="00D13824" w:rsidRPr="001013AF" w:rsidRDefault="00D13824" w:rsidP="001013AF">
      <w:pPr>
        <w:suppressLineNumbers/>
        <w:suppressAutoHyphens/>
        <w:kinsoku w:val="0"/>
        <w:overflowPunct w:val="0"/>
        <w:autoSpaceDE w:val="0"/>
        <w:autoSpaceDN w:val="0"/>
        <w:jc w:val="center"/>
        <w:rPr>
          <w:snapToGrid w:val="0"/>
          <w:color w:val="000000"/>
          <w:kern w:val="22"/>
          <w:szCs w:val="22"/>
        </w:rPr>
      </w:pPr>
    </w:p>
    <w:sectPr w:rsidR="00D13824" w:rsidRPr="001013AF" w:rsidSect="00A876F3">
      <w:type w:val="continuous"/>
      <w:pgSz w:w="12240" w:h="15840" w:code="1"/>
      <w:pgMar w:top="1134" w:right="1440" w:bottom="1134" w:left="1440" w:header="454"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61F3C" w14:textId="77777777" w:rsidR="00E86E20" w:rsidRDefault="00E86E20">
      <w:r>
        <w:separator/>
      </w:r>
    </w:p>
  </w:endnote>
  <w:endnote w:type="continuationSeparator" w:id="0">
    <w:p w14:paraId="49C4EA25" w14:textId="77777777" w:rsidR="00E86E20" w:rsidRDefault="00E86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andex-sans">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Yu Gothic"/>
    <w:charset w:val="80"/>
    <w:family w:val="auto"/>
    <w:pitch w:val="variable"/>
    <w:sig w:usb0="E00002FF" w:usb1="7AC7FFFF" w:usb2="00000012" w:usb3="00000000" w:csb0="0002000D" w:csb1="00000000"/>
  </w:font>
  <w:font w:name="Gulim">
    <w:altName w:val="굴림"/>
    <w:panose1 w:val="020B0600000101010101"/>
    <w:charset w:val="81"/>
    <w:family w:val="swiss"/>
    <w:pitch w:val="variable"/>
    <w:sig w:usb0="B00002AF" w:usb1="69D77CFB" w:usb2="00000030" w:usb3="00000000" w:csb0="0008009F" w:csb1="00000000"/>
  </w:font>
  <w:font w:name="Novarese CE">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ource Code Pro">
    <w:altName w:val="Consolas"/>
    <w:charset w:val="00"/>
    <w:family w:val="auto"/>
    <w:pitch w:val="variable"/>
    <w:sig w:usb0="00000001" w:usb1="00000001" w:usb2="00000000" w:usb3="00000000" w:csb0="00000193" w:csb1="00000000"/>
  </w:font>
  <w:font w:name="TimesNewRoman">
    <w:altName w:val="Times New Roman"/>
    <w:panose1 w:val="00000000000000000000"/>
    <w:charset w:val="00"/>
    <w:family w:val="roman"/>
    <w:notTrueType/>
    <w:pitch w:val="default"/>
  </w:font>
  <w:font w:name="ArialMT">
    <w:altName w:val="Arial"/>
    <w:panose1 w:val="00000000000000000000"/>
    <w:charset w:val="BA"/>
    <w:family w:val="auto"/>
    <w:notTrueType/>
    <w:pitch w:val="default"/>
    <w:sig w:usb0="00000005" w:usb1="00000000" w:usb2="00000000" w:usb3="00000000" w:csb0="00000080" w:csb1="00000000"/>
  </w:font>
  <w:font w:name="Arial-ItalicMT">
    <w:altName w:val="Arial"/>
    <w:charset w:val="00"/>
    <w:family w:val="auto"/>
    <w:pitch w:val="variable"/>
    <w:sig w:usb0="E0000AFF" w:usb1="00007843" w:usb2="00000001" w:usb3="00000000" w:csb0="000001BF" w:csb1="00000000"/>
  </w:font>
  <w:font w:name="Arial-BoldMT">
    <w:altName w:val="Arial"/>
    <w:charset w:val="00"/>
    <w:family w:val="auto"/>
    <w:pitch w:val="variable"/>
    <w:sig w:usb0="E0002AFF" w:usb1="C0007843" w:usb2="00000009" w:usb3="00000000" w:csb0="000001FF" w:csb1="00000000"/>
  </w:font>
  <w:font w:name="MyriadPro-Cond">
    <w:altName w:val="Arial Unicode MS"/>
    <w:panose1 w:val="00000000000000000000"/>
    <w:charset w:val="80"/>
    <w:family w:val="swiss"/>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inionPro-Regular">
    <w:altName w:val="Cambria"/>
    <w:panose1 w:val="00000000000000000000"/>
    <w:charset w:val="00"/>
    <w:family w:val="auto"/>
    <w:notTrueType/>
    <w:pitch w:val="default"/>
    <w:sig w:usb0="00000003" w:usb1="00000000" w:usb2="00000000" w:usb3="00000000" w:csb0="00000001" w:csb1="00000000"/>
  </w:font>
  <w:font w:name="MinionPro-SemiboldIt">
    <w:altName w:val="MS Gothic"/>
    <w:panose1 w:val="00000000000000000000"/>
    <w:charset w:val="80"/>
    <w:family w:val="roman"/>
    <w:notTrueType/>
    <w:pitch w:val="default"/>
    <w:sig w:usb0="00000000" w:usb1="08070000" w:usb2="00000010" w:usb3="00000000" w:csb0="00020000" w:csb1="00000000"/>
  </w:font>
  <w:font w:name="MyriadPro-BoldCond">
    <w:altName w:val="MS Gothic"/>
    <w:panose1 w:val="00000000000000000000"/>
    <w:charset w:val="80"/>
    <w:family w:val="auto"/>
    <w:notTrueType/>
    <w:pitch w:val="default"/>
    <w:sig w:usb0="00000001" w:usb1="08070000" w:usb2="00000010" w:usb3="00000000" w:csb0="00020000"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63230" w14:textId="77777777" w:rsidR="00E86E20" w:rsidRDefault="00E86E20" w:rsidP="001013AF">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5BBA4" w14:textId="77777777" w:rsidR="00E86E20" w:rsidRDefault="00E86E20" w:rsidP="001013AF">
    <w:pPr>
      <w:pStyle w:val="Footer"/>
      <w:tabs>
        <w:tab w:val="clear" w:pos="4320"/>
        <w:tab w:val="clear" w:pos="8640"/>
      </w:tabs>
      <w:kinsoku w:val="0"/>
      <w:overflowPunct w:val="0"/>
      <w:autoSpaceDE w:val="0"/>
      <w:autoSpaceDN w:val="0"/>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4F77B" w14:textId="77777777" w:rsidR="00E86E20" w:rsidRDefault="00E86E20" w:rsidP="001013AF">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00407" w14:textId="77777777" w:rsidR="00E86E20" w:rsidRDefault="00E86E20">
      <w:r>
        <w:separator/>
      </w:r>
    </w:p>
  </w:footnote>
  <w:footnote w:type="continuationSeparator" w:id="0">
    <w:p w14:paraId="4C9ECDB6" w14:textId="77777777" w:rsidR="00E86E20" w:rsidRDefault="00E86E20">
      <w:r>
        <w:continuationSeparator/>
      </w:r>
    </w:p>
  </w:footnote>
  <w:footnote w:id="1">
    <w:p w14:paraId="6D884DE9" w14:textId="72602FBD" w:rsidR="00E86E20" w:rsidRPr="001013AF" w:rsidRDefault="00E86E20" w:rsidP="001013AF">
      <w:pPr>
        <w:pStyle w:val="FootnoteText"/>
        <w:kinsoku w:val="0"/>
        <w:overflowPunct w:val="0"/>
        <w:autoSpaceDE w:val="0"/>
        <w:autoSpaceDN w:val="0"/>
        <w:ind w:firstLine="0"/>
        <w:jc w:val="left"/>
        <w:rPr>
          <w:kern w:val="18"/>
          <w:lang w:eastAsia="ko-KR"/>
        </w:rPr>
      </w:pPr>
      <w:r w:rsidRPr="001013AF">
        <w:rPr>
          <w:rStyle w:val="FootnoteReference"/>
          <w:kern w:val="18"/>
          <w:u w:val="none"/>
          <w:vertAlign w:val="superscript"/>
        </w:rPr>
        <w:footnoteRef/>
      </w:r>
      <w:r w:rsidRPr="001013AF">
        <w:rPr>
          <w:kern w:val="18"/>
        </w:rPr>
        <w:t xml:space="preserve"> The designations employed and the presentation of material in this note do not imply the expression of any opinion whatsoever on the part of the Secretariat concerning the legal status of any country, territory, city or area or of its authorities, or concerning the delimitation of its frontiers or boundaries.</w:t>
      </w:r>
    </w:p>
  </w:footnote>
  <w:footnote w:id="2">
    <w:p w14:paraId="72B14B6A" w14:textId="5D0B3264" w:rsidR="00E86E20" w:rsidRPr="001013AF" w:rsidRDefault="00E86E20" w:rsidP="001013AF">
      <w:pPr>
        <w:pStyle w:val="FootnoteText"/>
        <w:kinsoku w:val="0"/>
        <w:overflowPunct w:val="0"/>
        <w:autoSpaceDE w:val="0"/>
        <w:autoSpaceDN w:val="0"/>
        <w:ind w:firstLine="0"/>
        <w:jc w:val="left"/>
        <w:rPr>
          <w:kern w:val="18"/>
        </w:rPr>
      </w:pPr>
      <w:r w:rsidRPr="00CC3D66">
        <w:rPr>
          <w:rStyle w:val="FootnoteReference"/>
          <w:kern w:val="18"/>
          <w:u w:val="none"/>
          <w:vertAlign w:val="superscript"/>
        </w:rPr>
        <w:footnoteRef/>
      </w:r>
      <w:r w:rsidRPr="00CC3D66">
        <w:rPr>
          <w:kern w:val="18"/>
        </w:rPr>
        <w:t xml:space="preserve"> </w:t>
      </w:r>
      <w:r w:rsidRPr="001013AF">
        <w:rPr>
          <w:kern w:val="18"/>
        </w:rPr>
        <w:t>Participants were also provided with a webinar training session prior to the workshop, on 13 April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73900909"/>
      <w:placeholder>
        <w:docPart w:val="B6F8E172F96546B0BDCE1FCB1788EC70"/>
      </w:placeholder>
      <w:dataBinding w:prefixMappings="xmlns:ns0='http://purl.org/dc/elements/1.1/' xmlns:ns1='http://schemas.openxmlformats.org/package/2006/metadata/core-properties' " w:xpath="/ns1:coreProperties[1]/ns0:subject[1]" w:storeItemID="{6C3C8BC8-F283-45AE-878A-BAB7291924A1}"/>
      <w:text/>
    </w:sdtPr>
    <w:sdtEndPr/>
    <w:sdtContent>
      <w:p w14:paraId="2BA33F5D" w14:textId="0DE01288" w:rsidR="00E86E20" w:rsidRPr="001013AF" w:rsidRDefault="00E86E20" w:rsidP="001013AF">
        <w:pPr>
          <w:pStyle w:val="Header"/>
          <w:tabs>
            <w:tab w:val="clear" w:pos="4320"/>
            <w:tab w:val="clear" w:pos="8640"/>
          </w:tabs>
          <w:kinsoku w:val="0"/>
          <w:overflowPunct w:val="0"/>
          <w:autoSpaceDE w:val="0"/>
          <w:autoSpaceDN w:val="0"/>
          <w:jc w:val="left"/>
          <w:rPr>
            <w:noProof/>
            <w:kern w:val="22"/>
          </w:rPr>
        </w:pPr>
        <w:r w:rsidRPr="001013AF">
          <w:rPr>
            <w:noProof/>
            <w:kern w:val="22"/>
          </w:rPr>
          <w:t>CBD/EBSA/WS/2017/1/4</w:t>
        </w:r>
      </w:p>
    </w:sdtContent>
  </w:sdt>
  <w:p w14:paraId="68339A3C" w14:textId="5AC5470B" w:rsidR="00E86E20" w:rsidRPr="001013AF" w:rsidRDefault="00E86E20" w:rsidP="001013AF">
    <w:pPr>
      <w:pStyle w:val="Header"/>
      <w:tabs>
        <w:tab w:val="clear" w:pos="4320"/>
        <w:tab w:val="clear" w:pos="8640"/>
      </w:tabs>
      <w:kinsoku w:val="0"/>
      <w:overflowPunct w:val="0"/>
      <w:autoSpaceDE w:val="0"/>
      <w:autoSpaceDN w:val="0"/>
      <w:jc w:val="left"/>
      <w:rPr>
        <w:noProof/>
        <w:kern w:val="22"/>
      </w:rPr>
    </w:pPr>
    <w:r w:rsidRPr="001013AF">
      <w:rPr>
        <w:noProof/>
        <w:kern w:val="22"/>
      </w:rPr>
      <w:t xml:space="preserve">Page </w:t>
    </w:r>
    <w:r w:rsidRPr="001013AF">
      <w:rPr>
        <w:noProof/>
        <w:kern w:val="22"/>
      </w:rPr>
      <w:fldChar w:fldCharType="begin"/>
    </w:r>
    <w:r w:rsidRPr="001013AF">
      <w:rPr>
        <w:noProof/>
        <w:kern w:val="22"/>
      </w:rPr>
      <w:instrText xml:space="preserve"> PAGE   \* MERGEFORMAT </w:instrText>
    </w:r>
    <w:r w:rsidRPr="001013AF">
      <w:rPr>
        <w:noProof/>
        <w:kern w:val="22"/>
      </w:rPr>
      <w:fldChar w:fldCharType="separate"/>
    </w:r>
    <w:r w:rsidR="00E7219D">
      <w:rPr>
        <w:noProof/>
        <w:kern w:val="22"/>
      </w:rPr>
      <w:t>2</w:t>
    </w:r>
    <w:r w:rsidRPr="001013AF">
      <w:rPr>
        <w:noProof/>
        <w:kern w:val="22"/>
      </w:rPr>
      <w:fldChar w:fldCharType="end"/>
    </w:r>
  </w:p>
  <w:p w14:paraId="0F01D572" w14:textId="77777777" w:rsidR="00E86E20" w:rsidRPr="001013AF" w:rsidRDefault="00E86E20" w:rsidP="001013AF">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rPr>
      <w:alias w:val="Subject"/>
      <w:tag w:val=""/>
      <w:id w:val="-723140628"/>
      <w:placeholder>
        <w:docPart w:val="6CBB52D073D14C08B2E3B8991EFF2A79"/>
      </w:placeholder>
      <w:dataBinding w:prefixMappings="xmlns:ns0='http://purl.org/dc/elements/1.1/' xmlns:ns1='http://schemas.openxmlformats.org/package/2006/metadata/core-properties' " w:xpath="/ns1:coreProperties[1]/ns0:subject[1]" w:storeItemID="{6C3C8BC8-F283-45AE-878A-BAB7291924A1}"/>
      <w:text/>
    </w:sdtPr>
    <w:sdtEndPr/>
    <w:sdtContent>
      <w:p w14:paraId="14C10E3A" w14:textId="77777777" w:rsidR="00E86E20" w:rsidRPr="001013AF" w:rsidRDefault="00E86E20" w:rsidP="001013AF">
        <w:pPr>
          <w:pStyle w:val="Header"/>
          <w:tabs>
            <w:tab w:val="clear" w:pos="4320"/>
            <w:tab w:val="clear" w:pos="8640"/>
          </w:tabs>
          <w:kinsoku w:val="0"/>
          <w:overflowPunct w:val="0"/>
          <w:autoSpaceDE w:val="0"/>
          <w:autoSpaceDN w:val="0"/>
          <w:jc w:val="right"/>
          <w:rPr>
            <w:kern w:val="22"/>
          </w:rPr>
        </w:pPr>
        <w:r w:rsidRPr="001013AF">
          <w:rPr>
            <w:kern w:val="22"/>
          </w:rPr>
          <w:t>CBD/EBSA/WS/2017/1/4</w:t>
        </w:r>
      </w:p>
    </w:sdtContent>
  </w:sdt>
  <w:p w14:paraId="32690138" w14:textId="231E7CD9" w:rsidR="00E86E20" w:rsidRPr="001013AF" w:rsidRDefault="00E86E20" w:rsidP="001013AF">
    <w:pPr>
      <w:pStyle w:val="Header"/>
      <w:tabs>
        <w:tab w:val="clear" w:pos="4320"/>
        <w:tab w:val="clear" w:pos="8640"/>
      </w:tabs>
      <w:kinsoku w:val="0"/>
      <w:overflowPunct w:val="0"/>
      <w:autoSpaceDE w:val="0"/>
      <w:autoSpaceDN w:val="0"/>
      <w:jc w:val="right"/>
      <w:rPr>
        <w:noProof/>
        <w:kern w:val="22"/>
      </w:rPr>
    </w:pPr>
    <w:r w:rsidRPr="001013AF">
      <w:rPr>
        <w:kern w:val="22"/>
      </w:rPr>
      <w:t xml:space="preserve">Page </w:t>
    </w:r>
    <w:r w:rsidRPr="001013AF">
      <w:rPr>
        <w:kern w:val="22"/>
      </w:rPr>
      <w:fldChar w:fldCharType="begin"/>
    </w:r>
    <w:r w:rsidRPr="001013AF">
      <w:rPr>
        <w:kern w:val="22"/>
      </w:rPr>
      <w:instrText xml:space="preserve"> PAGE   \* MERGEFORMAT </w:instrText>
    </w:r>
    <w:r w:rsidRPr="001013AF">
      <w:rPr>
        <w:kern w:val="22"/>
      </w:rPr>
      <w:fldChar w:fldCharType="separate"/>
    </w:r>
    <w:r w:rsidR="00E7219D">
      <w:rPr>
        <w:noProof/>
        <w:kern w:val="22"/>
      </w:rPr>
      <w:t>69</w:t>
    </w:r>
    <w:r w:rsidRPr="001013AF">
      <w:rPr>
        <w:noProof/>
        <w:kern w:val="22"/>
      </w:rPr>
      <w:fldChar w:fldCharType="end"/>
    </w:r>
  </w:p>
  <w:p w14:paraId="37DEEA19" w14:textId="77777777" w:rsidR="00E86E20" w:rsidRPr="001013AF" w:rsidRDefault="00E86E20" w:rsidP="001013AF">
    <w:pPr>
      <w:pStyle w:val="Header"/>
      <w:tabs>
        <w:tab w:val="clear" w:pos="4320"/>
        <w:tab w:val="clear" w:pos="8640"/>
      </w:tabs>
      <w:kinsoku w:val="0"/>
      <w:overflowPunct w:val="0"/>
      <w:autoSpaceDE w:val="0"/>
      <w:autoSpaceDN w:val="0"/>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10FD"/>
    <w:multiLevelType w:val="hybridMultilevel"/>
    <w:tmpl w:val="E9AAD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873E0"/>
    <w:multiLevelType w:val="hybridMultilevel"/>
    <w:tmpl w:val="DB0E4234"/>
    <w:lvl w:ilvl="0" w:tplc="55EA6B4A">
      <w:start w:val="1"/>
      <w:numFmt w:val="decimal"/>
      <w:lvlText w:val="%1."/>
      <w:lvlJc w:val="left"/>
      <w:pPr>
        <w:ind w:left="644"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9109FD"/>
    <w:multiLevelType w:val="hybridMultilevel"/>
    <w:tmpl w:val="EA324454"/>
    <w:lvl w:ilvl="0" w:tplc="A9A836B0">
      <w:start w:val="1"/>
      <w:numFmt w:val="decimal"/>
      <w:lvlText w:val="%1."/>
      <w:lvlJc w:val="left"/>
      <w:pPr>
        <w:ind w:left="360" w:hanging="360"/>
      </w:pPr>
      <w:rPr>
        <w:rFonts w:ascii="yandex-sans" w:hAnsi="yandex-sans" w:hint="default"/>
        <w:b w:val="0"/>
        <w:color w:val="000000"/>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573E41"/>
    <w:multiLevelType w:val="hybridMultilevel"/>
    <w:tmpl w:val="67802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CC3998"/>
    <w:multiLevelType w:val="hybridMultilevel"/>
    <w:tmpl w:val="BD806092"/>
    <w:lvl w:ilvl="0" w:tplc="5848439E">
      <w:start w:val="1"/>
      <w:numFmt w:val="decimal"/>
      <w:lvlText w:val="%1."/>
      <w:lvlJc w:val="left"/>
      <w:pPr>
        <w:ind w:left="1440" w:hanging="360"/>
      </w:pPr>
      <w:rPr>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B630C08"/>
    <w:multiLevelType w:val="hybridMultilevel"/>
    <w:tmpl w:val="5BD68494"/>
    <w:lvl w:ilvl="0" w:tplc="CAB40D4C">
      <w:start w:val="1"/>
      <w:numFmt w:val="lowerLetter"/>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B06594"/>
    <w:multiLevelType w:val="hybridMultilevel"/>
    <w:tmpl w:val="9C808C2A"/>
    <w:lvl w:ilvl="0" w:tplc="648CAD66">
      <w:start w:val="1"/>
      <w:numFmt w:val="bullet"/>
      <w:lvlText w:val=""/>
      <w:lvlJc w:val="left"/>
      <w:pPr>
        <w:ind w:left="720" w:hanging="360"/>
      </w:pPr>
      <w:rPr>
        <w:rFonts w:ascii="Wingdings" w:hAnsi="Wingdings" w:hint="default"/>
      </w:rPr>
    </w:lvl>
    <w:lvl w:ilvl="1" w:tplc="BA16822C">
      <w:start w:val="10"/>
      <w:numFmt w:val="bullet"/>
      <w:lvlText w:val="-"/>
      <w:lvlJc w:val="left"/>
      <w:pPr>
        <w:ind w:left="1800" w:hanging="720"/>
      </w:pPr>
      <w:rPr>
        <w:rFonts w:ascii="Times New Roman" w:eastAsia="Batang"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F0773F"/>
    <w:multiLevelType w:val="hybridMultilevel"/>
    <w:tmpl w:val="D8EEB2A8"/>
    <w:lvl w:ilvl="0" w:tplc="648CAD6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160CF8"/>
    <w:multiLevelType w:val="singleLevel"/>
    <w:tmpl w:val="CD3C32E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9" w15:restartNumberingAfterBreak="0">
    <w:nsid w:val="1D783531"/>
    <w:multiLevelType w:val="hybridMultilevel"/>
    <w:tmpl w:val="87BE1E00"/>
    <w:lvl w:ilvl="0" w:tplc="0F767F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405711"/>
    <w:multiLevelType w:val="multilevel"/>
    <w:tmpl w:val="7CB82F6A"/>
    <w:lvl w:ilvl="0">
      <w:start w:val="1"/>
      <w:numFmt w:val="upperRoman"/>
      <w:pStyle w:val="Annex"/>
      <w:lvlText w:val="Annex %1."/>
      <w:lvlJc w:val="left"/>
      <w:pPr>
        <w:tabs>
          <w:tab w:val="num" w:pos="360"/>
        </w:tabs>
        <w:ind w:left="0" w:firstLine="0"/>
      </w:pPr>
      <w:rPr>
        <w:rFonts w:ascii="Arial" w:hAnsi="Arial" w:hint="default"/>
        <w:b/>
        <w:i w:val="0"/>
        <w:sz w:val="28"/>
        <w:szCs w:val="28"/>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2785553B"/>
    <w:multiLevelType w:val="hybridMultilevel"/>
    <w:tmpl w:val="71C2BFE0"/>
    <w:lvl w:ilvl="0" w:tplc="292E4842">
      <w:numFmt w:val="bullet"/>
      <w:lvlText w:val=""/>
      <w:lvlJc w:val="left"/>
      <w:pPr>
        <w:ind w:left="1080" w:hanging="360"/>
      </w:pPr>
      <w:rPr>
        <w:rFonts w:ascii="Symbol" w:eastAsia="Batang"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90D0DCA"/>
    <w:multiLevelType w:val="hybridMultilevel"/>
    <w:tmpl w:val="71FA1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DD46FC"/>
    <w:multiLevelType w:val="hybridMultilevel"/>
    <w:tmpl w:val="58B6AF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A345448"/>
    <w:multiLevelType w:val="hybridMultilevel"/>
    <w:tmpl w:val="4A10AFA8"/>
    <w:lvl w:ilvl="0" w:tplc="CAB40D4C">
      <w:start w:val="1"/>
      <w:numFmt w:val="lowerLetter"/>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1872BC"/>
    <w:multiLevelType w:val="hybridMultilevel"/>
    <w:tmpl w:val="47F01780"/>
    <w:lvl w:ilvl="0" w:tplc="0419000F">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2D2D5C87"/>
    <w:multiLevelType w:val="hybridMultilevel"/>
    <w:tmpl w:val="BD6095BC"/>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A13E92"/>
    <w:multiLevelType w:val="hybridMultilevel"/>
    <w:tmpl w:val="7036485C"/>
    <w:lvl w:ilvl="0" w:tplc="CAB40D4C">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17225EA"/>
    <w:multiLevelType w:val="hybridMultilevel"/>
    <w:tmpl w:val="59220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DA3819"/>
    <w:multiLevelType w:val="hybridMultilevel"/>
    <w:tmpl w:val="8E8CF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7E4E5B"/>
    <w:multiLevelType w:val="hybridMultilevel"/>
    <w:tmpl w:val="91725C18"/>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2" w15:restartNumberingAfterBreak="0">
    <w:nsid w:val="32F46D4F"/>
    <w:multiLevelType w:val="hybridMultilevel"/>
    <w:tmpl w:val="7B84D2CC"/>
    <w:lvl w:ilvl="0" w:tplc="185AAE3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626531"/>
    <w:multiLevelType w:val="hybridMultilevel"/>
    <w:tmpl w:val="458A1F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D9369EE"/>
    <w:multiLevelType w:val="multilevel"/>
    <w:tmpl w:val="4216B15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5" w15:restartNumberingAfterBreak="0">
    <w:nsid w:val="3D9C4522"/>
    <w:multiLevelType w:val="hybridMultilevel"/>
    <w:tmpl w:val="D848E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92797F"/>
    <w:multiLevelType w:val="hybridMultilevel"/>
    <w:tmpl w:val="8C168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C63F5A"/>
    <w:multiLevelType w:val="hybridMultilevel"/>
    <w:tmpl w:val="AFDAB1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6877B27"/>
    <w:multiLevelType w:val="hybridMultilevel"/>
    <w:tmpl w:val="A0660FFC"/>
    <w:lvl w:ilvl="0" w:tplc="2774E028">
      <w:start w:val="1"/>
      <w:numFmt w:val="decimal"/>
      <w:pStyle w:val="NumberedParas"/>
      <w:lvlText w:val="%1."/>
      <w:lvlJc w:val="left"/>
      <w:pPr>
        <w:ind w:left="5606" w:hanging="360"/>
      </w:pPr>
      <w:rPr>
        <w:rFonts w:ascii="Times New Roman" w:hAnsi="Times New Roman" w:hint="default"/>
        <w:b w:val="0"/>
        <w:i w:val="0"/>
        <w:caps w:val="0"/>
        <w:strike w:val="0"/>
        <w:dstrike w:val="0"/>
        <w:vanish w:val="0"/>
        <w:color w:val="000000"/>
        <w:sz w:val="22"/>
        <w:szCs w:val="22"/>
        <w:vertAlign w:val="baseline"/>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02A2C73"/>
    <w:multiLevelType w:val="hybridMultilevel"/>
    <w:tmpl w:val="A3100B6E"/>
    <w:lvl w:ilvl="0" w:tplc="0409000F">
      <w:start w:val="1"/>
      <w:numFmt w:val="decimal"/>
      <w:lvlText w:val="%1."/>
      <w:lvlJc w:val="left"/>
      <w:pPr>
        <w:ind w:left="6740" w:hanging="360"/>
      </w:pPr>
      <w:rPr>
        <w:rFonts w:hint="default"/>
      </w:rPr>
    </w:lvl>
    <w:lvl w:ilvl="1" w:tplc="0409001B">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2A10B2"/>
    <w:multiLevelType w:val="hybridMultilevel"/>
    <w:tmpl w:val="58B4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0D73A5"/>
    <w:multiLevelType w:val="hybridMultilevel"/>
    <w:tmpl w:val="8F3A0A8E"/>
    <w:lvl w:ilvl="0" w:tplc="CAB40D4C">
      <w:start w:val="1"/>
      <w:numFmt w:val="lowerLetter"/>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F64E30"/>
    <w:multiLevelType w:val="hybridMultilevel"/>
    <w:tmpl w:val="8A542490"/>
    <w:lvl w:ilvl="0" w:tplc="470C13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5733CC"/>
    <w:multiLevelType w:val="hybridMultilevel"/>
    <w:tmpl w:val="AB486D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4D57F5"/>
    <w:multiLevelType w:val="hybridMultilevel"/>
    <w:tmpl w:val="523AF2BE"/>
    <w:lvl w:ilvl="0" w:tplc="CAB40D4C">
      <w:start w:val="1"/>
      <w:numFmt w:val="lowerLetter"/>
      <w:lvlText w:val="(%1)"/>
      <w:lvlJc w:val="left"/>
      <w:pPr>
        <w:ind w:left="720" w:hanging="360"/>
      </w:pPr>
      <w:rPr>
        <w:rFonts w:hint="default"/>
        <w:b w:val="0"/>
      </w:rPr>
    </w:lvl>
    <w:lvl w:ilvl="1" w:tplc="FA9E34B0">
      <w:numFmt w:val="bullet"/>
      <w:lvlText w:val="•"/>
      <w:lvlJc w:val="left"/>
      <w:pPr>
        <w:ind w:left="1860" w:hanging="780"/>
      </w:pPr>
      <w:rPr>
        <w:rFonts w:ascii="Batang" w:eastAsia="Batang" w:hAnsi="Batang" w:cs="Times New Roman" w:hint="eastAsi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B23CBF"/>
    <w:multiLevelType w:val="hybridMultilevel"/>
    <w:tmpl w:val="55365996"/>
    <w:lvl w:ilvl="0" w:tplc="470C13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AE61D8"/>
    <w:multiLevelType w:val="hybridMultilevel"/>
    <w:tmpl w:val="BC408522"/>
    <w:lvl w:ilvl="0" w:tplc="470C13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43473F"/>
    <w:multiLevelType w:val="hybridMultilevel"/>
    <w:tmpl w:val="168C722C"/>
    <w:lvl w:ilvl="0" w:tplc="04090001">
      <w:start w:val="1"/>
      <w:numFmt w:val="bullet"/>
      <w:lvlText w:val=""/>
      <w:lvlJc w:val="left"/>
      <w:pPr>
        <w:ind w:left="1080" w:hanging="360"/>
      </w:pPr>
      <w:rPr>
        <w:rFonts w:ascii="Symbol" w:hAnsi="Symbol" w:hint="default"/>
      </w:rPr>
    </w:lvl>
    <w:lvl w:ilvl="1" w:tplc="4718F17E">
      <w:start w:val="1"/>
      <w:numFmt w:val="lowerRoman"/>
      <w:lvlText w:val="(%2)"/>
      <w:lvlJc w:val="righ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36B1934"/>
    <w:multiLevelType w:val="hybridMultilevel"/>
    <w:tmpl w:val="C9EC1D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DB4E47"/>
    <w:multiLevelType w:val="hybridMultilevel"/>
    <w:tmpl w:val="9738D6FC"/>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8"/>
  </w:num>
  <w:num w:numId="3">
    <w:abstractNumId w:val="30"/>
  </w:num>
  <w:num w:numId="4">
    <w:abstractNumId w:val="29"/>
  </w:num>
  <w:num w:numId="5">
    <w:abstractNumId w:val="31"/>
  </w:num>
  <w:num w:numId="6">
    <w:abstractNumId w:val="10"/>
  </w:num>
  <w:num w:numId="7">
    <w:abstractNumId w:val="9"/>
  </w:num>
  <w:num w:numId="8">
    <w:abstractNumId w:val="3"/>
  </w:num>
  <w:num w:numId="9">
    <w:abstractNumId w:val="23"/>
  </w:num>
  <w:num w:numId="10">
    <w:abstractNumId w:val="6"/>
  </w:num>
  <w:num w:numId="11">
    <w:abstractNumId w:val="25"/>
  </w:num>
  <w:num w:numId="12">
    <w:abstractNumId w:val="26"/>
  </w:num>
  <w:num w:numId="13">
    <w:abstractNumId w:val="7"/>
  </w:num>
  <w:num w:numId="14">
    <w:abstractNumId w:val="13"/>
  </w:num>
  <w:num w:numId="15">
    <w:abstractNumId w:val="12"/>
  </w:num>
  <w:num w:numId="16">
    <w:abstractNumId w:val="24"/>
  </w:num>
  <w:num w:numId="17">
    <w:abstractNumId w:val="21"/>
  </w:num>
  <w:num w:numId="18">
    <w:abstractNumId w:val="40"/>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1"/>
  </w:num>
  <w:num w:numId="22">
    <w:abstractNumId w:val="22"/>
  </w:num>
  <w:num w:numId="23">
    <w:abstractNumId w:val="28"/>
  </w:num>
  <w:num w:numId="24">
    <w:abstractNumId w:val="19"/>
  </w:num>
  <w:num w:numId="25">
    <w:abstractNumId w:val="2"/>
  </w:num>
  <w:num w:numId="26">
    <w:abstractNumId w:val="4"/>
  </w:num>
  <w:num w:numId="27">
    <w:abstractNumId w:val="15"/>
  </w:num>
  <w:num w:numId="28">
    <w:abstractNumId w:val="0"/>
  </w:num>
  <w:num w:numId="29">
    <w:abstractNumId w:val="20"/>
  </w:num>
  <w:num w:numId="30">
    <w:abstractNumId w:val="32"/>
  </w:num>
  <w:num w:numId="31">
    <w:abstractNumId w:val="34"/>
  </w:num>
  <w:num w:numId="32">
    <w:abstractNumId w:val="38"/>
  </w:num>
  <w:num w:numId="33">
    <w:abstractNumId w:val="37"/>
  </w:num>
  <w:num w:numId="34">
    <w:abstractNumId w:val="41"/>
  </w:num>
  <w:num w:numId="35">
    <w:abstractNumId w:val="36"/>
  </w:num>
  <w:num w:numId="36">
    <w:abstractNumId w:val="16"/>
  </w:num>
  <w:num w:numId="37">
    <w:abstractNumId w:val="17"/>
  </w:num>
  <w:num w:numId="38">
    <w:abstractNumId w:val="11"/>
  </w:num>
  <w:num w:numId="39">
    <w:abstractNumId w:val="39"/>
  </w:num>
  <w:num w:numId="40">
    <w:abstractNumId w:val="5"/>
  </w:num>
  <w:num w:numId="41">
    <w:abstractNumId w:val="14"/>
  </w:num>
  <w:num w:numId="42">
    <w:abstractNumId w:val="3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345"/>
    <w:rsid w:val="00000FCF"/>
    <w:rsid w:val="00001294"/>
    <w:rsid w:val="00001DD8"/>
    <w:rsid w:val="00003320"/>
    <w:rsid w:val="0000353A"/>
    <w:rsid w:val="000049DD"/>
    <w:rsid w:val="00005A32"/>
    <w:rsid w:val="00006989"/>
    <w:rsid w:val="0001025D"/>
    <w:rsid w:val="0001123D"/>
    <w:rsid w:val="00011F2F"/>
    <w:rsid w:val="000121D4"/>
    <w:rsid w:val="000125C4"/>
    <w:rsid w:val="00012938"/>
    <w:rsid w:val="00012F8A"/>
    <w:rsid w:val="00014338"/>
    <w:rsid w:val="000143B0"/>
    <w:rsid w:val="00014504"/>
    <w:rsid w:val="00015612"/>
    <w:rsid w:val="00016377"/>
    <w:rsid w:val="000167BD"/>
    <w:rsid w:val="00020083"/>
    <w:rsid w:val="0002125E"/>
    <w:rsid w:val="000216BF"/>
    <w:rsid w:val="00021B39"/>
    <w:rsid w:val="00021C1A"/>
    <w:rsid w:val="0002259E"/>
    <w:rsid w:val="00022710"/>
    <w:rsid w:val="000239E2"/>
    <w:rsid w:val="0002593A"/>
    <w:rsid w:val="00026367"/>
    <w:rsid w:val="0002778A"/>
    <w:rsid w:val="0003143F"/>
    <w:rsid w:val="00033A80"/>
    <w:rsid w:val="000363FA"/>
    <w:rsid w:val="000377C2"/>
    <w:rsid w:val="00037C1C"/>
    <w:rsid w:val="0004001F"/>
    <w:rsid w:val="00041C70"/>
    <w:rsid w:val="00042969"/>
    <w:rsid w:val="000440C4"/>
    <w:rsid w:val="00047874"/>
    <w:rsid w:val="00050458"/>
    <w:rsid w:val="00050E57"/>
    <w:rsid w:val="000510FC"/>
    <w:rsid w:val="000512A9"/>
    <w:rsid w:val="0005210D"/>
    <w:rsid w:val="00054027"/>
    <w:rsid w:val="000544FD"/>
    <w:rsid w:val="0005462B"/>
    <w:rsid w:val="00054869"/>
    <w:rsid w:val="0005539E"/>
    <w:rsid w:val="000559B2"/>
    <w:rsid w:val="00057C33"/>
    <w:rsid w:val="00060276"/>
    <w:rsid w:val="00060288"/>
    <w:rsid w:val="00061A61"/>
    <w:rsid w:val="00061D17"/>
    <w:rsid w:val="0006218F"/>
    <w:rsid w:val="00062206"/>
    <w:rsid w:val="000635B2"/>
    <w:rsid w:val="0006409D"/>
    <w:rsid w:val="00064A84"/>
    <w:rsid w:val="000659CD"/>
    <w:rsid w:val="00065ADA"/>
    <w:rsid w:val="0006630A"/>
    <w:rsid w:val="00067FA5"/>
    <w:rsid w:val="00070BBA"/>
    <w:rsid w:val="000716AB"/>
    <w:rsid w:val="00071846"/>
    <w:rsid w:val="00071E87"/>
    <w:rsid w:val="000730D7"/>
    <w:rsid w:val="0007365D"/>
    <w:rsid w:val="000737C1"/>
    <w:rsid w:val="00075AD2"/>
    <w:rsid w:val="00076315"/>
    <w:rsid w:val="0007665D"/>
    <w:rsid w:val="00076A32"/>
    <w:rsid w:val="00077D16"/>
    <w:rsid w:val="0008085E"/>
    <w:rsid w:val="00080C39"/>
    <w:rsid w:val="000816C8"/>
    <w:rsid w:val="00081AA3"/>
    <w:rsid w:val="00081C45"/>
    <w:rsid w:val="00082887"/>
    <w:rsid w:val="00083CBB"/>
    <w:rsid w:val="00085E4D"/>
    <w:rsid w:val="00086514"/>
    <w:rsid w:val="00087D3D"/>
    <w:rsid w:val="000906E9"/>
    <w:rsid w:val="0009070F"/>
    <w:rsid w:val="000920C5"/>
    <w:rsid w:val="000924A0"/>
    <w:rsid w:val="00092AC9"/>
    <w:rsid w:val="00092F3E"/>
    <w:rsid w:val="00094919"/>
    <w:rsid w:val="00094D67"/>
    <w:rsid w:val="0009705F"/>
    <w:rsid w:val="000A0B14"/>
    <w:rsid w:val="000A0BA1"/>
    <w:rsid w:val="000A12EE"/>
    <w:rsid w:val="000A1499"/>
    <w:rsid w:val="000A213B"/>
    <w:rsid w:val="000A3688"/>
    <w:rsid w:val="000A3B39"/>
    <w:rsid w:val="000A4727"/>
    <w:rsid w:val="000A4857"/>
    <w:rsid w:val="000A5029"/>
    <w:rsid w:val="000A5B7D"/>
    <w:rsid w:val="000A5D6B"/>
    <w:rsid w:val="000A6133"/>
    <w:rsid w:val="000A723C"/>
    <w:rsid w:val="000A7597"/>
    <w:rsid w:val="000A7CC8"/>
    <w:rsid w:val="000B04F2"/>
    <w:rsid w:val="000B08FF"/>
    <w:rsid w:val="000B0C37"/>
    <w:rsid w:val="000B222B"/>
    <w:rsid w:val="000B3231"/>
    <w:rsid w:val="000B37B7"/>
    <w:rsid w:val="000B38E5"/>
    <w:rsid w:val="000B46AD"/>
    <w:rsid w:val="000B4909"/>
    <w:rsid w:val="000B7319"/>
    <w:rsid w:val="000B73C3"/>
    <w:rsid w:val="000B7C81"/>
    <w:rsid w:val="000C14DF"/>
    <w:rsid w:val="000C1AD0"/>
    <w:rsid w:val="000C1FC0"/>
    <w:rsid w:val="000C2C50"/>
    <w:rsid w:val="000C3D98"/>
    <w:rsid w:val="000C3FED"/>
    <w:rsid w:val="000C40DB"/>
    <w:rsid w:val="000C4492"/>
    <w:rsid w:val="000C4719"/>
    <w:rsid w:val="000C547D"/>
    <w:rsid w:val="000C5ED1"/>
    <w:rsid w:val="000C6069"/>
    <w:rsid w:val="000C611C"/>
    <w:rsid w:val="000C774D"/>
    <w:rsid w:val="000D0435"/>
    <w:rsid w:val="000D049D"/>
    <w:rsid w:val="000D0668"/>
    <w:rsid w:val="000D12F9"/>
    <w:rsid w:val="000D142A"/>
    <w:rsid w:val="000D20FE"/>
    <w:rsid w:val="000D31EA"/>
    <w:rsid w:val="000D3437"/>
    <w:rsid w:val="000D6426"/>
    <w:rsid w:val="000D6999"/>
    <w:rsid w:val="000E1707"/>
    <w:rsid w:val="000E1FC6"/>
    <w:rsid w:val="000E5B6F"/>
    <w:rsid w:val="000E6D78"/>
    <w:rsid w:val="000E78DF"/>
    <w:rsid w:val="000F0DFD"/>
    <w:rsid w:val="000F1930"/>
    <w:rsid w:val="000F23C6"/>
    <w:rsid w:val="000F351C"/>
    <w:rsid w:val="000F3B28"/>
    <w:rsid w:val="000F4715"/>
    <w:rsid w:val="000F5C92"/>
    <w:rsid w:val="000F6680"/>
    <w:rsid w:val="000F680D"/>
    <w:rsid w:val="000F734D"/>
    <w:rsid w:val="000F7503"/>
    <w:rsid w:val="000F7D01"/>
    <w:rsid w:val="000F7E5B"/>
    <w:rsid w:val="001001DA"/>
    <w:rsid w:val="00100414"/>
    <w:rsid w:val="00100F57"/>
    <w:rsid w:val="001013AF"/>
    <w:rsid w:val="001022AE"/>
    <w:rsid w:val="0010251E"/>
    <w:rsid w:val="00103028"/>
    <w:rsid w:val="0010348B"/>
    <w:rsid w:val="00104341"/>
    <w:rsid w:val="00105930"/>
    <w:rsid w:val="00105BA8"/>
    <w:rsid w:val="00105CE4"/>
    <w:rsid w:val="001071EC"/>
    <w:rsid w:val="001109F3"/>
    <w:rsid w:val="00112500"/>
    <w:rsid w:val="00112909"/>
    <w:rsid w:val="00112FB2"/>
    <w:rsid w:val="001135C9"/>
    <w:rsid w:val="001138A1"/>
    <w:rsid w:val="00113A8E"/>
    <w:rsid w:val="00114820"/>
    <w:rsid w:val="00115474"/>
    <w:rsid w:val="001177F3"/>
    <w:rsid w:val="00117B32"/>
    <w:rsid w:val="0012077E"/>
    <w:rsid w:val="00120AEE"/>
    <w:rsid w:val="00120D76"/>
    <w:rsid w:val="00121FFD"/>
    <w:rsid w:val="0012228A"/>
    <w:rsid w:val="00122E3F"/>
    <w:rsid w:val="00124770"/>
    <w:rsid w:val="00125653"/>
    <w:rsid w:val="00125C04"/>
    <w:rsid w:val="001265AA"/>
    <w:rsid w:val="00126B86"/>
    <w:rsid w:val="00126F32"/>
    <w:rsid w:val="00130130"/>
    <w:rsid w:val="00130BAE"/>
    <w:rsid w:val="00130F61"/>
    <w:rsid w:val="001310E2"/>
    <w:rsid w:val="00131500"/>
    <w:rsid w:val="001316A9"/>
    <w:rsid w:val="001332AC"/>
    <w:rsid w:val="00133C40"/>
    <w:rsid w:val="00133D25"/>
    <w:rsid w:val="00134F7D"/>
    <w:rsid w:val="00135496"/>
    <w:rsid w:val="00135975"/>
    <w:rsid w:val="00135DC8"/>
    <w:rsid w:val="00136BE3"/>
    <w:rsid w:val="00136DE7"/>
    <w:rsid w:val="001373DF"/>
    <w:rsid w:val="00137CE2"/>
    <w:rsid w:val="00137F90"/>
    <w:rsid w:val="0014013E"/>
    <w:rsid w:val="00140CA4"/>
    <w:rsid w:val="001420EC"/>
    <w:rsid w:val="001426B2"/>
    <w:rsid w:val="001427BF"/>
    <w:rsid w:val="001442CB"/>
    <w:rsid w:val="00144D8E"/>
    <w:rsid w:val="00145F83"/>
    <w:rsid w:val="00146172"/>
    <w:rsid w:val="00146AA2"/>
    <w:rsid w:val="00150BE1"/>
    <w:rsid w:val="00151531"/>
    <w:rsid w:val="00151828"/>
    <w:rsid w:val="00152241"/>
    <w:rsid w:val="00153051"/>
    <w:rsid w:val="00153C6F"/>
    <w:rsid w:val="001541D6"/>
    <w:rsid w:val="00154CC9"/>
    <w:rsid w:val="001556BA"/>
    <w:rsid w:val="001557AD"/>
    <w:rsid w:val="00157C42"/>
    <w:rsid w:val="00157FA7"/>
    <w:rsid w:val="0016267F"/>
    <w:rsid w:val="00162EC3"/>
    <w:rsid w:val="001654C8"/>
    <w:rsid w:val="00165CF7"/>
    <w:rsid w:val="00166770"/>
    <w:rsid w:val="00167099"/>
    <w:rsid w:val="00167143"/>
    <w:rsid w:val="00170578"/>
    <w:rsid w:val="001716A3"/>
    <w:rsid w:val="00171879"/>
    <w:rsid w:val="0017212E"/>
    <w:rsid w:val="00172EB9"/>
    <w:rsid w:val="0017334A"/>
    <w:rsid w:val="00173522"/>
    <w:rsid w:val="0017393C"/>
    <w:rsid w:val="00175738"/>
    <w:rsid w:val="00175E89"/>
    <w:rsid w:val="00176186"/>
    <w:rsid w:val="001779FD"/>
    <w:rsid w:val="00177DC2"/>
    <w:rsid w:val="00180357"/>
    <w:rsid w:val="00180D07"/>
    <w:rsid w:val="00180DA7"/>
    <w:rsid w:val="0018104E"/>
    <w:rsid w:val="001811DE"/>
    <w:rsid w:val="00181CEE"/>
    <w:rsid w:val="00183A90"/>
    <w:rsid w:val="001841D4"/>
    <w:rsid w:val="00184508"/>
    <w:rsid w:val="00185235"/>
    <w:rsid w:val="0018569B"/>
    <w:rsid w:val="00185A24"/>
    <w:rsid w:val="00185AEF"/>
    <w:rsid w:val="0018680A"/>
    <w:rsid w:val="00187707"/>
    <w:rsid w:val="0018798D"/>
    <w:rsid w:val="00187D62"/>
    <w:rsid w:val="00192D29"/>
    <w:rsid w:val="00194259"/>
    <w:rsid w:val="00195393"/>
    <w:rsid w:val="00195B74"/>
    <w:rsid w:val="0019789B"/>
    <w:rsid w:val="001A01ED"/>
    <w:rsid w:val="001A0268"/>
    <w:rsid w:val="001A0E80"/>
    <w:rsid w:val="001A1551"/>
    <w:rsid w:val="001A197A"/>
    <w:rsid w:val="001A31A0"/>
    <w:rsid w:val="001A3B0A"/>
    <w:rsid w:val="001A3ECB"/>
    <w:rsid w:val="001A4105"/>
    <w:rsid w:val="001A5518"/>
    <w:rsid w:val="001A580B"/>
    <w:rsid w:val="001A68AD"/>
    <w:rsid w:val="001A6E2D"/>
    <w:rsid w:val="001A7956"/>
    <w:rsid w:val="001A7AD0"/>
    <w:rsid w:val="001B00B3"/>
    <w:rsid w:val="001B0C37"/>
    <w:rsid w:val="001B177C"/>
    <w:rsid w:val="001B2341"/>
    <w:rsid w:val="001B269A"/>
    <w:rsid w:val="001B52A5"/>
    <w:rsid w:val="001B67D5"/>
    <w:rsid w:val="001B73A7"/>
    <w:rsid w:val="001B77E8"/>
    <w:rsid w:val="001B7F2F"/>
    <w:rsid w:val="001C13AD"/>
    <w:rsid w:val="001C1ED8"/>
    <w:rsid w:val="001C26AF"/>
    <w:rsid w:val="001C2825"/>
    <w:rsid w:val="001C2E91"/>
    <w:rsid w:val="001C3864"/>
    <w:rsid w:val="001C3CA5"/>
    <w:rsid w:val="001C41BC"/>
    <w:rsid w:val="001C5B3D"/>
    <w:rsid w:val="001C67BD"/>
    <w:rsid w:val="001C6855"/>
    <w:rsid w:val="001C69CF"/>
    <w:rsid w:val="001C792A"/>
    <w:rsid w:val="001D1497"/>
    <w:rsid w:val="001D1504"/>
    <w:rsid w:val="001D209E"/>
    <w:rsid w:val="001D2379"/>
    <w:rsid w:val="001D340B"/>
    <w:rsid w:val="001D4ECF"/>
    <w:rsid w:val="001D5A56"/>
    <w:rsid w:val="001D5D87"/>
    <w:rsid w:val="001D6333"/>
    <w:rsid w:val="001E05BE"/>
    <w:rsid w:val="001E0E0E"/>
    <w:rsid w:val="001E1EB6"/>
    <w:rsid w:val="001E2DD0"/>
    <w:rsid w:val="001E39B6"/>
    <w:rsid w:val="001E44F9"/>
    <w:rsid w:val="001E491B"/>
    <w:rsid w:val="001E516D"/>
    <w:rsid w:val="001E5AE8"/>
    <w:rsid w:val="001E737F"/>
    <w:rsid w:val="001F0FF9"/>
    <w:rsid w:val="001F13F9"/>
    <w:rsid w:val="001F2914"/>
    <w:rsid w:val="001F3961"/>
    <w:rsid w:val="001F3A73"/>
    <w:rsid w:val="001F3ED7"/>
    <w:rsid w:val="001F4DD5"/>
    <w:rsid w:val="001F5099"/>
    <w:rsid w:val="001F6D3A"/>
    <w:rsid w:val="001F7E76"/>
    <w:rsid w:val="0020135A"/>
    <w:rsid w:val="002016AE"/>
    <w:rsid w:val="00201B96"/>
    <w:rsid w:val="0020392C"/>
    <w:rsid w:val="00203E8F"/>
    <w:rsid w:val="00204615"/>
    <w:rsid w:val="002053D4"/>
    <w:rsid w:val="002059AF"/>
    <w:rsid w:val="00206C92"/>
    <w:rsid w:val="00210C21"/>
    <w:rsid w:val="00211AD4"/>
    <w:rsid w:val="002124B4"/>
    <w:rsid w:val="002127A5"/>
    <w:rsid w:val="00212CCD"/>
    <w:rsid w:val="00212E88"/>
    <w:rsid w:val="00212F70"/>
    <w:rsid w:val="00213089"/>
    <w:rsid w:val="00213C07"/>
    <w:rsid w:val="002146AA"/>
    <w:rsid w:val="00214F43"/>
    <w:rsid w:val="00217E02"/>
    <w:rsid w:val="0022212C"/>
    <w:rsid w:val="002226E0"/>
    <w:rsid w:val="00224445"/>
    <w:rsid w:val="00225D5E"/>
    <w:rsid w:val="002301E4"/>
    <w:rsid w:val="0023104A"/>
    <w:rsid w:val="00231452"/>
    <w:rsid w:val="002319AE"/>
    <w:rsid w:val="00231A81"/>
    <w:rsid w:val="00231D05"/>
    <w:rsid w:val="0023298E"/>
    <w:rsid w:val="002334ED"/>
    <w:rsid w:val="00234472"/>
    <w:rsid w:val="002354A0"/>
    <w:rsid w:val="0023641B"/>
    <w:rsid w:val="0024079D"/>
    <w:rsid w:val="00240F55"/>
    <w:rsid w:val="00241173"/>
    <w:rsid w:val="002414EE"/>
    <w:rsid w:val="00241936"/>
    <w:rsid w:val="00242637"/>
    <w:rsid w:val="00242A95"/>
    <w:rsid w:val="002433FB"/>
    <w:rsid w:val="002435BF"/>
    <w:rsid w:val="00245B80"/>
    <w:rsid w:val="00247241"/>
    <w:rsid w:val="0024767A"/>
    <w:rsid w:val="00250545"/>
    <w:rsid w:val="00251EA7"/>
    <w:rsid w:val="0025316C"/>
    <w:rsid w:val="002537BB"/>
    <w:rsid w:val="00254021"/>
    <w:rsid w:val="0025437F"/>
    <w:rsid w:val="002559A5"/>
    <w:rsid w:val="00255DCD"/>
    <w:rsid w:val="0025781A"/>
    <w:rsid w:val="0026025E"/>
    <w:rsid w:val="0026044E"/>
    <w:rsid w:val="0026201F"/>
    <w:rsid w:val="00262FBC"/>
    <w:rsid w:val="00263CF4"/>
    <w:rsid w:val="0026447F"/>
    <w:rsid w:val="00266387"/>
    <w:rsid w:val="0026735C"/>
    <w:rsid w:val="00267A27"/>
    <w:rsid w:val="002700F3"/>
    <w:rsid w:val="00270298"/>
    <w:rsid w:val="0027260B"/>
    <w:rsid w:val="00273038"/>
    <w:rsid w:val="00273842"/>
    <w:rsid w:val="002745BF"/>
    <w:rsid w:val="00274FBB"/>
    <w:rsid w:val="00275168"/>
    <w:rsid w:val="002751C2"/>
    <w:rsid w:val="002761F8"/>
    <w:rsid w:val="00277A44"/>
    <w:rsid w:val="00277CF4"/>
    <w:rsid w:val="0028076C"/>
    <w:rsid w:val="002837DA"/>
    <w:rsid w:val="0028411E"/>
    <w:rsid w:val="002849BC"/>
    <w:rsid w:val="00285870"/>
    <w:rsid w:val="00285B92"/>
    <w:rsid w:val="00285DD3"/>
    <w:rsid w:val="0028770C"/>
    <w:rsid w:val="00290922"/>
    <w:rsid w:val="00290FF5"/>
    <w:rsid w:val="002923EB"/>
    <w:rsid w:val="002929AD"/>
    <w:rsid w:val="00292CA1"/>
    <w:rsid w:val="00293832"/>
    <w:rsid w:val="00293897"/>
    <w:rsid w:val="002938D1"/>
    <w:rsid w:val="00293A64"/>
    <w:rsid w:val="00294262"/>
    <w:rsid w:val="0029426A"/>
    <w:rsid w:val="00295648"/>
    <w:rsid w:val="002958D6"/>
    <w:rsid w:val="002974BE"/>
    <w:rsid w:val="002A20CE"/>
    <w:rsid w:val="002A2C4A"/>
    <w:rsid w:val="002A3A90"/>
    <w:rsid w:val="002A412F"/>
    <w:rsid w:val="002A4E70"/>
    <w:rsid w:val="002A4F04"/>
    <w:rsid w:val="002A56CF"/>
    <w:rsid w:val="002A7C7A"/>
    <w:rsid w:val="002B00D0"/>
    <w:rsid w:val="002B01E7"/>
    <w:rsid w:val="002B0683"/>
    <w:rsid w:val="002B0A68"/>
    <w:rsid w:val="002B0EF0"/>
    <w:rsid w:val="002B1285"/>
    <w:rsid w:val="002B2917"/>
    <w:rsid w:val="002B2C05"/>
    <w:rsid w:val="002B38F5"/>
    <w:rsid w:val="002B40B2"/>
    <w:rsid w:val="002B5AA7"/>
    <w:rsid w:val="002B625A"/>
    <w:rsid w:val="002B6DF1"/>
    <w:rsid w:val="002B7446"/>
    <w:rsid w:val="002C2C4D"/>
    <w:rsid w:val="002C34E6"/>
    <w:rsid w:val="002C41FD"/>
    <w:rsid w:val="002C43C6"/>
    <w:rsid w:val="002C503E"/>
    <w:rsid w:val="002C5FEF"/>
    <w:rsid w:val="002C63DA"/>
    <w:rsid w:val="002C6423"/>
    <w:rsid w:val="002C6DB0"/>
    <w:rsid w:val="002C6EC7"/>
    <w:rsid w:val="002C72EC"/>
    <w:rsid w:val="002D0CE5"/>
    <w:rsid w:val="002D1D09"/>
    <w:rsid w:val="002D2199"/>
    <w:rsid w:val="002D257C"/>
    <w:rsid w:val="002D28B4"/>
    <w:rsid w:val="002D2BA8"/>
    <w:rsid w:val="002D6246"/>
    <w:rsid w:val="002D6A4A"/>
    <w:rsid w:val="002E05D9"/>
    <w:rsid w:val="002E063E"/>
    <w:rsid w:val="002E0785"/>
    <w:rsid w:val="002E07E7"/>
    <w:rsid w:val="002E08A0"/>
    <w:rsid w:val="002E0FA1"/>
    <w:rsid w:val="002E136D"/>
    <w:rsid w:val="002E1E36"/>
    <w:rsid w:val="002E4960"/>
    <w:rsid w:val="002E55CF"/>
    <w:rsid w:val="002E5AFC"/>
    <w:rsid w:val="002F10F7"/>
    <w:rsid w:val="002F29D8"/>
    <w:rsid w:val="002F2FDF"/>
    <w:rsid w:val="002F30B1"/>
    <w:rsid w:val="002F37C6"/>
    <w:rsid w:val="002F3923"/>
    <w:rsid w:val="002F397C"/>
    <w:rsid w:val="002F3DE3"/>
    <w:rsid w:val="002F4B29"/>
    <w:rsid w:val="002F55F2"/>
    <w:rsid w:val="00300ACC"/>
    <w:rsid w:val="00300CCF"/>
    <w:rsid w:val="00301D7B"/>
    <w:rsid w:val="003024D8"/>
    <w:rsid w:val="003037FA"/>
    <w:rsid w:val="00305057"/>
    <w:rsid w:val="00310BEE"/>
    <w:rsid w:val="00310DA4"/>
    <w:rsid w:val="00310E87"/>
    <w:rsid w:val="00312FBD"/>
    <w:rsid w:val="00317843"/>
    <w:rsid w:val="003209AC"/>
    <w:rsid w:val="003211C5"/>
    <w:rsid w:val="003217F7"/>
    <w:rsid w:val="00321945"/>
    <w:rsid w:val="003239C7"/>
    <w:rsid w:val="00324A9E"/>
    <w:rsid w:val="00325B69"/>
    <w:rsid w:val="003263AF"/>
    <w:rsid w:val="00327F71"/>
    <w:rsid w:val="00330992"/>
    <w:rsid w:val="00331D16"/>
    <w:rsid w:val="00333E71"/>
    <w:rsid w:val="003346B8"/>
    <w:rsid w:val="0033612D"/>
    <w:rsid w:val="003371F7"/>
    <w:rsid w:val="003376C2"/>
    <w:rsid w:val="00337AC3"/>
    <w:rsid w:val="00337DAA"/>
    <w:rsid w:val="0034302E"/>
    <w:rsid w:val="00343525"/>
    <w:rsid w:val="00345301"/>
    <w:rsid w:val="003505C7"/>
    <w:rsid w:val="00353945"/>
    <w:rsid w:val="00354040"/>
    <w:rsid w:val="0035438B"/>
    <w:rsid w:val="003564F1"/>
    <w:rsid w:val="00356AE3"/>
    <w:rsid w:val="00360770"/>
    <w:rsid w:val="00361716"/>
    <w:rsid w:val="003620D2"/>
    <w:rsid w:val="00362D74"/>
    <w:rsid w:val="00362E2B"/>
    <w:rsid w:val="00363EAF"/>
    <w:rsid w:val="003656C6"/>
    <w:rsid w:val="003663E0"/>
    <w:rsid w:val="0036672F"/>
    <w:rsid w:val="003707A0"/>
    <w:rsid w:val="00370B98"/>
    <w:rsid w:val="00370F6C"/>
    <w:rsid w:val="00371256"/>
    <w:rsid w:val="0037144D"/>
    <w:rsid w:val="00371953"/>
    <w:rsid w:val="00371D82"/>
    <w:rsid w:val="00373C4A"/>
    <w:rsid w:val="00373DB1"/>
    <w:rsid w:val="003743E5"/>
    <w:rsid w:val="003753FF"/>
    <w:rsid w:val="003763DC"/>
    <w:rsid w:val="00376D3D"/>
    <w:rsid w:val="00377A43"/>
    <w:rsid w:val="00383A23"/>
    <w:rsid w:val="00383B27"/>
    <w:rsid w:val="00384576"/>
    <w:rsid w:val="0038543B"/>
    <w:rsid w:val="003859EA"/>
    <w:rsid w:val="00385B15"/>
    <w:rsid w:val="003860D4"/>
    <w:rsid w:val="00387572"/>
    <w:rsid w:val="0039096C"/>
    <w:rsid w:val="003910FA"/>
    <w:rsid w:val="00391341"/>
    <w:rsid w:val="00393482"/>
    <w:rsid w:val="00393504"/>
    <w:rsid w:val="00393E1D"/>
    <w:rsid w:val="00394602"/>
    <w:rsid w:val="0039604C"/>
    <w:rsid w:val="003962F0"/>
    <w:rsid w:val="00397A0F"/>
    <w:rsid w:val="00397FEC"/>
    <w:rsid w:val="003A0B8B"/>
    <w:rsid w:val="003A13B3"/>
    <w:rsid w:val="003A15B4"/>
    <w:rsid w:val="003A1B43"/>
    <w:rsid w:val="003A2926"/>
    <w:rsid w:val="003A3431"/>
    <w:rsid w:val="003A4DC4"/>
    <w:rsid w:val="003A5626"/>
    <w:rsid w:val="003A6372"/>
    <w:rsid w:val="003A65E4"/>
    <w:rsid w:val="003A76C6"/>
    <w:rsid w:val="003A7EC0"/>
    <w:rsid w:val="003A7F63"/>
    <w:rsid w:val="003B1DBA"/>
    <w:rsid w:val="003B2047"/>
    <w:rsid w:val="003B37DF"/>
    <w:rsid w:val="003B4026"/>
    <w:rsid w:val="003B4129"/>
    <w:rsid w:val="003B5FDC"/>
    <w:rsid w:val="003C07DF"/>
    <w:rsid w:val="003C1D15"/>
    <w:rsid w:val="003C4957"/>
    <w:rsid w:val="003C5309"/>
    <w:rsid w:val="003C66B6"/>
    <w:rsid w:val="003C7D97"/>
    <w:rsid w:val="003D073C"/>
    <w:rsid w:val="003D07E4"/>
    <w:rsid w:val="003D13E1"/>
    <w:rsid w:val="003D1F69"/>
    <w:rsid w:val="003D211B"/>
    <w:rsid w:val="003D30E2"/>
    <w:rsid w:val="003D4FA0"/>
    <w:rsid w:val="003D507A"/>
    <w:rsid w:val="003D53EF"/>
    <w:rsid w:val="003D6332"/>
    <w:rsid w:val="003D63C7"/>
    <w:rsid w:val="003D6ED2"/>
    <w:rsid w:val="003E18E4"/>
    <w:rsid w:val="003E20D7"/>
    <w:rsid w:val="003E25EF"/>
    <w:rsid w:val="003E46BA"/>
    <w:rsid w:val="003E58F9"/>
    <w:rsid w:val="003E5C35"/>
    <w:rsid w:val="003E6179"/>
    <w:rsid w:val="003E6D49"/>
    <w:rsid w:val="003E7157"/>
    <w:rsid w:val="003E72E9"/>
    <w:rsid w:val="003F01BB"/>
    <w:rsid w:val="003F073D"/>
    <w:rsid w:val="003F17C6"/>
    <w:rsid w:val="003F1F7C"/>
    <w:rsid w:val="003F4615"/>
    <w:rsid w:val="003F53AD"/>
    <w:rsid w:val="003F6783"/>
    <w:rsid w:val="0040260F"/>
    <w:rsid w:val="00403674"/>
    <w:rsid w:val="00404DC4"/>
    <w:rsid w:val="00405731"/>
    <w:rsid w:val="0040583F"/>
    <w:rsid w:val="0040590E"/>
    <w:rsid w:val="00405B0F"/>
    <w:rsid w:val="00405C74"/>
    <w:rsid w:val="00407590"/>
    <w:rsid w:val="0041137F"/>
    <w:rsid w:val="004121CE"/>
    <w:rsid w:val="00413D99"/>
    <w:rsid w:val="00414CD2"/>
    <w:rsid w:val="00416199"/>
    <w:rsid w:val="004175D7"/>
    <w:rsid w:val="00417998"/>
    <w:rsid w:val="004205E5"/>
    <w:rsid w:val="00420F58"/>
    <w:rsid w:val="00421BCD"/>
    <w:rsid w:val="004220BA"/>
    <w:rsid w:val="004224F3"/>
    <w:rsid w:val="004229C0"/>
    <w:rsid w:val="00423E31"/>
    <w:rsid w:val="00425876"/>
    <w:rsid w:val="0042648E"/>
    <w:rsid w:val="00426930"/>
    <w:rsid w:val="004276A4"/>
    <w:rsid w:val="00427E03"/>
    <w:rsid w:val="0043167D"/>
    <w:rsid w:val="00431B5A"/>
    <w:rsid w:val="00431F2C"/>
    <w:rsid w:val="00432A92"/>
    <w:rsid w:val="00432EE9"/>
    <w:rsid w:val="00435292"/>
    <w:rsid w:val="00435400"/>
    <w:rsid w:val="00435A75"/>
    <w:rsid w:val="0043648B"/>
    <w:rsid w:val="0043686A"/>
    <w:rsid w:val="00437909"/>
    <w:rsid w:val="00437B14"/>
    <w:rsid w:val="00440E6B"/>
    <w:rsid w:val="0044108A"/>
    <w:rsid w:val="004419A7"/>
    <w:rsid w:val="00441E26"/>
    <w:rsid w:val="00445FBF"/>
    <w:rsid w:val="00446BC3"/>
    <w:rsid w:val="00450782"/>
    <w:rsid w:val="00450F8C"/>
    <w:rsid w:val="0045299C"/>
    <w:rsid w:val="00452CB9"/>
    <w:rsid w:val="00453BFF"/>
    <w:rsid w:val="00454E38"/>
    <w:rsid w:val="00454F1D"/>
    <w:rsid w:val="00455159"/>
    <w:rsid w:val="0045734B"/>
    <w:rsid w:val="00457F8D"/>
    <w:rsid w:val="00457FAD"/>
    <w:rsid w:val="00460E72"/>
    <w:rsid w:val="00461C65"/>
    <w:rsid w:val="00462269"/>
    <w:rsid w:val="0046331D"/>
    <w:rsid w:val="0046362F"/>
    <w:rsid w:val="004643FF"/>
    <w:rsid w:val="004644BE"/>
    <w:rsid w:val="0046518D"/>
    <w:rsid w:val="004654F0"/>
    <w:rsid w:val="00465D29"/>
    <w:rsid w:val="0046653B"/>
    <w:rsid w:val="00467521"/>
    <w:rsid w:val="0047003A"/>
    <w:rsid w:val="004703B6"/>
    <w:rsid w:val="004716CD"/>
    <w:rsid w:val="00472588"/>
    <w:rsid w:val="0047401D"/>
    <w:rsid w:val="004748E0"/>
    <w:rsid w:val="00475937"/>
    <w:rsid w:val="00476481"/>
    <w:rsid w:val="00477003"/>
    <w:rsid w:val="00481F95"/>
    <w:rsid w:val="004828B5"/>
    <w:rsid w:val="00483E24"/>
    <w:rsid w:val="00484553"/>
    <w:rsid w:val="00484C18"/>
    <w:rsid w:val="004852B3"/>
    <w:rsid w:val="00486C0D"/>
    <w:rsid w:val="00486DFE"/>
    <w:rsid w:val="00487136"/>
    <w:rsid w:val="00487BD2"/>
    <w:rsid w:val="00490415"/>
    <w:rsid w:val="00490F2F"/>
    <w:rsid w:val="004928B6"/>
    <w:rsid w:val="004932DB"/>
    <w:rsid w:val="004940E5"/>
    <w:rsid w:val="004941EE"/>
    <w:rsid w:val="0049449A"/>
    <w:rsid w:val="004949E3"/>
    <w:rsid w:val="00494F7E"/>
    <w:rsid w:val="00496F0D"/>
    <w:rsid w:val="004975E6"/>
    <w:rsid w:val="00497AF1"/>
    <w:rsid w:val="00497F77"/>
    <w:rsid w:val="004A1D0B"/>
    <w:rsid w:val="004A2583"/>
    <w:rsid w:val="004A328F"/>
    <w:rsid w:val="004A3769"/>
    <w:rsid w:val="004A3D22"/>
    <w:rsid w:val="004A408A"/>
    <w:rsid w:val="004A5B8E"/>
    <w:rsid w:val="004B12EF"/>
    <w:rsid w:val="004B2432"/>
    <w:rsid w:val="004B2C3B"/>
    <w:rsid w:val="004B356C"/>
    <w:rsid w:val="004B4C43"/>
    <w:rsid w:val="004B6304"/>
    <w:rsid w:val="004B6C30"/>
    <w:rsid w:val="004C0574"/>
    <w:rsid w:val="004C1B5B"/>
    <w:rsid w:val="004C1D0F"/>
    <w:rsid w:val="004C2C39"/>
    <w:rsid w:val="004C355A"/>
    <w:rsid w:val="004C4C74"/>
    <w:rsid w:val="004C4F3A"/>
    <w:rsid w:val="004D004F"/>
    <w:rsid w:val="004D0D07"/>
    <w:rsid w:val="004D11DF"/>
    <w:rsid w:val="004D13CE"/>
    <w:rsid w:val="004D1797"/>
    <w:rsid w:val="004D1888"/>
    <w:rsid w:val="004D1C93"/>
    <w:rsid w:val="004D21E2"/>
    <w:rsid w:val="004D258B"/>
    <w:rsid w:val="004D2BA4"/>
    <w:rsid w:val="004D2BBE"/>
    <w:rsid w:val="004D3EEC"/>
    <w:rsid w:val="004D4FC2"/>
    <w:rsid w:val="004D5953"/>
    <w:rsid w:val="004D5BF4"/>
    <w:rsid w:val="004D630E"/>
    <w:rsid w:val="004D78D0"/>
    <w:rsid w:val="004E01C2"/>
    <w:rsid w:val="004E47FA"/>
    <w:rsid w:val="004E6484"/>
    <w:rsid w:val="004F01A5"/>
    <w:rsid w:val="004F0DC4"/>
    <w:rsid w:val="004F1650"/>
    <w:rsid w:val="004F2688"/>
    <w:rsid w:val="004F4496"/>
    <w:rsid w:val="004F4584"/>
    <w:rsid w:val="004F55C9"/>
    <w:rsid w:val="004F58C2"/>
    <w:rsid w:val="004F5A5F"/>
    <w:rsid w:val="004F5A95"/>
    <w:rsid w:val="004F5FEB"/>
    <w:rsid w:val="004F60A8"/>
    <w:rsid w:val="004F783E"/>
    <w:rsid w:val="004F78F1"/>
    <w:rsid w:val="0050135F"/>
    <w:rsid w:val="0050196B"/>
    <w:rsid w:val="0050213C"/>
    <w:rsid w:val="005023AE"/>
    <w:rsid w:val="005024B3"/>
    <w:rsid w:val="005029F1"/>
    <w:rsid w:val="00502AB9"/>
    <w:rsid w:val="00504C2C"/>
    <w:rsid w:val="00504F53"/>
    <w:rsid w:val="0050581B"/>
    <w:rsid w:val="00506DD9"/>
    <w:rsid w:val="0050710E"/>
    <w:rsid w:val="0050711A"/>
    <w:rsid w:val="00510FE1"/>
    <w:rsid w:val="00511C5C"/>
    <w:rsid w:val="00512AF2"/>
    <w:rsid w:val="00512C0A"/>
    <w:rsid w:val="0051355C"/>
    <w:rsid w:val="00513A90"/>
    <w:rsid w:val="00513D76"/>
    <w:rsid w:val="00513DA8"/>
    <w:rsid w:val="0051439D"/>
    <w:rsid w:val="00515040"/>
    <w:rsid w:val="00515E1D"/>
    <w:rsid w:val="005160DC"/>
    <w:rsid w:val="00517209"/>
    <w:rsid w:val="00521856"/>
    <w:rsid w:val="00521CA8"/>
    <w:rsid w:val="005224B3"/>
    <w:rsid w:val="005231DC"/>
    <w:rsid w:val="00524EDD"/>
    <w:rsid w:val="0052574B"/>
    <w:rsid w:val="00526C10"/>
    <w:rsid w:val="005272BA"/>
    <w:rsid w:val="005312A8"/>
    <w:rsid w:val="005319C8"/>
    <w:rsid w:val="0053231E"/>
    <w:rsid w:val="00533467"/>
    <w:rsid w:val="005336B7"/>
    <w:rsid w:val="005348E1"/>
    <w:rsid w:val="00537C8A"/>
    <w:rsid w:val="0054074B"/>
    <w:rsid w:val="00540CE4"/>
    <w:rsid w:val="005412F1"/>
    <w:rsid w:val="00547936"/>
    <w:rsid w:val="005526FB"/>
    <w:rsid w:val="00553102"/>
    <w:rsid w:val="00554302"/>
    <w:rsid w:val="00555731"/>
    <w:rsid w:val="00555939"/>
    <w:rsid w:val="00556F30"/>
    <w:rsid w:val="00557494"/>
    <w:rsid w:val="0055751A"/>
    <w:rsid w:val="00557B60"/>
    <w:rsid w:val="005614A9"/>
    <w:rsid w:val="00563B67"/>
    <w:rsid w:val="00564FE7"/>
    <w:rsid w:val="00566697"/>
    <w:rsid w:val="005666F9"/>
    <w:rsid w:val="00566FB7"/>
    <w:rsid w:val="005673CA"/>
    <w:rsid w:val="00567B1A"/>
    <w:rsid w:val="00567F46"/>
    <w:rsid w:val="00571A6B"/>
    <w:rsid w:val="0057336F"/>
    <w:rsid w:val="00574B80"/>
    <w:rsid w:val="00575A61"/>
    <w:rsid w:val="00575EC3"/>
    <w:rsid w:val="0057622D"/>
    <w:rsid w:val="005762E2"/>
    <w:rsid w:val="005774D2"/>
    <w:rsid w:val="0058036C"/>
    <w:rsid w:val="00580426"/>
    <w:rsid w:val="00581AA8"/>
    <w:rsid w:val="00583F6D"/>
    <w:rsid w:val="005841EE"/>
    <w:rsid w:val="005858DA"/>
    <w:rsid w:val="0058765B"/>
    <w:rsid w:val="00587969"/>
    <w:rsid w:val="00587A64"/>
    <w:rsid w:val="00591032"/>
    <w:rsid w:val="0059155B"/>
    <w:rsid w:val="00591E0D"/>
    <w:rsid w:val="00592CA4"/>
    <w:rsid w:val="00592D4A"/>
    <w:rsid w:val="00592DF2"/>
    <w:rsid w:val="005937E4"/>
    <w:rsid w:val="00593872"/>
    <w:rsid w:val="00593A27"/>
    <w:rsid w:val="005942BA"/>
    <w:rsid w:val="00594975"/>
    <w:rsid w:val="00596B29"/>
    <w:rsid w:val="005A1033"/>
    <w:rsid w:val="005A10B9"/>
    <w:rsid w:val="005A259E"/>
    <w:rsid w:val="005A4428"/>
    <w:rsid w:val="005A77F1"/>
    <w:rsid w:val="005B0FB7"/>
    <w:rsid w:val="005B326B"/>
    <w:rsid w:val="005B37C7"/>
    <w:rsid w:val="005B3E6F"/>
    <w:rsid w:val="005B4238"/>
    <w:rsid w:val="005B4E5C"/>
    <w:rsid w:val="005B5E2B"/>
    <w:rsid w:val="005B630A"/>
    <w:rsid w:val="005B768A"/>
    <w:rsid w:val="005C0281"/>
    <w:rsid w:val="005C0599"/>
    <w:rsid w:val="005C16CB"/>
    <w:rsid w:val="005C19A4"/>
    <w:rsid w:val="005C4ACC"/>
    <w:rsid w:val="005C567A"/>
    <w:rsid w:val="005C61B6"/>
    <w:rsid w:val="005D729B"/>
    <w:rsid w:val="005D7D4F"/>
    <w:rsid w:val="005D7EFE"/>
    <w:rsid w:val="005E01E2"/>
    <w:rsid w:val="005E11A7"/>
    <w:rsid w:val="005E1D23"/>
    <w:rsid w:val="005E27A1"/>
    <w:rsid w:val="005E2E38"/>
    <w:rsid w:val="005E33DA"/>
    <w:rsid w:val="005E35C5"/>
    <w:rsid w:val="005E41EE"/>
    <w:rsid w:val="005E4CBE"/>
    <w:rsid w:val="005E4FA8"/>
    <w:rsid w:val="005E6118"/>
    <w:rsid w:val="005E66E8"/>
    <w:rsid w:val="005E7761"/>
    <w:rsid w:val="005E7C6D"/>
    <w:rsid w:val="005F1181"/>
    <w:rsid w:val="005F11D8"/>
    <w:rsid w:val="005F1C64"/>
    <w:rsid w:val="005F3706"/>
    <w:rsid w:val="005F4394"/>
    <w:rsid w:val="005F49E7"/>
    <w:rsid w:val="005F63F9"/>
    <w:rsid w:val="0060058A"/>
    <w:rsid w:val="006008C5"/>
    <w:rsid w:val="00601BB9"/>
    <w:rsid w:val="00601CA0"/>
    <w:rsid w:val="00603BD2"/>
    <w:rsid w:val="00603C6E"/>
    <w:rsid w:val="006044F1"/>
    <w:rsid w:val="006052E1"/>
    <w:rsid w:val="00607581"/>
    <w:rsid w:val="006076DE"/>
    <w:rsid w:val="0061019C"/>
    <w:rsid w:val="00610467"/>
    <w:rsid w:val="00610C10"/>
    <w:rsid w:val="00610C79"/>
    <w:rsid w:val="006112F0"/>
    <w:rsid w:val="0061198E"/>
    <w:rsid w:val="006127B1"/>
    <w:rsid w:val="0061339D"/>
    <w:rsid w:val="00614AC5"/>
    <w:rsid w:val="00615073"/>
    <w:rsid w:val="00615B74"/>
    <w:rsid w:val="006162A7"/>
    <w:rsid w:val="00616C7B"/>
    <w:rsid w:val="00616DFC"/>
    <w:rsid w:val="0061725E"/>
    <w:rsid w:val="006175D6"/>
    <w:rsid w:val="006201B0"/>
    <w:rsid w:val="00621617"/>
    <w:rsid w:val="0062179F"/>
    <w:rsid w:val="00621DC1"/>
    <w:rsid w:val="00622593"/>
    <w:rsid w:val="006232FD"/>
    <w:rsid w:val="00623EA2"/>
    <w:rsid w:val="00624FF0"/>
    <w:rsid w:val="006278E5"/>
    <w:rsid w:val="00627C3A"/>
    <w:rsid w:val="00630056"/>
    <w:rsid w:val="00631508"/>
    <w:rsid w:val="006318B3"/>
    <w:rsid w:val="00631BFB"/>
    <w:rsid w:val="00632B28"/>
    <w:rsid w:val="006338B0"/>
    <w:rsid w:val="00633E81"/>
    <w:rsid w:val="0063495C"/>
    <w:rsid w:val="00634ABB"/>
    <w:rsid w:val="006354FB"/>
    <w:rsid w:val="00635A3C"/>
    <w:rsid w:val="00637EF8"/>
    <w:rsid w:val="00640040"/>
    <w:rsid w:val="00640102"/>
    <w:rsid w:val="00640C25"/>
    <w:rsid w:val="006411C1"/>
    <w:rsid w:val="006418AE"/>
    <w:rsid w:val="00642A3D"/>
    <w:rsid w:val="00642FB7"/>
    <w:rsid w:val="006432BB"/>
    <w:rsid w:val="00643804"/>
    <w:rsid w:val="0064499C"/>
    <w:rsid w:val="00644B2F"/>
    <w:rsid w:val="0064553F"/>
    <w:rsid w:val="00645721"/>
    <w:rsid w:val="0064575C"/>
    <w:rsid w:val="006469FA"/>
    <w:rsid w:val="00647A0B"/>
    <w:rsid w:val="00650DF2"/>
    <w:rsid w:val="00651271"/>
    <w:rsid w:val="00653433"/>
    <w:rsid w:val="006536AD"/>
    <w:rsid w:val="006556C1"/>
    <w:rsid w:val="00655A11"/>
    <w:rsid w:val="006566DE"/>
    <w:rsid w:val="00656D7F"/>
    <w:rsid w:val="00657064"/>
    <w:rsid w:val="00657821"/>
    <w:rsid w:val="006610E9"/>
    <w:rsid w:val="006613C5"/>
    <w:rsid w:val="0066177F"/>
    <w:rsid w:val="006617CA"/>
    <w:rsid w:val="00663427"/>
    <w:rsid w:val="00664AA7"/>
    <w:rsid w:val="0066600D"/>
    <w:rsid w:val="0066648F"/>
    <w:rsid w:val="00666CA6"/>
    <w:rsid w:val="0066743F"/>
    <w:rsid w:val="006679EF"/>
    <w:rsid w:val="00670834"/>
    <w:rsid w:val="006711D5"/>
    <w:rsid w:val="006717B6"/>
    <w:rsid w:val="006717D2"/>
    <w:rsid w:val="006729E3"/>
    <w:rsid w:val="00672BE5"/>
    <w:rsid w:val="00672E59"/>
    <w:rsid w:val="0067364B"/>
    <w:rsid w:val="00674A41"/>
    <w:rsid w:val="00674F19"/>
    <w:rsid w:val="006769FB"/>
    <w:rsid w:val="00676A0B"/>
    <w:rsid w:val="00677F8A"/>
    <w:rsid w:val="006806C1"/>
    <w:rsid w:val="00680B80"/>
    <w:rsid w:val="0068420D"/>
    <w:rsid w:val="00684BB9"/>
    <w:rsid w:val="00684F22"/>
    <w:rsid w:val="006914D6"/>
    <w:rsid w:val="006923C6"/>
    <w:rsid w:val="00693A59"/>
    <w:rsid w:val="0069676E"/>
    <w:rsid w:val="006972AD"/>
    <w:rsid w:val="00697817"/>
    <w:rsid w:val="006A0B39"/>
    <w:rsid w:val="006A1012"/>
    <w:rsid w:val="006A1DB5"/>
    <w:rsid w:val="006A5004"/>
    <w:rsid w:val="006A55F4"/>
    <w:rsid w:val="006A5B2D"/>
    <w:rsid w:val="006A67C3"/>
    <w:rsid w:val="006A6F05"/>
    <w:rsid w:val="006A7A0B"/>
    <w:rsid w:val="006A7E63"/>
    <w:rsid w:val="006B0BCB"/>
    <w:rsid w:val="006B1864"/>
    <w:rsid w:val="006B18FD"/>
    <w:rsid w:val="006B1D94"/>
    <w:rsid w:val="006B2B03"/>
    <w:rsid w:val="006B2E0A"/>
    <w:rsid w:val="006B4D5B"/>
    <w:rsid w:val="006B5874"/>
    <w:rsid w:val="006B5B68"/>
    <w:rsid w:val="006B670D"/>
    <w:rsid w:val="006B6940"/>
    <w:rsid w:val="006B73F8"/>
    <w:rsid w:val="006B7486"/>
    <w:rsid w:val="006B7B1D"/>
    <w:rsid w:val="006B7E79"/>
    <w:rsid w:val="006C07AA"/>
    <w:rsid w:val="006C145D"/>
    <w:rsid w:val="006C1469"/>
    <w:rsid w:val="006C3EC9"/>
    <w:rsid w:val="006C53AD"/>
    <w:rsid w:val="006C57E6"/>
    <w:rsid w:val="006C63F1"/>
    <w:rsid w:val="006D2C10"/>
    <w:rsid w:val="006D4DA4"/>
    <w:rsid w:val="006D69CA"/>
    <w:rsid w:val="006D7A1A"/>
    <w:rsid w:val="006E0CED"/>
    <w:rsid w:val="006E0D34"/>
    <w:rsid w:val="006E1E3C"/>
    <w:rsid w:val="006E3425"/>
    <w:rsid w:val="006E348E"/>
    <w:rsid w:val="006E447B"/>
    <w:rsid w:val="006E47AA"/>
    <w:rsid w:val="006E52C6"/>
    <w:rsid w:val="006E566B"/>
    <w:rsid w:val="006F0A31"/>
    <w:rsid w:val="006F0D7A"/>
    <w:rsid w:val="006F196D"/>
    <w:rsid w:val="006F2992"/>
    <w:rsid w:val="006F4E6F"/>
    <w:rsid w:val="006F5173"/>
    <w:rsid w:val="006F6776"/>
    <w:rsid w:val="006F6A86"/>
    <w:rsid w:val="007005D7"/>
    <w:rsid w:val="00700D04"/>
    <w:rsid w:val="007019BB"/>
    <w:rsid w:val="00701B7E"/>
    <w:rsid w:val="00701FF5"/>
    <w:rsid w:val="007022F4"/>
    <w:rsid w:val="0070304B"/>
    <w:rsid w:val="0070342A"/>
    <w:rsid w:val="0070438C"/>
    <w:rsid w:val="0070477B"/>
    <w:rsid w:val="00704955"/>
    <w:rsid w:val="00705792"/>
    <w:rsid w:val="007058E6"/>
    <w:rsid w:val="00705A1B"/>
    <w:rsid w:val="00705B06"/>
    <w:rsid w:val="007068A6"/>
    <w:rsid w:val="00706E8B"/>
    <w:rsid w:val="00710562"/>
    <w:rsid w:val="0071112E"/>
    <w:rsid w:val="00711B9E"/>
    <w:rsid w:val="0071207A"/>
    <w:rsid w:val="007132B4"/>
    <w:rsid w:val="007151BB"/>
    <w:rsid w:val="00715671"/>
    <w:rsid w:val="00715806"/>
    <w:rsid w:val="00716F9A"/>
    <w:rsid w:val="00717380"/>
    <w:rsid w:val="00720BFF"/>
    <w:rsid w:val="00720E2A"/>
    <w:rsid w:val="007210E7"/>
    <w:rsid w:val="00721850"/>
    <w:rsid w:val="0072346E"/>
    <w:rsid w:val="00723835"/>
    <w:rsid w:val="0072452C"/>
    <w:rsid w:val="00724F1E"/>
    <w:rsid w:val="00726C6F"/>
    <w:rsid w:val="007275D6"/>
    <w:rsid w:val="00730020"/>
    <w:rsid w:val="00730089"/>
    <w:rsid w:val="00730597"/>
    <w:rsid w:val="00731746"/>
    <w:rsid w:val="00732516"/>
    <w:rsid w:val="007337C5"/>
    <w:rsid w:val="00734AC6"/>
    <w:rsid w:val="00734F2F"/>
    <w:rsid w:val="0073544E"/>
    <w:rsid w:val="00736298"/>
    <w:rsid w:val="007372EA"/>
    <w:rsid w:val="00737B97"/>
    <w:rsid w:val="0074021B"/>
    <w:rsid w:val="00741A3C"/>
    <w:rsid w:val="007439F5"/>
    <w:rsid w:val="00743F4E"/>
    <w:rsid w:val="00746FB9"/>
    <w:rsid w:val="0074711B"/>
    <w:rsid w:val="00747801"/>
    <w:rsid w:val="00747E84"/>
    <w:rsid w:val="00750E64"/>
    <w:rsid w:val="007513C1"/>
    <w:rsid w:val="007526C7"/>
    <w:rsid w:val="007529DA"/>
    <w:rsid w:val="00752E26"/>
    <w:rsid w:val="007533F2"/>
    <w:rsid w:val="0075396F"/>
    <w:rsid w:val="007542FC"/>
    <w:rsid w:val="00754B16"/>
    <w:rsid w:val="00756BA7"/>
    <w:rsid w:val="007602D0"/>
    <w:rsid w:val="007616A6"/>
    <w:rsid w:val="00761ED6"/>
    <w:rsid w:val="00762888"/>
    <w:rsid w:val="00762C17"/>
    <w:rsid w:val="0076367C"/>
    <w:rsid w:val="00765B91"/>
    <w:rsid w:val="0076632A"/>
    <w:rsid w:val="0076670C"/>
    <w:rsid w:val="0076795B"/>
    <w:rsid w:val="00767C4B"/>
    <w:rsid w:val="00767D92"/>
    <w:rsid w:val="00770A5F"/>
    <w:rsid w:val="00770F39"/>
    <w:rsid w:val="0077183E"/>
    <w:rsid w:val="00771AE1"/>
    <w:rsid w:val="00771B72"/>
    <w:rsid w:val="00772456"/>
    <w:rsid w:val="00773619"/>
    <w:rsid w:val="00774333"/>
    <w:rsid w:val="00775963"/>
    <w:rsid w:val="007768CE"/>
    <w:rsid w:val="00780C72"/>
    <w:rsid w:val="00781674"/>
    <w:rsid w:val="00781F1B"/>
    <w:rsid w:val="00783D03"/>
    <w:rsid w:val="007840EC"/>
    <w:rsid w:val="00784A41"/>
    <w:rsid w:val="007850AA"/>
    <w:rsid w:val="00787F60"/>
    <w:rsid w:val="00787FC0"/>
    <w:rsid w:val="00790530"/>
    <w:rsid w:val="007920ED"/>
    <w:rsid w:val="007926F8"/>
    <w:rsid w:val="00792C48"/>
    <w:rsid w:val="00794B4C"/>
    <w:rsid w:val="00795D71"/>
    <w:rsid w:val="007A0220"/>
    <w:rsid w:val="007A03BC"/>
    <w:rsid w:val="007A0662"/>
    <w:rsid w:val="007A0941"/>
    <w:rsid w:val="007A106A"/>
    <w:rsid w:val="007A1217"/>
    <w:rsid w:val="007A1653"/>
    <w:rsid w:val="007A1B43"/>
    <w:rsid w:val="007A1BD5"/>
    <w:rsid w:val="007A3365"/>
    <w:rsid w:val="007A35AB"/>
    <w:rsid w:val="007A72B4"/>
    <w:rsid w:val="007A7D71"/>
    <w:rsid w:val="007B0205"/>
    <w:rsid w:val="007B06E6"/>
    <w:rsid w:val="007B1249"/>
    <w:rsid w:val="007B14A8"/>
    <w:rsid w:val="007B25C4"/>
    <w:rsid w:val="007B2DAE"/>
    <w:rsid w:val="007B3098"/>
    <w:rsid w:val="007B4A88"/>
    <w:rsid w:val="007B4BCE"/>
    <w:rsid w:val="007B4E54"/>
    <w:rsid w:val="007B556C"/>
    <w:rsid w:val="007B6941"/>
    <w:rsid w:val="007B6C5F"/>
    <w:rsid w:val="007B6D92"/>
    <w:rsid w:val="007B772D"/>
    <w:rsid w:val="007B7F1E"/>
    <w:rsid w:val="007C070E"/>
    <w:rsid w:val="007C0A6C"/>
    <w:rsid w:val="007C0BB8"/>
    <w:rsid w:val="007C0D60"/>
    <w:rsid w:val="007C114C"/>
    <w:rsid w:val="007C1F40"/>
    <w:rsid w:val="007C2196"/>
    <w:rsid w:val="007C25BD"/>
    <w:rsid w:val="007C267A"/>
    <w:rsid w:val="007C2CF9"/>
    <w:rsid w:val="007C3AD9"/>
    <w:rsid w:val="007C3DCA"/>
    <w:rsid w:val="007C40D1"/>
    <w:rsid w:val="007C4C5D"/>
    <w:rsid w:val="007C60F9"/>
    <w:rsid w:val="007C675C"/>
    <w:rsid w:val="007C6CB5"/>
    <w:rsid w:val="007C6F2D"/>
    <w:rsid w:val="007D0275"/>
    <w:rsid w:val="007D0449"/>
    <w:rsid w:val="007D05A9"/>
    <w:rsid w:val="007D0C98"/>
    <w:rsid w:val="007D1C85"/>
    <w:rsid w:val="007D1CDD"/>
    <w:rsid w:val="007D1F1E"/>
    <w:rsid w:val="007D2407"/>
    <w:rsid w:val="007D2CC5"/>
    <w:rsid w:val="007D441D"/>
    <w:rsid w:val="007D5B6E"/>
    <w:rsid w:val="007D77E0"/>
    <w:rsid w:val="007E008E"/>
    <w:rsid w:val="007E0484"/>
    <w:rsid w:val="007E04B7"/>
    <w:rsid w:val="007E06D6"/>
    <w:rsid w:val="007E179C"/>
    <w:rsid w:val="007E29F3"/>
    <w:rsid w:val="007E2F99"/>
    <w:rsid w:val="007E4800"/>
    <w:rsid w:val="007E4D22"/>
    <w:rsid w:val="007E7C8A"/>
    <w:rsid w:val="007F0324"/>
    <w:rsid w:val="007F1350"/>
    <w:rsid w:val="007F1356"/>
    <w:rsid w:val="007F1FF1"/>
    <w:rsid w:val="007F2ADF"/>
    <w:rsid w:val="007F2D1B"/>
    <w:rsid w:val="007F3502"/>
    <w:rsid w:val="007F39A2"/>
    <w:rsid w:val="007F40FF"/>
    <w:rsid w:val="007F4662"/>
    <w:rsid w:val="007F4991"/>
    <w:rsid w:val="007F5AA9"/>
    <w:rsid w:val="007F5D04"/>
    <w:rsid w:val="007F6588"/>
    <w:rsid w:val="007F7BBC"/>
    <w:rsid w:val="00800095"/>
    <w:rsid w:val="00800788"/>
    <w:rsid w:val="00801702"/>
    <w:rsid w:val="0080185F"/>
    <w:rsid w:val="00802F1F"/>
    <w:rsid w:val="008031A4"/>
    <w:rsid w:val="00804280"/>
    <w:rsid w:val="00804722"/>
    <w:rsid w:val="00805042"/>
    <w:rsid w:val="00805401"/>
    <w:rsid w:val="0080587B"/>
    <w:rsid w:val="008104AD"/>
    <w:rsid w:val="00810B39"/>
    <w:rsid w:val="00812072"/>
    <w:rsid w:val="00812B72"/>
    <w:rsid w:val="0081420E"/>
    <w:rsid w:val="0081420F"/>
    <w:rsid w:val="0081509C"/>
    <w:rsid w:val="008152B4"/>
    <w:rsid w:val="00816E6E"/>
    <w:rsid w:val="00817A11"/>
    <w:rsid w:val="00820958"/>
    <w:rsid w:val="00821B72"/>
    <w:rsid w:val="00822FEC"/>
    <w:rsid w:val="008240E2"/>
    <w:rsid w:val="00824392"/>
    <w:rsid w:val="00825093"/>
    <w:rsid w:val="008268CA"/>
    <w:rsid w:val="00826A17"/>
    <w:rsid w:val="00826E9D"/>
    <w:rsid w:val="008303B8"/>
    <w:rsid w:val="00830589"/>
    <w:rsid w:val="0083286E"/>
    <w:rsid w:val="008330A3"/>
    <w:rsid w:val="00833482"/>
    <w:rsid w:val="00834447"/>
    <w:rsid w:val="00835A74"/>
    <w:rsid w:val="00835E28"/>
    <w:rsid w:val="00835EA8"/>
    <w:rsid w:val="00840B7F"/>
    <w:rsid w:val="008416F1"/>
    <w:rsid w:val="0084177C"/>
    <w:rsid w:val="00841D12"/>
    <w:rsid w:val="00842EB5"/>
    <w:rsid w:val="008435FF"/>
    <w:rsid w:val="00843FDD"/>
    <w:rsid w:val="0084534F"/>
    <w:rsid w:val="008457A0"/>
    <w:rsid w:val="00845A40"/>
    <w:rsid w:val="00846116"/>
    <w:rsid w:val="008464D9"/>
    <w:rsid w:val="00846E04"/>
    <w:rsid w:val="00847CC8"/>
    <w:rsid w:val="00852128"/>
    <w:rsid w:val="00853288"/>
    <w:rsid w:val="008532D8"/>
    <w:rsid w:val="008534C2"/>
    <w:rsid w:val="00853555"/>
    <w:rsid w:val="00853F31"/>
    <w:rsid w:val="00853F5F"/>
    <w:rsid w:val="00853FA9"/>
    <w:rsid w:val="0085679F"/>
    <w:rsid w:val="00857725"/>
    <w:rsid w:val="00857FAE"/>
    <w:rsid w:val="00860165"/>
    <w:rsid w:val="0086019F"/>
    <w:rsid w:val="00860750"/>
    <w:rsid w:val="00860AA4"/>
    <w:rsid w:val="00860E2A"/>
    <w:rsid w:val="0086150A"/>
    <w:rsid w:val="008627EC"/>
    <w:rsid w:val="00864650"/>
    <w:rsid w:val="00864D1D"/>
    <w:rsid w:val="00864D91"/>
    <w:rsid w:val="00866112"/>
    <w:rsid w:val="00866172"/>
    <w:rsid w:val="00866411"/>
    <w:rsid w:val="00866E8B"/>
    <w:rsid w:val="00870933"/>
    <w:rsid w:val="00871097"/>
    <w:rsid w:val="0087165A"/>
    <w:rsid w:val="0087202C"/>
    <w:rsid w:val="00872077"/>
    <w:rsid w:val="008720A1"/>
    <w:rsid w:val="00874019"/>
    <w:rsid w:val="00875801"/>
    <w:rsid w:val="00875B52"/>
    <w:rsid w:val="008772DD"/>
    <w:rsid w:val="008779EB"/>
    <w:rsid w:val="00877E83"/>
    <w:rsid w:val="00877F22"/>
    <w:rsid w:val="008802C1"/>
    <w:rsid w:val="008804F1"/>
    <w:rsid w:val="0088082C"/>
    <w:rsid w:val="00883D29"/>
    <w:rsid w:val="00883D6D"/>
    <w:rsid w:val="00884C8B"/>
    <w:rsid w:val="008852DA"/>
    <w:rsid w:val="00887118"/>
    <w:rsid w:val="0088711A"/>
    <w:rsid w:val="0088780C"/>
    <w:rsid w:val="00893781"/>
    <w:rsid w:val="008938C9"/>
    <w:rsid w:val="00893ACE"/>
    <w:rsid w:val="00894725"/>
    <w:rsid w:val="00894D4C"/>
    <w:rsid w:val="00896488"/>
    <w:rsid w:val="00896ED7"/>
    <w:rsid w:val="008976F9"/>
    <w:rsid w:val="008A0275"/>
    <w:rsid w:val="008A0572"/>
    <w:rsid w:val="008A0AD6"/>
    <w:rsid w:val="008A1329"/>
    <w:rsid w:val="008A1588"/>
    <w:rsid w:val="008A19F6"/>
    <w:rsid w:val="008A1EB2"/>
    <w:rsid w:val="008A215A"/>
    <w:rsid w:val="008A298C"/>
    <w:rsid w:val="008A3DBF"/>
    <w:rsid w:val="008A4010"/>
    <w:rsid w:val="008A426A"/>
    <w:rsid w:val="008A4DB8"/>
    <w:rsid w:val="008A5E32"/>
    <w:rsid w:val="008A65B8"/>
    <w:rsid w:val="008A6887"/>
    <w:rsid w:val="008A6B24"/>
    <w:rsid w:val="008A731D"/>
    <w:rsid w:val="008B0588"/>
    <w:rsid w:val="008B1AC4"/>
    <w:rsid w:val="008B1EB2"/>
    <w:rsid w:val="008B218B"/>
    <w:rsid w:val="008B21D2"/>
    <w:rsid w:val="008B23D2"/>
    <w:rsid w:val="008B3F3D"/>
    <w:rsid w:val="008B4865"/>
    <w:rsid w:val="008B684A"/>
    <w:rsid w:val="008B69EB"/>
    <w:rsid w:val="008B6B84"/>
    <w:rsid w:val="008C0545"/>
    <w:rsid w:val="008C0D15"/>
    <w:rsid w:val="008C24BD"/>
    <w:rsid w:val="008C25B4"/>
    <w:rsid w:val="008C25DA"/>
    <w:rsid w:val="008C2C3E"/>
    <w:rsid w:val="008C3482"/>
    <w:rsid w:val="008C4189"/>
    <w:rsid w:val="008C5577"/>
    <w:rsid w:val="008C5B49"/>
    <w:rsid w:val="008C5EA4"/>
    <w:rsid w:val="008C6279"/>
    <w:rsid w:val="008C74AF"/>
    <w:rsid w:val="008C750F"/>
    <w:rsid w:val="008C7CAA"/>
    <w:rsid w:val="008C7D69"/>
    <w:rsid w:val="008D07CE"/>
    <w:rsid w:val="008D0E11"/>
    <w:rsid w:val="008D0F66"/>
    <w:rsid w:val="008D24FC"/>
    <w:rsid w:val="008D30D5"/>
    <w:rsid w:val="008D3590"/>
    <w:rsid w:val="008D505E"/>
    <w:rsid w:val="008D5311"/>
    <w:rsid w:val="008D5CFC"/>
    <w:rsid w:val="008D60B1"/>
    <w:rsid w:val="008D67F7"/>
    <w:rsid w:val="008D68D9"/>
    <w:rsid w:val="008D70C9"/>
    <w:rsid w:val="008D7BFA"/>
    <w:rsid w:val="008E0532"/>
    <w:rsid w:val="008E146D"/>
    <w:rsid w:val="008E1D91"/>
    <w:rsid w:val="008E285E"/>
    <w:rsid w:val="008E37C6"/>
    <w:rsid w:val="008E3CF5"/>
    <w:rsid w:val="008E43B2"/>
    <w:rsid w:val="008F0FBF"/>
    <w:rsid w:val="008F1973"/>
    <w:rsid w:val="008F19AE"/>
    <w:rsid w:val="008F1DBB"/>
    <w:rsid w:val="008F252C"/>
    <w:rsid w:val="008F36BE"/>
    <w:rsid w:val="008F3C03"/>
    <w:rsid w:val="008F4787"/>
    <w:rsid w:val="008F5403"/>
    <w:rsid w:val="008F594E"/>
    <w:rsid w:val="008F5DE9"/>
    <w:rsid w:val="008F6E85"/>
    <w:rsid w:val="008F71AE"/>
    <w:rsid w:val="008F731D"/>
    <w:rsid w:val="008F74C7"/>
    <w:rsid w:val="0090129F"/>
    <w:rsid w:val="009017EF"/>
    <w:rsid w:val="00901EAA"/>
    <w:rsid w:val="009021BE"/>
    <w:rsid w:val="00902279"/>
    <w:rsid w:val="00902D7F"/>
    <w:rsid w:val="00903803"/>
    <w:rsid w:val="00903AFE"/>
    <w:rsid w:val="009042DB"/>
    <w:rsid w:val="00904CD2"/>
    <w:rsid w:val="0090526A"/>
    <w:rsid w:val="009058D1"/>
    <w:rsid w:val="00905E6F"/>
    <w:rsid w:val="0090671C"/>
    <w:rsid w:val="00910327"/>
    <w:rsid w:val="00912868"/>
    <w:rsid w:val="009133CF"/>
    <w:rsid w:val="00914E8B"/>
    <w:rsid w:val="00914FB0"/>
    <w:rsid w:val="00915B23"/>
    <w:rsid w:val="00915FE6"/>
    <w:rsid w:val="009164F0"/>
    <w:rsid w:val="00916E8E"/>
    <w:rsid w:val="00916ED1"/>
    <w:rsid w:val="00917223"/>
    <w:rsid w:val="00917289"/>
    <w:rsid w:val="0091788F"/>
    <w:rsid w:val="009214A5"/>
    <w:rsid w:val="009235DF"/>
    <w:rsid w:val="00923E35"/>
    <w:rsid w:val="00924305"/>
    <w:rsid w:val="0092571E"/>
    <w:rsid w:val="00925BB3"/>
    <w:rsid w:val="00925E96"/>
    <w:rsid w:val="00926F5D"/>
    <w:rsid w:val="009271E5"/>
    <w:rsid w:val="00927C81"/>
    <w:rsid w:val="0093089A"/>
    <w:rsid w:val="0093210B"/>
    <w:rsid w:val="00932C34"/>
    <w:rsid w:val="009335F2"/>
    <w:rsid w:val="00934A8A"/>
    <w:rsid w:val="00934EE8"/>
    <w:rsid w:val="00935052"/>
    <w:rsid w:val="0093556E"/>
    <w:rsid w:val="00935753"/>
    <w:rsid w:val="009357D7"/>
    <w:rsid w:val="0093708B"/>
    <w:rsid w:val="009400F1"/>
    <w:rsid w:val="009401C4"/>
    <w:rsid w:val="0094155E"/>
    <w:rsid w:val="00942C3E"/>
    <w:rsid w:val="0094576A"/>
    <w:rsid w:val="0094588C"/>
    <w:rsid w:val="009458FB"/>
    <w:rsid w:val="0094592A"/>
    <w:rsid w:val="00945EFE"/>
    <w:rsid w:val="009467BC"/>
    <w:rsid w:val="00947992"/>
    <w:rsid w:val="00952FDD"/>
    <w:rsid w:val="00953367"/>
    <w:rsid w:val="009539BA"/>
    <w:rsid w:val="00953CFE"/>
    <w:rsid w:val="00953F71"/>
    <w:rsid w:val="0095417B"/>
    <w:rsid w:val="009548EA"/>
    <w:rsid w:val="00956B50"/>
    <w:rsid w:val="00957C15"/>
    <w:rsid w:val="00960E19"/>
    <w:rsid w:val="00960FFE"/>
    <w:rsid w:val="00961F15"/>
    <w:rsid w:val="0096264F"/>
    <w:rsid w:val="00963E5F"/>
    <w:rsid w:val="00963E7B"/>
    <w:rsid w:val="009655F5"/>
    <w:rsid w:val="00965940"/>
    <w:rsid w:val="00967150"/>
    <w:rsid w:val="009701FB"/>
    <w:rsid w:val="00970A50"/>
    <w:rsid w:val="00970AC3"/>
    <w:rsid w:val="00971F54"/>
    <w:rsid w:val="009725B5"/>
    <w:rsid w:val="0097278D"/>
    <w:rsid w:val="00973033"/>
    <w:rsid w:val="0097376A"/>
    <w:rsid w:val="009742EA"/>
    <w:rsid w:val="0097476D"/>
    <w:rsid w:val="009750E9"/>
    <w:rsid w:val="00975F21"/>
    <w:rsid w:val="00977347"/>
    <w:rsid w:val="009778A9"/>
    <w:rsid w:val="00980095"/>
    <w:rsid w:val="00981B5B"/>
    <w:rsid w:val="00981D31"/>
    <w:rsid w:val="00983937"/>
    <w:rsid w:val="00984D78"/>
    <w:rsid w:val="0098556A"/>
    <w:rsid w:val="009868B3"/>
    <w:rsid w:val="009873AE"/>
    <w:rsid w:val="00993856"/>
    <w:rsid w:val="0099386C"/>
    <w:rsid w:val="00993A68"/>
    <w:rsid w:val="00994074"/>
    <w:rsid w:val="0099474F"/>
    <w:rsid w:val="00994F48"/>
    <w:rsid w:val="00996831"/>
    <w:rsid w:val="009A01D0"/>
    <w:rsid w:val="009A15DB"/>
    <w:rsid w:val="009A183E"/>
    <w:rsid w:val="009A2D4D"/>
    <w:rsid w:val="009A3568"/>
    <w:rsid w:val="009A52AF"/>
    <w:rsid w:val="009A7082"/>
    <w:rsid w:val="009A70F0"/>
    <w:rsid w:val="009A7C3B"/>
    <w:rsid w:val="009B0915"/>
    <w:rsid w:val="009B18A4"/>
    <w:rsid w:val="009B25CC"/>
    <w:rsid w:val="009B2D30"/>
    <w:rsid w:val="009B3854"/>
    <w:rsid w:val="009B425B"/>
    <w:rsid w:val="009B43F5"/>
    <w:rsid w:val="009B44A7"/>
    <w:rsid w:val="009B56A9"/>
    <w:rsid w:val="009B594D"/>
    <w:rsid w:val="009B7237"/>
    <w:rsid w:val="009B7314"/>
    <w:rsid w:val="009B784B"/>
    <w:rsid w:val="009C06F2"/>
    <w:rsid w:val="009C1090"/>
    <w:rsid w:val="009C14F6"/>
    <w:rsid w:val="009C16DD"/>
    <w:rsid w:val="009C20A8"/>
    <w:rsid w:val="009C290C"/>
    <w:rsid w:val="009C2BEC"/>
    <w:rsid w:val="009C30AC"/>
    <w:rsid w:val="009C3119"/>
    <w:rsid w:val="009C380C"/>
    <w:rsid w:val="009C3CC6"/>
    <w:rsid w:val="009C4CDB"/>
    <w:rsid w:val="009C502E"/>
    <w:rsid w:val="009C68E0"/>
    <w:rsid w:val="009D0276"/>
    <w:rsid w:val="009D0382"/>
    <w:rsid w:val="009D0485"/>
    <w:rsid w:val="009D1087"/>
    <w:rsid w:val="009D1211"/>
    <w:rsid w:val="009D20CF"/>
    <w:rsid w:val="009D246B"/>
    <w:rsid w:val="009D3356"/>
    <w:rsid w:val="009D491B"/>
    <w:rsid w:val="009D797D"/>
    <w:rsid w:val="009D7FD6"/>
    <w:rsid w:val="009E030D"/>
    <w:rsid w:val="009E184D"/>
    <w:rsid w:val="009E1C64"/>
    <w:rsid w:val="009E2A1E"/>
    <w:rsid w:val="009E3B7A"/>
    <w:rsid w:val="009E4D09"/>
    <w:rsid w:val="009E5A9B"/>
    <w:rsid w:val="009E5BC5"/>
    <w:rsid w:val="009E6247"/>
    <w:rsid w:val="009E6A29"/>
    <w:rsid w:val="009F078C"/>
    <w:rsid w:val="009F0B8E"/>
    <w:rsid w:val="009F1A31"/>
    <w:rsid w:val="009F247A"/>
    <w:rsid w:val="009F2E13"/>
    <w:rsid w:val="009F47E9"/>
    <w:rsid w:val="009F4CC6"/>
    <w:rsid w:val="009F4DA3"/>
    <w:rsid w:val="009F532C"/>
    <w:rsid w:val="009F7145"/>
    <w:rsid w:val="009F7354"/>
    <w:rsid w:val="00A00A77"/>
    <w:rsid w:val="00A01960"/>
    <w:rsid w:val="00A01D1E"/>
    <w:rsid w:val="00A0243B"/>
    <w:rsid w:val="00A051A4"/>
    <w:rsid w:val="00A058EC"/>
    <w:rsid w:val="00A0691C"/>
    <w:rsid w:val="00A06ECE"/>
    <w:rsid w:val="00A07100"/>
    <w:rsid w:val="00A07C60"/>
    <w:rsid w:val="00A10020"/>
    <w:rsid w:val="00A113DA"/>
    <w:rsid w:val="00A11EEF"/>
    <w:rsid w:val="00A131BD"/>
    <w:rsid w:val="00A15DE9"/>
    <w:rsid w:val="00A17326"/>
    <w:rsid w:val="00A201CC"/>
    <w:rsid w:val="00A20357"/>
    <w:rsid w:val="00A20849"/>
    <w:rsid w:val="00A2130A"/>
    <w:rsid w:val="00A21FD0"/>
    <w:rsid w:val="00A22013"/>
    <w:rsid w:val="00A2228B"/>
    <w:rsid w:val="00A22D3B"/>
    <w:rsid w:val="00A23CEC"/>
    <w:rsid w:val="00A23FD4"/>
    <w:rsid w:val="00A24FDB"/>
    <w:rsid w:val="00A25058"/>
    <w:rsid w:val="00A252BC"/>
    <w:rsid w:val="00A26502"/>
    <w:rsid w:val="00A27D7D"/>
    <w:rsid w:val="00A30387"/>
    <w:rsid w:val="00A30D64"/>
    <w:rsid w:val="00A330F0"/>
    <w:rsid w:val="00A33CE7"/>
    <w:rsid w:val="00A359D3"/>
    <w:rsid w:val="00A36CAA"/>
    <w:rsid w:val="00A372C1"/>
    <w:rsid w:val="00A372D2"/>
    <w:rsid w:val="00A37A8C"/>
    <w:rsid w:val="00A40024"/>
    <w:rsid w:val="00A4087B"/>
    <w:rsid w:val="00A41F24"/>
    <w:rsid w:val="00A4214D"/>
    <w:rsid w:val="00A43176"/>
    <w:rsid w:val="00A4427B"/>
    <w:rsid w:val="00A46C9C"/>
    <w:rsid w:val="00A47596"/>
    <w:rsid w:val="00A50E4D"/>
    <w:rsid w:val="00A51198"/>
    <w:rsid w:val="00A51279"/>
    <w:rsid w:val="00A52C56"/>
    <w:rsid w:val="00A5404F"/>
    <w:rsid w:val="00A543DD"/>
    <w:rsid w:val="00A54897"/>
    <w:rsid w:val="00A5717C"/>
    <w:rsid w:val="00A573F4"/>
    <w:rsid w:val="00A61540"/>
    <w:rsid w:val="00A61742"/>
    <w:rsid w:val="00A61FAB"/>
    <w:rsid w:val="00A62018"/>
    <w:rsid w:val="00A62434"/>
    <w:rsid w:val="00A6460D"/>
    <w:rsid w:val="00A6563D"/>
    <w:rsid w:val="00A6795E"/>
    <w:rsid w:val="00A67E0D"/>
    <w:rsid w:val="00A719E6"/>
    <w:rsid w:val="00A71ECD"/>
    <w:rsid w:val="00A732A1"/>
    <w:rsid w:val="00A7400F"/>
    <w:rsid w:val="00A743A1"/>
    <w:rsid w:val="00A7584F"/>
    <w:rsid w:val="00A76350"/>
    <w:rsid w:val="00A76BD9"/>
    <w:rsid w:val="00A76F92"/>
    <w:rsid w:val="00A81AF4"/>
    <w:rsid w:val="00A81B9F"/>
    <w:rsid w:val="00A8222D"/>
    <w:rsid w:val="00A83260"/>
    <w:rsid w:val="00A84381"/>
    <w:rsid w:val="00A8502B"/>
    <w:rsid w:val="00A85225"/>
    <w:rsid w:val="00A85A76"/>
    <w:rsid w:val="00A866F2"/>
    <w:rsid w:val="00A876F3"/>
    <w:rsid w:val="00A900CF"/>
    <w:rsid w:val="00A90A88"/>
    <w:rsid w:val="00A91923"/>
    <w:rsid w:val="00A91ED0"/>
    <w:rsid w:val="00A9285F"/>
    <w:rsid w:val="00A92A36"/>
    <w:rsid w:val="00A943F3"/>
    <w:rsid w:val="00A94E45"/>
    <w:rsid w:val="00A94E75"/>
    <w:rsid w:val="00A95142"/>
    <w:rsid w:val="00A95F75"/>
    <w:rsid w:val="00A96621"/>
    <w:rsid w:val="00AA0093"/>
    <w:rsid w:val="00AA0DE9"/>
    <w:rsid w:val="00AA318D"/>
    <w:rsid w:val="00AA35AB"/>
    <w:rsid w:val="00AA3711"/>
    <w:rsid w:val="00AA3C0B"/>
    <w:rsid w:val="00AA410F"/>
    <w:rsid w:val="00AA4925"/>
    <w:rsid w:val="00AA4992"/>
    <w:rsid w:val="00AA5691"/>
    <w:rsid w:val="00AA6113"/>
    <w:rsid w:val="00AA6742"/>
    <w:rsid w:val="00AA7325"/>
    <w:rsid w:val="00AA74FF"/>
    <w:rsid w:val="00AA75EE"/>
    <w:rsid w:val="00AB03C9"/>
    <w:rsid w:val="00AB094B"/>
    <w:rsid w:val="00AB18FB"/>
    <w:rsid w:val="00AB220C"/>
    <w:rsid w:val="00AB2318"/>
    <w:rsid w:val="00AB2819"/>
    <w:rsid w:val="00AB2B3C"/>
    <w:rsid w:val="00AB3C17"/>
    <w:rsid w:val="00AB476D"/>
    <w:rsid w:val="00AB4C30"/>
    <w:rsid w:val="00AB5381"/>
    <w:rsid w:val="00AB5890"/>
    <w:rsid w:val="00AB5E82"/>
    <w:rsid w:val="00AB764C"/>
    <w:rsid w:val="00AB764D"/>
    <w:rsid w:val="00AC1E0B"/>
    <w:rsid w:val="00AC29D0"/>
    <w:rsid w:val="00AC3F73"/>
    <w:rsid w:val="00AC47E8"/>
    <w:rsid w:val="00AC53AA"/>
    <w:rsid w:val="00AC5C37"/>
    <w:rsid w:val="00AC63F7"/>
    <w:rsid w:val="00AC6E3E"/>
    <w:rsid w:val="00AC79E7"/>
    <w:rsid w:val="00AD0BD2"/>
    <w:rsid w:val="00AD15C9"/>
    <w:rsid w:val="00AD1F35"/>
    <w:rsid w:val="00AD2290"/>
    <w:rsid w:val="00AD238D"/>
    <w:rsid w:val="00AD27A2"/>
    <w:rsid w:val="00AD2D03"/>
    <w:rsid w:val="00AD335D"/>
    <w:rsid w:val="00AD4583"/>
    <w:rsid w:val="00AD52F0"/>
    <w:rsid w:val="00AD57A5"/>
    <w:rsid w:val="00AD5A00"/>
    <w:rsid w:val="00AD5D54"/>
    <w:rsid w:val="00AD5FFB"/>
    <w:rsid w:val="00AD64E9"/>
    <w:rsid w:val="00AD6D5A"/>
    <w:rsid w:val="00AD79AB"/>
    <w:rsid w:val="00AD7C06"/>
    <w:rsid w:val="00AE0B9D"/>
    <w:rsid w:val="00AE0E33"/>
    <w:rsid w:val="00AE15C0"/>
    <w:rsid w:val="00AE2850"/>
    <w:rsid w:val="00AE3BD3"/>
    <w:rsid w:val="00AE4F68"/>
    <w:rsid w:val="00AE64B8"/>
    <w:rsid w:val="00AE7592"/>
    <w:rsid w:val="00AE79B3"/>
    <w:rsid w:val="00AE79FC"/>
    <w:rsid w:val="00AF04C6"/>
    <w:rsid w:val="00AF0AC6"/>
    <w:rsid w:val="00AF1899"/>
    <w:rsid w:val="00AF200F"/>
    <w:rsid w:val="00AF2051"/>
    <w:rsid w:val="00AF33F3"/>
    <w:rsid w:val="00AF389C"/>
    <w:rsid w:val="00AF3E79"/>
    <w:rsid w:val="00AF4230"/>
    <w:rsid w:val="00AF5487"/>
    <w:rsid w:val="00AF7D89"/>
    <w:rsid w:val="00B01473"/>
    <w:rsid w:val="00B015E6"/>
    <w:rsid w:val="00B057D9"/>
    <w:rsid w:val="00B05FEF"/>
    <w:rsid w:val="00B06876"/>
    <w:rsid w:val="00B0748C"/>
    <w:rsid w:val="00B111BF"/>
    <w:rsid w:val="00B11930"/>
    <w:rsid w:val="00B12A71"/>
    <w:rsid w:val="00B132C3"/>
    <w:rsid w:val="00B13623"/>
    <w:rsid w:val="00B13ECE"/>
    <w:rsid w:val="00B1575E"/>
    <w:rsid w:val="00B15D85"/>
    <w:rsid w:val="00B16170"/>
    <w:rsid w:val="00B2063D"/>
    <w:rsid w:val="00B215C6"/>
    <w:rsid w:val="00B21F8E"/>
    <w:rsid w:val="00B22DDD"/>
    <w:rsid w:val="00B24AA2"/>
    <w:rsid w:val="00B25723"/>
    <w:rsid w:val="00B26B8A"/>
    <w:rsid w:val="00B27524"/>
    <w:rsid w:val="00B27B31"/>
    <w:rsid w:val="00B27F03"/>
    <w:rsid w:val="00B32CA3"/>
    <w:rsid w:val="00B33145"/>
    <w:rsid w:val="00B36617"/>
    <w:rsid w:val="00B36724"/>
    <w:rsid w:val="00B36AE4"/>
    <w:rsid w:val="00B36D39"/>
    <w:rsid w:val="00B408F5"/>
    <w:rsid w:val="00B4260E"/>
    <w:rsid w:val="00B44D43"/>
    <w:rsid w:val="00B4643D"/>
    <w:rsid w:val="00B466CB"/>
    <w:rsid w:val="00B4728E"/>
    <w:rsid w:val="00B50163"/>
    <w:rsid w:val="00B50E08"/>
    <w:rsid w:val="00B517DB"/>
    <w:rsid w:val="00B522E5"/>
    <w:rsid w:val="00B5250F"/>
    <w:rsid w:val="00B52E91"/>
    <w:rsid w:val="00B52FF4"/>
    <w:rsid w:val="00B569D0"/>
    <w:rsid w:val="00B57682"/>
    <w:rsid w:val="00B618AC"/>
    <w:rsid w:val="00B61DFC"/>
    <w:rsid w:val="00B626BD"/>
    <w:rsid w:val="00B62739"/>
    <w:rsid w:val="00B63853"/>
    <w:rsid w:val="00B63A02"/>
    <w:rsid w:val="00B63BED"/>
    <w:rsid w:val="00B648C8"/>
    <w:rsid w:val="00B64ECE"/>
    <w:rsid w:val="00B65DBD"/>
    <w:rsid w:val="00B668DE"/>
    <w:rsid w:val="00B67D30"/>
    <w:rsid w:val="00B7072F"/>
    <w:rsid w:val="00B70FB9"/>
    <w:rsid w:val="00B7235B"/>
    <w:rsid w:val="00B737D7"/>
    <w:rsid w:val="00B7386B"/>
    <w:rsid w:val="00B739F5"/>
    <w:rsid w:val="00B75D69"/>
    <w:rsid w:val="00B769B4"/>
    <w:rsid w:val="00B76E9C"/>
    <w:rsid w:val="00B8012B"/>
    <w:rsid w:val="00B81338"/>
    <w:rsid w:val="00B81D4F"/>
    <w:rsid w:val="00B82133"/>
    <w:rsid w:val="00B828C6"/>
    <w:rsid w:val="00B82A7C"/>
    <w:rsid w:val="00B83A0B"/>
    <w:rsid w:val="00B83ADA"/>
    <w:rsid w:val="00B84522"/>
    <w:rsid w:val="00B846B5"/>
    <w:rsid w:val="00B90691"/>
    <w:rsid w:val="00B90BB4"/>
    <w:rsid w:val="00B91D02"/>
    <w:rsid w:val="00B925A1"/>
    <w:rsid w:val="00B93F15"/>
    <w:rsid w:val="00B951EE"/>
    <w:rsid w:val="00B955FC"/>
    <w:rsid w:val="00B96373"/>
    <w:rsid w:val="00B964D1"/>
    <w:rsid w:val="00B965C6"/>
    <w:rsid w:val="00B96A57"/>
    <w:rsid w:val="00B97212"/>
    <w:rsid w:val="00B97EE8"/>
    <w:rsid w:val="00BA0273"/>
    <w:rsid w:val="00BA0DFC"/>
    <w:rsid w:val="00BA0F21"/>
    <w:rsid w:val="00BA0F72"/>
    <w:rsid w:val="00BA7630"/>
    <w:rsid w:val="00BA78E2"/>
    <w:rsid w:val="00BA7A4C"/>
    <w:rsid w:val="00BA7B6C"/>
    <w:rsid w:val="00BB0C45"/>
    <w:rsid w:val="00BB1101"/>
    <w:rsid w:val="00BB2631"/>
    <w:rsid w:val="00BB2D51"/>
    <w:rsid w:val="00BB2EFD"/>
    <w:rsid w:val="00BB4736"/>
    <w:rsid w:val="00BB4896"/>
    <w:rsid w:val="00BB49E0"/>
    <w:rsid w:val="00BB5EE8"/>
    <w:rsid w:val="00BB68A0"/>
    <w:rsid w:val="00BB7C4B"/>
    <w:rsid w:val="00BB7CBD"/>
    <w:rsid w:val="00BC011A"/>
    <w:rsid w:val="00BC037E"/>
    <w:rsid w:val="00BC0BDC"/>
    <w:rsid w:val="00BC319F"/>
    <w:rsid w:val="00BC32BB"/>
    <w:rsid w:val="00BC3DDE"/>
    <w:rsid w:val="00BC3F49"/>
    <w:rsid w:val="00BC456C"/>
    <w:rsid w:val="00BC655F"/>
    <w:rsid w:val="00BC714E"/>
    <w:rsid w:val="00BC715E"/>
    <w:rsid w:val="00BD0284"/>
    <w:rsid w:val="00BD0493"/>
    <w:rsid w:val="00BD08F6"/>
    <w:rsid w:val="00BD0DE6"/>
    <w:rsid w:val="00BD1356"/>
    <w:rsid w:val="00BD1A35"/>
    <w:rsid w:val="00BD1CD3"/>
    <w:rsid w:val="00BD39D6"/>
    <w:rsid w:val="00BD417C"/>
    <w:rsid w:val="00BD4482"/>
    <w:rsid w:val="00BD48C4"/>
    <w:rsid w:val="00BD6063"/>
    <w:rsid w:val="00BD718D"/>
    <w:rsid w:val="00BE0375"/>
    <w:rsid w:val="00BE12E7"/>
    <w:rsid w:val="00BE21CC"/>
    <w:rsid w:val="00BE3BF8"/>
    <w:rsid w:val="00BE4AF2"/>
    <w:rsid w:val="00BE5389"/>
    <w:rsid w:val="00BE60FC"/>
    <w:rsid w:val="00BF2A63"/>
    <w:rsid w:val="00BF3CED"/>
    <w:rsid w:val="00BF465D"/>
    <w:rsid w:val="00BF46BF"/>
    <w:rsid w:val="00BF4E4D"/>
    <w:rsid w:val="00BF6790"/>
    <w:rsid w:val="00BF6E0D"/>
    <w:rsid w:val="00BF6EBF"/>
    <w:rsid w:val="00BF7921"/>
    <w:rsid w:val="00BF7E86"/>
    <w:rsid w:val="00C0035C"/>
    <w:rsid w:val="00C01CA7"/>
    <w:rsid w:val="00C0208A"/>
    <w:rsid w:val="00C024E5"/>
    <w:rsid w:val="00C02517"/>
    <w:rsid w:val="00C03B62"/>
    <w:rsid w:val="00C03FCC"/>
    <w:rsid w:val="00C05D4E"/>
    <w:rsid w:val="00C05FB4"/>
    <w:rsid w:val="00C0674C"/>
    <w:rsid w:val="00C068B1"/>
    <w:rsid w:val="00C06BA0"/>
    <w:rsid w:val="00C06DDE"/>
    <w:rsid w:val="00C076B8"/>
    <w:rsid w:val="00C07EC8"/>
    <w:rsid w:val="00C12099"/>
    <w:rsid w:val="00C124B2"/>
    <w:rsid w:val="00C12678"/>
    <w:rsid w:val="00C15B4E"/>
    <w:rsid w:val="00C16FFC"/>
    <w:rsid w:val="00C17749"/>
    <w:rsid w:val="00C211CA"/>
    <w:rsid w:val="00C21D83"/>
    <w:rsid w:val="00C22ACC"/>
    <w:rsid w:val="00C23D4B"/>
    <w:rsid w:val="00C25D77"/>
    <w:rsid w:val="00C27135"/>
    <w:rsid w:val="00C30067"/>
    <w:rsid w:val="00C3152E"/>
    <w:rsid w:val="00C318E2"/>
    <w:rsid w:val="00C3265C"/>
    <w:rsid w:val="00C32C67"/>
    <w:rsid w:val="00C33AB8"/>
    <w:rsid w:val="00C33B7D"/>
    <w:rsid w:val="00C33C0D"/>
    <w:rsid w:val="00C3466C"/>
    <w:rsid w:val="00C34DC7"/>
    <w:rsid w:val="00C359E1"/>
    <w:rsid w:val="00C37D7C"/>
    <w:rsid w:val="00C37FE4"/>
    <w:rsid w:val="00C40C6B"/>
    <w:rsid w:val="00C414D6"/>
    <w:rsid w:val="00C41EA6"/>
    <w:rsid w:val="00C42631"/>
    <w:rsid w:val="00C435C2"/>
    <w:rsid w:val="00C44738"/>
    <w:rsid w:val="00C452E8"/>
    <w:rsid w:val="00C45B52"/>
    <w:rsid w:val="00C45C1B"/>
    <w:rsid w:val="00C45E48"/>
    <w:rsid w:val="00C45F97"/>
    <w:rsid w:val="00C4612A"/>
    <w:rsid w:val="00C46D3B"/>
    <w:rsid w:val="00C479E0"/>
    <w:rsid w:val="00C503A1"/>
    <w:rsid w:val="00C50EBA"/>
    <w:rsid w:val="00C512B3"/>
    <w:rsid w:val="00C51E04"/>
    <w:rsid w:val="00C5231D"/>
    <w:rsid w:val="00C529FC"/>
    <w:rsid w:val="00C53C72"/>
    <w:rsid w:val="00C53D4F"/>
    <w:rsid w:val="00C53F94"/>
    <w:rsid w:val="00C54542"/>
    <w:rsid w:val="00C55B17"/>
    <w:rsid w:val="00C56641"/>
    <w:rsid w:val="00C56922"/>
    <w:rsid w:val="00C57F1F"/>
    <w:rsid w:val="00C613D1"/>
    <w:rsid w:val="00C61944"/>
    <w:rsid w:val="00C62807"/>
    <w:rsid w:val="00C64D0C"/>
    <w:rsid w:val="00C64D86"/>
    <w:rsid w:val="00C652E6"/>
    <w:rsid w:val="00C656A2"/>
    <w:rsid w:val="00C65D25"/>
    <w:rsid w:val="00C66AEB"/>
    <w:rsid w:val="00C71522"/>
    <w:rsid w:val="00C717F9"/>
    <w:rsid w:val="00C7197B"/>
    <w:rsid w:val="00C71ADE"/>
    <w:rsid w:val="00C71EFA"/>
    <w:rsid w:val="00C730A0"/>
    <w:rsid w:val="00C737A6"/>
    <w:rsid w:val="00C74463"/>
    <w:rsid w:val="00C74492"/>
    <w:rsid w:val="00C748B5"/>
    <w:rsid w:val="00C75BBA"/>
    <w:rsid w:val="00C7606B"/>
    <w:rsid w:val="00C767D0"/>
    <w:rsid w:val="00C802B8"/>
    <w:rsid w:val="00C8034C"/>
    <w:rsid w:val="00C80A71"/>
    <w:rsid w:val="00C81C4B"/>
    <w:rsid w:val="00C82044"/>
    <w:rsid w:val="00C82E07"/>
    <w:rsid w:val="00C834D5"/>
    <w:rsid w:val="00C83A45"/>
    <w:rsid w:val="00C84C40"/>
    <w:rsid w:val="00C852C7"/>
    <w:rsid w:val="00C8730B"/>
    <w:rsid w:val="00C9089E"/>
    <w:rsid w:val="00C90BEA"/>
    <w:rsid w:val="00C91DD3"/>
    <w:rsid w:val="00C92B60"/>
    <w:rsid w:val="00C93E1C"/>
    <w:rsid w:val="00C946AB"/>
    <w:rsid w:val="00C94CD1"/>
    <w:rsid w:val="00C955BA"/>
    <w:rsid w:val="00C967A3"/>
    <w:rsid w:val="00C974AD"/>
    <w:rsid w:val="00CA033A"/>
    <w:rsid w:val="00CA05C6"/>
    <w:rsid w:val="00CA0612"/>
    <w:rsid w:val="00CA230D"/>
    <w:rsid w:val="00CA43FB"/>
    <w:rsid w:val="00CA4624"/>
    <w:rsid w:val="00CA4965"/>
    <w:rsid w:val="00CA4BAE"/>
    <w:rsid w:val="00CA6AC3"/>
    <w:rsid w:val="00CA7297"/>
    <w:rsid w:val="00CA7513"/>
    <w:rsid w:val="00CB03C1"/>
    <w:rsid w:val="00CB0473"/>
    <w:rsid w:val="00CB097C"/>
    <w:rsid w:val="00CB2997"/>
    <w:rsid w:val="00CB3996"/>
    <w:rsid w:val="00CB69E6"/>
    <w:rsid w:val="00CB75B6"/>
    <w:rsid w:val="00CC0A67"/>
    <w:rsid w:val="00CC180B"/>
    <w:rsid w:val="00CC18CD"/>
    <w:rsid w:val="00CC2C36"/>
    <w:rsid w:val="00CC31CE"/>
    <w:rsid w:val="00CC32FE"/>
    <w:rsid w:val="00CC3D66"/>
    <w:rsid w:val="00CC428D"/>
    <w:rsid w:val="00CC4345"/>
    <w:rsid w:val="00CC448E"/>
    <w:rsid w:val="00CC4603"/>
    <w:rsid w:val="00CC53CF"/>
    <w:rsid w:val="00CC5E88"/>
    <w:rsid w:val="00CC67C8"/>
    <w:rsid w:val="00CD11E0"/>
    <w:rsid w:val="00CD1456"/>
    <w:rsid w:val="00CD199B"/>
    <w:rsid w:val="00CD2CC3"/>
    <w:rsid w:val="00CD4B8E"/>
    <w:rsid w:val="00CD5BB2"/>
    <w:rsid w:val="00CD6EDE"/>
    <w:rsid w:val="00CD711C"/>
    <w:rsid w:val="00CE038C"/>
    <w:rsid w:val="00CE1407"/>
    <w:rsid w:val="00CE2A57"/>
    <w:rsid w:val="00CE318C"/>
    <w:rsid w:val="00CE557E"/>
    <w:rsid w:val="00CE74D4"/>
    <w:rsid w:val="00CE7759"/>
    <w:rsid w:val="00CE7AB3"/>
    <w:rsid w:val="00CF09AA"/>
    <w:rsid w:val="00CF12A2"/>
    <w:rsid w:val="00CF2942"/>
    <w:rsid w:val="00CF2D0D"/>
    <w:rsid w:val="00CF41D5"/>
    <w:rsid w:val="00CF48C9"/>
    <w:rsid w:val="00CF5B46"/>
    <w:rsid w:val="00CF5BC2"/>
    <w:rsid w:val="00CF5E44"/>
    <w:rsid w:val="00CF74C6"/>
    <w:rsid w:val="00CF757B"/>
    <w:rsid w:val="00D004AE"/>
    <w:rsid w:val="00D02244"/>
    <w:rsid w:val="00D0332F"/>
    <w:rsid w:val="00D036A8"/>
    <w:rsid w:val="00D04776"/>
    <w:rsid w:val="00D0689C"/>
    <w:rsid w:val="00D1123B"/>
    <w:rsid w:val="00D11817"/>
    <w:rsid w:val="00D12326"/>
    <w:rsid w:val="00D12AD4"/>
    <w:rsid w:val="00D13824"/>
    <w:rsid w:val="00D1434E"/>
    <w:rsid w:val="00D14F03"/>
    <w:rsid w:val="00D1584F"/>
    <w:rsid w:val="00D164BC"/>
    <w:rsid w:val="00D17359"/>
    <w:rsid w:val="00D178EB"/>
    <w:rsid w:val="00D20B4F"/>
    <w:rsid w:val="00D20F14"/>
    <w:rsid w:val="00D22DDE"/>
    <w:rsid w:val="00D23B11"/>
    <w:rsid w:val="00D23FD0"/>
    <w:rsid w:val="00D25A93"/>
    <w:rsid w:val="00D2608D"/>
    <w:rsid w:val="00D260C0"/>
    <w:rsid w:val="00D260EC"/>
    <w:rsid w:val="00D264F9"/>
    <w:rsid w:val="00D2766D"/>
    <w:rsid w:val="00D31D50"/>
    <w:rsid w:val="00D32359"/>
    <w:rsid w:val="00D3253A"/>
    <w:rsid w:val="00D33B46"/>
    <w:rsid w:val="00D3517B"/>
    <w:rsid w:val="00D3561B"/>
    <w:rsid w:val="00D35AA9"/>
    <w:rsid w:val="00D35D43"/>
    <w:rsid w:val="00D35EE7"/>
    <w:rsid w:val="00D368AC"/>
    <w:rsid w:val="00D375A3"/>
    <w:rsid w:val="00D40376"/>
    <w:rsid w:val="00D405EA"/>
    <w:rsid w:val="00D40672"/>
    <w:rsid w:val="00D40D28"/>
    <w:rsid w:val="00D43EE9"/>
    <w:rsid w:val="00D45153"/>
    <w:rsid w:val="00D46036"/>
    <w:rsid w:val="00D47635"/>
    <w:rsid w:val="00D51479"/>
    <w:rsid w:val="00D515FF"/>
    <w:rsid w:val="00D5189C"/>
    <w:rsid w:val="00D5224A"/>
    <w:rsid w:val="00D538E0"/>
    <w:rsid w:val="00D54554"/>
    <w:rsid w:val="00D54813"/>
    <w:rsid w:val="00D55585"/>
    <w:rsid w:val="00D564B2"/>
    <w:rsid w:val="00D571EA"/>
    <w:rsid w:val="00D57593"/>
    <w:rsid w:val="00D60B29"/>
    <w:rsid w:val="00D610B9"/>
    <w:rsid w:val="00D61881"/>
    <w:rsid w:val="00D619F1"/>
    <w:rsid w:val="00D61F4F"/>
    <w:rsid w:val="00D62166"/>
    <w:rsid w:val="00D62CB6"/>
    <w:rsid w:val="00D62DEA"/>
    <w:rsid w:val="00D62EA1"/>
    <w:rsid w:val="00D63A4B"/>
    <w:rsid w:val="00D64679"/>
    <w:rsid w:val="00D65AC2"/>
    <w:rsid w:val="00D65B3C"/>
    <w:rsid w:val="00D66021"/>
    <w:rsid w:val="00D66CDD"/>
    <w:rsid w:val="00D674B0"/>
    <w:rsid w:val="00D70A50"/>
    <w:rsid w:val="00D70DEB"/>
    <w:rsid w:val="00D74AE3"/>
    <w:rsid w:val="00D758FD"/>
    <w:rsid w:val="00D77AA8"/>
    <w:rsid w:val="00D80471"/>
    <w:rsid w:val="00D8081F"/>
    <w:rsid w:val="00D808E0"/>
    <w:rsid w:val="00D81544"/>
    <w:rsid w:val="00D8169B"/>
    <w:rsid w:val="00D8197D"/>
    <w:rsid w:val="00D81A2A"/>
    <w:rsid w:val="00D81D59"/>
    <w:rsid w:val="00D8271F"/>
    <w:rsid w:val="00D83784"/>
    <w:rsid w:val="00D84249"/>
    <w:rsid w:val="00D8482D"/>
    <w:rsid w:val="00D85E41"/>
    <w:rsid w:val="00D86093"/>
    <w:rsid w:val="00D86356"/>
    <w:rsid w:val="00D87326"/>
    <w:rsid w:val="00D90442"/>
    <w:rsid w:val="00D90657"/>
    <w:rsid w:val="00D90F6E"/>
    <w:rsid w:val="00D911E5"/>
    <w:rsid w:val="00D91306"/>
    <w:rsid w:val="00D93129"/>
    <w:rsid w:val="00D93699"/>
    <w:rsid w:val="00D939B5"/>
    <w:rsid w:val="00D94C4B"/>
    <w:rsid w:val="00D955B7"/>
    <w:rsid w:val="00D964B3"/>
    <w:rsid w:val="00D976DA"/>
    <w:rsid w:val="00D97A18"/>
    <w:rsid w:val="00DA04C6"/>
    <w:rsid w:val="00DA198E"/>
    <w:rsid w:val="00DA1BF6"/>
    <w:rsid w:val="00DA1C39"/>
    <w:rsid w:val="00DA1D8E"/>
    <w:rsid w:val="00DA22DC"/>
    <w:rsid w:val="00DA3423"/>
    <w:rsid w:val="00DA3838"/>
    <w:rsid w:val="00DA38D1"/>
    <w:rsid w:val="00DA4171"/>
    <w:rsid w:val="00DB0DFF"/>
    <w:rsid w:val="00DB2A82"/>
    <w:rsid w:val="00DB2C16"/>
    <w:rsid w:val="00DB3C52"/>
    <w:rsid w:val="00DB495C"/>
    <w:rsid w:val="00DB5380"/>
    <w:rsid w:val="00DB54A1"/>
    <w:rsid w:val="00DB5752"/>
    <w:rsid w:val="00DB5B45"/>
    <w:rsid w:val="00DB7677"/>
    <w:rsid w:val="00DB7F56"/>
    <w:rsid w:val="00DC1186"/>
    <w:rsid w:val="00DC139D"/>
    <w:rsid w:val="00DC1425"/>
    <w:rsid w:val="00DC1F62"/>
    <w:rsid w:val="00DC25A3"/>
    <w:rsid w:val="00DC3064"/>
    <w:rsid w:val="00DC4528"/>
    <w:rsid w:val="00DC4F87"/>
    <w:rsid w:val="00DC53FB"/>
    <w:rsid w:val="00DC57E6"/>
    <w:rsid w:val="00DC6199"/>
    <w:rsid w:val="00DC6216"/>
    <w:rsid w:val="00DC6EAC"/>
    <w:rsid w:val="00DC6F06"/>
    <w:rsid w:val="00DC74E2"/>
    <w:rsid w:val="00DC7DAF"/>
    <w:rsid w:val="00DD13B2"/>
    <w:rsid w:val="00DD1464"/>
    <w:rsid w:val="00DD199D"/>
    <w:rsid w:val="00DD19E8"/>
    <w:rsid w:val="00DD21B9"/>
    <w:rsid w:val="00DD2670"/>
    <w:rsid w:val="00DD71F8"/>
    <w:rsid w:val="00DD72B7"/>
    <w:rsid w:val="00DE05BE"/>
    <w:rsid w:val="00DE0F91"/>
    <w:rsid w:val="00DE16DA"/>
    <w:rsid w:val="00DE33F8"/>
    <w:rsid w:val="00DE35CB"/>
    <w:rsid w:val="00DE57A9"/>
    <w:rsid w:val="00DE65EA"/>
    <w:rsid w:val="00DE6E49"/>
    <w:rsid w:val="00DE74F9"/>
    <w:rsid w:val="00DF030A"/>
    <w:rsid w:val="00DF038E"/>
    <w:rsid w:val="00DF1E85"/>
    <w:rsid w:val="00DF2C5B"/>
    <w:rsid w:val="00DF365D"/>
    <w:rsid w:val="00DF3847"/>
    <w:rsid w:val="00DF6D3F"/>
    <w:rsid w:val="00E0131F"/>
    <w:rsid w:val="00E01ABE"/>
    <w:rsid w:val="00E01F16"/>
    <w:rsid w:val="00E02082"/>
    <w:rsid w:val="00E02DDB"/>
    <w:rsid w:val="00E032E4"/>
    <w:rsid w:val="00E036F2"/>
    <w:rsid w:val="00E0378A"/>
    <w:rsid w:val="00E04794"/>
    <w:rsid w:val="00E047BE"/>
    <w:rsid w:val="00E05253"/>
    <w:rsid w:val="00E0583E"/>
    <w:rsid w:val="00E06129"/>
    <w:rsid w:val="00E109F4"/>
    <w:rsid w:val="00E12CF3"/>
    <w:rsid w:val="00E13468"/>
    <w:rsid w:val="00E137AA"/>
    <w:rsid w:val="00E16E38"/>
    <w:rsid w:val="00E16F29"/>
    <w:rsid w:val="00E16F7A"/>
    <w:rsid w:val="00E17341"/>
    <w:rsid w:val="00E200AA"/>
    <w:rsid w:val="00E2022D"/>
    <w:rsid w:val="00E20CAE"/>
    <w:rsid w:val="00E20DD7"/>
    <w:rsid w:val="00E20E3E"/>
    <w:rsid w:val="00E21DB3"/>
    <w:rsid w:val="00E228FA"/>
    <w:rsid w:val="00E23215"/>
    <w:rsid w:val="00E23F43"/>
    <w:rsid w:val="00E24797"/>
    <w:rsid w:val="00E258ED"/>
    <w:rsid w:val="00E30336"/>
    <w:rsid w:val="00E30447"/>
    <w:rsid w:val="00E32C6C"/>
    <w:rsid w:val="00E3366F"/>
    <w:rsid w:val="00E337E2"/>
    <w:rsid w:val="00E34842"/>
    <w:rsid w:val="00E358E5"/>
    <w:rsid w:val="00E367BC"/>
    <w:rsid w:val="00E37450"/>
    <w:rsid w:val="00E375DA"/>
    <w:rsid w:val="00E40859"/>
    <w:rsid w:val="00E41D1D"/>
    <w:rsid w:val="00E422A1"/>
    <w:rsid w:val="00E4246B"/>
    <w:rsid w:val="00E42914"/>
    <w:rsid w:val="00E42EA8"/>
    <w:rsid w:val="00E456A8"/>
    <w:rsid w:val="00E460B5"/>
    <w:rsid w:val="00E460F7"/>
    <w:rsid w:val="00E465E9"/>
    <w:rsid w:val="00E467F5"/>
    <w:rsid w:val="00E5032F"/>
    <w:rsid w:val="00E5062E"/>
    <w:rsid w:val="00E5213C"/>
    <w:rsid w:val="00E52BC6"/>
    <w:rsid w:val="00E5361A"/>
    <w:rsid w:val="00E54A83"/>
    <w:rsid w:val="00E5608F"/>
    <w:rsid w:val="00E56769"/>
    <w:rsid w:val="00E5683F"/>
    <w:rsid w:val="00E5790A"/>
    <w:rsid w:val="00E57E4D"/>
    <w:rsid w:val="00E57E6B"/>
    <w:rsid w:val="00E604B0"/>
    <w:rsid w:val="00E61151"/>
    <w:rsid w:val="00E6130B"/>
    <w:rsid w:val="00E61BC5"/>
    <w:rsid w:val="00E623B0"/>
    <w:rsid w:val="00E63965"/>
    <w:rsid w:val="00E6510E"/>
    <w:rsid w:val="00E658E3"/>
    <w:rsid w:val="00E703E9"/>
    <w:rsid w:val="00E72160"/>
    <w:rsid w:val="00E7219D"/>
    <w:rsid w:val="00E722B8"/>
    <w:rsid w:val="00E724D2"/>
    <w:rsid w:val="00E73370"/>
    <w:rsid w:val="00E73A68"/>
    <w:rsid w:val="00E74846"/>
    <w:rsid w:val="00E74AB6"/>
    <w:rsid w:val="00E74DCA"/>
    <w:rsid w:val="00E74EA0"/>
    <w:rsid w:val="00E74F74"/>
    <w:rsid w:val="00E75B47"/>
    <w:rsid w:val="00E75D8B"/>
    <w:rsid w:val="00E761EB"/>
    <w:rsid w:val="00E76539"/>
    <w:rsid w:val="00E76ADA"/>
    <w:rsid w:val="00E76DD1"/>
    <w:rsid w:val="00E77F9D"/>
    <w:rsid w:val="00E80100"/>
    <w:rsid w:val="00E82776"/>
    <w:rsid w:val="00E82CCE"/>
    <w:rsid w:val="00E83804"/>
    <w:rsid w:val="00E84FF9"/>
    <w:rsid w:val="00E867DC"/>
    <w:rsid w:val="00E86E20"/>
    <w:rsid w:val="00E90F07"/>
    <w:rsid w:val="00E9161E"/>
    <w:rsid w:val="00E91935"/>
    <w:rsid w:val="00E9196B"/>
    <w:rsid w:val="00E91FAE"/>
    <w:rsid w:val="00E92025"/>
    <w:rsid w:val="00E923E3"/>
    <w:rsid w:val="00E92E2A"/>
    <w:rsid w:val="00E93481"/>
    <w:rsid w:val="00E93727"/>
    <w:rsid w:val="00E94B55"/>
    <w:rsid w:val="00E957C5"/>
    <w:rsid w:val="00E964FE"/>
    <w:rsid w:val="00E96C09"/>
    <w:rsid w:val="00E975FE"/>
    <w:rsid w:val="00EA0387"/>
    <w:rsid w:val="00EA04BD"/>
    <w:rsid w:val="00EA1902"/>
    <w:rsid w:val="00EA1AF3"/>
    <w:rsid w:val="00EA34FA"/>
    <w:rsid w:val="00EA37FA"/>
    <w:rsid w:val="00EA380E"/>
    <w:rsid w:val="00EA4036"/>
    <w:rsid w:val="00EA680A"/>
    <w:rsid w:val="00EA6884"/>
    <w:rsid w:val="00EA6D28"/>
    <w:rsid w:val="00EA6EE6"/>
    <w:rsid w:val="00EA742F"/>
    <w:rsid w:val="00EA785F"/>
    <w:rsid w:val="00EB0290"/>
    <w:rsid w:val="00EB0CB8"/>
    <w:rsid w:val="00EB0CFF"/>
    <w:rsid w:val="00EB14E8"/>
    <w:rsid w:val="00EB1AC4"/>
    <w:rsid w:val="00EB1BAB"/>
    <w:rsid w:val="00EB2E16"/>
    <w:rsid w:val="00EB3B96"/>
    <w:rsid w:val="00EB4062"/>
    <w:rsid w:val="00EB43D4"/>
    <w:rsid w:val="00EB4A8D"/>
    <w:rsid w:val="00EB537F"/>
    <w:rsid w:val="00EB53EB"/>
    <w:rsid w:val="00EB6E7C"/>
    <w:rsid w:val="00EB6F58"/>
    <w:rsid w:val="00EB7122"/>
    <w:rsid w:val="00EB7F74"/>
    <w:rsid w:val="00EC091E"/>
    <w:rsid w:val="00EC4ADF"/>
    <w:rsid w:val="00EC4B41"/>
    <w:rsid w:val="00EC4D11"/>
    <w:rsid w:val="00EC65BD"/>
    <w:rsid w:val="00ED0786"/>
    <w:rsid w:val="00ED1AF7"/>
    <w:rsid w:val="00ED3688"/>
    <w:rsid w:val="00ED5AA6"/>
    <w:rsid w:val="00ED62C8"/>
    <w:rsid w:val="00ED7359"/>
    <w:rsid w:val="00ED7B4E"/>
    <w:rsid w:val="00EE184F"/>
    <w:rsid w:val="00EE1ABA"/>
    <w:rsid w:val="00EE348D"/>
    <w:rsid w:val="00EE3712"/>
    <w:rsid w:val="00EE388D"/>
    <w:rsid w:val="00EE4419"/>
    <w:rsid w:val="00EE533D"/>
    <w:rsid w:val="00EE585E"/>
    <w:rsid w:val="00EE5887"/>
    <w:rsid w:val="00EE71BA"/>
    <w:rsid w:val="00EE729F"/>
    <w:rsid w:val="00EE76B2"/>
    <w:rsid w:val="00EE7D1D"/>
    <w:rsid w:val="00EE7D41"/>
    <w:rsid w:val="00EF0A81"/>
    <w:rsid w:val="00EF0BA2"/>
    <w:rsid w:val="00EF11FC"/>
    <w:rsid w:val="00EF2779"/>
    <w:rsid w:val="00EF6F56"/>
    <w:rsid w:val="00EF7F41"/>
    <w:rsid w:val="00F00319"/>
    <w:rsid w:val="00F00C37"/>
    <w:rsid w:val="00F01172"/>
    <w:rsid w:val="00F01E54"/>
    <w:rsid w:val="00F01E8C"/>
    <w:rsid w:val="00F02143"/>
    <w:rsid w:val="00F0234C"/>
    <w:rsid w:val="00F02DFB"/>
    <w:rsid w:val="00F02E14"/>
    <w:rsid w:val="00F03362"/>
    <w:rsid w:val="00F03CEC"/>
    <w:rsid w:val="00F0477A"/>
    <w:rsid w:val="00F05399"/>
    <w:rsid w:val="00F06469"/>
    <w:rsid w:val="00F07420"/>
    <w:rsid w:val="00F07D7A"/>
    <w:rsid w:val="00F11798"/>
    <w:rsid w:val="00F12066"/>
    <w:rsid w:val="00F12F8F"/>
    <w:rsid w:val="00F13B01"/>
    <w:rsid w:val="00F13D44"/>
    <w:rsid w:val="00F147EB"/>
    <w:rsid w:val="00F14CFC"/>
    <w:rsid w:val="00F151B0"/>
    <w:rsid w:val="00F1595B"/>
    <w:rsid w:val="00F16AD1"/>
    <w:rsid w:val="00F175DD"/>
    <w:rsid w:val="00F17B32"/>
    <w:rsid w:val="00F17E13"/>
    <w:rsid w:val="00F2053F"/>
    <w:rsid w:val="00F207E1"/>
    <w:rsid w:val="00F21191"/>
    <w:rsid w:val="00F214AD"/>
    <w:rsid w:val="00F2154D"/>
    <w:rsid w:val="00F218E8"/>
    <w:rsid w:val="00F21DC1"/>
    <w:rsid w:val="00F22916"/>
    <w:rsid w:val="00F23055"/>
    <w:rsid w:val="00F2487F"/>
    <w:rsid w:val="00F24C5F"/>
    <w:rsid w:val="00F25F8B"/>
    <w:rsid w:val="00F263DC"/>
    <w:rsid w:val="00F2753C"/>
    <w:rsid w:val="00F30205"/>
    <w:rsid w:val="00F31A24"/>
    <w:rsid w:val="00F31BDE"/>
    <w:rsid w:val="00F32872"/>
    <w:rsid w:val="00F32DD1"/>
    <w:rsid w:val="00F345D8"/>
    <w:rsid w:val="00F34B82"/>
    <w:rsid w:val="00F35EF3"/>
    <w:rsid w:val="00F37645"/>
    <w:rsid w:val="00F37C6D"/>
    <w:rsid w:val="00F40290"/>
    <w:rsid w:val="00F41984"/>
    <w:rsid w:val="00F438EE"/>
    <w:rsid w:val="00F439A0"/>
    <w:rsid w:val="00F44869"/>
    <w:rsid w:val="00F4517C"/>
    <w:rsid w:val="00F45232"/>
    <w:rsid w:val="00F46B5E"/>
    <w:rsid w:val="00F50067"/>
    <w:rsid w:val="00F50335"/>
    <w:rsid w:val="00F5046B"/>
    <w:rsid w:val="00F51290"/>
    <w:rsid w:val="00F51B2A"/>
    <w:rsid w:val="00F52F91"/>
    <w:rsid w:val="00F5340F"/>
    <w:rsid w:val="00F542BC"/>
    <w:rsid w:val="00F542CE"/>
    <w:rsid w:val="00F5484E"/>
    <w:rsid w:val="00F551FE"/>
    <w:rsid w:val="00F5562F"/>
    <w:rsid w:val="00F56D99"/>
    <w:rsid w:val="00F574D9"/>
    <w:rsid w:val="00F60A9B"/>
    <w:rsid w:val="00F618CE"/>
    <w:rsid w:val="00F61D35"/>
    <w:rsid w:val="00F632A3"/>
    <w:rsid w:val="00F637DA"/>
    <w:rsid w:val="00F64108"/>
    <w:rsid w:val="00F6452B"/>
    <w:rsid w:val="00F64700"/>
    <w:rsid w:val="00F64E41"/>
    <w:rsid w:val="00F65693"/>
    <w:rsid w:val="00F71B80"/>
    <w:rsid w:val="00F71CCB"/>
    <w:rsid w:val="00F71E14"/>
    <w:rsid w:val="00F722DA"/>
    <w:rsid w:val="00F73A25"/>
    <w:rsid w:val="00F7423A"/>
    <w:rsid w:val="00F743B2"/>
    <w:rsid w:val="00F74797"/>
    <w:rsid w:val="00F74E96"/>
    <w:rsid w:val="00F76033"/>
    <w:rsid w:val="00F81060"/>
    <w:rsid w:val="00F8115A"/>
    <w:rsid w:val="00F814B6"/>
    <w:rsid w:val="00F81FF0"/>
    <w:rsid w:val="00F824A1"/>
    <w:rsid w:val="00F832FB"/>
    <w:rsid w:val="00F83EF4"/>
    <w:rsid w:val="00F85B51"/>
    <w:rsid w:val="00F90081"/>
    <w:rsid w:val="00F90D73"/>
    <w:rsid w:val="00F90FF0"/>
    <w:rsid w:val="00F9291B"/>
    <w:rsid w:val="00F92B24"/>
    <w:rsid w:val="00F94A56"/>
    <w:rsid w:val="00F94B19"/>
    <w:rsid w:val="00F94C77"/>
    <w:rsid w:val="00F950AE"/>
    <w:rsid w:val="00F9547B"/>
    <w:rsid w:val="00F95AD1"/>
    <w:rsid w:val="00F95CC9"/>
    <w:rsid w:val="00F96291"/>
    <w:rsid w:val="00F964D7"/>
    <w:rsid w:val="00F97623"/>
    <w:rsid w:val="00F9796B"/>
    <w:rsid w:val="00FA0F87"/>
    <w:rsid w:val="00FA1DB2"/>
    <w:rsid w:val="00FA2B30"/>
    <w:rsid w:val="00FA3794"/>
    <w:rsid w:val="00FA3C91"/>
    <w:rsid w:val="00FA474E"/>
    <w:rsid w:val="00FA4B34"/>
    <w:rsid w:val="00FA4BDA"/>
    <w:rsid w:val="00FA5551"/>
    <w:rsid w:val="00FA7120"/>
    <w:rsid w:val="00FB0095"/>
    <w:rsid w:val="00FB0ACE"/>
    <w:rsid w:val="00FB0B0D"/>
    <w:rsid w:val="00FB1023"/>
    <w:rsid w:val="00FB14D4"/>
    <w:rsid w:val="00FB3646"/>
    <w:rsid w:val="00FB414B"/>
    <w:rsid w:val="00FB41AB"/>
    <w:rsid w:val="00FB4B22"/>
    <w:rsid w:val="00FB5914"/>
    <w:rsid w:val="00FB5BFC"/>
    <w:rsid w:val="00FB7053"/>
    <w:rsid w:val="00FB75B4"/>
    <w:rsid w:val="00FB7F37"/>
    <w:rsid w:val="00FC1802"/>
    <w:rsid w:val="00FC6EB3"/>
    <w:rsid w:val="00FC78F4"/>
    <w:rsid w:val="00FC7EE2"/>
    <w:rsid w:val="00FD0881"/>
    <w:rsid w:val="00FD18D4"/>
    <w:rsid w:val="00FD1C8B"/>
    <w:rsid w:val="00FD1D8B"/>
    <w:rsid w:val="00FD210C"/>
    <w:rsid w:val="00FD2A7D"/>
    <w:rsid w:val="00FD2E35"/>
    <w:rsid w:val="00FD466A"/>
    <w:rsid w:val="00FD46EC"/>
    <w:rsid w:val="00FD4ECB"/>
    <w:rsid w:val="00FD5B51"/>
    <w:rsid w:val="00FD6AB7"/>
    <w:rsid w:val="00FD6C4F"/>
    <w:rsid w:val="00FE0B6C"/>
    <w:rsid w:val="00FE0DC5"/>
    <w:rsid w:val="00FE1356"/>
    <w:rsid w:val="00FE2539"/>
    <w:rsid w:val="00FE2F84"/>
    <w:rsid w:val="00FE39EC"/>
    <w:rsid w:val="00FE3A31"/>
    <w:rsid w:val="00FE3BF1"/>
    <w:rsid w:val="00FE605D"/>
    <w:rsid w:val="00FE7791"/>
    <w:rsid w:val="00FF6AD4"/>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4029D19F"/>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Batang" w:hAnsi="Times New Roman" w:cs="Times New Roman"/>
        <w:lang w:val="en-US" w:eastAsia="ko-KR"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62D74"/>
    <w:pPr>
      <w:jc w:val="both"/>
    </w:pPr>
    <w:rPr>
      <w:sz w:val="22"/>
      <w:szCs w:val="24"/>
      <w:lang w:val="en-GB" w:eastAsia="en-US"/>
    </w:rPr>
  </w:style>
  <w:style w:type="paragraph" w:styleId="Heading1">
    <w:name w:val="heading 1"/>
    <w:basedOn w:val="Normal"/>
    <w:next w:val="Heading2"/>
    <w:link w:val="Heading1Char"/>
    <w:uiPriority w:val="9"/>
    <w:qFormat/>
    <w:rsid w:val="00362D74"/>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362D74"/>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362D74"/>
    <w:pPr>
      <w:keepNext/>
      <w:tabs>
        <w:tab w:val="left" w:pos="567"/>
      </w:tabs>
      <w:spacing w:before="120" w:after="120"/>
      <w:jc w:val="center"/>
      <w:outlineLvl w:val="2"/>
    </w:pPr>
    <w:rPr>
      <w:i/>
      <w:iCs/>
    </w:rPr>
  </w:style>
  <w:style w:type="paragraph" w:styleId="Heading4">
    <w:name w:val="heading 4"/>
    <w:basedOn w:val="Normal"/>
    <w:link w:val="Heading4Char"/>
    <w:qFormat/>
    <w:rsid w:val="00362D74"/>
    <w:pPr>
      <w:keepNext/>
      <w:spacing w:before="120" w:after="120"/>
      <w:outlineLvl w:val="3"/>
    </w:pPr>
    <w:rPr>
      <w:rFonts w:ascii="Times New Roman Bold" w:eastAsia="Arial Unicode MS" w:hAnsi="Times New Roman Bold"/>
      <w:b/>
      <w:bCs/>
      <w:i/>
    </w:rPr>
  </w:style>
  <w:style w:type="paragraph" w:styleId="Heading5">
    <w:name w:val="heading 5"/>
    <w:basedOn w:val="Normal"/>
    <w:next w:val="Normal"/>
    <w:link w:val="Heading5Char"/>
    <w:qFormat/>
    <w:rsid w:val="00362D74"/>
    <w:pPr>
      <w:keepNext/>
      <w:numPr>
        <w:ilvl w:val="4"/>
        <w:numId w:val="2"/>
      </w:numPr>
      <w:spacing w:before="120" w:after="120"/>
      <w:jc w:val="left"/>
      <w:outlineLvl w:val="4"/>
    </w:pPr>
    <w:rPr>
      <w:bCs/>
      <w:i/>
      <w:szCs w:val="26"/>
    </w:rPr>
  </w:style>
  <w:style w:type="paragraph" w:styleId="Heading6">
    <w:name w:val="heading 6"/>
    <w:basedOn w:val="Normal"/>
    <w:next w:val="Normal"/>
    <w:link w:val="Heading6Char"/>
    <w:qFormat/>
    <w:rsid w:val="00362D74"/>
    <w:pPr>
      <w:keepNext/>
      <w:spacing w:after="240" w:line="240" w:lineRule="exact"/>
      <w:ind w:left="720"/>
      <w:outlineLvl w:val="5"/>
    </w:pPr>
    <w:rPr>
      <w:u w:val="single"/>
    </w:rPr>
  </w:style>
  <w:style w:type="paragraph" w:styleId="Heading7">
    <w:name w:val="heading 7"/>
    <w:basedOn w:val="Normal"/>
    <w:next w:val="Normal"/>
    <w:link w:val="Heading7Char"/>
    <w:qFormat/>
    <w:rsid w:val="00362D74"/>
    <w:pPr>
      <w:keepNext/>
      <w:jc w:val="right"/>
      <w:outlineLvl w:val="6"/>
    </w:pPr>
    <w:rPr>
      <w:rFonts w:ascii="Univers" w:hAnsi="Univers"/>
      <w:b/>
      <w:sz w:val="28"/>
    </w:rPr>
  </w:style>
  <w:style w:type="paragraph" w:styleId="Heading8">
    <w:name w:val="heading 8"/>
    <w:basedOn w:val="Normal"/>
    <w:next w:val="Normal"/>
    <w:link w:val="Heading8Char"/>
    <w:qFormat/>
    <w:rsid w:val="00362D74"/>
    <w:pPr>
      <w:keepNext/>
      <w:jc w:val="right"/>
      <w:outlineLvl w:val="7"/>
    </w:pPr>
    <w:rPr>
      <w:rFonts w:ascii="Univers" w:hAnsi="Univers"/>
      <w:b/>
      <w:sz w:val="32"/>
    </w:rPr>
  </w:style>
  <w:style w:type="paragraph" w:styleId="Heading9">
    <w:name w:val="heading 9"/>
    <w:basedOn w:val="Normal"/>
    <w:next w:val="Normal"/>
    <w:link w:val="Heading9Char"/>
    <w:qFormat/>
    <w:rsid w:val="00362D7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62D74"/>
    <w:pPr>
      <w:tabs>
        <w:tab w:val="center" w:pos="4320"/>
        <w:tab w:val="right" w:pos="8640"/>
      </w:tabs>
      <w:ind w:firstLine="720"/>
      <w:jc w:val="right"/>
    </w:pPr>
  </w:style>
  <w:style w:type="paragraph" w:customStyle="1" w:styleId="Cornernotation">
    <w:name w:val="Corner notation"/>
    <w:basedOn w:val="Normal"/>
    <w:rsid w:val="00362D74"/>
    <w:pPr>
      <w:ind w:left="170" w:right="3119" w:hanging="170"/>
      <w:jc w:val="left"/>
    </w:pPr>
  </w:style>
  <w:style w:type="paragraph" w:customStyle="1" w:styleId="HEADING">
    <w:name w:val="HEADING"/>
    <w:basedOn w:val="Normal"/>
    <w:rsid w:val="00362D74"/>
    <w:pPr>
      <w:keepNext/>
      <w:spacing w:before="240" w:after="120"/>
      <w:jc w:val="center"/>
    </w:pPr>
    <w:rPr>
      <w:b/>
      <w:bCs/>
      <w:caps/>
    </w:rPr>
  </w:style>
  <w:style w:type="paragraph" w:styleId="BalloonText">
    <w:name w:val="Balloon Text"/>
    <w:basedOn w:val="Normal"/>
    <w:link w:val="BalloonTextChar"/>
    <w:semiHidden/>
    <w:rsid w:val="00373C4A"/>
    <w:rPr>
      <w:rFonts w:ascii="Tahoma" w:hAnsi="Tahoma"/>
      <w:sz w:val="16"/>
      <w:szCs w:val="16"/>
    </w:rPr>
  </w:style>
  <w:style w:type="paragraph" w:customStyle="1" w:styleId="Para1">
    <w:name w:val="Para1"/>
    <w:basedOn w:val="Normal"/>
    <w:link w:val="Para1Char"/>
    <w:rsid w:val="00362D74"/>
    <w:pPr>
      <w:numPr>
        <w:numId w:val="3"/>
      </w:numPr>
      <w:spacing w:before="120" w:after="120"/>
    </w:pPr>
    <w:rPr>
      <w:snapToGrid w:val="0"/>
      <w:szCs w:val="18"/>
    </w:rPr>
  </w:style>
  <w:style w:type="paragraph" w:customStyle="1" w:styleId="bodytextnoindent">
    <w:name w:val="body text (no indent)"/>
    <w:basedOn w:val="Normal"/>
    <w:rsid w:val="008152B4"/>
    <w:pPr>
      <w:spacing w:before="120" w:after="120"/>
    </w:pPr>
  </w:style>
  <w:style w:type="paragraph" w:customStyle="1" w:styleId="Heading1centred">
    <w:name w:val="Heading 1 (centred)"/>
    <w:basedOn w:val="Heading1"/>
    <w:next w:val="Para1"/>
    <w:rsid w:val="008152B4"/>
    <w:pPr>
      <w:numPr>
        <w:numId w:val="1"/>
      </w:numPr>
      <w:ind w:left="0" w:right="403" w:firstLine="0"/>
    </w:pPr>
  </w:style>
  <w:style w:type="paragraph" w:styleId="Header">
    <w:name w:val="header"/>
    <w:basedOn w:val="Normal"/>
    <w:link w:val="HeaderChar"/>
    <w:rsid w:val="00362D74"/>
    <w:pPr>
      <w:tabs>
        <w:tab w:val="center" w:pos="4320"/>
        <w:tab w:val="right" w:pos="8640"/>
      </w:tabs>
    </w:pPr>
  </w:style>
  <w:style w:type="character" w:customStyle="1" w:styleId="HeaderChar">
    <w:name w:val="Header Char"/>
    <w:link w:val="Header"/>
    <w:uiPriority w:val="99"/>
    <w:rsid w:val="002C43C6"/>
    <w:rPr>
      <w:sz w:val="22"/>
      <w:szCs w:val="24"/>
      <w:lang w:val="en-GB" w:eastAsia="en-US"/>
    </w:rPr>
  </w:style>
  <w:style w:type="paragraph" w:customStyle="1" w:styleId="Title1">
    <w:name w:val="Title1"/>
    <w:basedOn w:val="HEADING"/>
    <w:rsid w:val="00CA230D"/>
    <w:pPr>
      <w:tabs>
        <w:tab w:val="left" w:pos="1134"/>
      </w:tabs>
      <w:overflowPunct w:val="0"/>
      <w:autoSpaceDE w:val="0"/>
      <w:autoSpaceDN w:val="0"/>
      <w:adjustRightInd w:val="0"/>
      <w:textAlignment w:val="baseline"/>
    </w:pPr>
    <w:rPr>
      <w:szCs w:val="20"/>
    </w:rPr>
  </w:style>
  <w:style w:type="paragraph" w:styleId="BodyText">
    <w:name w:val="Body Text"/>
    <w:basedOn w:val="Normal"/>
    <w:link w:val="BodyTextChar"/>
    <w:uiPriority w:val="99"/>
    <w:rsid w:val="00362D74"/>
    <w:pPr>
      <w:spacing w:before="120" w:after="120"/>
      <w:ind w:firstLine="720"/>
    </w:pPr>
    <w:rPr>
      <w:iCs/>
    </w:rPr>
  </w:style>
  <w:style w:type="character" w:customStyle="1" w:styleId="BodyTextChar">
    <w:name w:val="Body Text Char"/>
    <w:link w:val="BodyText"/>
    <w:uiPriority w:val="99"/>
    <w:rsid w:val="00362D74"/>
    <w:rPr>
      <w:iCs/>
      <w:sz w:val="22"/>
      <w:szCs w:val="24"/>
      <w:lang w:val="en-GB" w:eastAsia="en-US"/>
    </w:rPr>
  </w:style>
  <w:style w:type="paragraph" w:styleId="BodyText2">
    <w:name w:val="Body Text 2"/>
    <w:basedOn w:val="Normal"/>
    <w:link w:val="BodyText2Char"/>
    <w:rsid w:val="00362D74"/>
    <w:pPr>
      <w:tabs>
        <w:tab w:val="left" w:pos="-1440"/>
        <w:tab w:val="left" w:pos="-720"/>
        <w:tab w:val="left" w:pos="0"/>
        <w:tab w:val="left" w:pos="720"/>
        <w:tab w:val="right" w:pos="1080"/>
        <w:tab w:val="left" w:pos="1440"/>
      </w:tabs>
      <w:suppressAutoHyphens/>
      <w:spacing w:after="120" w:line="288" w:lineRule="auto"/>
      <w:ind w:left="2160" w:hanging="2160"/>
    </w:pPr>
  </w:style>
  <w:style w:type="character" w:customStyle="1" w:styleId="BodyText2Char">
    <w:name w:val="Body Text 2 Char"/>
    <w:link w:val="BodyText2"/>
    <w:rsid w:val="00362D74"/>
    <w:rPr>
      <w:sz w:val="22"/>
      <w:szCs w:val="24"/>
      <w:lang w:val="en-GB" w:eastAsia="en-US"/>
    </w:rPr>
  </w:style>
  <w:style w:type="paragraph" w:styleId="BodyText3">
    <w:name w:val="Body Text 3"/>
    <w:basedOn w:val="Normal"/>
    <w:link w:val="BodyText3Char"/>
    <w:rsid w:val="00362D74"/>
    <w:pPr>
      <w:spacing w:before="120" w:after="120"/>
    </w:pPr>
  </w:style>
  <w:style w:type="character" w:customStyle="1" w:styleId="BodyText3Char">
    <w:name w:val="Body Text 3 Char"/>
    <w:link w:val="BodyText3"/>
    <w:rsid w:val="00362D74"/>
    <w:rPr>
      <w:sz w:val="22"/>
      <w:szCs w:val="24"/>
      <w:lang w:val="en-GB" w:eastAsia="en-US"/>
    </w:rPr>
  </w:style>
  <w:style w:type="paragraph" w:styleId="BodyTextIndent">
    <w:name w:val="Body Text Indent"/>
    <w:basedOn w:val="Normal"/>
    <w:link w:val="BodyTextIndentChar"/>
    <w:rsid w:val="00362D74"/>
    <w:pPr>
      <w:spacing w:before="120" w:after="120"/>
      <w:ind w:left="1440" w:hanging="720"/>
      <w:jc w:val="left"/>
    </w:pPr>
  </w:style>
  <w:style w:type="character" w:customStyle="1" w:styleId="BodyTextIndentChar">
    <w:name w:val="Body Text Indent Char"/>
    <w:link w:val="BodyTextIndent"/>
    <w:rsid w:val="00362D74"/>
    <w:rPr>
      <w:sz w:val="22"/>
      <w:szCs w:val="24"/>
      <w:lang w:val="en-GB" w:eastAsia="en-US"/>
    </w:rPr>
  </w:style>
  <w:style w:type="paragraph" w:styleId="BodyTextIndent3">
    <w:name w:val="Body Text Indent 3"/>
    <w:basedOn w:val="Normal"/>
    <w:link w:val="BodyTextIndent3Char"/>
    <w:rsid w:val="00362D74"/>
    <w:pPr>
      <w:spacing w:before="120" w:after="120"/>
      <w:ind w:left="720" w:right="720"/>
    </w:pPr>
    <w:rPr>
      <w:bCs/>
    </w:rPr>
  </w:style>
  <w:style w:type="character" w:customStyle="1" w:styleId="BodyTextIndent3Char">
    <w:name w:val="Body Text Indent 3 Char"/>
    <w:link w:val="BodyTextIndent3"/>
    <w:rsid w:val="00362D74"/>
    <w:rPr>
      <w:bCs/>
      <w:sz w:val="22"/>
      <w:szCs w:val="24"/>
      <w:lang w:val="en-GB" w:eastAsia="en-US"/>
    </w:rPr>
  </w:style>
  <w:style w:type="paragraph" w:styleId="Caption">
    <w:name w:val="caption"/>
    <w:basedOn w:val="Normal"/>
    <w:next w:val="Normal"/>
    <w:qFormat/>
    <w:rsid w:val="00362D74"/>
    <w:rPr>
      <w:u w:val="single"/>
    </w:rPr>
  </w:style>
  <w:style w:type="character" w:styleId="CommentReference">
    <w:name w:val="annotation reference"/>
    <w:rsid w:val="00362D74"/>
    <w:rPr>
      <w:sz w:val="16"/>
    </w:rPr>
  </w:style>
  <w:style w:type="paragraph" w:styleId="CommentText">
    <w:name w:val="annotation text"/>
    <w:basedOn w:val="Normal"/>
    <w:link w:val="CommentTextChar"/>
    <w:rsid w:val="00362D74"/>
    <w:pPr>
      <w:spacing w:after="120" w:line="240" w:lineRule="exact"/>
    </w:pPr>
  </w:style>
  <w:style w:type="character" w:customStyle="1" w:styleId="CommentTextChar">
    <w:name w:val="Comment Text Char"/>
    <w:link w:val="CommentText"/>
    <w:rsid w:val="00362D74"/>
    <w:rPr>
      <w:sz w:val="22"/>
      <w:szCs w:val="24"/>
      <w:lang w:val="en-GB" w:eastAsia="en-US"/>
    </w:rPr>
  </w:style>
  <w:style w:type="paragraph" w:customStyle="1" w:styleId="Document1">
    <w:name w:val="Document 1"/>
    <w:basedOn w:val="Normal"/>
    <w:next w:val="Normal"/>
    <w:rsid w:val="00362D74"/>
    <w:pPr>
      <w:suppressAutoHyphens/>
      <w:spacing w:after="120" w:line="240" w:lineRule="exact"/>
    </w:pPr>
  </w:style>
  <w:style w:type="character" w:styleId="EndnoteReference">
    <w:name w:val="endnote reference"/>
    <w:rsid w:val="00362D74"/>
    <w:rPr>
      <w:vertAlign w:val="superscript"/>
    </w:rPr>
  </w:style>
  <w:style w:type="paragraph" w:styleId="EndnoteText">
    <w:name w:val="endnote text"/>
    <w:basedOn w:val="Normal"/>
    <w:link w:val="EndnoteTextChar"/>
    <w:rsid w:val="00362D74"/>
    <w:pPr>
      <w:widowControl w:val="0"/>
      <w:tabs>
        <w:tab w:val="left" w:pos="-720"/>
      </w:tabs>
      <w:suppressAutoHyphens/>
    </w:pPr>
    <w:rPr>
      <w:rFonts w:ascii="Courier New" w:hAnsi="Courier New"/>
    </w:rPr>
  </w:style>
  <w:style w:type="character" w:customStyle="1" w:styleId="EndnoteTextChar">
    <w:name w:val="Endnote Text Char"/>
    <w:link w:val="EndnoteText"/>
    <w:rsid w:val="00362D74"/>
    <w:rPr>
      <w:rFonts w:ascii="Courier New" w:hAnsi="Courier New"/>
      <w:sz w:val="22"/>
      <w:szCs w:val="24"/>
      <w:lang w:val="en-GB" w:eastAsia="en-US"/>
    </w:rPr>
  </w:style>
  <w:style w:type="character" w:styleId="FollowedHyperlink">
    <w:name w:val="FollowedHyperlink"/>
    <w:rsid w:val="00362D74"/>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rsid w:val="00362D74"/>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rsid w:val="00362D74"/>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1,FOOTNOTES Char,ADB Char,single space1 Char,footnote text1 Char,FOOTNOTES1 Char,fn1 Char"/>
    <w:link w:val="FootnoteText"/>
    <w:rsid w:val="00362D74"/>
    <w:rPr>
      <w:sz w:val="18"/>
      <w:szCs w:val="24"/>
      <w:lang w:val="en-GB" w:eastAsia="en-US"/>
    </w:rPr>
  </w:style>
  <w:style w:type="paragraph" w:customStyle="1" w:styleId="HEADINGNOTFORTOC">
    <w:name w:val="HEADING (NOT FOR TOC)"/>
    <w:basedOn w:val="Heading1"/>
    <w:next w:val="Heading2"/>
    <w:rsid w:val="00362D74"/>
  </w:style>
  <w:style w:type="paragraph" w:customStyle="1" w:styleId="Heading1longmultiline">
    <w:name w:val="Heading 1 (long multiline)"/>
    <w:basedOn w:val="Heading1"/>
    <w:rsid w:val="00362D74"/>
    <w:pPr>
      <w:ind w:left="1843" w:hanging="1134"/>
      <w:jc w:val="left"/>
    </w:pPr>
  </w:style>
  <w:style w:type="paragraph" w:customStyle="1" w:styleId="Heading1multiline">
    <w:name w:val="Heading 1 (multiline)"/>
    <w:basedOn w:val="Heading1"/>
    <w:rsid w:val="00362D74"/>
    <w:pPr>
      <w:ind w:left="1843" w:right="996" w:hanging="567"/>
      <w:jc w:val="left"/>
    </w:pPr>
  </w:style>
  <w:style w:type="paragraph" w:customStyle="1" w:styleId="Heading2multiline">
    <w:name w:val="Heading 2 (multiline)"/>
    <w:basedOn w:val="Heading1"/>
    <w:next w:val="Para1"/>
    <w:rsid w:val="00362D74"/>
    <w:pPr>
      <w:spacing w:before="120"/>
      <w:ind w:left="1843" w:right="998" w:hanging="567"/>
      <w:jc w:val="left"/>
    </w:pPr>
    <w:rPr>
      <w:i/>
      <w:iCs/>
      <w:caps w:val="0"/>
    </w:rPr>
  </w:style>
  <w:style w:type="paragraph" w:customStyle="1" w:styleId="Heading2longmultiline">
    <w:name w:val="Heading 2 (long multiline)"/>
    <w:basedOn w:val="Heading2multiline"/>
    <w:rsid w:val="00362D74"/>
    <w:pPr>
      <w:ind w:left="2127" w:hanging="1276"/>
    </w:pPr>
  </w:style>
  <w:style w:type="character" w:customStyle="1" w:styleId="Heading3Char">
    <w:name w:val="Heading 3 Char"/>
    <w:link w:val="Heading3"/>
    <w:rsid w:val="00362D74"/>
    <w:rPr>
      <w:i/>
      <w:iCs/>
      <w:sz w:val="22"/>
      <w:szCs w:val="24"/>
      <w:lang w:val="en-GB" w:eastAsia="en-US"/>
    </w:rPr>
  </w:style>
  <w:style w:type="paragraph" w:customStyle="1" w:styleId="heading2notforTOC">
    <w:name w:val="heading 2 not for TOC"/>
    <w:basedOn w:val="Heading3"/>
    <w:rsid w:val="00362D74"/>
  </w:style>
  <w:style w:type="paragraph" w:customStyle="1" w:styleId="Heading2-center">
    <w:name w:val="Heading 2-center"/>
    <w:basedOn w:val="Heading2"/>
    <w:rsid w:val="00362D74"/>
    <w:pPr>
      <w:outlineLvl w:val="9"/>
    </w:pPr>
    <w:rPr>
      <w:i w:val="0"/>
      <w:iCs w:val="0"/>
      <w:caps/>
    </w:rPr>
  </w:style>
  <w:style w:type="paragraph" w:customStyle="1" w:styleId="Heading3multiline">
    <w:name w:val="Heading 3 (multiline)"/>
    <w:basedOn w:val="Heading3"/>
    <w:next w:val="Para1"/>
    <w:rsid w:val="00362D74"/>
    <w:pPr>
      <w:ind w:left="1418" w:hanging="425"/>
      <w:jc w:val="left"/>
    </w:pPr>
  </w:style>
  <w:style w:type="character" w:customStyle="1" w:styleId="Heading4Char">
    <w:name w:val="Heading 4 Char"/>
    <w:link w:val="Heading4"/>
    <w:rsid w:val="00362D74"/>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362D74"/>
    <w:pPr>
      <w:ind w:left="720"/>
      <w:outlineLvl w:val="9"/>
    </w:pPr>
  </w:style>
  <w:style w:type="character" w:customStyle="1" w:styleId="Heading5Char">
    <w:name w:val="Heading 5 Char"/>
    <w:link w:val="Heading5"/>
    <w:rsid w:val="00362D74"/>
    <w:rPr>
      <w:bCs/>
      <w:i/>
      <w:sz w:val="22"/>
      <w:szCs w:val="26"/>
      <w:lang w:val="en-GB" w:eastAsia="en-US"/>
    </w:rPr>
  </w:style>
  <w:style w:type="character" w:customStyle="1" w:styleId="Heading6Char">
    <w:name w:val="Heading 6 Char"/>
    <w:link w:val="Heading6"/>
    <w:rsid w:val="00362D74"/>
    <w:rPr>
      <w:sz w:val="22"/>
      <w:szCs w:val="24"/>
      <w:u w:val="single"/>
      <w:lang w:val="en-GB" w:eastAsia="en-US"/>
    </w:rPr>
  </w:style>
  <w:style w:type="character" w:customStyle="1" w:styleId="Heading7Char">
    <w:name w:val="Heading 7 Char"/>
    <w:link w:val="Heading7"/>
    <w:rsid w:val="00362D74"/>
    <w:rPr>
      <w:rFonts w:ascii="Univers" w:hAnsi="Univers"/>
      <w:b/>
      <w:sz w:val="28"/>
      <w:szCs w:val="24"/>
      <w:lang w:val="en-GB" w:eastAsia="en-US"/>
    </w:rPr>
  </w:style>
  <w:style w:type="character" w:customStyle="1" w:styleId="Heading8Char">
    <w:name w:val="Heading 8 Char"/>
    <w:link w:val="Heading8"/>
    <w:rsid w:val="00362D74"/>
    <w:rPr>
      <w:rFonts w:ascii="Univers" w:hAnsi="Univers"/>
      <w:b/>
      <w:sz w:val="32"/>
      <w:szCs w:val="24"/>
      <w:lang w:val="en-GB" w:eastAsia="en-US"/>
    </w:rPr>
  </w:style>
  <w:style w:type="character" w:customStyle="1" w:styleId="Heading9Char">
    <w:name w:val="Heading 9 Char"/>
    <w:link w:val="Heading9"/>
    <w:rsid w:val="00362D74"/>
    <w:rPr>
      <w:i/>
      <w:iCs/>
      <w:sz w:val="22"/>
      <w:szCs w:val="24"/>
      <w:lang w:val="en-GB" w:eastAsia="en-US"/>
    </w:rPr>
  </w:style>
  <w:style w:type="paragraph" w:customStyle="1" w:styleId="Heading40">
    <w:name w:val="Heading4"/>
    <w:basedOn w:val="Normal"/>
    <w:rsid w:val="00362D74"/>
    <w:pPr>
      <w:keepNext/>
      <w:spacing w:before="120" w:after="120"/>
    </w:pPr>
    <w:rPr>
      <w:i/>
      <w:iCs/>
    </w:rPr>
  </w:style>
  <w:style w:type="character" w:styleId="PageNumber">
    <w:name w:val="page number"/>
    <w:rsid w:val="00362D74"/>
    <w:rPr>
      <w:rFonts w:ascii="Times New Roman" w:hAnsi="Times New Roman"/>
      <w:sz w:val="22"/>
    </w:rPr>
  </w:style>
  <w:style w:type="paragraph" w:customStyle="1" w:styleId="Para2">
    <w:name w:val="Para2"/>
    <w:basedOn w:val="Para1"/>
    <w:rsid w:val="00362D74"/>
    <w:pPr>
      <w:numPr>
        <w:numId w:val="0"/>
      </w:numPr>
      <w:autoSpaceDE w:val="0"/>
      <w:autoSpaceDN w:val="0"/>
    </w:pPr>
  </w:style>
  <w:style w:type="paragraph" w:customStyle="1" w:styleId="Para3">
    <w:name w:val="Para3"/>
    <w:basedOn w:val="Normal"/>
    <w:autoRedefine/>
    <w:rsid w:val="00362D74"/>
    <w:pPr>
      <w:numPr>
        <w:ilvl w:val="3"/>
        <w:numId w:val="4"/>
      </w:numPr>
      <w:tabs>
        <w:tab w:val="left" w:pos="1980"/>
      </w:tabs>
      <w:spacing w:before="80" w:after="80"/>
    </w:pPr>
    <w:rPr>
      <w:szCs w:val="20"/>
    </w:rPr>
  </w:style>
  <w:style w:type="paragraph" w:customStyle="1" w:styleId="para4">
    <w:name w:val="para4"/>
    <w:basedOn w:val="Normal"/>
    <w:rsid w:val="00362D7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362D74"/>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paragraph" w:styleId="TOAHeading">
    <w:name w:val="toa heading"/>
    <w:basedOn w:val="Normal"/>
    <w:next w:val="Normal"/>
    <w:rsid w:val="00362D74"/>
    <w:pPr>
      <w:spacing w:before="120"/>
    </w:pPr>
    <w:rPr>
      <w:rFonts w:cs="Arial"/>
      <w:b/>
      <w:bCs/>
      <w:sz w:val="24"/>
    </w:rPr>
  </w:style>
  <w:style w:type="paragraph" w:styleId="TOC1">
    <w:name w:val="toc 1"/>
    <w:basedOn w:val="Normal"/>
    <w:next w:val="Normal"/>
    <w:autoRedefine/>
    <w:rsid w:val="00362D74"/>
    <w:pPr>
      <w:ind w:left="720" w:hanging="720"/>
    </w:pPr>
    <w:rPr>
      <w:caps/>
    </w:rPr>
  </w:style>
  <w:style w:type="paragraph" w:styleId="TOC2">
    <w:name w:val="toc 2"/>
    <w:basedOn w:val="Normal"/>
    <w:next w:val="Normal"/>
    <w:autoRedefine/>
    <w:rsid w:val="00362D74"/>
    <w:pPr>
      <w:tabs>
        <w:tab w:val="right" w:leader="dot" w:pos="9356"/>
      </w:tabs>
      <w:ind w:left="1440" w:hanging="720"/>
    </w:pPr>
    <w:rPr>
      <w:noProof/>
      <w:szCs w:val="22"/>
    </w:rPr>
  </w:style>
  <w:style w:type="paragraph" w:styleId="TOC3">
    <w:name w:val="toc 3"/>
    <w:basedOn w:val="Normal"/>
    <w:next w:val="Normal"/>
    <w:autoRedefine/>
    <w:rsid w:val="00362D74"/>
    <w:pPr>
      <w:ind w:left="2160" w:hanging="720"/>
    </w:pPr>
  </w:style>
  <w:style w:type="paragraph" w:styleId="TOC4">
    <w:name w:val="toc 4"/>
    <w:basedOn w:val="Normal"/>
    <w:next w:val="Normal"/>
    <w:autoRedefine/>
    <w:rsid w:val="00362D74"/>
    <w:pPr>
      <w:spacing w:before="120" w:after="120"/>
      <w:ind w:left="660"/>
      <w:jc w:val="left"/>
    </w:pPr>
  </w:style>
  <w:style w:type="paragraph" w:styleId="TOC5">
    <w:name w:val="toc 5"/>
    <w:basedOn w:val="Normal"/>
    <w:next w:val="Normal"/>
    <w:autoRedefine/>
    <w:rsid w:val="00362D74"/>
    <w:pPr>
      <w:spacing w:before="120" w:after="120"/>
      <w:ind w:left="880"/>
      <w:jc w:val="left"/>
    </w:pPr>
  </w:style>
  <w:style w:type="paragraph" w:styleId="TOC6">
    <w:name w:val="toc 6"/>
    <w:basedOn w:val="Normal"/>
    <w:next w:val="Normal"/>
    <w:autoRedefine/>
    <w:rsid w:val="00362D74"/>
    <w:pPr>
      <w:spacing w:before="120" w:after="120"/>
      <w:ind w:left="1100"/>
      <w:jc w:val="left"/>
    </w:pPr>
  </w:style>
  <w:style w:type="paragraph" w:styleId="TOC7">
    <w:name w:val="toc 7"/>
    <w:basedOn w:val="Normal"/>
    <w:next w:val="Normal"/>
    <w:autoRedefine/>
    <w:rsid w:val="00362D74"/>
    <w:pPr>
      <w:spacing w:before="120" w:after="120"/>
      <w:ind w:left="1320"/>
      <w:jc w:val="left"/>
    </w:pPr>
  </w:style>
  <w:style w:type="paragraph" w:styleId="TOC8">
    <w:name w:val="toc 8"/>
    <w:basedOn w:val="Normal"/>
    <w:next w:val="Normal"/>
    <w:autoRedefine/>
    <w:rsid w:val="00362D74"/>
    <w:pPr>
      <w:spacing w:before="120" w:after="120"/>
      <w:ind w:left="1540"/>
      <w:jc w:val="left"/>
    </w:pPr>
  </w:style>
  <w:style w:type="paragraph" w:styleId="TOC9">
    <w:name w:val="toc 9"/>
    <w:basedOn w:val="Normal"/>
    <w:next w:val="Normal"/>
    <w:autoRedefine/>
    <w:rsid w:val="00362D74"/>
    <w:pPr>
      <w:spacing w:before="120" w:after="120"/>
      <w:ind w:left="1760"/>
      <w:jc w:val="left"/>
    </w:pPr>
  </w:style>
  <w:style w:type="character" w:customStyle="1" w:styleId="underline">
    <w:name w:val="underline"/>
    <w:rsid w:val="00362D74"/>
    <w:rPr>
      <w:rFonts w:ascii="Courier" w:hAnsi="Courier"/>
      <w:sz w:val="20"/>
      <w:u w:val="single"/>
    </w:rPr>
  </w:style>
  <w:style w:type="paragraph" w:customStyle="1" w:styleId="ColorfulShading-Accent31">
    <w:name w:val="Colorful Shading - Accent 31"/>
    <w:basedOn w:val="Normal"/>
    <w:uiPriority w:val="34"/>
    <w:qFormat/>
    <w:rsid w:val="006E566B"/>
    <w:pPr>
      <w:spacing w:after="200" w:line="276" w:lineRule="auto"/>
      <w:ind w:left="720"/>
      <w:contextualSpacing/>
      <w:jc w:val="left"/>
    </w:pPr>
    <w:rPr>
      <w:rFonts w:ascii="Calibri" w:eastAsia="Malgun Gothic" w:hAnsi="Calibri"/>
      <w:szCs w:val="22"/>
      <w:lang w:val="en-US" w:eastAsia="ko-KR"/>
    </w:rPr>
  </w:style>
  <w:style w:type="character" w:styleId="Hyperlink">
    <w:name w:val="Hyperlink"/>
    <w:rsid w:val="00F824A1"/>
    <w:rPr>
      <w:color w:val="0000FF"/>
      <w:u w:val="single"/>
    </w:rPr>
  </w:style>
  <w:style w:type="paragraph" w:styleId="CommentSubject">
    <w:name w:val="annotation subject"/>
    <w:basedOn w:val="CommentText"/>
    <w:next w:val="CommentText"/>
    <w:link w:val="CommentSubjectChar"/>
    <w:rsid w:val="00857725"/>
    <w:pPr>
      <w:spacing w:after="0" w:line="240" w:lineRule="auto"/>
    </w:pPr>
    <w:rPr>
      <w:b/>
      <w:bCs/>
    </w:rPr>
  </w:style>
  <w:style w:type="character" w:customStyle="1" w:styleId="CommentSubjectChar">
    <w:name w:val="Comment Subject Char"/>
    <w:link w:val="CommentSubject"/>
    <w:rsid w:val="00857725"/>
    <w:rPr>
      <w:b/>
      <w:bCs/>
      <w:sz w:val="22"/>
      <w:szCs w:val="24"/>
      <w:lang w:val="en-GB" w:eastAsia="en-US"/>
    </w:rPr>
  </w:style>
  <w:style w:type="paragraph" w:customStyle="1" w:styleId="DarkList-Accent31">
    <w:name w:val="Dark List - Accent 31"/>
    <w:hidden/>
    <w:uiPriority w:val="99"/>
    <w:semiHidden/>
    <w:rsid w:val="00857725"/>
    <w:rPr>
      <w:sz w:val="22"/>
      <w:szCs w:val="24"/>
      <w:lang w:val="en-GB" w:eastAsia="en-US"/>
    </w:rPr>
  </w:style>
  <w:style w:type="character" w:styleId="Emphasis">
    <w:name w:val="Emphasis"/>
    <w:uiPriority w:val="20"/>
    <w:qFormat/>
    <w:rsid w:val="00D13824"/>
    <w:rPr>
      <w:b/>
      <w:bCs/>
      <w:i w:val="0"/>
      <w:iCs w:val="0"/>
    </w:rPr>
  </w:style>
  <w:style w:type="character" w:customStyle="1" w:styleId="st">
    <w:name w:val="st"/>
    <w:rsid w:val="00D13824"/>
  </w:style>
  <w:style w:type="character" w:customStyle="1" w:styleId="BalloonTextChar">
    <w:name w:val="Balloon Text Char"/>
    <w:link w:val="BalloonText"/>
    <w:uiPriority w:val="99"/>
    <w:semiHidden/>
    <w:locked/>
    <w:rsid w:val="00D13824"/>
    <w:rPr>
      <w:rFonts w:ascii="Tahoma" w:hAnsi="Tahoma" w:cs="Tahoma"/>
      <w:sz w:val="16"/>
      <w:szCs w:val="16"/>
      <w:lang w:val="en-GB" w:eastAsia="en-US"/>
    </w:rPr>
  </w:style>
  <w:style w:type="paragraph" w:customStyle="1" w:styleId="Body1">
    <w:name w:val="Body 1"/>
    <w:rsid w:val="00420F58"/>
    <w:rPr>
      <w:rFonts w:ascii="Helvetica" w:eastAsia="ヒラギノ角ゴ Pro W3" w:hAnsi="Helvetica"/>
      <w:color w:val="000000"/>
      <w:sz w:val="24"/>
      <w:lang w:eastAsia="en-TT"/>
    </w:rPr>
  </w:style>
  <w:style w:type="paragraph" w:styleId="NormalWeb">
    <w:name w:val="Normal (Web)"/>
    <w:basedOn w:val="Normal"/>
    <w:uiPriority w:val="99"/>
    <w:unhideWhenUsed/>
    <w:rsid w:val="00420F58"/>
    <w:pPr>
      <w:spacing w:before="100" w:beforeAutospacing="1" w:after="100" w:afterAutospacing="1"/>
      <w:jc w:val="left"/>
    </w:pPr>
    <w:rPr>
      <w:rFonts w:eastAsia="Times New Roman"/>
      <w:sz w:val="24"/>
      <w:lang w:val="en-TT" w:eastAsia="en-TT"/>
    </w:rPr>
  </w:style>
  <w:style w:type="paragraph" w:customStyle="1" w:styleId="MediumShading1-Accent21">
    <w:name w:val="Medium Shading 1 - Accent 21"/>
    <w:uiPriority w:val="1"/>
    <w:qFormat/>
    <w:rsid w:val="00D85E41"/>
    <w:rPr>
      <w:rFonts w:ascii="Calibri" w:eastAsia="Calibri" w:hAnsi="Calibri"/>
      <w:sz w:val="22"/>
      <w:szCs w:val="22"/>
      <w:lang w:val="en-CA" w:eastAsia="en-US"/>
    </w:rPr>
  </w:style>
  <w:style w:type="character" w:customStyle="1" w:styleId="Heading1Char">
    <w:name w:val="Heading 1 Char"/>
    <w:link w:val="Heading1"/>
    <w:uiPriority w:val="9"/>
    <w:rsid w:val="00DB3C52"/>
    <w:rPr>
      <w:b/>
      <w:caps/>
      <w:sz w:val="22"/>
      <w:szCs w:val="24"/>
      <w:lang w:val="en-GB"/>
    </w:rPr>
  </w:style>
  <w:style w:type="character" w:customStyle="1" w:styleId="FooterChar">
    <w:name w:val="Footer Char"/>
    <w:link w:val="Footer"/>
    <w:uiPriority w:val="99"/>
    <w:rsid w:val="00DB3C52"/>
    <w:rPr>
      <w:sz w:val="22"/>
      <w:szCs w:val="24"/>
      <w:lang w:val="en-GB"/>
    </w:rPr>
  </w:style>
  <w:style w:type="character" w:customStyle="1" w:styleId="googqs-tidbit1">
    <w:name w:val="goog_qs-tidbit1"/>
    <w:rsid w:val="002301E4"/>
    <w:rPr>
      <w:vanish w:val="0"/>
      <w:webHidden w:val="0"/>
      <w:specVanish w:val="0"/>
    </w:rPr>
  </w:style>
  <w:style w:type="paragraph" w:customStyle="1" w:styleId="Jihyun">
    <w:name w:val="Jihyun"/>
    <w:basedOn w:val="Normal"/>
    <w:link w:val="JihyunChar"/>
    <w:qFormat/>
    <w:rsid w:val="0062179F"/>
    <w:pPr>
      <w:widowControl w:val="0"/>
      <w:wordWrap w:val="0"/>
      <w:autoSpaceDE w:val="0"/>
      <w:autoSpaceDN w:val="0"/>
      <w:spacing w:after="200" w:line="276" w:lineRule="auto"/>
    </w:pPr>
    <w:rPr>
      <w:rFonts w:eastAsia="Malgun Gothic"/>
      <w:kern w:val="2"/>
      <w:szCs w:val="22"/>
    </w:rPr>
  </w:style>
  <w:style w:type="character" w:customStyle="1" w:styleId="JihyunChar">
    <w:name w:val="Jihyun Char"/>
    <w:link w:val="Jihyun"/>
    <w:rsid w:val="0062179F"/>
    <w:rPr>
      <w:rFonts w:eastAsia="Malgun Gothic"/>
      <w:kern w:val="2"/>
      <w:sz w:val="22"/>
      <w:szCs w:val="22"/>
    </w:rPr>
  </w:style>
  <w:style w:type="character" w:customStyle="1" w:styleId="Heading2Char">
    <w:name w:val="Heading 2 Char"/>
    <w:link w:val="Heading2"/>
    <w:uiPriority w:val="9"/>
    <w:rsid w:val="003D073C"/>
    <w:rPr>
      <w:b/>
      <w:bCs/>
      <w:i/>
      <w:iCs/>
      <w:sz w:val="22"/>
      <w:szCs w:val="24"/>
      <w:lang w:val="en-GB" w:eastAsia="en-US"/>
    </w:rPr>
  </w:style>
  <w:style w:type="character" w:customStyle="1" w:styleId="FootnoteTextChar2">
    <w:name w:val="Footnote Text Char2"/>
    <w:aliases w:val="fn Char2,Geneva 9 Char2,Font: Geneva 9 Char2,Boston 10 Char2,f Char2,ft Char3,Fotnotstext Char Char2,ft Char Char2,single space Char2,footnote text Char,FOOTNOTES Char2,ADB Char2,single space1 Char2,footnote text1 Char2,fn1 Char2"/>
    <w:rsid w:val="00B96373"/>
    <w:rPr>
      <w:rFonts w:ascii="Times New Roman" w:eastAsia="MS Mincho" w:hAnsi="Times New Roman" w:cs="Times New Roman"/>
      <w:kern w:val="0"/>
      <w:sz w:val="18"/>
      <w:szCs w:val="24"/>
      <w:lang w:val="en-GB" w:eastAsia="en-US"/>
    </w:rPr>
  </w:style>
  <w:style w:type="paragraph" w:customStyle="1" w:styleId="Default">
    <w:name w:val="Default"/>
    <w:rsid w:val="0074711B"/>
    <w:pPr>
      <w:widowControl w:val="0"/>
      <w:autoSpaceDE w:val="0"/>
      <w:autoSpaceDN w:val="0"/>
      <w:adjustRightInd w:val="0"/>
    </w:pPr>
    <w:rPr>
      <w:rFonts w:eastAsia="Malgun Gothic"/>
      <w:color w:val="000000"/>
      <w:sz w:val="24"/>
      <w:szCs w:val="24"/>
      <w:lang w:eastAsia="en-US"/>
    </w:rPr>
  </w:style>
  <w:style w:type="paragraph" w:customStyle="1" w:styleId="LightList-Accent31">
    <w:name w:val="Light List - Accent 31"/>
    <w:hidden/>
    <w:uiPriority w:val="99"/>
    <w:semiHidden/>
    <w:rsid w:val="00730597"/>
    <w:rPr>
      <w:sz w:val="22"/>
      <w:szCs w:val="24"/>
      <w:lang w:val="en-GB" w:eastAsia="en-US"/>
    </w:rPr>
  </w:style>
  <w:style w:type="paragraph" w:customStyle="1" w:styleId="MediumList2-Accent21">
    <w:name w:val="Medium List 2 - Accent 21"/>
    <w:hidden/>
    <w:uiPriority w:val="99"/>
    <w:semiHidden/>
    <w:rsid w:val="00A50E4D"/>
    <w:rPr>
      <w:sz w:val="22"/>
      <w:szCs w:val="24"/>
      <w:lang w:val="en-GB" w:eastAsia="en-US"/>
    </w:rPr>
  </w:style>
  <w:style w:type="character" w:customStyle="1" w:styleId="Para1Char">
    <w:name w:val="Para1 Char"/>
    <w:link w:val="Para1"/>
    <w:locked/>
    <w:rsid w:val="009B44A7"/>
    <w:rPr>
      <w:snapToGrid w:val="0"/>
      <w:sz w:val="22"/>
      <w:szCs w:val="18"/>
      <w:lang w:val="en-GB" w:eastAsia="en-US"/>
    </w:rPr>
  </w:style>
  <w:style w:type="paragraph" w:customStyle="1" w:styleId="ColorfulList-Accent11">
    <w:name w:val="Colorful List - Accent 11"/>
    <w:basedOn w:val="Normal"/>
    <w:uiPriority w:val="34"/>
    <w:qFormat/>
    <w:rsid w:val="009B44A7"/>
    <w:pPr>
      <w:ind w:left="720"/>
      <w:contextualSpacing/>
    </w:pPr>
    <w:rPr>
      <w:rFonts w:eastAsia="Times New Roman"/>
    </w:rPr>
  </w:style>
  <w:style w:type="paragraph" w:customStyle="1" w:styleId="Annex">
    <w:name w:val="Annex"/>
    <w:basedOn w:val="Normal"/>
    <w:rsid w:val="0049449A"/>
    <w:pPr>
      <w:pageBreakBefore/>
      <w:numPr>
        <w:numId w:val="6"/>
      </w:numPr>
      <w:spacing w:after="120"/>
      <w:jc w:val="left"/>
    </w:pPr>
    <w:rPr>
      <w:rFonts w:ascii="Arial" w:eastAsia="Times New Roman" w:hAnsi="Arial"/>
      <w:b/>
      <w:sz w:val="28"/>
      <w:lang w:val="da-DK" w:eastAsia="en-CA"/>
    </w:rPr>
  </w:style>
  <w:style w:type="character" w:customStyle="1" w:styleId="A4">
    <w:name w:val="A4"/>
    <w:rsid w:val="007B0205"/>
    <w:rPr>
      <w:rFonts w:cs="Arial"/>
      <w:color w:val="000000"/>
      <w:sz w:val="22"/>
      <w:szCs w:val="22"/>
    </w:rPr>
  </w:style>
  <w:style w:type="character" w:customStyle="1" w:styleId="easyimgcaptioninner">
    <w:name w:val="easy_img_caption_inner"/>
    <w:rsid w:val="007B0205"/>
  </w:style>
  <w:style w:type="character" w:customStyle="1" w:styleId="apple-converted-space">
    <w:name w:val="apple-converted-space"/>
    <w:rsid w:val="007B0205"/>
  </w:style>
  <w:style w:type="paragraph" w:customStyle="1" w:styleId="ColorfulList-Accent12">
    <w:name w:val="Colorful List - Accent 12"/>
    <w:basedOn w:val="Normal"/>
    <w:uiPriority w:val="34"/>
    <w:qFormat/>
    <w:rsid w:val="00762888"/>
    <w:pPr>
      <w:ind w:leftChars="400" w:left="800"/>
      <w:jc w:val="left"/>
    </w:pPr>
    <w:rPr>
      <w:rFonts w:ascii="Gulim" w:eastAsia="Gulim" w:hAnsi="Gulim" w:cs="Gulim"/>
      <w:sz w:val="24"/>
      <w:lang w:val="en-US" w:eastAsia="ko-KR"/>
    </w:rPr>
  </w:style>
  <w:style w:type="paragraph" w:customStyle="1" w:styleId="ColorfulShading-Accent11">
    <w:name w:val="Colorful Shading - Accent 11"/>
    <w:hidden/>
    <w:uiPriority w:val="99"/>
    <w:semiHidden/>
    <w:rsid w:val="004F01A5"/>
    <w:rPr>
      <w:sz w:val="22"/>
      <w:szCs w:val="24"/>
      <w:lang w:val="en-GB" w:eastAsia="en-US"/>
    </w:rPr>
  </w:style>
  <w:style w:type="character" w:customStyle="1" w:styleId="hps">
    <w:name w:val="hps"/>
    <w:rsid w:val="00E16F29"/>
  </w:style>
  <w:style w:type="character" w:customStyle="1" w:styleId="longtext">
    <w:name w:val="long_text"/>
    <w:rsid w:val="00756BA7"/>
  </w:style>
  <w:style w:type="paragraph" w:styleId="ListParagraph">
    <w:name w:val="List Paragraph"/>
    <w:basedOn w:val="Normal"/>
    <w:uiPriority w:val="34"/>
    <w:qFormat/>
    <w:rsid w:val="008E285E"/>
    <w:pPr>
      <w:ind w:leftChars="400" w:left="800"/>
    </w:pPr>
    <w:rPr>
      <w:rFonts w:eastAsia="Malgun Gothic"/>
    </w:rPr>
  </w:style>
  <w:style w:type="paragraph" w:styleId="Revision">
    <w:name w:val="Revision"/>
    <w:hidden/>
    <w:uiPriority w:val="99"/>
    <w:rsid w:val="00781674"/>
    <w:rPr>
      <w:sz w:val="22"/>
      <w:szCs w:val="24"/>
      <w:lang w:val="en-GB" w:eastAsia="en-US"/>
    </w:rPr>
  </w:style>
  <w:style w:type="paragraph" w:customStyle="1" w:styleId="EndNoteBibliography">
    <w:name w:val="EndNote Bibliography"/>
    <w:basedOn w:val="Normal"/>
    <w:rsid w:val="00E91935"/>
    <w:pPr>
      <w:jc w:val="left"/>
    </w:pPr>
    <w:rPr>
      <w:rFonts w:eastAsia="Malgun Gothic"/>
      <w:sz w:val="24"/>
      <w:lang w:val="en-CA" w:eastAsia="en-CA"/>
    </w:rPr>
  </w:style>
  <w:style w:type="character" w:customStyle="1" w:styleId="grame">
    <w:name w:val="grame"/>
    <w:basedOn w:val="DefaultParagraphFont"/>
    <w:rsid w:val="00E91935"/>
  </w:style>
  <w:style w:type="character" w:customStyle="1" w:styleId="A14">
    <w:name w:val="A14"/>
    <w:uiPriority w:val="99"/>
    <w:rsid w:val="00345301"/>
    <w:rPr>
      <w:rFonts w:cs="Novarese CE"/>
      <w:color w:val="000000"/>
      <w:sz w:val="16"/>
      <w:szCs w:val="16"/>
    </w:rPr>
  </w:style>
  <w:style w:type="character" w:customStyle="1" w:styleId="doilink">
    <w:name w:val="doi_link"/>
    <w:rsid w:val="0006218F"/>
  </w:style>
  <w:style w:type="character" w:customStyle="1" w:styleId="author">
    <w:name w:val="author"/>
    <w:rsid w:val="0006218F"/>
  </w:style>
  <w:style w:type="character" w:customStyle="1" w:styleId="pubyear">
    <w:name w:val="pubyear"/>
    <w:rsid w:val="0006218F"/>
  </w:style>
  <w:style w:type="character" w:customStyle="1" w:styleId="articletitle">
    <w:name w:val="articletitle"/>
    <w:rsid w:val="0006218F"/>
  </w:style>
  <w:style w:type="character" w:customStyle="1" w:styleId="journaltitle">
    <w:name w:val="journaltitle"/>
    <w:rsid w:val="0006218F"/>
  </w:style>
  <w:style w:type="character" w:customStyle="1" w:styleId="vol">
    <w:name w:val="vol"/>
    <w:rsid w:val="0006218F"/>
  </w:style>
  <w:style w:type="character" w:customStyle="1" w:styleId="citedissue">
    <w:name w:val="citedissue"/>
    <w:rsid w:val="0006218F"/>
  </w:style>
  <w:style w:type="character" w:customStyle="1" w:styleId="pagefirst">
    <w:name w:val="pagefirst"/>
    <w:rsid w:val="0006218F"/>
  </w:style>
  <w:style w:type="character" w:customStyle="1" w:styleId="pagelast">
    <w:name w:val="pagelast"/>
    <w:rsid w:val="0006218F"/>
  </w:style>
  <w:style w:type="table" w:styleId="TableGrid">
    <w:name w:val="Table Grid"/>
    <w:basedOn w:val="TableNormal"/>
    <w:uiPriority w:val="59"/>
    <w:rsid w:val="00A876F3"/>
    <w:rPr>
      <w:rFonts w:eastAsia="Malgun Gothic"/>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A876F3"/>
    <w:pPr>
      <w:shd w:val="clear" w:color="auto" w:fill="000080"/>
      <w:jc w:val="left"/>
    </w:pPr>
    <w:rPr>
      <w:rFonts w:ascii="Tahoma" w:eastAsia="Malgun Gothic" w:hAnsi="Tahoma" w:cs="Tahoma"/>
      <w:sz w:val="20"/>
      <w:szCs w:val="20"/>
      <w:lang w:eastAsia="en-CA"/>
    </w:rPr>
  </w:style>
  <w:style w:type="character" w:customStyle="1" w:styleId="DocumentMapChar">
    <w:name w:val="Document Map Char"/>
    <w:basedOn w:val="DefaultParagraphFont"/>
    <w:link w:val="DocumentMap"/>
    <w:semiHidden/>
    <w:rsid w:val="00A876F3"/>
    <w:rPr>
      <w:rFonts w:ascii="Tahoma" w:eastAsia="Malgun Gothic" w:hAnsi="Tahoma" w:cs="Tahoma"/>
      <w:shd w:val="clear" w:color="auto" w:fill="000080"/>
      <w:lang w:val="en-GB" w:eastAsia="en-CA"/>
    </w:rPr>
  </w:style>
  <w:style w:type="character" w:styleId="Strong">
    <w:name w:val="Strong"/>
    <w:basedOn w:val="DefaultParagraphFont"/>
    <w:uiPriority w:val="22"/>
    <w:qFormat/>
    <w:rsid w:val="00A876F3"/>
    <w:rPr>
      <w:b/>
      <w:bCs/>
    </w:rPr>
  </w:style>
  <w:style w:type="character" w:customStyle="1" w:styleId="Mention1">
    <w:name w:val="Mention1"/>
    <w:basedOn w:val="DefaultParagraphFont"/>
    <w:uiPriority w:val="99"/>
    <w:semiHidden/>
    <w:unhideWhenUsed/>
    <w:rsid w:val="00A876F3"/>
    <w:rPr>
      <w:color w:val="2B579A"/>
      <w:shd w:val="clear" w:color="auto" w:fill="E6E6E6"/>
    </w:rPr>
  </w:style>
  <w:style w:type="paragraph" w:customStyle="1" w:styleId="right">
    <w:name w:val="right"/>
    <w:basedOn w:val="Normal"/>
    <w:rsid w:val="00A876F3"/>
    <w:pPr>
      <w:ind w:firstLine="480"/>
      <w:jc w:val="right"/>
    </w:pPr>
    <w:rPr>
      <w:rFonts w:eastAsia="Times New Roman"/>
      <w:sz w:val="24"/>
      <w:lang w:val="en-US"/>
    </w:rPr>
  </w:style>
  <w:style w:type="character" w:customStyle="1" w:styleId="script-slavonic">
    <w:name w:val="script-slavonic"/>
    <w:basedOn w:val="DefaultParagraphFont"/>
    <w:rsid w:val="00A876F3"/>
  </w:style>
  <w:style w:type="paragraph" w:styleId="Title">
    <w:name w:val="Title"/>
    <w:basedOn w:val="Normal"/>
    <w:link w:val="TitleChar"/>
    <w:qFormat/>
    <w:rsid w:val="00A876F3"/>
    <w:pPr>
      <w:autoSpaceDE w:val="0"/>
      <w:autoSpaceDN w:val="0"/>
      <w:jc w:val="center"/>
    </w:pPr>
    <w:rPr>
      <w:rFonts w:eastAsia="Times New Roman"/>
      <w:sz w:val="28"/>
      <w:szCs w:val="28"/>
      <w:lang w:val="x-none" w:eastAsia="x-none"/>
    </w:rPr>
  </w:style>
  <w:style w:type="character" w:customStyle="1" w:styleId="TitleChar">
    <w:name w:val="Title Char"/>
    <w:basedOn w:val="DefaultParagraphFont"/>
    <w:link w:val="Title"/>
    <w:rsid w:val="00A876F3"/>
    <w:rPr>
      <w:rFonts w:eastAsia="Times New Roman"/>
      <w:sz w:val="28"/>
      <w:szCs w:val="28"/>
      <w:lang w:val="x-none" w:eastAsia="x-none"/>
    </w:rPr>
  </w:style>
  <w:style w:type="character" w:customStyle="1" w:styleId="alt-edited1">
    <w:name w:val="alt-edited1"/>
    <w:rsid w:val="00A876F3"/>
    <w:rPr>
      <w:color w:val="4D90F0"/>
    </w:rPr>
  </w:style>
  <w:style w:type="character" w:customStyle="1" w:styleId="shorttext">
    <w:name w:val="short_text"/>
    <w:rsid w:val="00A876F3"/>
  </w:style>
  <w:style w:type="character" w:customStyle="1" w:styleId="Bodytext20">
    <w:name w:val="Body text (2)_"/>
    <w:link w:val="Bodytext21"/>
    <w:rsid w:val="00A876F3"/>
    <w:rPr>
      <w:sz w:val="15"/>
      <w:szCs w:val="15"/>
      <w:shd w:val="clear" w:color="auto" w:fill="FFFFFF"/>
    </w:rPr>
  </w:style>
  <w:style w:type="paragraph" w:customStyle="1" w:styleId="Bodytext21">
    <w:name w:val="Body text (2)"/>
    <w:basedOn w:val="Normal"/>
    <w:link w:val="Bodytext20"/>
    <w:rsid w:val="00A876F3"/>
    <w:pPr>
      <w:shd w:val="clear" w:color="auto" w:fill="FFFFFF"/>
      <w:spacing w:line="557" w:lineRule="exact"/>
      <w:ind w:hanging="720"/>
    </w:pPr>
    <w:rPr>
      <w:sz w:val="15"/>
      <w:szCs w:val="15"/>
      <w:lang w:val="en-US" w:eastAsia="ko-KR"/>
    </w:rPr>
  </w:style>
  <w:style w:type="paragraph" w:styleId="HTMLPreformatted">
    <w:name w:val="HTML Preformatted"/>
    <w:basedOn w:val="Normal"/>
    <w:link w:val="HTMLPreformattedChar"/>
    <w:uiPriority w:val="99"/>
    <w:unhideWhenUsed/>
    <w:rsid w:val="00A876F3"/>
    <w:pPr>
      <w:jc w:val="left"/>
    </w:pPr>
    <w:rPr>
      <w:rFonts w:ascii="Consolas" w:eastAsia="Times New Roman" w:hAnsi="Consolas"/>
      <w:sz w:val="20"/>
      <w:szCs w:val="20"/>
      <w:lang w:val="x-none" w:eastAsia="ru-RU"/>
    </w:rPr>
  </w:style>
  <w:style w:type="character" w:customStyle="1" w:styleId="HTMLPreformattedChar">
    <w:name w:val="HTML Preformatted Char"/>
    <w:basedOn w:val="DefaultParagraphFont"/>
    <w:link w:val="HTMLPreformatted"/>
    <w:uiPriority w:val="99"/>
    <w:rsid w:val="00A876F3"/>
    <w:rPr>
      <w:rFonts w:ascii="Consolas" w:eastAsia="Times New Roman" w:hAnsi="Consolas"/>
      <w:lang w:val="x-none" w:eastAsia="ru-RU"/>
    </w:rPr>
  </w:style>
  <w:style w:type="character" w:customStyle="1" w:styleId="FontStyle12">
    <w:name w:val="Font Style12"/>
    <w:uiPriority w:val="99"/>
    <w:rsid w:val="00A876F3"/>
    <w:rPr>
      <w:rFonts w:ascii="Trebuchet MS" w:hAnsi="Trebuchet MS" w:cs="Trebuchet MS"/>
      <w:b/>
      <w:bCs/>
      <w:i/>
      <w:iCs/>
      <w:sz w:val="18"/>
      <w:szCs w:val="18"/>
    </w:rPr>
  </w:style>
  <w:style w:type="character" w:customStyle="1" w:styleId="FontStyle13">
    <w:name w:val="Font Style13"/>
    <w:uiPriority w:val="99"/>
    <w:rsid w:val="00A876F3"/>
    <w:rPr>
      <w:rFonts w:ascii="Trebuchet MS" w:hAnsi="Trebuchet MS" w:cs="Trebuchet MS"/>
      <w:sz w:val="18"/>
      <w:szCs w:val="18"/>
    </w:rPr>
  </w:style>
  <w:style w:type="character" w:customStyle="1" w:styleId="45pt">
    <w:name w:val="Основной текст + 4.5 pt"/>
    <w:basedOn w:val="DefaultParagraphFont"/>
    <w:rsid w:val="00A876F3"/>
    <w:rPr>
      <w:rFonts w:ascii="Palatino Linotype" w:eastAsia="Palatino Linotype" w:hAnsi="Palatino Linotype" w:cs="Palatino Linotype"/>
      <w:b w:val="0"/>
      <w:bCs w:val="0"/>
      <w:i w:val="0"/>
      <w:iCs w:val="0"/>
      <w:smallCaps w:val="0"/>
      <w:strike w:val="0"/>
      <w:spacing w:val="0"/>
      <w:sz w:val="9"/>
      <w:szCs w:val="9"/>
    </w:rPr>
  </w:style>
  <w:style w:type="character" w:customStyle="1" w:styleId="1">
    <w:name w:val="Основной текст1"/>
    <w:basedOn w:val="DefaultParagraphFont"/>
    <w:rsid w:val="00A876F3"/>
    <w:rPr>
      <w:rFonts w:ascii="Century Schoolbook" w:eastAsia="Century Schoolbook" w:hAnsi="Century Schoolbook" w:cs="Century Schoolbook"/>
      <w:b w:val="0"/>
      <w:bCs w:val="0"/>
      <w:i w:val="0"/>
      <w:iCs w:val="0"/>
      <w:smallCaps w:val="0"/>
      <w:strike w:val="0"/>
      <w:spacing w:val="0"/>
      <w:sz w:val="17"/>
      <w:szCs w:val="17"/>
    </w:rPr>
  </w:style>
  <w:style w:type="character" w:customStyle="1" w:styleId="7">
    <w:name w:val="Основной текст7"/>
    <w:basedOn w:val="DefaultParagraphFont"/>
    <w:rsid w:val="00A876F3"/>
    <w:rPr>
      <w:rFonts w:ascii="Century Schoolbook" w:eastAsia="Century Schoolbook" w:hAnsi="Century Schoolbook" w:cs="Century Schoolbook"/>
      <w:b w:val="0"/>
      <w:bCs w:val="0"/>
      <w:i w:val="0"/>
      <w:iCs w:val="0"/>
      <w:smallCaps w:val="0"/>
      <w:strike w:val="0"/>
      <w:spacing w:val="0"/>
      <w:sz w:val="17"/>
      <w:szCs w:val="17"/>
    </w:rPr>
  </w:style>
  <w:style w:type="character" w:customStyle="1" w:styleId="reference-text">
    <w:name w:val="reference-text"/>
    <w:rsid w:val="00A876F3"/>
  </w:style>
  <w:style w:type="paragraph" w:styleId="Subtitle">
    <w:name w:val="Subtitle"/>
    <w:basedOn w:val="Normal"/>
    <w:next w:val="Normal"/>
    <w:link w:val="SubtitleChar"/>
    <w:uiPriority w:val="11"/>
    <w:qFormat/>
    <w:rsid w:val="00A876F3"/>
    <w:pPr>
      <w:numPr>
        <w:ilvl w:val="1"/>
      </w:numPr>
      <w:spacing w:after="160" w:line="259" w:lineRule="auto"/>
      <w:jc w:val="left"/>
    </w:pPr>
    <w:rPr>
      <w:rFonts w:asciiTheme="minorHAnsi" w:eastAsiaTheme="minorEastAsia" w:hAnsiTheme="minorHAnsi" w:cstheme="minorBidi"/>
      <w:color w:val="5A5A5A" w:themeColor="text1" w:themeTint="A5"/>
      <w:spacing w:val="15"/>
      <w:szCs w:val="22"/>
      <w:lang w:val="en-US"/>
    </w:rPr>
  </w:style>
  <w:style w:type="character" w:customStyle="1" w:styleId="SubtitleChar">
    <w:name w:val="Subtitle Char"/>
    <w:basedOn w:val="DefaultParagraphFont"/>
    <w:link w:val="Subtitle"/>
    <w:uiPriority w:val="11"/>
    <w:rsid w:val="00A876F3"/>
    <w:rPr>
      <w:rFonts w:asciiTheme="minorHAnsi" w:eastAsiaTheme="minorEastAsia" w:hAnsiTheme="minorHAnsi" w:cstheme="minorBidi"/>
      <w:color w:val="5A5A5A" w:themeColor="text1" w:themeTint="A5"/>
      <w:spacing w:val="15"/>
      <w:sz w:val="22"/>
      <w:szCs w:val="22"/>
      <w:lang w:eastAsia="en-US"/>
    </w:rPr>
  </w:style>
  <w:style w:type="paragraph" w:styleId="NoSpacing">
    <w:name w:val="No Spacing"/>
    <w:link w:val="NoSpacingChar"/>
    <w:uiPriority w:val="1"/>
    <w:qFormat/>
    <w:rsid w:val="00A876F3"/>
    <w:rPr>
      <w:rFonts w:ascii="Calibri" w:eastAsia="Times New Roman" w:hAnsi="Calibri"/>
      <w:sz w:val="22"/>
      <w:szCs w:val="22"/>
      <w:lang w:val="ru-RU" w:eastAsia="ru-RU"/>
    </w:rPr>
  </w:style>
  <w:style w:type="character" w:customStyle="1" w:styleId="NoSpacingChar">
    <w:name w:val="No Spacing Char"/>
    <w:link w:val="NoSpacing"/>
    <w:uiPriority w:val="1"/>
    <w:locked/>
    <w:rsid w:val="00A876F3"/>
    <w:rPr>
      <w:rFonts w:ascii="Calibri" w:eastAsia="Times New Roman" w:hAnsi="Calibri"/>
      <w:sz w:val="22"/>
      <w:szCs w:val="22"/>
      <w:lang w:val="ru-RU" w:eastAsia="ru-RU"/>
    </w:rPr>
  </w:style>
  <w:style w:type="paragraph" w:customStyle="1" w:styleId="10">
    <w:name w:val="Основной текст с отступом1"/>
    <w:basedOn w:val="Normal"/>
    <w:rsid w:val="00A876F3"/>
    <w:pPr>
      <w:ind w:firstLine="540"/>
    </w:pPr>
    <w:rPr>
      <w:rFonts w:eastAsia="Times New Roman"/>
      <w:sz w:val="24"/>
      <w:lang w:val="ru-RU" w:eastAsia="ru-RU"/>
    </w:rPr>
  </w:style>
  <w:style w:type="character" w:customStyle="1" w:styleId="alt-edited">
    <w:name w:val="alt-edited"/>
    <w:basedOn w:val="DefaultParagraphFont"/>
    <w:rsid w:val="00A876F3"/>
  </w:style>
  <w:style w:type="paragraph" w:customStyle="1" w:styleId="xmsonormal">
    <w:name w:val="x_msonormal"/>
    <w:basedOn w:val="Normal"/>
    <w:rsid w:val="00A876F3"/>
    <w:pPr>
      <w:spacing w:before="100" w:beforeAutospacing="1" w:after="100" w:afterAutospacing="1"/>
      <w:jc w:val="left"/>
    </w:pPr>
    <w:rPr>
      <w:rFonts w:eastAsia="Times New Roman"/>
      <w:sz w:val="24"/>
      <w:lang w:val="tr-TR" w:eastAsia="ja-JP"/>
    </w:rPr>
  </w:style>
  <w:style w:type="character" w:customStyle="1" w:styleId="xgmail-fontstyle139">
    <w:name w:val="x_gmail-fontstyle139"/>
    <w:basedOn w:val="DefaultParagraphFont"/>
    <w:rsid w:val="00A876F3"/>
  </w:style>
  <w:style w:type="character" w:customStyle="1" w:styleId="st1">
    <w:name w:val="st1"/>
    <w:basedOn w:val="DefaultParagraphFont"/>
    <w:rsid w:val="00A876F3"/>
  </w:style>
  <w:style w:type="paragraph" w:customStyle="1" w:styleId="p1">
    <w:name w:val="p1"/>
    <w:basedOn w:val="Normal"/>
    <w:rsid w:val="00A876F3"/>
    <w:pPr>
      <w:jc w:val="left"/>
    </w:pPr>
    <w:rPr>
      <w:rFonts w:ascii="Source Code Pro" w:eastAsiaTheme="minorHAnsi" w:hAnsi="Source Code Pro"/>
      <w:sz w:val="20"/>
      <w:szCs w:val="20"/>
      <w:lang w:val="en-US"/>
    </w:rPr>
  </w:style>
  <w:style w:type="character" w:customStyle="1" w:styleId="s1">
    <w:name w:val="s1"/>
    <w:basedOn w:val="DefaultParagraphFont"/>
    <w:rsid w:val="00A876F3"/>
  </w:style>
  <w:style w:type="paragraph" w:customStyle="1" w:styleId="NumberedParas">
    <w:name w:val="Numbered Paras"/>
    <w:basedOn w:val="Normal"/>
    <w:qFormat/>
    <w:rsid w:val="00A876F3"/>
    <w:pPr>
      <w:numPr>
        <w:numId w:val="23"/>
      </w:numPr>
      <w:ind w:left="0" w:firstLine="0"/>
    </w:pPr>
    <w:rPr>
      <w:rFonts w:eastAsia="Times New Roman"/>
      <w:noProof/>
      <w:sz w:val="24"/>
      <w:szCs w:val="22"/>
      <w:lang w:val="en-US"/>
    </w:rPr>
  </w:style>
  <w:style w:type="paragraph" w:styleId="PlainText">
    <w:name w:val="Plain Text"/>
    <w:basedOn w:val="Normal"/>
    <w:link w:val="PlainTextChar"/>
    <w:rsid w:val="00A876F3"/>
    <w:pPr>
      <w:jc w:val="left"/>
    </w:pPr>
    <w:rPr>
      <w:rFonts w:ascii="Courier New" w:eastAsia="Times New Roman" w:hAnsi="Courier New" w:cs="Courier New"/>
      <w:sz w:val="20"/>
      <w:szCs w:val="20"/>
      <w:lang w:val="ru-RU" w:eastAsia="ru-RU"/>
    </w:rPr>
  </w:style>
  <w:style w:type="character" w:customStyle="1" w:styleId="PlainTextChar">
    <w:name w:val="Plain Text Char"/>
    <w:basedOn w:val="DefaultParagraphFont"/>
    <w:link w:val="PlainText"/>
    <w:rsid w:val="00A876F3"/>
    <w:rPr>
      <w:rFonts w:ascii="Courier New" w:eastAsia="Times New Roman" w:hAnsi="Courier New" w:cs="Courier New"/>
      <w:lang w:val="ru-RU" w:eastAsia="ru-RU"/>
    </w:rPr>
  </w:style>
  <w:style w:type="paragraph" w:styleId="z-TopofForm">
    <w:name w:val="HTML Top of Form"/>
    <w:basedOn w:val="Normal"/>
    <w:next w:val="Normal"/>
    <w:link w:val="z-TopofFormChar"/>
    <w:hidden/>
    <w:uiPriority w:val="99"/>
    <w:semiHidden/>
    <w:unhideWhenUsed/>
    <w:rsid w:val="00A876F3"/>
    <w:pPr>
      <w:pBdr>
        <w:bottom w:val="single" w:sz="6" w:space="1" w:color="auto"/>
      </w:pBdr>
      <w:jc w:val="center"/>
    </w:pPr>
    <w:rPr>
      <w:rFonts w:ascii="Arial" w:eastAsia="Times New Roman" w:hAnsi="Arial" w:cs="Arial"/>
      <w:vanish/>
      <w:sz w:val="16"/>
      <w:szCs w:val="16"/>
      <w:lang w:val="ru-RU" w:eastAsia="ru-RU"/>
    </w:rPr>
  </w:style>
  <w:style w:type="character" w:customStyle="1" w:styleId="z-TopofFormChar">
    <w:name w:val="z-Top of Form Char"/>
    <w:basedOn w:val="DefaultParagraphFont"/>
    <w:link w:val="z-TopofForm"/>
    <w:uiPriority w:val="99"/>
    <w:semiHidden/>
    <w:rsid w:val="00A876F3"/>
    <w:rPr>
      <w:rFonts w:ascii="Arial" w:eastAsia="Times New Roman" w:hAnsi="Arial" w:cs="Arial"/>
      <w:vanish/>
      <w:sz w:val="16"/>
      <w:szCs w:val="16"/>
      <w:lang w:val="ru-RU" w:eastAsia="ru-RU"/>
    </w:rPr>
  </w:style>
  <w:style w:type="character" w:customStyle="1" w:styleId="gt-ft-text">
    <w:name w:val="gt-ft-text"/>
    <w:basedOn w:val="DefaultParagraphFont"/>
    <w:rsid w:val="00A876F3"/>
  </w:style>
  <w:style w:type="paragraph" w:styleId="z-BottomofForm">
    <w:name w:val="HTML Bottom of Form"/>
    <w:basedOn w:val="Normal"/>
    <w:next w:val="Normal"/>
    <w:link w:val="z-BottomofFormChar"/>
    <w:hidden/>
    <w:uiPriority w:val="99"/>
    <w:semiHidden/>
    <w:unhideWhenUsed/>
    <w:rsid w:val="00A876F3"/>
    <w:pPr>
      <w:pBdr>
        <w:top w:val="single" w:sz="6" w:space="1" w:color="auto"/>
      </w:pBdr>
      <w:jc w:val="center"/>
    </w:pPr>
    <w:rPr>
      <w:rFonts w:ascii="Arial" w:eastAsia="Times New Roman" w:hAnsi="Arial" w:cs="Arial"/>
      <w:vanish/>
      <w:sz w:val="16"/>
      <w:szCs w:val="16"/>
      <w:lang w:val="ru-RU" w:eastAsia="ru-RU"/>
    </w:rPr>
  </w:style>
  <w:style w:type="character" w:customStyle="1" w:styleId="z-BottomofFormChar">
    <w:name w:val="z-Bottom of Form Char"/>
    <w:basedOn w:val="DefaultParagraphFont"/>
    <w:link w:val="z-BottomofForm"/>
    <w:uiPriority w:val="99"/>
    <w:semiHidden/>
    <w:rsid w:val="00A876F3"/>
    <w:rPr>
      <w:rFonts w:ascii="Arial" w:eastAsia="Times New Roman" w:hAnsi="Arial" w:cs="Arial"/>
      <w:vanish/>
      <w:sz w:val="16"/>
      <w:szCs w:val="16"/>
      <w:lang w:val="ru-RU" w:eastAsia="ru-RU"/>
    </w:rPr>
  </w:style>
  <w:style w:type="character" w:customStyle="1" w:styleId="a">
    <w:name w:val="_"/>
    <w:basedOn w:val="DefaultParagraphFont"/>
    <w:rsid w:val="00A876F3"/>
  </w:style>
  <w:style w:type="character" w:customStyle="1" w:styleId="ff2">
    <w:name w:val="ff2"/>
    <w:basedOn w:val="DefaultParagraphFont"/>
    <w:rsid w:val="00A876F3"/>
  </w:style>
  <w:style w:type="character" w:customStyle="1" w:styleId="ff3">
    <w:name w:val="ff3"/>
    <w:basedOn w:val="DefaultParagraphFont"/>
    <w:rsid w:val="00A876F3"/>
  </w:style>
  <w:style w:type="character" w:customStyle="1" w:styleId="ff1">
    <w:name w:val="ff1"/>
    <w:basedOn w:val="DefaultParagraphFont"/>
    <w:rsid w:val="00A876F3"/>
  </w:style>
  <w:style w:type="character" w:customStyle="1" w:styleId="ls17">
    <w:name w:val="ls17"/>
    <w:basedOn w:val="DefaultParagraphFont"/>
    <w:rsid w:val="00A876F3"/>
  </w:style>
  <w:style w:type="paragraph" w:customStyle="1" w:styleId="msonormalmailrucssattributepostfix">
    <w:name w:val="msonormal_mailru_css_attribute_postfix"/>
    <w:basedOn w:val="Normal"/>
    <w:rsid w:val="00A876F3"/>
    <w:pPr>
      <w:spacing w:before="100" w:beforeAutospacing="1" w:after="100" w:afterAutospacing="1"/>
      <w:jc w:val="left"/>
    </w:pPr>
    <w:rPr>
      <w:rFonts w:eastAsiaTheme="minorHAnsi"/>
      <w:sz w:val="24"/>
      <w:lang w:val="en-US"/>
    </w:rPr>
  </w:style>
  <w:style w:type="character" w:styleId="PlaceholderText">
    <w:name w:val="Placeholder Text"/>
    <w:basedOn w:val="DefaultParagraphFont"/>
    <w:uiPriority w:val="67"/>
    <w:rsid w:val="00A876F3"/>
    <w:rPr>
      <w:color w:val="808080"/>
    </w:rPr>
  </w:style>
  <w:style w:type="character" w:customStyle="1" w:styleId="UnresolvedMention1">
    <w:name w:val="Unresolved Mention1"/>
    <w:basedOn w:val="DefaultParagraphFont"/>
    <w:uiPriority w:val="99"/>
    <w:semiHidden/>
    <w:unhideWhenUsed/>
    <w:rsid w:val="00E0583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2601">
      <w:bodyDiv w:val="1"/>
      <w:marLeft w:val="0"/>
      <w:marRight w:val="0"/>
      <w:marTop w:val="0"/>
      <w:marBottom w:val="0"/>
      <w:divBdr>
        <w:top w:val="none" w:sz="0" w:space="0" w:color="auto"/>
        <w:left w:val="none" w:sz="0" w:space="0" w:color="auto"/>
        <w:bottom w:val="none" w:sz="0" w:space="0" w:color="auto"/>
        <w:right w:val="none" w:sz="0" w:space="0" w:color="auto"/>
      </w:divBdr>
      <w:divsChild>
        <w:div w:id="484049793">
          <w:marLeft w:val="1166"/>
          <w:marRight w:val="0"/>
          <w:marTop w:val="106"/>
          <w:marBottom w:val="0"/>
          <w:divBdr>
            <w:top w:val="none" w:sz="0" w:space="0" w:color="auto"/>
            <w:left w:val="none" w:sz="0" w:space="0" w:color="auto"/>
            <w:bottom w:val="none" w:sz="0" w:space="0" w:color="auto"/>
            <w:right w:val="none" w:sz="0" w:space="0" w:color="auto"/>
          </w:divBdr>
        </w:div>
        <w:div w:id="732965839">
          <w:marLeft w:val="1166"/>
          <w:marRight w:val="0"/>
          <w:marTop w:val="106"/>
          <w:marBottom w:val="0"/>
          <w:divBdr>
            <w:top w:val="none" w:sz="0" w:space="0" w:color="auto"/>
            <w:left w:val="none" w:sz="0" w:space="0" w:color="auto"/>
            <w:bottom w:val="none" w:sz="0" w:space="0" w:color="auto"/>
            <w:right w:val="none" w:sz="0" w:space="0" w:color="auto"/>
          </w:divBdr>
        </w:div>
        <w:div w:id="992755968">
          <w:marLeft w:val="1166"/>
          <w:marRight w:val="0"/>
          <w:marTop w:val="106"/>
          <w:marBottom w:val="0"/>
          <w:divBdr>
            <w:top w:val="none" w:sz="0" w:space="0" w:color="auto"/>
            <w:left w:val="none" w:sz="0" w:space="0" w:color="auto"/>
            <w:bottom w:val="none" w:sz="0" w:space="0" w:color="auto"/>
            <w:right w:val="none" w:sz="0" w:space="0" w:color="auto"/>
          </w:divBdr>
        </w:div>
        <w:div w:id="1171022558">
          <w:marLeft w:val="1166"/>
          <w:marRight w:val="0"/>
          <w:marTop w:val="106"/>
          <w:marBottom w:val="0"/>
          <w:divBdr>
            <w:top w:val="none" w:sz="0" w:space="0" w:color="auto"/>
            <w:left w:val="none" w:sz="0" w:space="0" w:color="auto"/>
            <w:bottom w:val="none" w:sz="0" w:space="0" w:color="auto"/>
            <w:right w:val="none" w:sz="0" w:space="0" w:color="auto"/>
          </w:divBdr>
        </w:div>
        <w:div w:id="1187132378">
          <w:marLeft w:val="547"/>
          <w:marRight w:val="0"/>
          <w:marTop w:val="106"/>
          <w:marBottom w:val="0"/>
          <w:divBdr>
            <w:top w:val="none" w:sz="0" w:space="0" w:color="auto"/>
            <w:left w:val="none" w:sz="0" w:space="0" w:color="auto"/>
            <w:bottom w:val="none" w:sz="0" w:space="0" w:color="auto"/>
            <w:right w:val="none" w:sz="0" w:space="0" w:color="auto"/>
          </w:divBdr>
        </w:div>
      </w:divsChild>
    </w:div>
    <w:div w:id="33773127">
      <w:bodyDiv w:val="1"/>
      <w:marLeft w:val="0"/>
      <w:marRight w:val="0"/>
      <w:marTop w:val="0"/>
      <w:marBottom w:val="0"/>
      <w:divBdr>
        <w:top w:val="none" w:sz="0" w:space="0" w:color="auto"/>
        <w:left w:val="none" w:sz="0" w:space="0" w:color="auto"/>
        <w:bottom w:val="none" w:sz="0" w:space="0" w:color="auto"/>
        <w:right w:val="none" w:sz="0" w:space="0" w:color="auto"/>
      </w:divBdr>
      <w:divsChild>
        <w:div w:id="9993982">
          <w:marLeft w:val="0"/>
          <w:marRight w:val="0"/>
          <w:marTop w:val="0"/>
          <w:marBottom w:val="0"/>
          <w:divBdr>
            <w:top w:val="none" w:sz="0" w:space="0" w:color="auto"/>
            <w:left w:val="none" w:sz="0" w:space="0" w:color="auto"/>
            <w:bottom w:val="none" w:sz="0" w:space="0" w:color="auto"/>
            <w:right w:val="none" w:sz="0" w:space="0" w:color="auto"/>
          </w:divBdr>
          <w:divsChild>
            <w:div w:id="150609424">
              <w:marLeft w:val="0"/>
              <w:marRight w:val="0"/>
              <w:marTop w:val="0"/>
              <w:marBottom w:val="0"/>
              <w:divBdr>
                <w:top w:val="none" w:sz="0" w:space="0" w:color="auto"/>
                <w:left w:val="none" w:sz="0" w:space="0" w:color="auto"/>
                <w:bottom w:val="none" w:sz="0" w:space="0" w:color="auto"/>
                <w:right w:val="none" w:sz="0" w:space="0" w:color="auto"/>
              </w:divBdr>
            </w:div>
            <w:div w:id="965430256">
              <w:marLeft w:val="0"/>
              <w:marRight w:val="0"/>
              <w:marTop w:val="0"/>
              <w:marBottom w:val="0"/>
              <w:divBdr>
                <w:top w:val="none" w:sz="0" w:space="0" w:color="auto"/>
                <w:left w:val="none" w:sz="0" w:space="0" w:color="auto"/>
                <w:bottom w:val="none" w:sz="0" w:space="0" w:color="auto"/>
                <w:right w:val="none" w:sz="0" w:space="0" w:color="auto"/>
              </w:divBdr>
            </w:div>
            <w:div w:id="1027754790">
              <w:marLeft w:val="0"/>
              <w:marRight w:val="0"/>
              <w:marTop w:val="0"/>
              <w:marBottom w:val="0"/>
              <w:divBdr>
                <w:top w:val="none" w:sz="0" w:space="0" w:color="auto"/>
                <w:left w:val="none" w:sz="0" w:space="0" w:color="auto"/>
                <w:bottom w:val="none" w:sz="0" w:space="0" w:color="auto"/>
                <w:right w:val="none" w:sz="0" w:space="0" w:color="auto"/>
              </w:divBdr>
            </w:div>
            <w:div w:id="1592617841">
              <w:marLeft w:val="0"/>
              <w:marRight w:val="0"/>
              <w:marTop w:val="0"/>
              <w:marBottom w:val="0"/>
              <w:divBdr>
                <w:top w:val="none" w:sz="0" w:space="0" w:color="auto"/>
                <w:left w:val="none" w:sz="0" w:space="0" w:color="auto"/>
                <w:bottom w:val="none" w:sz="0" w:space="0" w:color="auto"/>
                <w:right w:val="none" w:sz="0" w:space="0" w:color="auto"/>
              </w:divBdr>
            </w:div>
            <w:div w:id="1620915770">
              <w:marLeft w:val="0"/>
              <w:marRight w:val="0"/>
              <w:marTop w:val="0"/>
              <w:marBottom w:val="0"/>
              <w:divBdr>
                <w:top w:val="none" w:sz="0" w:space="0" w:color="auto"/>
                <w:left w:val="none" w:sz="0" w:space="0" w:color="auto"/>
                <w:bottom w:val="none" w:sz="0" w:space="0" w:color="auto"/>
                <w:right w:val="none" w:sz="0" w:space="0" w:color="auto"/>
              </w:divBdr>
            </w:div>
            <w:div w:id="194087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203">
      <w:bodyDiv w:val="1"/>
      <w:marLeft w:val="0"/>
      <w:marRight w:val="0"/>
      <w:marTop w:val="0"/>
      <w:marBottom w:val="0"/>
      <w:divBdr>
        <w:top w:val="none" w:sz="0" w:space="0" w:color="auto"/>
        <w:left w:val="none" w:sz="0" w:space="0" w:color="auto"/>
        <w:bottom w:val="none" w:sz="0" w:space="0" w:color="auto"/>
        <w:right w:val="none" w:sz="0" w:space="0" w:color="auto"/>
      </w:divBdr>
      <w:divsChild>
        <w:div w:id="2143691532">
          <w:marLeft w:val="1166"/>
          <w:marRight w:val="0"/>
          <w:marTop w:val="106"/>
          <w:marBottom w:val="0"/>
          <w:divBdr>
            <w:top w:val="none" w:sz="0" w:space="0" w:color="auto"/>
            <w:left w:val="none" w:sz="0" w:space="0" w:color="auto"/>
            <w:bottom w:val="none" w:sz="0" w:space="0" w:color="auto"/>
            <w:right w:val="none" w:sz="0" w:space="0" w:color="auto"/>
          </w:divBdr>
        </w:div>
      </w:divsChild>
    </w:div>
    <w:div w:id="159777374">
      <w:bodyDiv w:val="1"/>
      <w:marLeft w:val="0"/>
      <w:marRight w:val="0"/>
      <w:marTop w:val="0"/>
      <w:marBottom w:val="0"/>
      <w:divBdr>
        <w:top w:val="none" w:sz="0" w:space="0" w:color="auto"/>
        <w:left w:val="none" w:sz="0" w:space="0" w:color="auto"/>
        <w:bottom w:val="none" w:sz="0" w:space="0" w:color="auto"/>
        <w:right w:val="none" w:sz="0" w:space="0" w:color="auto"/>
      </w:divBdr>
      <w:divsChild>
        <w:div w:id="1194804776">
          <w:marLeft w:val="0"/>
          <w:marRight w:val="0"/>
          <w:marTop w:val="0"/>
          <w:marBottom w:val="0"/>
          <w:divBdr>
            <w:top w:val="none" w:sz="0" w:space="0" w:color="auto"/>
            <w:left w:val="none" w:sz="0" w:space="0" w:color="auto"/>
            <w:bottom w:val="none" w:sz="0" w:space="0" w:color="auto"/>
            <w:right w:val="none" w:sz="0" w:space="0" w:color="auto"/>
          </w:divBdr>
          <w:divsChild>
            <w:div w:id="679360154">
              <w:marLeft w:val="0"/>
              <w:marRight w:val="0"/>
              <w:marTop w:val="0"/>
              <w:marBottom w:val="0"/>
              <w:divBdr>
                <w:top w:val="none" w:sz="0" w:space="0" w:color="auto"/>
                <w:left w:val="none" w:sz="0" w:space="0" w:color="auto"/>
                <w:bottom w:val="none" w:sz="0" w:space="0" w:color="auto"/>
                <w:right w:val="none" w:sz="0" w:space="0" w:color="auto"/>
              </w:divBdr>
              <w:divsChild>
                <w:div w:id="69161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0815">
      <w:bodyDiv w:val="1"/>
      <w:marLeft w:val="0"/>
      <w:marRight w:val="0"/>
      <w:marTop w:val="0"/>
      <w:marBottom w:val="0"/>
      <w:divBdr>
        <w:top w:val="none" w:sz="0" w:space="0" w:color="auto"/>
        <w:left w:val="none" w:sz="0" w:space="0" w:color="auto"/>
        <w:bottom w:val="none" w:sz="0" w:space="0" w:color="auto"/>
        <w:right w:val="none" w:sz="0" w:space="0" w:color="auto"/>
      </w:divBdr>
      <w:divsChild>
        <w:div w:id="1221408544">
          <w:marLeft w:val="547"/>
          <w:marRight w:val="0"/>
          <w:marTop w:val="86"/>
          <w:marBottom w:val="0"/>
          <w:divBdr>
            <w:top w:val="none" w:sz="0" w:space="0" w:color="auto"/>
            <w:left w:val="none" w:sz="0" w:space="0" w:color="auto"/>
            <w:bottom w:val="none" w:sz="0" w:space="0" w:color="auto"/>
            <w:right w:val="none" w:sz="0" w:space="0" w:color="auto"/>
          </w:divBdr>
        </w:div>
        <w:div w:id="1932425464">
          <w:marLeft w:val="547"/>
          <w:marRight w:val="0"/>
          <w:marTop w:val="86"/>
          <w:marBottom w:val="0"/>
          <w:divBdr>
            <w:top w:val="none" w:sz="0" w:space="0" w:color="auto"/>
            <w:left w:val="none" w:sz="0" w:space="0" w:color="auto"/>
            <w:bottom w:val="none" w:sz="0" w:space="0" w:color="auto"/>
            <w:right w:val="none" w:sz="0" w:space="0" w:color="auto"/>
          </w:divBdr>
        </w:div>
        <w:div w:id="1365669970">
          <w:marLeft w:val="547"/>
          <w:marRight w:val="0"/>
          <w:marTop w:val="86"/>
          <w:marBottom w:val="0"/>
          <w:divBdr>
            <w:top w:val="none" w:sz="0" w:space="0" w:color="auto"/>
            <w:left w:val="none" w:sz="0" w:space="0" w:color="auto"/>
            <w:bottom w:val="none" w:sz="0" w:space="0" w:color="auto"/>
            <w:right w:val="none" w:sz="0" w:space="0" w:color="auto"/>
          </w:divBdr>
        </w:div>
      </w:divsChild>
    </w:div>
    <w:div w:id="188297757">
      <w:bodyDiv w:val="1"/>
      <w:marLeft w:val="0"/>
      <w:marRight w:val="0"/>
      <w:marTop w:val="0"/>
      <w:marBottom w:val="0"/>
      <w:divBdr>
        <w:top w:val="none" w:sz="0" w:space="0" w:color="auto"/>
        <w:left w:val="none" w:sz="0" w:space="0" w:color="auto"/>
        <w:bottom w:val="none" w:sz="0" w:space="0" w:color="auto"/>
        <w:right w:val="none" w:sz="0" w:space="0" w:color="auto"/>
      </w:divBdr>
      <w:divsChild>
        <w:div w:id="1992320684">
          <w:marLeft w:val="0"/>
          <w:marRight w:val="0"/>
          <w:marTop w:val="0"/>
          <w:marBottom w:val="0"/>
          <w:divBdr>
            <w:top w:val="none" w:sz="0" w:space="0" w:color="auto"/>
            <w:left w:val="none" w:sz="0" w:space="0" w:color="auto"/>
            <w:bottom w:val="none" w:sz="0" w:space="0" w:color="auto"/>
            <w:right w:val="none" w:sz="0" w:space="0" w:color="auto"/>
          </w:divBdr>
        </w:div>
      </w:divsChild>
    </w:div>
    <w:div w:id="255671122">
      <w:bodyDiv w:val="1"/>
      <w:marLeft w:val="0"/>
      <w:marRight w:val="0"/>
      <w:marTop w:val="0"/>
      <w:marBottom w:val="0"/>
      <w:divBdr>
        <w:top w:val="none" w:sz="0" w:space="0" w:color="auto"/>
        <w:left w:val="none" w:sz="0" w:space="0" w:color="auto"/>
        <w:bottom w:val="none" w:sz="0" w:space="0" w:color="auto"/>
        <w:right w:val="none" w:sz="0" w:space="0" w:color="auto"/>
      </w:divBdr>
      <w:divsChild>
        <w:div w:id="369186866">
          <w:marLeft w:val="0"/>
          <w:marRight w:val="0"/>
          <w:marTop w:val="0"/>
          <w:marBottom w:val="0"/>
          <w:divBdr>
            <w:top w:val="none" w:sz="0" w:space="0" w:color="auto"/>
            <w:left w:val="none" w:sz="0" w:space="0" w:color="auto"/>
            <w:bottom w:val="none" w:sz="0" w:space="0" w:color="auto"/>
            <w:right w:val="none" w:sz="0" w:space="0" w:color="auto"/>
          </w:divBdr>
          <w:divsChild>
            <w:div w:id="1199853691">
              <w:marLeft w:val="0"/>
              <w:marRight w:val="0"/>
              <w:marTop w:val="0"/>
              <w:marBottom w:val="0"/>
              <w:divBdr>
                <w:top w:val="none" w:sz="0" w:space="0" w:color="auto"/>
                <w:left w:val="none" w:sz="0" w:space="0" w:color="auto"/>
                <w:bottom w:val="none" w:sz="0" w:space="0" w:color="auto"/>
                <w:right w:val="none" w:sz="0" w:space="0" w:color="auto"/>
              </w:divBdr>
              <w:divsChild>
                <w:div w:id="1032614895">
                  <w:marLeft w:val="0"/>
                  <w:marRight w:val="0"/>
                  <w:marTop w:val="0"/>
                  <w:marBottom w:val="0"/>
                  <w:divBdr>
                    <w:top w:val="none" w:sz="0" w:space="0" w:color="auto"/>
                    <w:left w:val="none" w:sz="0" w:space="0" w:color="auto"/>
                    <w:bottom w:val="none" w:sz="0" w:space="0" w:color="auto"/>
                    <w:right w:val="none" w:sz="0" w:space="0" w:color="auto"/>
                  </w:divBdr>
                  <w:divsChild>
                    <w:div w:id="199899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33695">
      <w:bodyDiv w:val="1"/>
      <w:marLeft w:val="0"/>
      <w:marRight w:val="0"/>
      <w:marTop w:val="0"/>
      <w:marBottom w:val="0"/>
      <w:divBdr>
        <w:top w:val="none" w:sz="0" w:space="0" w:color="auto"/>
        <w:left w:val="none" w:sz="0" w:space="0" w:color="auto"/>
        <w:bottom w:val="none" w:sz="0" w:space="0" w:color="auto"/>
        <w:right w:val="none" w:sz="0" w:space="0" w:color="auto"/>
      </w:divBdr>
      <w:divsChild>
        <w:div w:id="1648895716">
          <w:marLeft w:val="0"/>
          <w:marRight w:val="0"/>
          <w:marTop w:val="0"/>
          <w:marBottom w:val="0"/>
          <w:divBdr>
            <w:top w:val="none" w:sz="0" w:space="0" w:color="auto"/>
            <w:left w:val="none" w:sz="0" w:space="0" w:color="auto"/>
            <w:bottom w:val="none" w:sz="0" w:space="0" w:color="auto"/>
            <w:right w:val="none" w:sz="0" w:space="0" w:color="auto"/>
          </w:divBdr>
        </w:div>
      </w:divsChild>
    </w:div>
    <w:div w:id="374158096">
      <w:bodyDiv w:val="1"/>
      <w:marLeft w:val="0"/>
      <w:marRight w:val="0"/>
      <w:marTop w:val="0"/>
      <w:marBottom w:val="0"/>
      <w:divBdr>
        <w:top w:val="none" w:sz="0" w:space="0" w:color="auto"/>
        <w:left w:val="none" w:sz="0" w:space="0" w:color="auto"/>
        <w:bottom w:val="none" w:sz="0" w:space="0" w:color="auto"/>
        <w:right w:val="none" w:sz="0" w:space="0" w:color="auto"/>
      </w:divBdr>
    </w:div>
    <w:div w:id="424807678">
      <w:bodyDiv w:val="1"/>
      <w:marLeft w:val="0"/>
      <w:marRight w:val="0"/>
      <w:marTop w:val="0"/>
      <w:marBottom w:val="0"/>
      <w:divBdr>
        <w:top w:val="none" w:sz="0" w:space="0" w:color="auto"/>
        <w:left w:val="none" w:sz="0" w:space="0" w:color="auto"/>
        <w:bottom w:val="none" w:sz="0" w:space="0" w:color="auto"/>
        <w:right w:val="none" w:sz="0" w:space="0" w:color="auto"/>
      </w:divBdr>
      <w:divsChild>
        <w:div w:id="1088579088">
          <w:marLeft w:val="0"/>
          <w:marRight w:val="0"/>
          <w:marTop w:val="0"/>
          <w:marBottom w:val="0"/>
          <w:divBdr>
            <w:top w:val="none" w:sz="0" w:space="0" w:color="auto"/>
            <w:left w:val="none" w:sz="0" w:space="0" w:color="auto"/>
            <w:bottom w:val="none" w:sz="0" w:space="0" w:color="auto"/>
            <w:right w:val="none" w:sz="0" w:space="0" w:color="auto"/>
          </w:divBdr>
          <w:divsChild>
            <w:div w:id="1200052665">
              <w:marLeft w:val="0"/>
              <w:marRight w:val="0"/>
              <w:marTop w:val="0"/>
              <w:marBottom w:val="0"/>
              <w:divBdr>
                <w:top w:val="none" w:sz="0" w:space="0" w:color="auto"/>
                <w:left w:val="none" w:sz="0" w:space="0" w:color="auto"/>
                <w:bottom w:val="none" w:sz="0" w:space="0" w:color="auto"/>
                <w:right w:val="none" w:sz="0" w:space="0" w:color="auto"/>
              </w:divBdr>
              <w:divsChild>
                <w:div w:id="2001687653">
                  <w:marLeft w:val="0"/>
                  <w:marRight w:val="0"/>
                  <w:marTop w:val="0"/>
                  <w:marBottom w:val="0"/>
                  <w:divBdr>
                    <w:top w:val="none" w:sz="0" w:space="0" w:color="auto"/>
                    <w:left w:val="none" w:sz="0" w:space="0" w:color="auto"/>
                    <w:bottom w:val="none" w:sz="0" w:space="0" w:color="auto"/>
                    <w:right w:val="none" w:sz="0" w:space="0" w:color="auto"/>
                  </w:divBdr>
                  <w:divsChild>
                    <w:div w:id="172787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504302">
      <w:bodyDiv w:val="1"/>
      <w:marLeft w:val="0"/>
      <w:marRight w:val="0"/>
      <w:marTop w:val="0"/>
      <w:marBottom w:val="0"/>
      <w:divBdr>
        <w:top w:val="none" w:sz="0" w:space="0" w:color="auto"/>
        <w:left w:val="none" w:sz="0" w:space="0" w:color="auto"/>
        <w:bottom w:val="none" w:sz="0" w:space="0" w:color="auto"/>
        <w:right w:val="none" w:sz="0" w:space="0" w:color="auto"/>
      </w:divBdr>
    </w:div>
    <w:div w:id="462505506">
      <w:bodyDiv w:val="1"/>
      <w:marLeft w:val="0"/>
      <w:marRight w:val="0"/>
      <w:marTop w:val="0"/>
      <w:marBottom w:val="0"/>
      <w:divBdr>
        <w:top w:val="none" w:sz="0" w:space="0" w:color="auto"/>
        <w:left w:val="none" w:sz="0" w:space="0" w:color="auto"/>
        <w:bottom w:val="none" w:sz="0" w:space="0" w:color="auto"/>
        <w:right w:val="none" w:sz="0" w:space="0" w:color="auto"/>
      </w:divBdr>
      <w:divsChild>
        <w:div w:id="279803693">
          <w:marLeft w:val="0"/>
          <w:marRight w:val="0"/>
          <w:marTop w:val="0"/>
          <w:marBottom w:val="0"/>
          <w:divBdr>
            <w:top w:val="none" w:sz="0" w:space="0" w:color="auto"/>
            <w:left w:val="none" w:sz="0" w:space="0" w:color="auto"/>
            <w:bottom w:val="none" w:sz="0" w:space="0" w:color="auto"/>
            <w:right w:val="none" w:sz="0" w:space="0" w:color="auto"/>
          </w:divBdr>
          <w:divsChild>
            <w:div w:id="1024213167">
              <w:marLeft w:val="0"/>
              <w:marRight w:val="0"/>
              <w:marTop w:val="0"/>
              <w:marBottom w:val="0"/>
              <w:divBdr>
                <w:top w:val="none" w:sz="0" w:space="0" w:color="auto"/>
                <w:left w:val="none" w:sz="0" w:space="0" w:color="auto"/>
                <w:bottom w:val="none" w:sz="0" w:space="0" w:color="auto"/>
                <w:right w:val="none" w:sz="0" w:space="0" w:color="auto"/>
              </w:divBdr>
              <w:divsChild>
                <w:div w:id="44644774">
                  <w:marLeft w:val="0"/>
                  <w:marRight w:val="0"/>
                  <w:marTop w:val="0"/>
                  <w:marBottom w:val="0"/>
                  <w:divBdr>
                    <w:top w:val="none" w:sz="0" w:space="0" w:color="auto"/>
                    <w:left w:val="none" w:sz="0" w:space="0" w:color="auto"/>
                    <w:bottom w:val="none" w:sz="0" w:space="0" w:color="auto"/>
                    <w:right w:val="none" w:sz="0" w:space="0" w:color="auto"/>
                  </w:divBdr>
                  <w:divsChild>
                    <w:div w:id="5439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108910">
      <w:bodyDiv w:val="1"/>
      <w:marLeft w:val="0"/>
      <w:marRight w:val="0"/>
      <w:marTop w:val="0"/>
      <w:marBottom w:val="0"/>
      <w:divBdr>
        <w:top w:val="none" w:sz="0" w:space="0" w:color="auto"/>
        <w:left w:val="none" w:sz="0" w:space="0" w:color="auto"/>
        <w:bottom w:val="none" w:sz="0" w:space="0" w:color="auto"/>
        <w:right w:val="none" w:sz="0" w:space="0" w:color="auto"/>
      </w:divBdr>
      <w:divsChild>
        <w:div w:id="31081396">
          <w:marLeft w:val="1166"/>
          <w:marRight w:val="0"/>
          <w:marTop w:val="106"/>
          <w:marBottom w:val="0"/>
          <w:divBdr>
            <w:top w:val="none" w:sz="0" w:space="0" w:color="auto"/>
            <w:left w:val="none" w:sz="0" w:space="0" w:color="auto"/>
            <w:bottom w:val="none" w:sz="0" w:space="0" w:color="auto"/>
            <w:right w:val="none" w:sz="0" w:space="0" w:color="auto"/>
          </w:divBdr>
        </w:div>
        <w:div w:id="316685658">
          <w:marLeft w:val="1166"/>
          <w:marRight w:val="0"/>
          <w:marTop w:val="106"/>
          <w:marBottom w:val="0"/>
          <w:divBdr>
            <w:top w:val="none" w:sz="0" w:space="0" w:color="auto"/>
            <w:left w:val="none" w:sz="0" w:space="0" w:color="auto"/>
            <w:bottom w:val="none" w:sz="0" w:space="0" w:color="auto"/>
            <w:right w:val="none" w:sz="0" w:space="0" w:color="auto"/>
          </w:divBdr>
        </w:div>
        <w:div w:id="528420007">
          <w:marLeft w:val="547"/>
          <w:marRight w:val="0"/>
          <w:marTop w:val="110"/>
          <w:marBottom w:val="0"/>
          <w:divBdr>
            <w:top w:val="none" w:sz="0" w:space="0" w:color="auto"/>
            <w:left w:val="none" w:sz="0" w:space="0" w:color="auto"/>
            <w:bottom w:val="none" w:sz="0" w:space="0" w:color="auto"/>
            <w:right w:val="none" w:sz="0" w:space="0" w:color="auto"/>
          </w:divBdr>
        </w:div>
        <w:div w:id="623728948">
          <w:marLeft w:val="1166"/>
          <w:marRight w:val="0"/>
          <w:marTop w:val="110"/>
          <w:marBottom w:val="0"/>
          <w:divBdr>
            <w:top w:val="none" w:sz="0" w:space="0" w:color="auto"/>
            <w:left w:val="none" w:sz="0" w:space="0" w:color="auto"/>
            <w:bottom w:val="none" w:sz="0" w:space="0" w:color="auto"/>
            <w:right w:val="none" w:sz="0" w:space="0" w:color="auto"/>
          </w:divBdr>
        </w:div>
        <w:div w:id="819658937">
          <w:marLeft w:val="547"/>
          <w:marRight w:val="0"/>
          <w:marTop w:val="110"/>
          <w:marBottom w:val="0"/>
          <w:divBdr>
            <w:top w:val="none" w:sz="0" w:space="0" w:color="auto"/>
            <w:left w:val="none" w:sz="0" w:space="0" w:color="auto"/>
            <w:bottom w:val="none" w:sz="0" w:space="0" w:color="auto"/>
            <w:right w:val="none" w:sz="0" w:space="0" w:color="auto"/>
          </w:divBdr>
        </w:div>
        <w:div w:id="913049915">
          <w:marLeft w:val="547"/>
          <w:marRight w:val="0"/>
          <w:marTop w:val="106"/>
          <w:marBottom w:val="0"/>
          <w:divBdr>
            <w:top w:val="none" w:sz="0" w:space="0" w:color="auto"/>
            <w:left w:val="none" w:sz="0" w:space="0" w:color="auto"/>
            <w:bottom w:val="none" w:sz="0" w:space="0" w:color="auto"/>
            <w:right w:val="none" w:sz="0" w:space="0" w:color="auto"/>
          </w:divBdr>
        </w:div>
        <w:div w:id="1452437742">
          <w:marLeft w:val="547"/>
          <w:marRight w:val="0"/>
          <w:marTop w:val="110"/>
          <w:marBottom w:val="0"/>
          <w:divBdr>
            <w:top w:val="none" w:sz="0" w:space="0" w:color="auto"/>
            <w:left w:val="none" w:sz="0" w:space="0" w:color="auto"/>
            <w:bottom w:val="none" w:sz="0" w:space="0" w:color="auto"/>
            <w:right w:val="none" w:sz="0" w:space="0" w:color="auto"/>
          </w:divBdr>
        </w:div>
        <w:div w:id="1962497670">
          <w:marLeft w:val="1166"/>
          <w:marRight w:val="0"/>
          <w:marTop w:val="110"/>
          <w:marBottom w:val="0"/>
          <w:divBdr>
            <w:top w:val="none" w:sz="0" w:space="0" w:color="auto"/>
            <w:left w:val="none" w:sz="0" w:space="0" w:color="auto"/>
            <w:bottom w:val="none" w:sz="0" w:space="0" w:color="auto"/>
            <w:right w:val="none" w:sz="0" w:space="0" w:color="auto"/>
          </w:divBdr>
        </w:div>
        <w:div w:id="1988971777">
          <w:marLeft w:val="547"/>
          <w:marRight w:val="0"/>
          <w:marTop w:val="110"/>
          <w:marBottom w:val="0"/>
          <w:divBdr>
            <w:top w:val="none" w:sz="0" w:space="0" w:color="auto"/>
            <w:left w:val="none" w:sz="0" w:space="0" w:color="auto"/>
            <w:bottom w:val="none" w:sz="0" w:space="0" w:color="auto"/>
            <w:right w:val="none" w:sz="0" w:space="0" w:color="auto"/>
          </w:divBdr>
        </w:div>
      </w:divsChild>
    </w:div>
    <w:div w:id="511801986">
      <w:bodyDiv w:val="1"/>
      <w:marLeft w:val="0"/>
      <w:marRight w:val="0"/>
      <w:marTop w:val="0"/>
      <w:marBottom w:val="0"/>
      <w:divBdr>
        <w:top w:val="none" w:sz="0" w:space="0" w:color="auto"/>
        <w:left w:val="none" w:sz="0" w:space="0" w:color="auto"/>
        <w:bottom w:val="none" w:sz="0" w:space="0" w:color="auto"/>
        <w:right w:val="none" w:sz="0" w:space="0" w:color="auto"/>
      </w:divBdr>
      <w:divsChild>
        <w:div w:id="1191452251">
          <w:marLeft w:val="0"/>
          <w:marRight w:val="0"/>
          <w:marTop w:val="0"/>
          <w:marBottom w:val="0"/>
          <w:divBdr>
            <w:top w:val="none" w:sz="0" w:space="0" w:color="auto"/>
            <w:left w:val="none" w:sz="0" w:space="0" w:color="auto"/>
            <w:bottom w:val="none" w:sz="0" w:space="0" w:color="auto"/>
            <w:right w:val="none" w:sz="0" w:space="0" w:color="auto"/>
          </w:divBdr>
        </w:div>
      </w:divsChild>
    </w:div>
    <w:div w:id="605581308">
      <w:bodyDiv w:val="1"/>
      <w:marLeft w:val="0"/>
      <w:marRight w:val="0"/>
      <w:marTop w:val="0"/>
      <w:marBottom w:val="0"/>
      <w:divBdr>
        <w:top w:val="none" w:sz="0" w:space="0" w:color="auto"/>
        <w:left w:val="none" w:sz="0" w:space="0" w:color="auto"/>
        <w:bottom w:val="none" w:sz="0" w:space="0" w:color="auto"/>
        <w:right w:val="none" w:sz="0" w:space="0" w:color="auto"/>
      </w:divBdr>
      <w:divsChild>
        <w:div w:id="886767667">
          <w:marLeft w:val="0"/>
          <w:marRight w:val="0"/>
          <w:marTop w:val="0"/>
          <w:marBottom w:val="0"/>
          <w:divBdr>
            <w:top w:val="none" w:sz="0" w:space="0" w:color="auto"/>
            <w:left w:val="none" w:sz="0" w:space="0" w:color="auto"/>
            <w:bottom w:val="none" w:sz="0" w:space="0" w:color="auto"/>
            <w:right w:val="none" w:sz="0" w:space="0" w:color="auto"/>
          </w:divBdr>
        </w:div>
      </w:divsChild>
    </w:div>
    <w:div w:id="640110177">
      <w:bodyDiv w:val="1"/>
      <w:marLeft w:val="0"/>
      <w:marRight w:val="0"/>
      <w:marTop w:val="0"/>
      <w:marBottom w:val="0"/>
      <w:divBdr>
        <w:top w:val="none" w:sz="0" w:space="0" w:color="auto"/>
        <w:left w:val="none" w:sz="0" w:space="0" w:color="auto"/>
        <w:bottom w:val="none" w:sz="0" w:space="0" w:color="auto"/>
        <w:right w:val="none" w:sz="0" w:space="0" w:color="auto"/>
      </w:divBdr>
      <w:divsChild>
        <w:div w:id="968633221">
          <w:marLeft w:val="0"/>
          <w:marRight w:val="0"/>
          <w:marTop w:val="0"/>
          <w:marBottom w:val="0"/>
          <w:divBdr>
            <w:top w:val="none" w:sz="0" w:space="0" w:color="auto"/>
            <w:left w:val="none" w:sz="0" w:space="0" w:color="auto"/>
            <w:bottom w:val="none" w:sz="0" w:space="0" w:color="auto"/>
            <w:right w:val="none" w:sz="0" w:space="0" w:color="auto"/>
          </w:divBdr>
          <w:divsChild>
            <w:div w:id="826166275">
              <w:marLeft w:val="0"/>
              <w:marRight w:val="0"/>
              <w:marTop w:val="0"/>
              <w:marBottom w:val="0"/>
              <w:divBdr>
                <w:top w:val="single" w:sz="4" w:space="0" w:color="DDDDDD"/>
                <w:left w:val="single" w:sz="4" w:space="0" w:color="DDDDDD"/>
                <w:bottom w:val="single" w:sz="4" w:space="0" w:color="DDDDDD"/>
                <w:right w:val="single" w:sz="4" w:space="0" w:color="DDDDDD"/>
              </w:divBdr>
            </w:div>
          </w:divsChild>
        </w:div>
      </w:divsChild>
    </w:div>
    <w:div w:id="680279418">
      <w:bodyDiv w:val="1"/>
      <w:marLeft w:val="0"/>
      <w:marRight w:val="0"/>
      <w:marTop w:val="0"/>
      <w:marBottom w:val="0"/>
      <w:divBdr>
        <w:top w:val="none" w:sz="0" w:space="0" w:color="auto"/>
        <w:left w:val="none" w:sz="0" w:space="0" w:color="auto"/>
        <w:bottom w:val="none" w:sz="0" w:space="0" w:color="auto"/>
        <w:right w:val="none" w:sz="0" w:space="0" w:color="auto"/>
      </w:divBdr>
    </w:div>
    <w:div w:id="690955948">
      <w:bodyDiv w:val="1"/>
      <w:marLeft w:val="0"/>
      <w:marRight w:val="0"/>
      <w:marTop w:val="0"/>
      <w:marBottom w:val="0"/>
      <w:divBdr>
        <w:top w:val="none" w:sz="0" w:space="0" w:color="auto"/>
        <w:left w:val="none" w:sz="0" w:space="0" w:color="auto"/>
        <w:bottom w:val="none" w:sz="0" w:space="0" w:color="auto"/>
        <w:right w:val="none" w:sz="0" w:space="0" w:color="auto"/>
      </w:divBdr>
      <w:divsChild>
        <w:div w:id="1228804685">
          <w:marLeft w:val="0"/>
          <w:marRight w:val="0"/>
          <w:marTop w:val="0"/>
          <w:marBottom w:val="0"/>
          <w:divBdr>
            <w:top w:val="none" w:sz="0" w:space="0" w:color="auto"/>
            <w:left w:val="none" w:sz="0" w:space="0" w:color="auto"/>
            <w:bottom w:val="none" w:sz="0" w:space="0" w:color="auto"/>
            <w:right w:val="none" w:sz="0" w:space="0" w:color="auto"/>
          </w:divBdr>
          <w:divsChild>
            <w:div w:id="933364491">
              <w:marLeft w:val="0"/>
              <w:marRight w:val="0"/>
              <w:marTop w:val="0"/>
              <w:marBottom w:val="0"/>
              <w:divBdr>
                <w:top w:val="none" w:sz="0" w:space="0" w:color="auto"/>
                <w:left w:val="none" w:sz="0" w:space="0" w:color="auto"/>
                <w:bottom w:val="none" w:sz="0" w:space="0" w:color="auto"/>
                <w:right w:val="none" w:sz="0" w:space="0" w:color="auto"/>
              </w:divBdr>
              <w:divsChild>
                <w:div w:id="66459481">
                  <w:marLeft w:val="0"/>
                  <w:marRight w:val="0"/>
                  <w:marTop w:val="0"/>
                  <w:marBottom w:val="0"/>
                  <w:divBdr>
                    <w:top w:val="none" w:sz="0" w:space="0" w:color="auto"/>
                    <w:left w:val="none" w:sz="0" w:space="0" w:color="auto"/>
                    <w:bottom w:val="none" w:sz="0" w:space="0" w:color="auto"/>
                    <w:right w:val="none" w:sz="0" w:space="0" w:color="auto"/>
                  </w:divBdr>
                </w:div>
                <w:div w:id="190191936">
                  <w:marLeft w:val="0"/>
                  <w:marRight w:val="0"/>
                  <w:marTop w:val="0"/>
                  <w:marBottom w:val="0"/>
                  <w:divBdr>
                    <w:top w:val="none" w:sz="0" w:space="0" w:color="auto"/>
                    <w:left w:val="none" w:sz="0" w:space="0" w:color="auto"/>
                    <w:bottom w:val="none" w:sz="0" w:space="0" w:color="auto"/>
                    <w:right w:val="none" w:sz="0" w:space="0" w:color="auto"/>
                  </w:divBdr>
                </w:div>
                <w:div w:id="542717369">
                  <w:marLeft w:val="0"/>
                  <w:marRight w:val="0"/>
                  <w:marTop w:val="0"/>
                  <w:marBottom w:val="0"/>
                  <w:divBdr>
                    <w:top w:val="none" w:sz="0" w:space="0" w:color="auto"/>
                    <w:left w:val="none" w:sz="0" w:space="0" w:color="auto"/>
                    <w:bottom w:val="none" w:sz="0" w:space="0" w:color="auto"/>
                    <w:right w:val="none" w:sz="0" w:space="0" w:color="auto"/>
                  </w:divBdr>
                </w:div>
                <w:div w:id="724959978">
                  <w:marLeft w:val="0"/>
                  <w:marRight w:val="0"/>
                  <w:marTop w:val="0"/>
                  <w:marBottom w:val="0"/>
                  <w:divBdr>
                    <w:top w:val="none" w:sz="0" w:space="0" w:color="auto"/>
                    <w:left w:val="none" w:sz="0" w:space="0" w:color="auto"/>
                    <w:bottom w:val="none" w:sz="0" w:space="0" w:color="auto"/>
                    <w:right w:val="none" w:sz="0" w:space="0" w:color="auto"/>
                  </w:divBdr>
                </w:div>
                <w:div w:id="855726844">
                  <w:marLeft w:val="0"/>
                  <w:marRight w:val="0"/>
                  <w:marTop w:val="0"/>
                  <w:marBottom w:val="0"/>
                  <w:divBdr>
                    <w:top w:val="none" w:sz="0" w:space="0" w:color="auto"/>
                    <w:left w:val="none" w:sz="0" w:space="0" w:color="auto"/>
                    <w:bottom w:val="none" w:sz="0" w:space="0" w:color="auto"/>
                    <w:right w:val="none" w:sz="0" w:space="0" w:color="auto"/>
                  </w:divBdr>
                </w:div>
                <w:div w:id="111131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071755">
      <w:bodyDiv w:val="1"/>
      <w:marLeft w:val="0"/>
      <w:marRight w:val="0"/>
      <w:marTop w:val="0"/>
      <w:marBottom w:val="0"/>
      <w:divBdr>
        <w:top w:val="none" w:sz="0" w:space="0" w:color="auto"/>
        <w:left w:val="none" w:sz="0" w:space="0" w:color="auto"/>
        <w:bottom w:val="none" w:sz="0" w:space="0" w:color="auto"/>
        <w:right w:val="none" w:sz="0" w:space="0" w:color="auto"/>
      </w:divBdr>
    </w:div>
    <w:div w:id="768038050">
      <w:bodyDiv w:val="1"/>
      <w:marLeft w:val="0"/>
      <w:marRight w:val="0"/>
      <w:marTop w:val="0"/>
      <w:marBottom w:val="0"/>
      <w:divBdr>
        <w:top w:val="none" w:sz="0" w:space="0" w:color="auto"/>
        <w:left w:val="none" w:sz="0" w:space="0" w:color="auto"/>
        <w:bottom w:val="none" w:sz="0" w:space="0" w:color="auto"/>
        <w:right w:val="none" w:sz="0" w:space="0" w:color="auto"/>
      </w:divBdr>
      <w:divsChild>
        <w:div w:id="980038167">
          <w:marLeft w:val="0"/>
          <w:marRight w:val="0"/>
          <w:marTop w:val="0"/>
          <w:marBottom w:val="0"/>
          <w:divBdr>
            <w:top w:val="none" w:sz="0" w:space="0" w:color="auto"/>
            <w:left w:val="none" w:sz="0" w:space="0" w:color="auto"/>
            <w:bottom w:val="none" w:sz="0" w:space="0" w:color="auto"/>
            <w:right w:val="none" w:sz="0" w:space="0" w:color="auto"/>
          </w:divBdr>
          <w:divsChild>
            <w:div w:id="1847206566">
              <w:marLeft w:val="0"/>
              <w:marRight w:val="0"/>
              <w:marTop w:val="0"/>
              <w:marBottom w:val="0"/>
              <w:divBdr>
                <w:top w:val="none" w:sz="0" w:space="0" w:color="auto"/>
                <w:left w:val="none" w:sz="0" w:space="0" w:color="auto"/>
                <w:bottom w:val="none" w:sz="0" w:space="0" w:color="auto"/>
                <w:right w:val="none" w:sz="0" w:space="0" w:color="auto"/>
              </w:divBdr>
              <w:divsChild>
                <w:div w:id="87250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327408">
      <w:bodyDiv w:val="1"/>
      <w:marLeft w:val="0"/>
      <w:marRight w:val="0"/>
      <w:marTop w:val="0"/>
      <w:marBottom w:val="0"/>
      <w:divBdr>
        <w:top w:val="none" w:sz="0" w:space="0" w:color="auto"/>
        <w:left w:val="none" w:sz="0" w:space="0" w:color="auto"/>
        <w:bottom w:val="none" w:sz="0" w:space="0" w:color="auto"/>
        <w:right w:val="none" w:sz="0" w:space="0" w:color="auto"/>
      </w:divBdr>
      <w:divsChild>
        <w:div w:id="865215111">
          <w:marLeft w:val="0"/>
          <w:marRight w:val="0"/>
          <w:marTop w:val="0"/>
          <w:marBottom w:val="0"/>
          <w:divBdr>
            <w:top w:val="none" w:sz="0" w:space="0" w:color="auto"/>
            <w:left w:val="none" w:sz="0" w:space="0" w:color="auto"/>
            <w:bottom w:val="none" w:sz="0" w:space="0" w:color="auto"/>
            <w:right w:val="none" w:sz="0" w:space="0" w:color="auto"/>
          </w:divBdr>
          <w:divsChild>
            <w:div w:id="1864241835">
              <w:marLeft w:val="0"/>
              <w:marRight w:val="0"/>
              <w:marTop w:val="0"/>
              <w:marBottom w:val="0"/>
              <w:divBdr>
                <w:top w:val="none" w:sz="0" w:space="0" w:color="auto"/>
                <w:left w:val="none" w:sz="0" w:space="0" w:color="auto"/>
                <w:bottom w:val="none" w:sz="0" w:space="0" w:color="auto"/>
                <w:right w:val="none" w:sz="0" w:space="0" w:color="auto"/>
              </w:divBdr>
              <w:divsChild>
                <w:div w:id="202651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715311">
      <w:bodyDiv w:val="1"/>
      <w:marLeft w:val="0"/>
      <w:marRight w:val="0"/>
      <w:marTop w:val="0"/>
      <w:marBottom w:val="0"/>
      <w:divBdr>
        <w:top w:val="none" w:sz="0" w:space="0" w:color="auto"/>
        <w:left w:val="none" w:sz="0" w:space="0" w:color="auto"/>
        <w:bottom w:val="none" w:sz="0" w:space="0" w:color="auto"/>
        <w:right w:val="none" w:sz="0" w:space="0" w:color="auto"/>
      </w:divBdr>
      <w:divsChild>
        <w:div w:id="5988255">
          <w:marLeft w:val="1166"/>
          <w:marRight w:val="0"/>
          <w:marTop w:val="110"/>
          <w:marBottom w:val="0"/>
          <w:divBdr>
            <w:top w:val="none" w:sz="0" w:space="0" w:color="auto"/>
            <w:left w:val="none" w:sz="0" w:space="0" w:color="auto"/>
            <w:bottom w:val="none" w:sz="0" w:space="0" w:color="auto"/>
            <w:right w:val="none" w:sz="0" w:space="0" w:color="auto"/>
          </w:divBdr>
        </w:div>
        <w:div w:id="545988351">
          <w:marLeft w:val="547"/>
          <w:marRight w:val="0"/>
          <w:marTop w:val="110"/>
          <w:marBottom w:val="0"/>
          <w:divBdr>
            <w:top w:val="none" w:sz="0" w:space="0" w:color="auto"/>
            <w:left w:val="none" w:sz="0" w:space="0" w:color="auto"/>
            <w:bottom w:val="none" w:sz="0" w:space="0" w:color="auto"/>
            <w:right w:val="none" w:sz="0" w:space="0" w:color="auto"/>
          </w:divBdr>
        </w:div>
        <w:div w:id="940063626">
          <w:marLeft w:val="1166"/>
          <w:marRight w:val="0"/>
          <w:marTop w:val="106"/>
          <w:marBottom w:val="0"/>
          <w:divBdr>
            <w:top w:val="none" w:sz="0" w:space="0" w:color="auto"/>
            <w:left w:val="none" w:sz="0" w:space="0" w:color="auto"/>
            <w:bottom w:val="none" w:sz="0" w:space="0" w:color="auto"/>
            <w:right w:val="none" w:sz="0" w:space="0" w:color="auto"/>
          </w:divBdr>
        </w:div>
        <w:div w:id="1174607167">
          <w:marLeft w:val="1166"/>
          <w:marRight w:val="0"/>
          <w:marTop w:val="106"/>
          <w:marBottom w:val="0"/>
          <w:divBdr>
            <w:top w:val="none" w:sz="0" w:space="0" w:color="auto"/>
            <w:left w:val="none" w:sz="0" w:space="0" w:color="auto"/>
            <w:bottom w:val="none" w:sz="0" w:space="0" w:color="auto"/>
            <w:right w:val="none" w:sz="0" w:space="0" w:color="auto"/>
          </w:divBdr>
        </w:div>
        <w:div w:id="1197163185">
          <w:marLeft w:val="547"/>
          <w:marRight w:val="0"/>
          <w:marTop w:val="110"/>
          <w:marBottom w:val="0"/>
          <w:divBdr>
            <w:top w:val="none" w:sz="0" w:space="0" w:color="auto"/>
            <w:left w:val="none" w:sz="0" w:space="0" w:color="auto"/>
            <w:bottom w:val="none" w:sz="0" w:space="0" w:color="auto"/>
            <w:right w:val="none" w:sz="0" w:space="0" w:color="auto"/>
          </w:divBdr>
        </w:div>
        <w:div w:id="1285817022">
          <w:marLeft w:val="1166"/>
          <w:marRight w:val="0"/>
          <w:marTop w:val="110"/>
          <w:marBottom w:val="0"/>
          <w:divBdr>
            <w:top w:val="none" w:sz="0" w:space="0" w:color="auto"/>
            <w:left w:val="none" w:sz="0" w:space="0" w:color="auto"/>
            <w:bottom w:val="none" w:sz="0" w:space="0" w:color="auto"/>
            <w:right w:val="none" w:sz="0" w:space="0" w:color="auto"/>
          </w:divBdr>
        </w:div>
        <w:div w:id="1371563897">
          <w:marLeft w:val="547"/>
          <w:marRight w:val="0"/>
          <w:marTop w:val="106"/>
          <w:marBottom w:val="0"/>
          <w:divBdr>
            <w:top w:val="none" w:sz="0" w:space="0" w:color="auto"/>
            <w:left w:val="none" w:sz="0" w:space="0" w:color="auto"/>
            <w:bottom w:val="none" w:sz="0" w:space="0" w:color="auto"/>
            <w:right w:val="none" w:sz="0" w:space="0" w:color="auto"/>
          </w:divBdr>
        </w:div>
        <w:div w:id="1489327721">
          <w:marLeft w:val="547"/>
          <w:marRight w:val="0"/>
          <w:marTop w:val="110"/>
          <w:marBottom w:val="0"/>
          <w:divBdr>
            <w:top w:val="none" w:sz="0" w:space="0" w:color="auto"/>
            <w:left w:val="none" w:sz="0" w:space="0" w:color="auto"/>
            <w:bottom w:val="none" w:sz="0" w:space="0" w:color="auto"/>
            <w:right w:val="none" w:sz="0" w:space="0" w:color="auto"/>
          </w:divBdr>
        </w:div>
        <w:div w:id="1996761464">
          <w:marLeft w:val="547"/>
          <w:marRight w:val="0"/>
          <w:marTop w:val="110"/>
          <w:marBottom w:val="0"/>
          <w:divBdr>
            <w:top w:val="none" w:sz="0" w:space="0" w:color="auto"/>
            <w:left w:val="none" w:sz="0" w:space="0" w:color="auto"/>
            <w:bottom w:val="none" w:sz="0" w:space="0" w:color="auto"/>
            <w:right w:val="none" w:sz="0" w:space="0" w:color="auto"/>
          </w:divBdr>
        </w:div>
      </w:divsChild>
    </w:div>
    <w:div w:id="1162233737">
      <w:bodyDiv w:val="1"/>
      <w:marLeft w:val="0"/>
      <w:marRight w:val="0"/>
      <w:marTop w:val="0"/>
      <w:marBottom w:val="0"/>
      <w:divBdr>
        <w:top w:val="none" w:sz="0" w:space="0" w:color="auto"/>
        <w:left w:val="none" w:sz="0" w:space="0" w:color="auto"/>
        <w:bottom w:val="none" w:sz="0" w:space="0" w:color="auto"/>
        <w:right w:val="none" w:sz="0" w:space="0" w:color="auto"/>
      </w:divBdr>
    </w:div>
    <w:div w:id="1163157715">
      <w:bodyDiv w:val="1"/>
      <w:marLeft w:val="0"/>
      <w:marRight w:val="0"/>
      <w:marTop w:val="0"/>
      <w:marBottom w:val="0"/>
      <w:divBdr>
        <w:top w:val="none" w:sz="0" w:space="0" w:color="auto"/>
        <w:left w:val="none" w:sz="0" w:space="0" w:color="auto"/>
        <w:bottom w:val="none" w:sz="0" w:space="0" w:color="auto"/>
        <w:right w:val="none" w:sz="0" w:space="0" w:color="auto"/>
      </w:divBdr>
      <w:divsChild>
        <w:div w:id="1526479467">
          <w:marLeft w:val="0"/>
          <w:marRight w:val="0"/>
          <w:marTop w:val="0"/>
          <w:marBottom w:val="0"/>
          <w:divBdr>
            <w:top w:val="none" w:sz="0" w:space="0" w:color="auto"/>
            <w:left w:val="none" w:sz="0" w:space="0" w:color="auto"/>
            <w:bottom w:val="none" w:sz="0" w:space="0" w:color="auto"/>
            <w:right w:val="none" w:sz="0" w:space="0" w:color="auto"/>
          </w:divBdr>
          <w:divsChild>
            <w:div w:id="140781099">
              <w:marLeft w:val="0"/>
              <w:marRight w:val="0"/>
              <w:marTop w:val="0"/>
              <w:marBottom w:val="0"/>
              <w:divBdr>
                <w:top w:val="none" w:sz="0" w:space="0" w:color="auto"/>
                <w:left w:val="none" w:sz="0" w:space="0" w:color="auto"/>
                <w:bottom w:val="none" w:sz="0" w:space="0" w:color="auto"/>
                <w:right w:val="none" w:sz="0" w:space="0" w:color="auto"/>
              </w:divBdr>
            </w:div>
            <w:div w:id="329985899">
              <w:marLeft w:val="0"/>
              <w:marRight w:val="0"/>
              <w:marTop w:val="0"/>
              <w:marBottom w:val="0"/>
              <w:divBdr>
                <w:top w:val="none" w:sz="0" w:space="0" w:color="auto"/>
                <w:left w:val="none" w:sz="0" w:space="0" w:color="auto"/>
                <w:bottom w:val="none" w:sz="0" w:space="0" w:color="auto"/>
                <w:right w:val="none" w:sz="0" w:space="0" w:color="auto"/>
              </w:divBdr>
            </w:div>
            <w:div w:id="746028753">
              <w:marLeft w:val="0"/>
              <w:marRight w:val="0"/>
              <w:marTop w:val="0"/>
              <w:marBottom w:val="0"/>
              <w:divBdr>
                <w:top w:val="none" w:sz="0" w:space="0" w:color="auto"/>
                <w:left w:val="none" w:sz="0" w:space="0" w:color="auto"/>
                <w:bottom w:val="none" w:sz="0" w:space="0" w:color="auto"/>
                <w:right w:val="none" w:sz="0" w:space="0" w:color="auto"/>
              </w:divBdr>
            </w:div>
            <w:div w:id="881594900">
              <w:marLeft w:val="0"/>
              <w:marRight w:val="0"/>
              <w:marTop w:val="0"/>
              <w:marBottom w:val="0"/>
              <w:divBdr>
                <w:top w:val="none" w:sz="0" w:space="0" w:color="auto"/>
                <w:left w:val="none" w:sz="0" w:space="0" w:color="auto"/>
                <w:bottom w:val="none" w:sz="0" w:space="0" w:color="auto"/>
                <w:right w:val="none" w:sz="0" w:space="0" w:color="auto"/>
              </w:divBdr>
            </w:div>
            <w:div w:id="1281953818">
              <w:marLeft w:val="0"/>
              <w:marRight w:val="0"/>
              <w:marTop w:val="0"/>
              <w:marBottom w:val="0"/>
              <w:divBdr>
                <w:top w:val="none" w:sz="0" w:space="0" w:color="auto"/>
                <w:left w:val="none" w:sz="0" w:space="0" w:color="auto"/>
                <w:bottom w:val="none" w:sz="0" w:space="0" w:color="auto"/>
                <w:right w:val="none" w:sz="0" w:space="0" w:color="auto"/>
              </w:divBdr>
            </w:div>
            <w:div w:id="151280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2470">
      <w:bodyDiv w:val="1"/>
      <w:marLeft w:val="0"/>
      <w:marRight w:val="0"/>
      <w:marTop w:val="0"/>
      <w:marBottom w:val="0"/>
      <w:divBdr>
        <w:top w:val="none" w:sz="0" w:space="0" w:color="auto"/>
        <w:left w:val="none" w:sz="0" w:space="0" w:color="auto"/>
        <w:bottom w:val="none" w:sz="0" w:space="0" w:color="auto"/>
        <w:right w:val="none" w:sz="0" w:space="0" w:color="auto"/>
      </w:divBdr>
      <w:divsChild>
        <w:div w:id="1221211366">
          <w:marLeft w:val="1166"/>
          <w:marRight w:val="0"/>
          <w:marTop w:val="106"/>
          <w:marBottom w:val="0"/>
          <w:divBdr>
            <w:top w:val="none" w:sz="0" w:space="0" w:color="auto"/>
            <w:left w:val="none" w:sz="0" w:space="0" w:color="auto"/>
            <w:bottom w:val="none" w:sz="0" w:space="0" w:color="auto"/>
            <w:right w:val="none" w:sz="0" w:space="0" w:color="auto"/>
          </w:divBdr>
        </w:div>
        <w:div w:id="800466398">
          <w:marLeft w:val="1166"/>
          <w:marRight w:val="0"/>
          <w:marTop w:val="106"/>
          <w:marBottom w:val="0"/>
          <w:divBdr>
            <w:top w:val="none" w:sz="0" w:space="0" w:color="auto"/>
            <w:left w:val="none" w:sz="0" w:space="0" w:color="auto"/>
            <w:bottom w:val="none" w:sz="0" w:space="0" w:color="auto"/>
            <w:right w:val="none" w:sz="0" w:space="0" w:color="auto"/>
          </w:divBdr>
        </w:div>
      </w:divsChild>
    </w:div>
    <w:div w:id="1424766672">
      <w:bodyDiv w:val="1"/>
      <w:marLeft w:val="0"/>
      <w:marRight w:val="0"/>
      <w:marTop w:val="0"/>
      <w:marBottom w:val="0"/>
      <w:divBdr>
        <w:top w:val="none" w:sz="0" w:space="0" w:color="auto"/>
        <w:left w:val="none" w:sz="0" w:space="0" w:color="auto"/>
        <w:bottom w:val="none" w:sz="0" w:space="0" w:color="auto"/>
        <w:right w:val="none" w:sz="0" w:space="0" w:color="auto"/>
      </w:divBdr>
      <w:divsChild>
        <w:div w:id="993219639">
          <w:marLeft w:val="0"/>
          <w:marRight w:val="0"/>
          <w:marTop w:val="0"/>
          <w:marBottom w:val="0"/>
          <w:divBdr>
            <w:top w:val="none" w:sz="0" w:space="0" w:color="auto"/>
            <w:left w:val="none" w:sz="0" w:space="0" w:color="auto"/>
            <w:bottom w:val="none" w:sz="0" w:space="0" w:color="auto"/>
            <w:right w:val="none" w:sz="0" w:space="0" w:color="auto"/>
          </w:divBdr>
          <w:divsChild>
            <w:div w:id="88043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75627">
      <w:bodyDiv w:val="1"/>
      <w:marLeft w:val="0"/>
      <w:marRight w:val="0"/>
      <w:marTop w:val="0"/>
      <w:marBottom w:val="0"/>
      <w:divBdr>
        <w:top w:val="none" w:sz="0" w:space="0" w:color="auto"/>
        <w:left w:val="none" w:sz="0" w:space="0" w:color="auto"/>
        <w:bottom w:val="none" w:sz="0" w:space="0" w:color="auto"/>
        <w:right w:val="none" w:sz="0" w:space="0" w:color="auto"/>
      </w:divBdr>
    </w:div>
    <w:div w:id="1600329955">
      <w:bodyDiv w:val="1"/>
      <w:marLeft w:val="0"/>
      <w:marRight w:val="0"/>
      <w:marTop w:val="0"/>
      <w:marBottom w:val="0"/>
      <w:divBdr>
        <w:top w:val="none" w:sz="0" w:space="0" w:color="auto"/>
        <w:left w:val="none" w:sz="0" w:space="0" w:color="auto"/>
        <w:bottom w:val="none" w:sz="0" w:space="0" w:color="auto"/>
        <w:right w:val="none" w:sz="0" w:space="0" w:color="auto"/>
      </w:divBdr>
      <w:divsChild>
        <w:div w:id="763385167">
          <w:marLeft w:val="0"/>
          <w:marRight w:val="0"/>
          <w:marTop w:val="0"/>
          <w:marBottom w:val="0"/>
          <w:divBdr>
            <w:top w:val="none" w:sz="0" w:space="0" w:color="auto"/>
            <w:left w:val="none" w:sz="0" w:space="0" w:color="auto"/>
            <w:bottom w:val="none" w:sz="0" w:space="0" w:color="auto"/>
            <w:right w:val="none" w:sz="0" w:space="0" w:color="auto"/>
          </w:divBdr>
          <w:divsChild>
            <w:div w:id="893469775">
              <w:marLeft w:val="0"/>
              <w:marRight w:val="0"/>
              <w:marTop w:val="0"/>
              <w:marBottom w:val="0"/>
              <w:divBdr>
                <w:top w:val="none" w:sz="0" w:space="0" w:color="auto"/>
                <w:left w:val="none" w:sz="0" w:space="0" w:color="auto"/>
                <w:bottom w:val="none" w:sz="0" w:space="0" w:color="auto"/>
                <w:right w:val="none" w:sz="0" w:space="0" w:color="auto"/>
              </w:divBdr>
              <w:divsChild>
                <w:div w:id="34552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086788">
      <w:bodyDiv w:val="1"/>
      <w:marLeft w:val="0"/>
      <w:marRight w:val="0"/>
      <w:marTop w:val="0"/>
      <w:marBottom w:val="0"/>
      <w:divBdr>
        <w:top w:val="none" w:sz="0" w:space="0" w:color="auto"/>
        <w:left w:val="none" w:sz="0" w:space="0" w:color="auto"/>
        <w:bottom w:val="none" w:sz="0" w:space="0" w:color="auto"/>
        <w:right w:val="none" w:sz="0" w:space="0" w:color="auto"/>
      </w:divBdr>
      <w:divsChild>
        <w:div w:id="2042512044">
          <w:marLeft w:val="0"/>
          <w:marRight w:val="0"/>
          <w:marTop w:val="0"/>
          <w:marBottom w:val="0"/>
          <w:divBdr>
            <w:top w:val="none" w:sz="0" w:space="0" w:color="auto"/>
            <w:left w:val="none" w:sz="0" w:space="0" w:color="auto"/>
            <w:bottom w:val="none" w:sz="0" w:space="0" w:color="auto"/>
            <w:right w:val="none" w:sz="0" w:space="0" w:color="auto"/>
          </w:divBdr>
          <w:divsChild>
            <w:div w:id="1244147715">
              <w:marLeft w:val="0"/>
              <w:marRight w:val="0"/>
              <w:marTop w:val="0"/>
              <w:marBottom w:val="0"/>
              <w:divBdr>
                <w:top w:val="none" w:sz="0" w:space="0" w:color="auto"/>
                <w:left w:val="none" w:sz="0" w:space="0" w:color="auto"/>
                <w:bottom w:val="none" w:sz="0" w:space="0" w:color="auto"/>
                <w:right w:val="none" w:sz="0" w:space="0" w:color="auto"/>
              </w:divBdr>
            </w:div>
            <w:div w:id="139515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898027">
      <w:bodyDiv w:val="1"/>
      <w:marLeft w:val="0"/>
      <w:marRight w:val="0"/>
      <w:marTop w:val="0"/>
      <w:marBottom w:val="0"/>
      <w:divBdr>
        <w:top w:val="none" w:sz="0" w:space="0" w:color="auto"/>
        <w:left w:val="none" w:sz="0" w:space="0" w:color="auto"/>
        <w:bottom w:val="none" w:sz="0" w:space="0" w:color="auto"/>
        <w:right w:val="none" w:sz="0" w:space="0" w:color="auto"/>
      </w:divBdr>
      <w:divsChild>
        <w:div w:id="1297755492">
          <w:marLeft w:val="0"/>
          <w:marRight w:val="0"/>
          <w:marTop w:val="0"/>
          <w:marBottom w:val="0"/>
          <w:divBdr>
            <w:top w:val="none" w:sz="0" w:space="0" w:color="auto"/>
            <w:left w:val="none" w:sz="0" w:space="0" w:color="auto"/>
            <w:bottom w:val="none" w:sz="0" w:space="0" w:color="auto"/>
            <w:right w:val="none" w:sz="0" w:space="0" w:color="auto"/>
          </w:divBdr>
          <w:divsChild>
            <w:div w:id="1799061345">
              <w:marLeft w:val="0"/>
              <w:marRight w:val="0"/>
              <w:marTop w:val="0"/>
              <w:marBottom w:val="0"/>
              <w:divBdr>
                <w:top w:val="none" w:sz="0" w:space="0" w:color="auto"/>
                <w:left w:val="none" w:sz="0" w:space="0" w:color="auto"/>
                <w:bottom w:val="none" w:sz="0" w:space="0" w:color="auto"/>
                <w:right w:val="none" w:sz="0" w:space="0" w:color="auto"/>
              </w:divBdr>
              <w:divsChild>
                <w:div w:id="20990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01699">
      <w:bodyDiv w:val="1"/>
      <w:marLeft w:val="0"/>
      <w:marRight w:val="0"/>
      <w:marTop w:val="0"/>
      <w:marBottom w:val="0"/>
      <w:divBdr>
        <w:top w:val="none" w:sz="0" w:space="0" w:color="auto"/>
        <w:left w:val="none" w:sz="0" w:space="0" w:color="auto"/>
        <w:bottom w:val="none" w:sz="0" w:space="0" w:color="auto"/>
        <w:right w:val="none" w:sz="0" w:space="0" w:color="auto"/>
      </w:divBdr>
      <w:divsChild>
        <w:div w:id="1097674337">
          <w:marLeft w:val="0"/>
          <w:marRight w:val="0"/>
          <w:marTop w:val="0"/>
          <w:marBottom w:val="0"/>
          <w:divBdr>
            <w:top w:val="none" w:sz="0" w:space="0" w:color="auto"/>
            <w:left w:val="none" w:sz="0" w:space="0" w:color="auto"/>
            <w:bottom w:val="none" w:sz="0" w:space="0" w:color="auto"/>
            <w:right w:val="none" w:sz="0" w:space="0" w:color="auto"/>
          </w:divBdr>
        </w:div>
        <w:div w:id="1277061914">
          <w:marLeft w:val="0"/>
          <w:marRight w:val="0"/>
          <w:marTop w:val="0"/>
          <w:marBottom w:val="0"/>
          <w:divBdr>
            <w:top w:val="none" w:sz="0" w:space="0" w:color="auto"/>
            <w:left w:val="none" w:sz="0" w:space="0" w:color="auto"/>
            <w:bottom w:val="none" w:sz="0" w:space="0" w:color="auto"/>
            <w:right w:val="none" w:sz="0" w:space="0" w:color="auto"/>
          </w:divBdr>
        </w:div>
        <w:div w:id="1606958174">
          <w:marLeft w:val="0"/>
          <w:marRight w:val="0"/>
          <w:marTop w:val="0"/>
          <w:marBottom w:val="0"/>
          <w:divBdr>
            <w:top w:val="none" w:sz="0" w:space="0" w:color="auto"/>
            <w:left w:val="none" w:sz="0" w:space="0" w:color="auto"/>
            <w:bottom w:val="none" w:sz="0" w:space="0" w:color="auto"/>
            <w:right w:val="none" w:sz="0" w:space="0" w:color="auto"/>
          </w:divBdr>
        </w:div>
        <w:div w:id="1808165893">
          <w:marLeft w:val="0"/>
          <w:marRight w:val="0"/>
          <w:marTop w:val="0"/>
          <w:marBottom w:val="0"/>
          <w:divBdr>
            <w:top w:val="none" w:sz="0" w:space="0" w:color="auto"/>
            <w:left w:val="none" w:sz="0" w:space="0" w:color="auto"/>
            <w:bottom w:val="none" w:sz="0" w:space="0" w:color="auto"/>
            <w:right w:val="none" w:sz="0" w:space="0" w:color="auto"/>
          </w:divBdr>
        </w:div>
        <w:div w:id="706568638">
          <w:marLeft w:val="0"/>
          <w:marRight w:val="0"/>
          <w:marTop w:val="0"/>
          <w:marBottom w:val="0"/>
          <w:divBdr>
            <w:top w:val="none" w:sz="0" w:space="0" w:color="auto"/>
            <w:left w:val="none" w:sz="0" w:space="0" w:color="auto"/>
            <w:bottom w:val="none" w:sz="0" w:space="0" w:color="auto"/>
            <w:right w:val="none" w:sz="0" w:space="0" w:color="auto"/>
          </w:divBdr>
        </w:div>
      </w:divsChild>
    </w:div>
    <w:div w:id="1847401157">
      <w:bodyDiv w:val="1"/>
      <w:marLeft w:val="0"/>
      <w:marRight w:val="0"/>
      <w:marTop w:val="0"/>
      <w:marBottom w:val="0"/>
      <w:divBdr>
        <w:top w:val="none" w:sz="0" w:space="0" w:color="auto"/>
        <w:left w:val="none" w:sz="0" w:space="0" w:color="auto"/>
        <w:bottom w:val="none" w:sz="0" w:space="0" w:color="auto"/>
        <w:right w:val="none" w:sz="0" w:space="0" w:color="auto"/>
      </w:divBdr>
      <w:divsChild>
        <w:div w:id="4402946">
          <w:marLeft w:val="0"/>
          <w:marRight w:val="0"/>
          <w:marTop w:val="0"/>
          <w:marBottom w:val="0"/>
          <w:divBdr>
            <w:top w:val="none" w:sz="0" w:space="0" w:color="auto"/>
            <w:left w:val="none" w:sz="0" w:space="0" w:color="auto"/>
            <w:bottom w:val="none" w:sz="0" w:space="0" w:color="auto"/>
            <w:right w:val="none" w:sz="0" w:space="0" w:color="auto"/>
          </w:divBdr>
          <w:divsChild>
            <w:div w:id="686834229">
              <w:marLeft w:val="0"/>
              <w:marRight w:val="0"/>
              <w:marTop w:val="0"/>
              <w:marBottom w:val="0"/>
              <w:divBdr>
                <w:top w:val="none" w:sz="0" w:space="0" w:color="auto"/>
                <w:left w:val="none" w:sz="0" w:space="0" w:color="auto"/>
                <w:bottom w:val="none" w:sz="0" w:space="0" w:color="auto"/>
                <w:right w:val="none" w:sz="0" w:space="0" w:color="auto"/>
              </w:divBdr>
              <w:divsChild>
                <w:div w:id="189685805">
                  <w:marLeft w:val="0"/>
                  <w:marRight w:val="0"/>
                  <w:marTop w:val="0"/>
                  <w:marBottom w:val="0"/>
                  <w:divBdr>
                    <w:top w:val="none" w:sz="0" w:space="0" w:color="auto"/>
                    <w:left w:val="none" w:sz="0" w:space="0" w:color="auto"/>
                    <w:bottom w:val="none" w:sz="0" w:space="0" w:color="auto"/>
                    <w:right w:val="none" w:sz="0" w:space="0" w:color="auto"/>
                  </w:divBdr>
                  <w:divsChild>
                    <w:div w:id="1076127417">
                      <w:marLeft w:val="0"/>
                      <w:marRight w:val="0"/>
                      <w:marTop w:val="0"/>
                      <w:marBottom w:val="0"/>
                      <w:divBdr>
                        <w:top w:val="none" w:sz="0" w:space="0" w:color="auto"/>
                        <w:left w:val="none" w:sz="0" w:space="0" w:color="auto"/>
                        <w:bottom w:val="none" w:sz="0" w:space="0" w:color="auto"/>
                        <w:right w:val="none" w:sz="0" w:space="0" w:color="auto"/>
                      </w:divBdr>
                    </w:div>
                    <w:div w:id="2075540394">
                      <w:marLeft w:val="0"/>
                      <w:marRight w:val="0"/>
                      <w:marTop w:val="0"/>
                      <w:marBottom w:val="0"/>
                      <w:divBdr>
                        <w:top w:val="none" w:sz="0" w:space="0" w:color="auto"/>
                        <w:left w:val="none" w:sz="0" w:space="0" w:color="auto"/>
                        <w:bottom w:val="none" w:sz="0" w:space="0" w:color="auto"/>
                        <w:right w:val="none" w:sz="0" w:space="0" w:color="auto"/>
                      </w:divBdr>
                    </w:div>
                  </w:divsChild>
                </w:div>
                <w:div w:id="219560735">
                  <w:marLeft w:val="0"/>
                  <w:marRight w:val="0"/>
                  <w:marTop w:val="0"/>
                  <w:marBottom w:val="0"/>
                  <w:divBdr>
                    <w:top w:val="none" w:sz="0" w:space="0" w:color="auto"/>
                    <w:left w:val="none" w:sz="0" w:space="0" w:color="auto"/>
                    <w:bottom w:val="none" w:sz="0" w:space="0" w:color="auto"/>
                    <w:right w:val="none" w:sz="0" w:space="0" w:color="auto"/>
                  </w:divBdr>
                  <w:divsChild>
                    <w:div w:id="1327320143">
                      <w:marLeft w:val="0"/>
                      <w:marRight w:val="0"/>
                      <w:marTop w:val="0"/>
                      <w:marBottom w:val="0"/>
                      <w:divBdr>
                        <w:top w:val="none" w:sz="0" w:space="0" w:color="auto"/>
                        <w:left w:val="none" w:sz="0" w:space="0" w:color="auto"/>
                        <w:bottom w:val="none" w:sz="0" w:space="0" w:color="auto"/>
                        <w:right w:val="none" w:sz="0" w:space="0" w:color="auto"/>
                      </w:divBdr>
                    </w:div>
                  </w:divsChild>
                </w:div>
                <w:div w:id="323049713">
                  <w:marLeft w:val="0"/>
                  <w:marRight w:val="0"/>
                  <w:marTop w:val="0"/>
                  <w:marBottom w:val="0"/>
                  <w:divBdr>
                    <w:top w:val="none" w:sz="0" w:space="0" w:color="auto"/>
                    <w:left w:val="none" w:sz="0" w:space="0" w:color="auto"/>
                    <w:bottom w:val="none" w:sz="0" w:space="0" w:color="auto"/>
                    <w:right w:val="none" w:sz="0" w:space="0" w:color="auto"/>
                  </w:divBdr>
                  <w:divsChild>
                    <w:div w:id="1190492699">
                      <w:marLeft w:val="0"/>
                      <w:marRight w:val="0"/>
                      <w:marTop w:val="0"/>
                      <w:marBottom w:val="0"/>
                      <w:divBdr>
                        <w:top w:val="none" w:sz="0" w:space="0" w:color="auto"/>
                        <w:left w:val="none" w:sz="0" w:space="0" w:color="auto"/>
                        <w:bottom w:val="none" w:sz="0" w:space="0" w:color="auto"/>
                        <w:right w:val="none" w:sz="0" w:space="0" w:color="auto"/>
                      </w:divBdr>
                    </w:div>
                    <w:div w:id="1571110718">
                      <w:marLeft w:val="0"/>
                      <w:marRight w:val="0"/>
                      <w:marTop w:val="0"/>
                      <w:marBottom w:val="0"/>
                      <w:divBdr>
                        <w:top w:val="none" w:sz="0" w:space="0" w:color="auto"/>
                        <w:left w:val="none" w:sz="0" w:space="0" w:color="auto"/>
                        <w:bottom w:val="none" w:sz="0" w:space="0" w:color="auto"/>
                        <w:right w:val="none" w:sz="0" w:space="0" w:color="auto"/>
                      </w:divBdr>
                    </w:div>
                  </w:divsChild>
                </w:div>
                <w:div w:id="1187982627">
                  <w:marLeft w:val="0"/>
                  <w:marRight w:val="0"/>
                  <w:marTop w:val="0"/>
                  <w:marBottom w:val="0"/>
                  <w:divBdr>
                    <w:top w:val="none" w:sz="0" w:space="0" w:color="auto"/>
                    <w:left w:val="none" w:sz="0" w:space="0" w:color="auto"/>
                    <w:bottom w:val="none" w:sz="0" w:space="0" w:color="auto"/>
                    <w:right w:val="none" w:sz="0" w:space="0" w:color="auto"/>
                  </w:divBdr>
                  <w:divsChild>
                    <w:div w:id="1090081689">
                      <w:marLeft w:val="0"/>
                      <w:marRight w:val="0"/>
                      <w:marTop w:val="0"/>
                      <w:marBottom w:val="0"/>
                      <w:divBdr>
                        <w:top w:val="none" w:sz="0" w:space="0" w:color="auto"/>
                        <w:left w:val="none" w:sz="0" w:space="0" w:color="auto"/>
                        <w:bottom w:val="none" w:sz="0" w:space="0" w:color="auto"/>
                        <w:right w:val="none" w:sz="0" w:space="0" w:color="auto"/>
                      </w:divBdr>
                    </w:div>
                  </w:divsChild>
                </w:div>
                <w:div w:id="1476490387">
                  <w:marLeft w:val="0"/>
                  <w:marRight w:val="0"/>
                  <w:marTop w:val="0"/>
                  <w:marBottom w:val="0"/>
                  <w:divBdr>
                    <w:top w:val="none" w:sz="0" w:space="0" w:color="auto"/>
                    <w:left w:val="none" w:sz="0" w:space="0" w:color="auto"/>
                    <w:bottom w:val="none" w:sz="0" w:space="0" w:color="auto"/>
                    <w:right w:val="none" w:sz="0" w:space="0" w:color="auto"/>
                  </w:divBdr>
                  <w:divsChild>
                    <w:div w:id="281618044">
                      <w:marLeft w:val="0"/>
                      <w:marRight w:val="0"/>
                      <w:marTop w:val="0"/>
                      <w:marBottom w:val="0"/>
                      <w:divBdr>
                        <w:top w:val="none" w:sz="0" w:space="0" w:color="auto"/>
                        <w:left w:val="none" w:sz="0" w:space="0" w:color="auto"/>
                        <w:bottom w:val="none" w:sz="0" w:space="0" w:color="auto"/>
                        <w:right w:val="none" w:sz="0" w:space="0" w:color="auto"/>
                      </w:divBdr>
                    </w:div>
                    <w:div w:id="2004503122">
                      <w:marLeft w:val="0"/>
                      <w:marRight w:val="0"/>
                      <w:marTop w:val="0"/>
                      <w:marBottom w:val="0"/>
                      <w:divBdr>
                        <w:top w:val="none" w:sz="0" w:space="0" w:color="auto"/>
                        <w:left w:val="none" w:sz="0" w:space="0" w:color="auto"/>
                        <w:bottom w:val="none" w:sz="0" w:space="0" w:color="auto"/>
                        <w:right w:val="none" w:sz="0" w:space="0" w:color="auto"/>
                      </w:divBdr>
                    </w:div>
                  </w:divsChild>
                </w:div>
                <w:div w:id="1483505382">
                  <w:marLeft w:val="0"/>
                  <w:marRight w:val="0"/>
                  <w:marTop w:val="0"/>
                  <w:marBottom w:val="0"/>
                  <w:divBdr>
                    <w:top w:val="none" w:sz="0" w:space="0" w:color="auto"/>
                    <w:left w:val="none" w:sz="0" w:space="0" w:color="auto"/>
                    <w:bottom w:val="none" w:sz="0" w:space="0" w:color="auto"/>
                    <w:right w:val="none" w:sz="0" w:space="0" w:color="auto"/>
                  </w:divBdr>
                  <w:divsChild>
                    <w:div w:id="839199205">
                      <w:marLeft w:val="0"/>
                      <w:marRight w:val="0"/>
                      <w:marTop w:val="0"/>
                      <w:marBottom w:val="0"/>
                      <w:divBdr>
                        <w:top w:val="none" w:sz="0" w:space="0" w:color="auto"/>
                        <w:left w:val="none" w:sz="0" w:space="0" w:color="auto"/>
                        <w:bottom w:val="none" w:sz="0" w:space="0" w:color="auto"/>
                        <w:right w:val="none" w:sz="0" w:space="0" w:color="auto"/>
                      </w:divBdr>
                    </w:div>
                    <w:div w:id="1135489509">
                      <w:marLeft w:val="0"/>
                      <w:marRight w:val="0"/>
                      <w:marTop w:val="0"/>
                      <w:marBottom w:val="0"/>
                      <w:divBdr>
                        <w:top w:val="none" w:sz="0" w:space="0" w:color="auto"/>
                        <w:left w:val="none" w:sz="0" w:space="0" w:color="auto"/>
                        <w:bottom w:val="none" w:sz="0" w:space="0" w:color="auto"/>
                        <w:right w:val="none" w:sz="0" w:space="0" w:color="auto"/>
                      </w:divBdr>
                    </w:div>
                  </w:divsChild>
                </w:div>
                <w:div w:id="1491603754">
                  <w:marLeft w:val="0"/>
                  <w:marRight w:val="0"/>
                  <w:marTop w:val="0"/>
                  <w:marBottom w:val="0"/>
                  <w:divBdr>
                    <w:top w:val="none" w:sz="0" w:space="0" w:color="auto"/>
                    <w:left w:val="none" w:sz="0" w:space="0" w:color="auto"/>
                    <w:bottom w:val="none" w:sz="0" w:space="0" w:color="auto"/>
                    <w:right w:val="none" w:sz="0" w:space="0" w:color="auto"/>
                  </w:divBdr>
                  <w:divsChild>
                    <w:div w:id="94372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692489">
      <w:bodyDiv w:val="1"/>
      <w:marLeft w:val="0"/>
      <w:marRight w:val="0"/>
      <w:marTop w:val="0"/>
      <w:marBottom w:val="0"/>
      <w:divBdr>
        <w:top w:val="none" w:sz="0" w:space="0" w:color="auto"/>
        <w:left w:val="none" w:sz="0" w:space="0" w:color="auto"/>
        <w:bottom w:val="none" w:sz="0" w:space="0" w:color="auto"/>
        <w:right w:val="none" w:sz="0" w:space="0" w:color="auto"/>
      </w:divBdr>
    </w:div>
    <w:div w:id="2010938917">
      <w:bodyDiv w:val="1"/>
      <w:marLeft w:val="0"/>
      <w:marRight w:val="0"/>
      <w:marTop w:val="0"/>
      <w:marBottom w:val="0"/>
      <w:divBdr>
        <w:top w:val="none" w:sz="0" w:space="0" w:color="auto"/>
        <w:left w:val="none" w:sz="0" w:space="0" w:color="auto"/>
        <w:bottom w:val="none" w:sz="0" w:space="0" w:color="auto"/>
        <w:right w:val="none" w:sz="0" w:space="0" w:color="auto"/>
      </w:divBdr>
      <w:divsChild>
        <w:div w:id="814839649">
          <w:marLeft w:val="0"/>
          <w:marRight w:val="0"/>
          <w:marTop w:val="0"/>
          <w:marBottom w:val="0"/>
          <w:divBdr>
            <w:top w:val="none" w:sz="0" w:space="0" w:color="auto"/>
            <w:left w:val="none" w:sz="0" w:space="0" w:color="auto"/>
            <w:bottom w:val="none" w:sz="0" w:space="0" w:color="auto"/>
            <w:right w:val="none" w:sz="0" w:space="0" w:color="auto"/>
          </w:divBdr>
        </w:div>
      </w:divsChild>
    </w:div>
    <w:div w:id="2112237122">
      <w:bodyDiv w:val="1"/>
      <w:marLeft w:val="0"/>
      <w:marRight w:val="0"/>
      <w:marTop w:val="0"/>
      <w:marBottom w:val="0"/>
      <w:divBdr>
        <w:top w:val="none" w:sz="0" w:space="0" w:color="auto"/>
        <w:left w:val="none" w:sz="0" w:space="0" w:color="auto"/>
        <w:bottom w:val="none" w:sz="0" w:space="0" w:color="auto"/>
        <w:right w:val="none" w:sz="0" w:space="0" w:color="auto"/>
      </w:divBdr>
    </w:div>
    <w:div w:id="2131974699">
      <w:bodyDiv w:val="1"/>
      <w:marLeft w:val="0"/>
      <w:marRight w:val="0"/>
      <w:marTop w:val="0"/>
      <w:marBottom w:val="0"/>
      <w:divBdr>
        <w:top w:val="none" w:sz="0" w:space="0" w:color="auto"/>
        <w:left w:val="none" w:sz="0" w:space="0" w:color="auto"/>
        <w:bottom w:val="none" w:sz="0" w:space="0" w:color="auto"/>
        <w:right w:val="none" w:sz="0" w:space="0" w:color="auto"/>
      </w:divBdr>
      <w:divsChild>
        <w:div w:id="1360428391">
          <w:marLeft w:val="0"/>
          <w:marRight w:val="0"/>
          <w:marTop w:val="0"/>
          <w:marBottom w:val="0"/>
          <w:divBdr>
            <w:top w:val="none" w:sz="0" w:space="0" w:color="auto"/>
            <w:left w:val="none" w:sz="0" w:space="0" w:color="auto"/>
            <w:bottom w:val="none" w:sz="0" w:space="0" w:color="auto"/>
            <w:right w:val="none" w:sz="0" w:space="0" w:color="auto"/>
          </w:divBdr>
          <w:divsChild>
            <w:div w:id="199051798">
              <w:marLeft w:val="0"/>
              <w:marRight w:val="0"/>
              <w:marTop w:val="0"/>
              <w:marBottom w:val="0"/>
              <w:divBdr>
                <w:top w:val="none" w:sz="0" w:space="0" w:color="auto"/>
                <w:left w:val="none" w:sz="0" w:space="0" w:color="auto"/>
                <w:bottom w:val="none" w:sz="0" w:space="0" w:color="auto"/>
                <w:right w:val="none" w:sz="0" w:space="0" w:color="auto"/>
              </w:divBdr>
              <w:divsChild>
                <w:div w:id="18005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www.marinespecies.org/aphia.php?p=taxdetails&amp;id=144169" TargetMode="External"/><Relationship Id="rId299" Type="http://schemas.openxmlformats.org/officeDocument/2006/relationships/hyperlink" Target="http://www.briancoad.com" TargetMode="External"/><Relationship Id="rId303" Type="http://schemas.openxmlformats.org/officeDocument/2006/relationships/hyperlink" Target="http://datazone.birdlife.org/site/factsheet/anzali-mordab-complex-iba-iran-islamic-republic-of/details%20on%2027/04/2017" TargetMode="External"/><Relationship Id="rId21" Type="http://schemas.openxmlformats.org/officeDocument/2006/relationships/hyperlink" Target="mailto:ejafarova@azecolab.com" TargetMode="External"/><Relationship Id="rId42" Type="http://schemas.openxmlformats.org/officeDocument/2006/relationships/hyperlink" Target="mailto:mahir.aliyev@unep.org" TargetMode="External"/><Relationship Id="rId63" Type="http://schemas.openxmlformats.org/officeDocument/2006/relationships/hyperlink" Target="http://ec.europa.eu/environment/nature/natura2000/marine/docs/appendix_1_habitat.pdf" TargetMode="External"/><Relationship Id="rId84" Type="http://schemas.openxmlformats.org/officeDocument/2006/relationships/hyperlink" Target="http://circa.europa.eu/Public/irc/env/monnat/library?l=/habitats_reporting/reporting_20072012&amp;vm=detailed&amp;sb=Title" TargetMode="External"/><Relationship Id="rId138" Type="http://schemas.openxmlformats.org/officeDocument/2006/relationships/image" Target="media/image30.jpeg"/><Relationship Id="rId159" Type="http://schemas.openxmlformats.org/officeDocument/2006/relationships/image" Target="media/image45.png"/><Relationship Id="rId324" Type="http://schemas.openxmlformats.org/officeDocument/2006/relationships/image" Target="media/image141.jpeg"/><Relationship Id="rId345" Type="http://schemas.openxmlformats.org/officeDocument/2006/relationships/hyperlink" Target="http://elibrary.ru/author_items.asp?refid=219464244&amp;fam=%D0%9C%D0%BE%D1%88%D0%BE%D0%BD%D0%BA%D0%B8%D0%BD&amp;init=%D0%9D+%D0%9D" TargetMode="External"/><Relationship Id="rId366" Type="http://schemas.openxmlformats.org/officeDocument/2006/relationships/hyperlink" Target="http://e-ecodb.bas.bg/rdb/en/vol3/11a4.html" TargetMode="External"/><Relationship Id="rId170" Type="http://schemas.openxmlformats.org/officeDocument/2006/relationships/image" Target="media/image56.png"/><Relationship Id="rId191" Type="http://schemas.openxmlformats.org/officeDocument/2006/relationships/image" Target="media/image70.png"/><Relationship Id="rId205" Type="http://schemas.openxmlformats.org/officeDocument/2006/relationships/image" Target="media/image80.png"/><Relationship Id="rId226" Type="http://schemas.openxmlformats.org/officeDocument/2006/relationships/image" Target="media/image89.png"/><Relationship Id="rId247" Type="http://schemas.openxmlformats.org/officeDocument/2006/relationships/hyperlink" Target="https://doi.org/10.1111/j.1748-7692.2011.00479.x" TargetMode="External"/><Relationship Id="rId107" Type="http://schemas.openxmlformats.org/officeDocument/2006/relationships/hyperlink" Target="http://www.marinespecies.org/aphia.php?p=taxdetails&amp;id=144166" TargetMode="External"/><Relationship Id="rId268" Type="http://schemas.openxmlformats.org/officeDocument/2006/relationships/image" Target="media/image116.png"/><Relationship Id="rId289" Type="http://schemas.openxmlformats.org/officeDocument/2006/relationships/image" Target="media/image126.JPG"/><Relationship Id="rId11" Type="http://schemas.openxmlformats.org/officeDocument/2006/relationships/hyperlink" Target="https://www.cbd.int/doc/decisions/cop-09/cop-09-dec-20-en.pdf" TargetMode="External"/><Relationship Id="rId32" Type="http://schemas.openxmlformats.org/officeDocument/2006/relationships/hyperlink" Target="mailto:vali_abaza@yahoo.com" TargetMode="External"/><Relationship Id="rId53" Type="http://schemas.openxmlformats.org/officeDocument/2006/relationships/hyperlink" Target="mailto:jesse.cleary@duke.edu" TargetMode="External"/><Relationship Id="rId74" Type="http://schemas.openxmlformats.org/officeDocument/2006/relationships/image" Target="media/image6.jpeg"/><Relationship Id="rId128" Type="http://schemas.openxmlformats.org/officeDocument/2006/relationships/image" Target="media/image20.png"/><Relationship Id="rId149" Type="http://schemas.openxmlformats.org/officeDocument/2006/relationships/image" Target="media/image38.png"/><Relationship Id="rId314" Type="http://schemas.openxmlformats.org/officeDocument/2006/relationships/image" Target="media/image136.jpeg"/><Relationship Id="rId335" Type="http://schemas.openxmlformats.org/officeDocument/2006/relationships/hyperlink" Target="https://clck.yandex.ru/redir/LvUXD5J6I4o?data=UVZ5S3FTUHlHUXd3YUZQV3FqamdOazcxa0ZWU0xQNmVkLVBLUWV5V1gyT0EyRS1TcnVOZHA2azE4Tk5vR01PSnZqQzFSa3FvUGpKaU5LdGxJWDd6bE9DcktyOVdXVkc2dkNkMGFfbU5ETkE&amp;b64e=2&amp;sign=563f141e833d1a11e24297b565f76eb8&amp;keyno=1" TargetMode="External"/><Relationship Id="rId356" Type="http://schemas.openxmlformats.org/officeDocument/2006/relationships/hyperlink" Target="http://elibrary.ru/author_items.asp?refid=380286725&amp;fam=%D0%93%D0%B0%D0%B2%D1%80%D0%B8%D0%BB%D0%BE%D0%B2&amp;init=%D0%98+%D0%9D" TargetMode="External"/><Relationship Id="rId5" Type="http://schemas.openxmlformats.org/officeDocument/2006/relationships/webSettings" Target="webSettings.xml"/><Relationship Id="rId95" Type="http://schemas.openxmlformats.org/officeDocument/2006/relationships/image" Target="media/image15.jpeg"/><Relationship Id="rId160" Type="http://schemas.openxmlformats.org/officeDocument/2006/relationships/image" Target="media/image46.png"/><Relationship Id="rId181" Type="http://schemas.openxmlformats.org/officeDocument/2006/relationships/image" Target="media/image62.png"/><Relationship Id="rId216" Type="http://schemas.openxmlformats.org/officeDocument/2006/relationships/image" Target="media/image85.png"/><Relationship Id="rId237" Type="http://schemas.openxmlformats.org/officeDocument/2006/relationships/hyperlink" Target="https://doi.org/10.3354/esr00689" TargetMode="External"/><Relationship Id="rId258" Type="http://schemas.openxmlformats.org/officeDocument/2006/relationships/hyperlink" Target="https://doi.org/10.3354/esr00689" TargetMode="External"/><Relationship Id="rId279" Type="http://schemas.openxmlformats.org/officeDocument/2006/relationships/hyperlink" Target="http://datazone.birdlife.org/site/factsheet/south-caspian-shore-from-astara-to-gomishan-iba-iran-islamic-republic-of/details" TargetMode="External"/><Relationship Id="rId22" Type="http://schemas.openxmlformats.org/officeDocument/2006/relationships/hyperlink" Target="mailto:vnacheva@moew.government.bg" TargetMode="External"/><Relationship Id="rId43" Type="http://schemas.openxmlformats.org/officeDocument/2006/relationships/hyperlink" Target="mailto:mateusz.benko@unep.org" TargetMode="External"/><Relationship Id="rId64" Type="http://schemas.openxmlformats.org/officeDocument/2006/relationships/hyperlink" Target="http://datazone.birdlife.org/site/factsheet/407" TargetMode="External"/><Relationship Id="rId118" Type="http://schemas.openxmlformats.org/officeDocument/2006/relationships/hyperlink" Target="http://www.algaebase.org/search/?genus=Feldmannia" TargetMode="External"/><Relationship Id="rId139" Type="http://schemas.openxmlformats.org/officeDocument/2006/relationships/image" Target="media/image31.jpeg"/><Relationship Id="rId290" Type="http://schemas.openxmlformats.org/officeDocument/2006/relationships/image" Target="media/image127.jpeg"/><Relationship Id="rId304" Type="http://schemas.openxmlformats.org/officeDocument/2006/relationships/hyperlink" Target="http://www.birdlife.org" TargetMode="External"/><Relationship Id="rId325" Type="http://schemas.openxmlformats.org/officeDocument/2006/relationships/image" Target="media/image142.jpeg"/><Relationship Id="rId346" Type="http://schemas.openxmlformats.org/officeDocument/2006/relationships/hyperlink" Target="http://elibrary.ru/author_items.asp?refid=219464245&amp;fam=%D0%A7%D1%83%D0%B9%D0%BA%D0%BE%D0%B2&amp;init=%D0%AE+%D0%A1" TargetMode="External"/><Relationship Id="rId367" Type="http://schemas.openxmlformats.org/officeDocument/2006/relationships/hyperlink" Target="http://natura2000.moew.government.bg/PublicDownloads/Auto/PS_SCI/BG0001001/BG0001001_PS_16.pdf" TargetMode="External"/><Relationship Id="rId85" Type="http://schemas.openxmlformats.org/officeDocument/2006/relationships/hyperlink" Target="http://bd.eionet.europa.eu/article17/reference_portal" TargetMode="External"/><Relationship Id="rId150" Type="http://schemas.openxmlformats.org/officeDocument/2006/relationships/image" Target="media/image39.png"/><Relationship Id="rId171" Type="http://schemas.openxmlformats.org/officeDocument/2006/relationships/image" Target="media/image57.png"/><Relationship Id="rId192" Type="http://schemas.openxmlformats.org/officeDocument/2006/relationships/image" Target="media/image71.jpeg"/><Relationship Id="rId206" Type="http://schemas.openxmlformats.org/officeDocument/2006/relationships/image" Target="media/image81.png"/><Relationship Id="rId227" Type="http://schemas.openxmlformats.org/officeDocument/2006/relationships/image" Target="media/image90.jpeg"/><Relationship Id="rId248" Type="http://schemas.openxmlformats.org/officeDocument/2006/relationships/hyperlink" Target="http://eds.b.ebscohost.com/abstract?site=eds&amp;scope=site&amp;jrnl=16876768&amp;AN=39761509&amp;h=o7%2fKv9bJBeaTYTGUmlV75WidWmq%2fH17CGxAoAGgCcg6bh9iNMfF%2fam1dUuGYOEXul3LdePKx%2ba4dLXnJ9JmQ2w%3d%3d&amp;crl=f&amp;resultLocal=ErrCrlNoResults&amp;resultNs=Ehost&amp;crlhashurl=login.aspx%3fdirect%3dtrue%26profile%3dehost%26scope%3dsite%26authtype%3dcrawler%26jrnl%3d16876768%26AN%3d39761509" TargetMode="External"/><Relationship Id="rId269" Type="http://schemas.openxmlformats.org/officeDocument/2006/relationships/image" Target="media/image117.jpeg"/><Relationship Id="rId12" Type="http://schemas.openxmlformats.org/officeDocument/2006/relationships/hyperlink" Target="https://www.cbd.int/doc/?meeting=EBSAWS-2017-01" TargetMode="External"/><Relationship Id="rId33" Type="http://schemas.openxmlformats.org/officeDocument/2006/relationships/hyperlink" Target="mailto:kirilllitvinovsu@yandex.ru" TargetMode="External"/><Relationship Id="rId108" Type="http://schemas.openxmlformats.org/officeDocument/2006/relationships/hyperlink" Target="http://www.marinespecies.org/aphia.php?p=taxdetails&amp;id=144169" TargetMode="External"/><Relationship Id="rId129" Type="http://schemas.openxmlformats.org/officeDocument/2006/relationships/image" Target="media/image21.png"/><Relationship Id="rId280" Type="http://schemas.openxmlformats.org/officeDocument/2006/relationships/hyperlink" Target="http://www.birdlife.org" TargetMode="External"/><Relationship Id="rId315" Type="http://schemas.openxmlformats.org/officeDocument/2006/relationships/hyperlink" Target="http://www.sage.wisc.edu/riverdata/scripts/station_table.php?qual=32&amp;filenum=1154" TargetMode="External"/><Relationship Id="rId336" Type="http://schemas.openxmlformats.org/officeDocument/2006/relationships/image" Target="media/image151.png"/><Relationship Id="rId357" Type="http://schemas.openxmlformats.org/officeDocument/2006/relationships/hyperlink" Target="https://clck.yandex.ru/redir/LvUXD5J6I4o?data=UVZ5S3FTUHlHUXd3YUZQV3FqamdOazcxa0ZWU0xQNmVkLVBLUWV5V1gyT0EyRS1TcnVOZHA2Mkp1YTJFWDJUOVdTTFE5VkZZNlJqalF6UWNRT1JmN1N1RHFZS0Y3Q2JXYS02MHJMcHRWTTg&amp;b64e=2&amp;sign=397b9736d4ec78a4fedd6a50d2cef681&amp;keyno=1" TargetMode="External"/><Relationship Id="rId54" Type="http://schemas.openxmlformats.org/officeDocument/2006/relationships/hyperlink" Target="mailto:bendy@duke.edu" TargetMode="External"/><Relationship Id="rId75" Type="http://schemas.openxmlformats.org/officeDocument/2006/relationships/hyperlink" Target="http://ec.europa.eu/environment/nature/natura2000/marine/docs/appendix_1_habitat.pdf" TargetMode="External"/><Relationship Id="rId96" Type="http://schemas.openxmlformats.org/officeDocument/2006/relationships/image" Target="media/image16.jpeg"/><Relationship Id="rId140" Type="http://schemas.openxmlformats.org/officeDocument/2006/relationships/image" Target="media/image32.jpeg"/><Relationship Id="rId161" Type="http://schemas.openxmlformats.org/officeDocument/2006/relationships/image" Target="media/image47.png"/><Relationship Id="rId182" Type="http://schemas.openxmlformats.org/officeDocument/2006/relationships/hyperlink" Target="http://www.iucnredlist.org" TargetMode="External"/><Relationship Id="rId217" Type="http://schemas.openxmlformats.org/officeDocument/2006/relationships/image" Target="media/image86.png"/><Relationship Id="rId6" Type="http://schemas.openxmlformats.org/officeDocument/2006/relationships/footnotes" Target="footnotes.xml"/><Relationship Id="rId238" Type="http://schemas.openxmlformats.org/officeDocument/2006/relationships/image" Target="media/image97.png"/><Relationship Id="rId259" Type="http://schemas.openxmlformats.org/officeDocument/2006/relationships/image" Target="media/image107.png"/><Relationship Id="rId23" Type="http://schemas.openxmlformats.org/officeDocument/2006/relationships/hyperlink" Target="mailto:Natia_kopaliani@iliauni.edu.ge" TargetMode="External"/><Relationship Id="rId119" Type="http://schemas.openxmlformats.org/officeDocument/2006/relationships/hyperlink" Target="http://www.irbis-nbuv.gov.ua/cgi-bin/irbis_nbuv/cgiirbis_64.exe?Z21ID=&amp;I21DBN=REF&amp;P21DBN=REF&amp;S21STN=1&amp;S21REF=10&amp;S21FMT=fullwebr&amp;C21COM=S&amp;S21CNR=20&amp;S21P01=0&amp;S21P02=0&amp;S21P03=A=&amp;S21COLORTERMS=1&amp;S21STR=&#1057;&#1086;&#1074;&#1075;&#1072;%20&#1045;$" TargetMode="External"/><Relationship Id="rId270" Type="http://schemas.openxmlformats.org/officeDocument/2006/relationships/image" Target="media/image118.png"/><Relationship Id="rId291" Type="http://schemas.openxmlformats.org/officeDocument/2006/relationships/image" Target="media/image128.JPG"/><Relationship Id="rId305" Type="http://schemas.openxmlformats.org/officeDocument/2006/relationships/hyperlink" Target="http://www.fao.org/docrep/006/AD192E/AD192E02.htm" TargetMode="External"/><Relationship Id="rId326" Type="http://schemas.openxmlformats.org/officeDocument/2006/relationships/image" Target="media/image143.jpeg"/><Relationship Id="rId347" Type="http://schemas.openxmlformats.org/officeDocument/2006/relationships/hyperlink" Target="http://elibrary.ru/author_items.asp?refid=219464245&amp;fam=%D0%9C%D0%BE%D1%88%D0%BE%D0%BD%D0%BA%D0%B8%D0%BD&amp;init=%D0%9D+%D0%9D" TargetMode="External"/><Relationship Id="rId44" Type="http://schemas.openxmlformats.org/officeDocument/2006/relationships/hyperlink" Target="mailto:ayakamaha@hotmail.co.jp" TargetMode="External"/><Relationship Id="rId65" Type="http://schemas.openxmlformats.org/officeDocument/2006/relationships/hyperlink" Target="http://www.birdlife.org" TargetMode="External"/><Relationship Id="rId86" Type="http://schemas.openxmlformats.org/officeDocument/2006/relationships/hyperlink" Target="http://cdr.eionet.europa.eu/ro/eu/art17/envurmdya" TargetMode="External"/><Relationship Id="rId130" Type="http://schemas.openxmlformats.org/officeDocument/2006/relationships/image" Target="media/image22.jpeg"/><Relationship Id="rId151" Type="http://schemas.openxmlformats.org/officeDocument/2006/relationships/hyperlink" Target="http://dx.doi.org/10.2305/IUCN.UK.2008.RLTS.T17030A6737111.en" TargetMode="External"/><Relationship Id="rId368" Type="http://schemas.openxmlformats.org/officeDocument/2006/relationships/fontTable" Target="fontTable.xml"/><Relationship Id="rId172" Type="http://schemas.openxmlformats.org/officeDocument/2006/relationships/image" Target="media/image58.tiff"/><Relationship Id="rId193" Type="http://schemas.openxmlformats.org/officeDocument/2006/relationships/image" Target="media/image72.jpeg"/><Relationship Id="rId207" Type="http://schemas.openxmlformats.org/officeDocument/2006/relationships/hyperlink" Target="http://giovanni.sci.gsfc.nasa.gov" TargetMode="External"/><Relationship Id="rId228" Type="http://schemas.openxmlformats.org/officeDocument/2006/relationships/hyperlink" Target="http://www.yelkouanshearwater.org" TargetMode="External"/><Relationship Id="rId249" Type="http://schemas.openxmlformats.org/officeDocument/2006/relationships/hyperlink" Target="https://doi.org/10.1007/s10530-016-1171-9" TargetMode="External"/><Relationship Id="rId13" Type="http://schemas.openxmlformats.org/officeDocument/2006/relationships/header" Target="header1.xml"/><Relationship Id="rId109" Type="http://schemas.openxmlformats.org/officeDocument/2006/relationships/hyperlink" Target="http://www.marinespecies.org/aphia.php?p=taxdetails&amp;id=145660" TargetMode="External"/><Relationship Id="rId260" Type="http://schemas.openxmlformats.org/officeDocument/2006/relationships/image" Target="media/image108.png"/><Relationship Id="rId281" Type="http://schemas.openxmlformats.org/officeDocument/2006/relationships/hyperlink" Target="https://rsis.ramsar.org/ris/36" TargetMode="External"/><Relationship Id="rId316" Type="http://schemas.openxmlformats.org/officeDocument/2006/relationships/hyperlink" Target="http://www.webcitation.org/61DIbn6mA" TargetMode="External"/><Relationship Id="rId337" Type="http://schemas.openxmlformats.org/officeDocument/2006/relationships/hyperlink" Target="http://elibrary.ru/author_items.asp?refid=380286725&amp;fam=%D0%93%D0%B0%D0%B2%D1%80%D0%B8%D0%BB%D0%BE%D0%B2&amp;init=%D0%98+%D0%9D" TargetMode="External"/><Relationship Id="rId34" Type="http://schemas.openxmlformats.org/officeDocument/2006/relationships/hyperlink" Target="mailto:yankazeisig@gmail.com" TargetMode="External"/><Relationship Id="rId55" Type="http://schemas.openxmlformats.org/officeDocument/2006/relationships/hyperlink" Target="mailto:eelsv@leeds.ac.uk" TargetMode="External"/><Relationship Id="rId76" Type="http://schemas.openxmlformats.org/officeDocument/2006/relationships/hyperlink" Target="http://natura2000.moew.government.bg/PublicDownloads/Auto/PS_SCI/BG0000573/BG0000573_PS_16.pdf" TargetMode="External"/><Relationship Id="rId97" Type="http://schemas.openxmlformats.org/officeDocument/2006/relationships/image" Target="media/image17.emf"/><Relationship Id="rId120" Type="http://schemas.openxmlformats.org/officeDocument/2006/relationships/hyperlink" Target="http://www.irbis-nbuv.gov.ua/cgi-bin/irbis_nbuv/cgiirbis_64.exe?Z21ID=&amp;I21DBN=REF&amp;P21DBN=REF&amp;S21STN=1&amp;S21REF=10&amp;S21FMT=fullwebr&amp;C21COM=S&amp;S21CNR=20&amp;S21P01=0&amp;S21P02=0&amp;S21P03=TJ=&amp;S21COLORTERMS=1&amp;S21STR=&#1045;&#1082;&#1086;&#1083;.%20&#1073;&#1077;&#1079;&#1087;&#1077;&#1082;&#1072;%20&#1087;&#1088;&#1080;&#1073;&#1077;&#1088;&#1077;&#1078;.%20&#1090;&#1072;%20&#1096;&#1077;&#1083;&#1100;&#1092;&#1086;&#1074;&#1086;&#1111;%20&#1079;&#1086;&#1085;%20&#1090;&#1072;%20&#1082;&#1086;&#1084;&#1087;&#1083;&#1077;&#1082;&#1089;.%20&#1074;&#1080;&#1082;&#1086;&#1088;&#1080;&#1089;&#1090;.%20&#1088;&#1077;&#1089;&#1091;&#1088;&#1089;&#1110;&#1074;%20&#1096;&#1077;&#1083;&#1100;&#1092;&#1091;" TargetMode="External"/><Relationship Id="rId141" Type="http://schemas.openxmlformats.org/officeDocument/2006/relationships/hyperlink" Target="http://zakon0.rada.gov.ua/laws/show/527/2012" TargetMode="External"/><Relationship Id="rId358" Type="http://schemas.openxmlformats.org/officeDocument/2006/relationships/hyperlink" Target="https://www.researchgate.net/profile/Oleksandr_Kovalchuk2/publication/308231044_Phylogeny_and_phylogeography_of_the_roaches_genus_Rutilus_Cyprinidae_at_the_Eastern_part_of_its_range_as_inferred_from_mtDNA_analysis/links/57dedcbe08aeea19593b50c0.pdf?origin=publication_list" TargetMode="External"/><Relationship Id="rId7" Type="http://schemas.openxmlformats.org/officeDocument/2006/relationships/endnotes" Target="endnotes.xml"/><Relationship Id="rId162" Type="http://schemas.openxmlformats.org/officeDocument/2006/relationships/image" Target="media/image48.png"/><Relationship Id="rId183" Type="http://schemas.openxmlformats.org/officeDocument/2006/relationships/image" Target="media/image63.png"/><Relationship Id="rId218" Type="http://schemas.openxmlformats.org/officeDocument/2006/relationships/image" Target="media/image87.emf"/><Relationship Id="rId239" Type="http://schemas.openxmlformats.org/officeDocument/2006/relationships/image" Target="media/image98.png"/><Relationship Id="rId250" Type="http://schemas.openxmlformats.org/officeDocument/2006/relationships/image" Target="media/image102.png"/><Relationship Id="rId271" Type="http://schemas.openxmlformats.org/officeDocument/2006/relationships/image" Target="media/image119.png"/><Relationship Id="rId292" Type="http://schemas.openxmlformats.org/officeDocument/2006/relationships/image" Target="media/image129.jpeg"/><Relationship Id="rId306" Type="http://schemas.openxmlformats.org/officeDocument/2006/relationships/hyperlink" Target="https://rsis.ramsar.org/ris/1109" TargetMode="External"/><Relationship Id="rId24" Type="http://schemas.openxmlformats.org/officeDocument/2006/relationships/hyperlink" Target="mailto:Zurab_gurielidze@iliauni.edu.ge" TargetMode="External"/><Relationship Id="rId45" Type="http://schemas.openxmlformats.org/officeDocument/2006/relationships/hyperlink" Target="mailto:maria.dias@birdlife.org" TargetMode="External"/><Relationship Id="rId66" Type="http://schemas.openxmlformats.org/officeDocument/2006/relationships/hyperlink" Target="http://dx.doi.org/10.2305/IUCN.UK.2008.RLTS.T133729A3875256.en" TargetMode="External"/><Relationship Id="rId87" Type="http://schemas.openxmlformats.org/officeDocument/2006/relationships/hyperlink" Target="http://www.blacksea-commission.org" TargetMode="External"/><Relationship Id="rId110" Type="http://schemas.openxmlformats.org/officeDocument/2006/relationships/hyperlink" Target="http://www.irbis-nbuv.gov.ua/cgi-bin/irbis_nbuv/cgiirbis_64.exe?Z21ID=&amp;I21DBN=REF&amp;P21DBN=REF&amp;S21STN=1&amp;S21REF=10&amp;S21FMT=fullwebr&amp;C21COM=S&amp;S21CNR=20&amp;S21P01=0&amp;S21P02=0&amp;S21P03=A=&amp;S21COLORTERMS=1&amp;S21STR=&#1057;&#1086;&#1074;&#1075;&#1072;%20&#1045;$" TargetMode="External"/><Relationship Id="rId131" Type="http://schemas.openxmlformats.org/officeDocument/2006/relationships/image" Target="media/image23.jpeg"/><Relationship Id="rId327" Type="http://schemas.openxmlformats.org/officeDocument/2006/relationships/image" Target="media/image144.jpeg"/><Relationship Id="rId348" Type="http://schemas.openxmlformats.org/officeDocument/2006/relationships/hyperlink" Target="http://elibrary.ru/author_items.asp?refid=380286737&amp;fam=%D0%A1%D0%B0%D0%BF%D0%BE%D0%B6%D0%BD%D0%B8%D0%BA%D0%BE%D0%B2&amp;init=%D0%92+%D0%92" TargetMode="External"/><Relationship Id="rId369" Type="http://schemas.openxmlformats.org/officeDocument/2006/relationships/glossaryDocument" Target="glossary/document.xml"/><Relationship Id="rId152" Type="http://schemas.openxmlformats.org/officeDocument/2006/relationships/hyperlink" Target="http://dx.doi.org/10.2305/IUCN.UK.2012.RLTS.T133714A17771698.en" TargetMode="External"/><Relationship Id="rId173" Type="http://schemas.openxmlformats.org/officeDocument/2006/relationships/hyperlink" Target="http://datazone.birdlife.org/site/factsheet/delta-of-the-kuban-river-iba-russia-(european)/details" TargetMode="External"/><Relationship Id="rId194" Type="http://schemas.openxmlformats.org/officeDocument/2006/relationships/image" Target="media/image73.jpeg"/><Relationship Id="rId208" Type="http://schemas.openxmlformats.org/officeDocument/2006/relationships/hyperlink" Target="http://datazone.birdlife.org/site/factsheet/eastern-black-sea-mountains-iba-turkey/details%20on%2005/04/2017" TargetMode="External"/><Relationship Id="rId229" Type="http://schemas.openxmlformats.org/officeDocument/2006/relationships/hyperlink" Target="http://datazone.birdlife.org/site/factsheet/delta-of-the-ural-river-iba-kazakhstan/details%20on%2026/04/2017" TargetMode="External"/><Relationship Id="rId240" Type="http://schemas.openxmlformats.org/officeDocument/2006/relationships/image" Target="media/image99.png"/><Relationship Id="rId261" Type="http://schemas.openxmlformats.org/officeDocument/2006/relationships/image" Target="media/image109.png"/><Relationship Id="rId14" Type="http://schemas.openxmlformats.org/officeDocument/2006/relationships/header" Target="header2.xml"/><Relationship Id="rId35" Type="http://schemas.openxmlformats.org/officeDocument/2006/relationships/hyperlink" Target="mailto:aysundemet@ormansu.gov.tr" TargetMode="External"/><Relationship Id="rId56" Type="http://schemas.openxmlformats.org/officeDocument/2006/relationships/hyperlink" Target="mailto:jihyun.lee@cbd.int" TargetMode="External"/><Relationship Id="rId77" Type="http://schemas.openxmlformats.org/officeDocument/2006/relationships/hyperlink" Target="http://natura2000.moew.government.bg/Home/ProtectedSite?code=BG0002051&amp;siteType=BirdsDirective" TargetMode="External"/><Relationship Id="rId100" Type="http://schemas.openxmlformats.org/officeDocument/2006/relationships/hyperlink" Target="http://cdr.eionet.europa.eu/ro/eu/art17/envurmdya" TargetMode="External"/><Relationship Id="rId282" Type="http://schemas.openxmlformats.org/officeDocument/2006/relationships/hyperlink" Target="https://rsis.ramsar.org/ris/1109" TargetMode="External"/><Relationship Id="rId317" Type="http://schemas.openxmlformats.org/officeDocument/2006/relationships/hyperlink" Target="http://ru.wikisource.org/wiki/%D0%AD%D0%A1%D0%91%D0%95/%D0%9A%D1%83%D1%80%D0%B0,_%D1%80%D0%B5%D0%BA%D0%B0_%D0%BD%D0%B0_%D0%9A%D0%B0%D0%B2%D0%BA%D0%B0%D0%B7%D0%B5" TargetMode="External"/><Relationship Id="rId338" Type="http://schemas.openxmlformats.org/officeDocument/2006/relationships/hyperlink" Target="http://elibrary.ru/author_items.asp?refid=380286731&amp;fam=%D0%9A%D1%80%D0%B8%D0%B2%D0%BE%D0%BD%D0%BE%D1%81%D0%BE%D0%B5&amp;init=%D0%93+%D0%90" TargetMode="External"/><Relationship Id="rId359" Type="http://schemas.openxmlformats.org/officeDocument/2006/relationships/image" Target="media/image157.png"/><Relationship Id="rId8" Type="http://schemas.openxmlformats.org/officeDocument/2006/relationships/image" Target="media/image1.emf"/><Relationship Id="rId98" Type="http://schemas.openxmlformats.org/officeDocument/2006/relationships/hyperlink" Target="http://circa.europa.eu/Public/irc/env/monnat/library?l=/habitats_reporting/reporting_20072012&amp;vm=detailed&amp;sb=Title" TargetMode="External"/><Relationship Id="rId121" Type="http://schemas.openxmlformats.org/officeDocument/2006/relationships/hyperlink" Target="http://www.irbis-nbuv.gov.ua/cgi-bin/irbis_nbuv/cgiirbis_64.exe?Z21ID=&amp;I21DBN=UJRN&amp;P21DBN=UJRN&amp;S21STN=1&amp;S21REF=10&amp;S21FMT=fullwebr&amp;C21COM=S&amp;S21CNR=20&amp;S21P01=0&amp;S21P02=0&amp;S21P03=A=&amp;S21COLORTERMS=1&amp;S21STR=&#1058;&#1082;&#1072;&#1095;&#1077;&#1085;&#1082;&#1086;%20&#1060;$" TargetMode="External"/><Relationship Id="rId142" Type="http://schemas.openxmlformats.org/officeDocument/2006/relationships/hyperlink" Target="http://dx.doi.org/10.2305/IUCN.UK.2012.RLTS.T133714A17771698.en" TargetMode="External"/><Relationship Id="rId163" Type="http://schemas.openxmlformats.org/officeDocument/2006/relationships/image" Target="media/image49.tiff"/><Relationship Id="rId184" Type="http://schemas.openxmlformats.org/officeDocument/2006/relationships/image" Target="media/image64.jpeg"/><Relationship Id="rId219" Type="http://schemas.openxmlformats.org/officeDocument/2006/relationships/hyperlink" Target="http://giovanni.sci.gsfc.nasa.gov" TargetMode="External"/><Relationship Id="rId370" Type="http://schemas.openxmlformats.org/officeDocument/2006/relationships/theme" Target="theme/theme1.xml"/><Relationship Id="rId230" Type="http://schemas.openxmlformats.org/officeDocument/2006/relationships/hyperlink" Target="http://www.birdlife.org" TargetMode="External"/><Relationship Id="rId251" Type="http://schemas.openxmlformats.org/officeDocument/2006/relationships/image" Target="media/image103.png"/><Relationship Id="rId25" Type="http://schemas.openxmlformats.org/officeDocument/2006/relationships/hyperlink" Target="mailto:zgurielidze@zoo.ge" TargetMode="External"/><Relationship Id="rId46" Type="http://schemas.openxmlformats.org/officeDocument/2006/relationships/hyperlink" Target="mailto:o.neprokin@gmail.com" TargetMode="External"/><Relationship Id="rId67" Type="http://schemas.openxmlformats.org/officeDocument/2006/relationships/hyperlink" Target="http://dx.doi.org/10.2305/IUCN.UK.2012.RLTS.T133714A17771698.en" TargetMode="External"/><Relationship Id="rId272" Type="http://schemas.openxmlformats.org/officeDocument/2006/relationships/image" Target="media/image120.jpeg"/><Relationship Id="rId293" Type="http://schemas.openxmlformats.org/officeDocument/2006/relationships/image" Target="media/image130.jpeg"/><Relationship Id="rId307" Type="http://schemas.openxmlformats.org/officeDocument/2006/relationships/hyperlink" Target="https://rsis.ramsar.org/ris/36" TargetMode="External"/><Relationship Id="rId328" Type="http://schemas.openxmlformats.org/officeDocument/2006/relationships/image" Target="media/image145.jpeg"/><Relationship Id="rId349" Type="http://schemas.openxmlformats.org/officeDocument/2006/relationships/image" Target="media/image152.png"/><Relationship Id="rId88" Type="http://schemas.openxmlformats.org/officeDocument/2006/relationships/hyperlink" Target="http://www.mmediu.ro" TargetMode="External"/><Relationship Id="rId111" Type="http://schemas.openxmlformats.org/officeDocument/2006/relationships/hyperlink" Target="http://www.irbis-nbuv.gov.ua/cgi-bin/irbis_nbuv/cgiirbis_64.exe?Z21ID=&amp;I21DBN=REF&amp;P21DBN=REF&amp;S21STN=1&amp;S21REF=10&amp;S21FMT=fullwebr&amp;C21COM=S&amp;S21CNR=20&amp;S21P01=0&amp;S21P02=0&amp;S21P03=A=&amp;S21COLORTERMS=1&amp;S21STR=&#1057;&#1086;&#1074;&#1075;&#1072;%20&#1045;$" TargetMode="External"/><Relationship Id="rId132" Type="http://schemas.openxmlformats.org/officeDocument/2006/relationships/image" Target="media/image24.jpeg"/><Relationship Id="rId153" Type="http://schemas.openxmlformats.org/officeDocument/2006/relationships/image" Target="media/image40.png"/><Relationship Id="rId174" Type="http://schemas.openxmlformats.org/officeDocument/2006/relationships/hyperlink" Target="http://datazone.birdlife.org/site/factsheet/bandar-kiashar-lagoon-and-mouth-of-sefid-rud-iba-iran-islamic-republic-of/details%20on%2027/04/2017" TargetMode="External"/><Relationship Id="rId195" Type="http://schemas.openxmlformats.org/officeDocument/2006/relationships/image" Target="media/image74.jpeg"/><Relationship Id="rId209" Type="http://schemas.openxmlformats.org/officeDocument/2006/relationships/hyperlink" Target="http://www.blacksea-commission.org/_publ-BSFishList.asp" TargetMode="External"/><Relationship Id="rId360" Type="http://schemas.openxmlformats.org/officeDocument/2006/relationships/image" Target="media/image158.jpeg"/><Relationship Id="rId220" Type="http://schemas.openxmlformats.org/officeDocument/2006/relationships/hyperlink" Target="http://www.blacksea-commission.org/_publ-BSFishList.asp" TargetMode="External"/><Relationship Id="rId241" Type="http://schemas.openxmlformats.org/officeDocument/2006/relationships/image" Target="media/image100.tiff"/><Relationship Id="rId15" Type="http://schemas.openxmlformats.org/officeDocument/2006/relationships/footer" Target="footer1.xml"/><Relationship Id="rId36" Type="http://schemas.openxmlformats.org/officeDocument/2006/relationships/hyperlink" Target="mailto:hsahin@ormansu.gov.tr" TargetMode="External"/><Relationship Id="rId57" Type="http://schemas.openxmlformats.org/officeDocument/2006/relationships/hyperlink" Target="mailto:joseph.appiott@cbd.int" TargetMode="External"/><Relationship Id="rId262" Type="http://schemas.openxmlformats.org/officeDocument/2006/relationships/image" Target="media/image110.png"/><Relationship Id="rId283" Type="http://schemas.openxmlformats.org/officeDocument/2006/relationships/hyperlink" Target="http://whc.unesco.org/en/tentativelists/5437/" TargetMode="External"/><Relationship Id="rId318" Type="http://schemas.openxmlformats.org/officeDocument/2006/relationships/hyperlink" Target="http://xn--b1aeclack5b4j.xn--c1avg.xn--p1ai/wiki/%D0%AD%D0%BD%D1%86%D0%B8%D0%BA%D0%BB%D0%BE%D0%BF%D0%B5%D0%B4%D0%B8%D1%87%D0%B5%D1%81%D0%BA%D0%B8%D0%B9_%D1%81%D0%BB%D0%BE%D0%B2%D0%B0%D1%80%D1%8C_%D0%91%D1%80%D0%BE%D0%BA%D0%B3%D0%B0%D1%83%D0%B7%D0%B0_%D0%B8_%D0%95%D1%84%D1%80%D0%BE%D0%BD%D0%B0" TargetMode="External"/><Relationship Id="rId339" Type="http://schemas.openxmlformats.org/officeDocument/2006/relationships/hyperlink" Target="http://elibrary.ru/author_items.asp?refid=219464232&amp;fam=%D0%93%D0%B0%D0%B2%D1%80%D0%B8%D0%BB%D0%BE%D0%B2&amp;init=%D0%9D+%D0%9D" TargetMode="External"/><Relationship Id="rId10" Type="http://schemas.openxmlformats.org/officeDocument/2006/relationships/image" Target="media/image3.png"/><Relationship Id="rId31" Type="http://schemas.openxmlformats.org/officeDocument/2006/relationships/hyperlink" Target="mailto:vabaza@alpha.rmri.ro" TargetMode="External"/><Relationship Id="rId52" Type="http://schemas.openxmlformats.org/officeDocument/2006/relationships/hyperlink" Target="mailto:phalpin@duke.edu" TargetMode="External"/><Relationship Id="rId73" Type="http://schemas.openxmlformats.org/officeDocument/2006/relationships/image" Target="media/image5.png"/><Relationship Id="rId78" Type="http://schemas.openxmlformats.org/officeDocument/2006/relationships/image" Target="media/image7.png"/><Relationship Id="rId94" Type="http://schemas.openxmlformats.org/officeDocument/2006/relationships/image" Target="media/image14.jpeg"/><Relationship Id="rId99" Type="http://schemas.openxmlformats.org/officeDocument/2006/relationships/hyperlink" Target="http://bd.eionet.europa.eu/article17/reference_portal" TargetMode="External"/><Relationship Id="rId101" Type="http://schemas.openxmlformats.org/officeDocument/2006/relationships/hyperlink" Target="http://www.blacksea-commission.org" TargetMode="External"/><Relationship Id="rId122" Type="http://schemas.openxmlformats.org/officeDocument/2006/relationships/hyperlink" Target="http://www.irbis-nbuv.gov.ua/cgi-bin/irbis_nbuv/cgiirbis_64.exe?Z21ID=&amp;I21DBN=UJRN&amp;P21DBN=UJRN&amp;S21STN=1&amp;S21REF=10&amp;S21FMT=JUU_all&amp;C21COM=S&amp;S21CNR=20&amp;S21P01=0&amp;S21P02=0&amp;S21P03=IJ=&amp;S21COLORTERMS=1&amp;S21STR=&#1046;14395" TargetMode="External"/><Relationship Id="rId143" Type="http://schemas.openxmlformats.org/officeDocument/2006/relationships/hyperlink" Target="http://dx.doi.org/10.2305/IUCN.UK.2008.RLTS.T17030A6737111.en" TargetMode="External"/><Relationship Id="rId148" Type="http://schemas.openxmlformats.org/officeDocument/2006/relationships/image" Target="media/image37.png"/><Relationship Id="rId164" Type="http://schemas.openxmlformats.org/officeDocument/2006/relationships/image" Target="media/image50.jpeg"/><Relationship Id="rId169" Type="http://schemas.openxmlformats.org/officeDocument/2006/relationships/image" Target="media/image55.tiff"/><Relationship Id="rId185" Type="http://schemas.openxmlformats.org/officeDocument/2006/relationships/image" Target="media/image65.jpeg"/><Relationship Id="rId334" Type="http://schemas.openxmlformats.org/officeDocument/2006/relationships/hyperlink" Target="http://datazone.birdlife.org/site/factsheet/kizlyar-bay-iba-russia-(european)/details&#160;on%2027/04/2017" TargetMode="External"/><Relationship Id="rId350" Type="http://schemas.openxmlformats.org/officeDocument/2006/relationships/image" Target="media/image153.jpeg"/><Relationship Id="rId355" Type="http://schemas.openxmlformats.org/officeDocument/2006/relationships/image" Target="cid:image003.jpg@01D3D8B6.D0D565D0" TargetMode="External"/><Relationship Id="rId4" Type="http://schemas.openxmlformats.org/officeDocument/2006/relationships/settings" Target="settings.xml"/><Relationship Id="rId9" Type="http://schemas.openxmlformats.org/officeDocument/2006/relationships/image" Target="media/image2.emf"/><Relationship Id="rId180" Type="http://schemas.openxmlformats.org/officeDocument/2006/relationships/image" Target="media/image61.png"/><Relationship Id="rId210" Type="http://schemas.openxmlformats.org/officeDocument/2006/relationships/image" Target="media/image82.png"/><Relationship Id="rId215" Type="http://schemas.openxmlformats.org/officeDocument/2006/relationships/hyperlink" Target="http://www.blacksea-commission.org/_publ-BSFishList.asp" TargetMode="External"/><Relationship Id="rId236" Type="http://schemas.openxmlformats.org/officeDocument/2006/relationships/image" Target="media/image96.jpeg"/><Relationship Id="rId257" Type="http://schemas.openxmlformats.org/officeDocument/2006/relationships/oleObject" Target="embeddings/oleObject3.bin"/><Relationship Id="rId278" Type="http://schemas.openxmlformats.org/officeDocument/2006/relationships/hyperlink" Target="http://datazone.birdlife.org/site/factsheet/miankaleh-peninsula-and-gorgan-bay-iba-iran-islamic-republic-of/details" TargetMode="External"/><Relationship Id="rId26" Type="http://schemas.openxmlformats.org/officeDocument/2006/relationships/hyperlink" Target="mailto:r.shahifar@gmail.com" TargetMode="External"/><Relationship Id="rId231" Type="http://schemas.openxmlformats.org/officeDocument/2006/relationships/image" Target="media/image91.png"/><Relationship Id="rId252" Type="http://schemas.openxmlformats.org/officeDocument/2006/relationships/image" Target="media/image104.png"/><Relationship Id="rId273" Type="http://schemas.openxmlformats.org/officeDocument/2006/relationships/image" Target="media/image121.jpeg"/><Relationship Id="rId294" Type="http://schemas.openxmlformats.org/officeDocument/2006/relationships/image" Target="media/image131.jpeg"/><Relationship Id="rId308" Type="http://schemas.openxmlformats.org/officeDocument/2006/relationships/hyperlink" Target="http://whc.unesco.org/en/tentativelists/5437/" TargetMode="External"/><Relationship Id="rId329" Type="http://schemas.openxmlformats.org/officeDocument/2006/relationships/image" Target="media/image146.jpeg"/><Relationship Id="rId47" Type="http://schemas.openxmlformats.org/officeDocument/2006/relationships/hyperlink" Target="mailto:Piero.Mannini@fao.org" TargetMode="External"/><Relationship Id="rId68" Type="http://schemas.openxmlformats.org/officeDocument/2006/relationships/hyperlink" Target="http://dx.doi.org/10.2305/IUCN.UK.2008.RLTS.T17030A6737111.en" TargetMode="External"/><Relationship Id="rId89" Type="http://schemas.openxmlformats.org/officeDocument/2006/relationships/hyperlink" Target="http://www.anpm.ro" TargetMode="External"/><Relationship Id="rId112" Type="http://schemas.openxmlformats.org/officeDocument/2006/relationships/hyperlink" Target="http://www.marinespecies.org/aphia.php?p=taxdetails&amp;id=144166" TargetMode="External"/><Relationship Id="rId133" Type="http://schemas.openxmlformats.org/officeDocument/2006/relationships/image" Target="media/image25.jpeg"/><Relationship Id="rId154" Type="http://schemas.openxmlformats.org/officeDocument/2006/relationships/image" Target="media/image41.jpeg"/><Relationship Id="rId175" Type="http://schemas.openxmlformats.org/officeDocument/2006/relationships/hyperlink" Target="https://rsis.ramsar.org/ris/674" TargetMode="External"/><Relationship Id="rId340" Type="http://schemas.openxmlformats.org/officeDocument/2006/relationships/hyperlink" Target="http://elibrary.ru/author_items.asp?refid=219464236&amp;fam=%D0%9A%D1%80%D0%B8%D0%B2%D0%BE%D0%BD%D0%BE%D1%81%D0%BE%D0%B2&amp;init=%D0%93+%D0%90" TargetMode="External"/><Relationship Id="rId361" Type="http://schemas.openxmlformats.org/officeDocument/2006/relationships/image" Target="media/image159.jpeg"/><Relationship Id="rId196" Type="http://schemas.openxmlformats.org/officeDocument/2006/relationships/hyperlink" Target="http://datazone.birdlife.org/site/factsheet/45505%20on%2026/04/2017" TargetMode="External"/><Relationship Id="rId200" Type="http://schemas.openxmlformats.org/officeDocument/2006/relationships/hyperlink" Target="http://datazone.birdlife.org/site/factsheet/eastern-black-sea-mountains-iba-turkey/details%20on%2005/04/2017" TargetMode="External"/><Relationship Id="rId16" Type="http://schemas.openxmlformats.org/officeDocument/2006/relationships/footer" Target="footer2.xml"/><Relationship Id="rId221" Type="http://schemas.openxmlformats.org/officeDocument/2006/relationships/hyperlink" Target="http://www.blacksea-commission.org/_publ-BSFishList.asp" TargetMode="External"/><Relationship Id="rId242" Type="http://schemas.openxmlformats.org/officeDocument/2006/relationships/image" Target="media/image101.jpeg"/><Relationship Id="rId263" Type="http://schemas.openxmlformats.org/officeDocument/2006/relationships/image" Target="media/image111.jpeg"/><Relationship Id="rId284" Type="http://schemas.openxmlformats.org/officeDocument/2006/relationships/hyperlink" Target="https://populationexplorer.com" TargetMode="External"/><Relationship Id="rId319" Type="http://schemas.openxmlformats.org/officeDocument/2006/relationships/image" Target="media/image137.png"/><Relationship Id="rId37" Type="http://schemas.openxmlformats.org/officeDocument/2006/relationships/hyperlink" Target="mailto:shirinkarryeva.sk@gmail.com" TargetMode="External"/><Relationship Id="rId58" Type="http://schemas.openxmlformats.org/officeDocument/2006/relationships/hyperlink" Target="mailto:jacqueline.grekin@cbd.int" TargetMode="External"/><Relationship Id="rId79" Type="http://schemas.openxmlformats.org/officeDocument/2006/relationships/image" Target="media/image8.emf"/><Relationship Id="rId102" Type="http://schemas.openxmlformats.org/officeDocument/2006/relationships/hyperlink" Target="http://www.mmediu.ro" TargetMode="External"/><Relationship Id="rId123" Type="http://schemas.openxmlformats.org/officeDocument/2006/relationships/hyperlink" Target="http://www.irbis-nbuv.gov.ua/cgi-bin/irbis_nbuv/cgiirbis_64.exe?Z21ID=&amp;I21DBN=REF&amp;P21DBN=REF&amp;S21STN=1&amp;S21REF=10&amp;S21FMT=fullwebr&amp;C21COM=S&amp;S21CNR=20&amp;S21P01=0&amp;S21P02=0&amp;S21P03=A=&amp;S21COLORTERMS=1&amp;S21STR=&#1057;&#1086;&#1074;&#1075;&#1072;%20&#1045;$" TargetMode="External"/><Relationship Id="rId144" Type="http://schemas.openxmlformats.org/officeDocument/2006/relationships/image" Target="media/image33.png"/><Relationship Id="rId330" Type="http://schemas.openxmlformats.org/officeDocument/2006/relationships/image" Target="media/image147.jpeg"/><Relationship Id="rId90" Type="http://schemas.openxmlformats.org/officeDocument/2006/relationships/image" Target="media/image11.png"/><Relationship Id="rId165" Type="http://schemas.openxmlformats.org/officeDocument/2006/relationships/image" Target="media/image51.jpeg"/><Relationship Id="rId186" Type="http://schemas.openxmlformats.org/officeDocument/2006/relationships/image" Target="media/image66.jpeg"/><Relationship Id="rId351" Type="http://schemas.openxmlformats.org/officeDocument/2006/relationships/image" Target="media/image154.jpeg"/><Relationship Id="rId211" Type="http://schemas.openxmlformats.org/officeDocument/2006/relationships/image" Target="media/image83.png"/><Relationship Id="rId232" Type="http://schemas.openxmlformats.org/officeDocument/2006/relationships/image" Target="media/image92.png"/><Relationship Id="rId253" Type="http://schemas.openxmlformats.org/officeDocument/2006/relationships/oleObject" Target="embeddings/oleObject1.bin"/><Relationship Id="rId274" Type="http://schemas.openxmlformats.org/officeDocument/2006/relationships/hyperlink" Target="https://populationexplorer.com" TargetMode="External"/><Relationship Id="rId295" Type="http://schemas.openxmlformats.org/officeDocument/2006/relationships/image" Target="media/image132.jpeg"/><Relationship Id="rId309" Type="http://schemas.openxmlformats.org/officeDocument/2006/relationships/hyperlink" Target="https://populationexplorer.com" TargetMode="External"/><Relationship Id="rId27" Type="http://schemas.openxmlformats.org/officeDocument/2006/relationships/hyperlink" Target="mailto:isbekov@mail.ru" TargetMode="External"/><Relationship Id="rId48" Type="http://schemas.openxmlformats.org/officeDocument/2006/relationships/hyperlink" Target="mailto:david.johnson@seascapeconsultants.co.uk" TargetMode="External"/><Relationship Id="rId69" Type="http://schemas.openxmlformats.org/officeDocument/2006/relationships/hyperlink" Target="http://e-ecodb.bas.bg/rdb/en/vol3/08A3.html" TargetMode="External"/><Relationship Id="rId113" Type="http://schemas.openxmlformats.org/officeDocument/2006/relationships/hyperlink" Target="http://www.marinespecies.org/aphia.php?p=taxdetails&amp;id=144169" TargetMode="External"/><Relationship Id="rId134" Type="http://schemas.openxmlformats.org/officeDocument/2006/relationships/image" Target="media/image26.jpeg"/><Relationship Id="rId320" Type="http://schemas.openxmlformats.org/officeDocument/2006/relationships/image" Target="media/image138.jpeg"/><Relationship Id="rId80" Type="http://schemas.openxmlformats.org/officeDocument/2006/relationships/image" Target="media/image9.emf"/><Relationship Id="rId155" Type="http://schemas.openxmlformats.org/officeDocument/2006/relationships/hyperlink" Target="http://www.ciesm.org/" TargetMode="External"/><Relationship Id="rId176" Type="http://schemas.openxmlformats.org/officeDocument/2006/relationships/image" Target="media/image59.png"/><Relationship Id="rId197" Type="http://schemas.openxmlformats.org/officeDocument/2006/relationships/image" Target="media/image75.png"/><Relationship Id="rId341" Type="http://schemas.openxmlformats.org/officeDocument/2006/relationships/hyperlink" Target="http://elibrary.ru/author_items.asp?refid=219464239&amp;fam=%D0%9C%D0%BE%D1%88%D0%BE%D0%BD%D0%BA%D0%B8%D0%BD&amp;init=%D0%9D+%D0%9D" TargetMode="External"/><Relationship Id="rId362" Type="http://schemas.openxmlformats.org/officeDocument/2006/relationships/image" Target="media/image160.jpeg"/><Relationship Id="rId201" Type="http://schemas.openxmlformats.org/officeDocument/2006/relationships/hyperlink" Target="http://www.blacksea-commission.org/_publ-BSFishList.asp" TargetMode="External"/><Relationship Id="rId222" Type="http://schemas.openxmlformats.org/officeDocument/2006/relationships/hyperlink" Target="http://giovanni.sci.gsfc.nasa.gov" TargetMode="External"/><Relationship Id="rId243" Type="http://schemas.openxmlformats.org/officeDocument/2006/relationships/hyperlink" Target="http://www.iucnredlist.org/details/41669/0)" TargetMode="External"/><Relationship Id="rId264" Type="http://schemas.openxmlformats.org/officeDocument/2006/relationships/image" Target="media/image112.jpeg"/><Relationship Id="rId285" Type="http://schemas.openxmlformats.org/officeDocument/2006/relationships/image" Target="media/image122.png"/><Relationship Id="rId17" Type="http://schemas.openxmlformats.org/officeDocument/2006/relationships/footer" Target="footer3.xml"/><Relationship Id="rId38" Type="http://schemas.openxmlformats.org/officeDocument/2006/relationships/hyperlink" Target="mailto:elldaru@mail.ru" TargetMode="External"/><Relationship Id="rId59" Type="http://schemas.openxmlformats.org/officeDocument/2006/relationships/hyperlink" Target="http://iobis.org" TargetMode="External"/><Relationship Id="rId103" Type="http://schemas.openxmlformats.org/officeDocument/2006/relationships/hyperlink" Target="http://www.anpm.ro" TargetMode="External"/><Relationship Id="rId124" Type="http://schemas.openxmlformats.org/officeDocument/2006/relationships/hyperlink" Target="http://www.irbis-nbuv.gov.ua/cgi-bin/irbis_nbuv/cgiirbis_64.exe?Z21ID=&amp;I21DBN=REF&amp;P21DBN=REF&amp;S21STN=1&amp;S21REF=10&amp;S21FMT=fullwebr&amp;C21COM=S&amp;S21CNR=20&amp;S21P01=0&amp;S21P02=0&amp;S21P03=TJ=&amp;S21COLORTERMS=1&amp;S21STR=&#1045;&#1082;&#1086;&#1083;.%20&#1073;&#1077;&#1079;&#1087;&#1077;&#1082;&#1072;%20&#1087;&#1088;&#1080;&#1073;&#1077;&#1088;&#1077;&#1078;.%20&#1090;&#1072;%20&#1096;&#1077;&#1083;&#1100;&#1092;&#1086;&#1074;&#1086;&#1111;%20&#1079;&#1086;&#1085;%20&#1090;&#1072;%20&#1082;&#1086;&#1084;&#1087;&#1083;&#1077;&#1082;&#1089;.%20&#1074;&#1080;&#1082;&#1086;&#1088;&#1080;&#1089;&#1090;.%20&#1088;&#1077;&#1089;&#1091;&#1088;&#1089;&#1110;&#1074;%20&#1096;&#1077;&#1083;&#1100;&#1092;&#1091;" TargetMode="External"/><Relationship Id="rId310" Type="http://schemas.openxmlformats.org/officeDocument/2006/relationships/image" Target="media/image134.png"/><Relationship Id="rId70" Type="http://schemas.openxmlformats.org/officeDocument/2006/relationships/hyperlink" Target="http://natura2000.moew.government.bg/PublicDownloads/Auto/PS_SCI/BG0001001/BG0001001_PS_16.pdf" TargetMode="External"/><Relationship Id="rId91" Type="http://schemas.openxmlformats.org/officeDocument/2006/relationships/image" Target="media/image12.emf"/><Relationship Id="rId145" Type="http://schemas.openxmlformats.org/officeDocument/2006/relationships/image" Target="media/image34.png"/><Relationship Id="rId166" Type="http://schemas.openxmlformats.org/officeDocument/2006/relationships/image" Target="media/image52.jpeg"/><Relationship Id="rId187" Type="http://schemas.openxmlformats.org/officeDocument/2006/relationships/image" Target="media/image67.png"/><Relationship Id="rId331" Type="http://schemas.openxmlformats.org/officeDocument/2006/relationships/image" Target="media/image148.jpeg"/><Relationship Id="rId352" Type="http://schemas.openxmlformats.org/officeDocument/2006/relationships/image" Target="media/image155.jpeg"/><Relationship Id="rId1" Type="http://schemas.openxmlformats.org/officeDocument/2006/relationships/customXml" Target="../customXml/item1.xml"/><Relationship Id="rId212" Type="http://schemas.openxmlformats.org/officeDocument/2006/relationships/image" Target="media/image84.emf"/><Relationship Id="rId233" Type="http://schemas.openxmlformats.org/officeDocument/2006/relationships/image" Target="media/image93.jpeg"/><Relationship Id="rId254" Type="http://schemas.openxmlformats.org/officeDocument/2006/relationships/image" Target="media/image105.png"/><Relationship Id="rId28" Type="http://schemas.openxmlformats.org/officeDocument/2006/relationships/hyperlink" Target="mailto:e.v.kulikov.61@mail.ru" TargetMode="External"/><Relationship Id="rId49" Type="http://schemas.openxmlformats.org/officeDocument/2006/relationships/hyperlink" Target="mailto:kideys@gmail.com" TargetMode="External"/><Relationship Id="rId114" Type="http://schemas.openxmlformats.org/officeDocument/2006/relationships/hyperlink" Target="http://www.marinespecies.org/aphia.php?p=taxdetails&amp;id=144169" TargetMode="External"/><Relationship Id="rId275" Type="http://schemas.openxmlformats.org/officeDocument/2006/relationships/hyperlink" Target="http://datazone.birdlife.org/site/factsheet/ekerem-esenguly-iba-turkmenistan/details" TargetMode="External"/><Relationship Id="rId296" Type="http://schemas.openxmlformats.org/officeDocument/2006/relationships/hyperlink" Target="https://rsis.ramsar.org/RISapp/files/RISrep/IR46RIS.pdf" TargetMode="External"/><Relationship Id="rId300" Type="http://schemas.openxmlformats.org/officeDocument/2006/relationships/hyperlink" Target="http://www.briancoad.com" TargetMode="External"/><Relationship Id="rId60" Type="http://schemas.openxmlformats.org/officeDocument/2006/relationships/hyperlink" Target="http://www.blacksea-commission.org/_environment-eutr.asp" TargetMode="External"/><Relationship Id="rId81" Type="http://schemas.openxmlformats.org/officeDocument/2006/relationships/image" Target="media/image10.png"/><Relationship Id="rId135" Type="http://schemas.openxmlformats.org/officeDocument/2006/relationships/image" Target="media/image27.jpeg"/><Relationship Id="rId156" Type="http://schemas.openxmlformats.org/officeDocument/2006/relationships/image" Target="media/image42.png"/><Relationship Id="rId177" Type="http://schemas.openxmlformats.org/officeDocument/2006/relationships/hyperlink" Target="http://dx.doi.org/10.2305/IUCN.UK.2012.RLTS.T133714A17771698.en" TargetMode="External"/><Relationship Id="rId198" Type="http://schemas.openxmlformats.org/officeDocument/2006/relationships/image" Target="media/image76.jpeg"/><Relationship Id="rId321" Type="http://schemas.openxmlformats.org/officeDocument/2006/relationships/image" Target="media/image139.png"/><Relationship Id="rId342" Type="http://schemas.openxmlformats.org/officeDocument/2006/relationships/hyperlink" Target="http://elibrary.ru/author_items.asp?refid=219464242&amp;fam=%D0%A0%D1%83%D1%81%D0%B0%D0%BD%D0%BE%D0%B2&amp;init=%D0%93+%D0%9C" TargetMode="External"/><Relationship Id="rId363" Type="http://schemas.openxmlformats.org/officeDocument/2006/relationships/hyperlink" Target="http://www.yandex.ru/clck/jsredir?from=www.yandex.ru%3Byandsearch%3Bweb%3B%3B&amp;text=&amp;etext=1565.utYHLcABXfgOiHlwmxfLj_JnH0GYMIHfXe1N-68bvjDMmZbK-1ng3ZE7JOjCtj2Xvits_I_OM09anr1mGGLIhA.395669b4be3204afbce7f14fe3a0fb892fefa653&amp;uuid=&amp;state=PEtFfuTeVD5kpHnK9lio9bb4iM1VPfe4W5x0C0-qwflIRTTifi6VAA,,&amp;&amp;cst=AiuY0DBWFJ4EhnbxqmjDhWYzH54ZnKKHCrKlIScQQo5PK2oEYV9SqLdm8D7xl3yqLrwVHIYwzac-NY0OzeeObwg3wS5O-x7ZKL_tSwrILGJb1fznDDcGtrUsN6D23NIIbki2oMCh4IhfkLErp36CEA4PmHOtQHuX_BMikywfIQpzF6uyLLf0BVPKVGni6V2hfD0trbh_FTxvN9PlB5GdWhw4yEb4-0arbod7cyvus6FUE669iWRsyXJ0jEj7U-Eav92Ry5ydJE6rroLUsLtDYa2NliJ-fhJ21kdXd-aWIXZanfljnytFLMstOWzU1WRYMEL22VQRgQwdvoUuzddV7WQ11Rfwp5ojEP2p78n5MLE8TOjFBDczKYVxTien0nYa-uREZ7PfJ5cTPQB1Jet24cT3pguTgoXw0CX6lEmx75KpTcvsUhvmCK5hVBLXEix9b8Zn4VVlfy9xM7MRuTiMTHhzVY5mq0M-sSybE-yXnJfP-YnWvchx7TBkwa78fUBmbcv-PorKCbeXV-tjnFNOvhjrlftCTF2QArBraOKM9XIyanGF6gXkGS-0f7fHKePRwXj5qq44SnIyoIy2_1OQtyL-h-P1uVihN9SzI9fuLX4R1qRpCeZfLa870sij9aIQoXqggQ6ZXDMqGUqU0RUyyiURHWjaEuHEJkA890kOJ54a5EI1JIkZc2dN4UnpmQN7&amp;data=UlNrNmk5WktYejR0eWJFYk1LdmtxdG52Y1FVbThnZEFRTlh3LWJEN21aYkE3U01mWUJxd3JLM1FlSUNGZHdrVjZMSk8wWE12bXh2RUo2UVV1Z3BkNVBCdWt1QWx5MENMYnVlQ3ZkLW95YU16Yno1NzZ4NUtCbEhHcFdhaHRzZEVWMzBaclp4dWh3Z21SRVFqQTNRZFdRLCw,&amp;sign=7c742cdcf0c27d59e313b3136e387ac3&amp;keyno=0&amp;b64e=2&amp;ref=orjY4mGPRjlSKyJlbRuxUiMagqD7IEChNIhECNn1bzpxhszZ-vuN_aHbewHMum6t-Cu6pgj_ekFWmPwJzOrRW85V8O_5jkXImaBi23amuTtsj1k7NuShERgbkzzFVa9SnaVwjHEVXsTlGkLHWIJVkRMNZ95_eluxe7oLhM6d0lX3LqjKY6n4_XTbZLwR1iM6ZcE9I8VaWdU,&amp;l10n=ru&amp;cts=1507198484142&amp;mc=1.5&amp;bu=uniq150719796318185317" TargetMode="External"/><Relationship Id="rId202" Type="http://schemas.openxmlformats.org/officeDocument/2006/relationships/image" Target="media/image77.png"/><Relationship Id="rId223" Type="http://schemas.openxmlformats.org/officeDocument/2006/relationships/hyperlink" Target="http://www.blacksea-commission.org/_publ-BSFishList.asp" TargetMode="External"/><Relationship Id="rId244" Type="http://schemas.openxmlformats.org/officeDocument/2006/relationships/hyperlink" Target="http://www.iucnredlist.org/details/10269/0" TargetMode="External"/><Relationship Id="rId18" Type="http://schemas.openxmlformats.org/officeDocument/2006/relationships/hyperlink" Target="mailto:evmamedov@mail.ru" TargetMode="External"/><Relationship Id="rId39" Type="http://schemas.openxmlformats.org/officeDocument/2006/relationships/hyperlink" Target="mailto:borys.aleksandrov@gmail.com" TargetMode="External"/><Relationship Id="rId265" Type="http://schemas.openxmlformats.org/officeDocument/2006/relationships/image" Target="media/image113.png"/><Relationship Id="rId286" Type="http://schemas.openxmlformats.org/officeDocument/2006/relationships/image" Target="media/image123.jpeg"/><Relationship Id="rId50" Type="http://schemas.openxmlformats.org/officeDocument/2006/relationships/hyperlink" Target="mailto:koosha@cenesta.org" TargetMode="External"/><Relationship Id="rId104" Type="http://schemas.openxmlformats.org/officeDocument/2006/relationships/hyperlink" Target="http://www.natura2000.eea.europa.eu" TargetMode="External"/><Relationship Id="rId125" Type="http://schemas.openxmlformats.org/officeDocument/2006/relationships/hyperlink" Target="http://www.irbis-nbuv.gov.ua/cgi-bin/irbis_nbuv/cgiirbis_64.exe?Z21ID=&amp;I21DBN=UJRN&amp;P21DBN=UJRN&amp;S21STN=1&amp;S21REF=10&amp;S21FMT=fullwebr&amp;C21COM=S&amp;S21CNR=20&amp;S21P01=0&amp;S21P02=0&amp;S21P03=A=&amp;S21COLORTERMS=1&amp;S21STR=&#1058;&#1082;&#1072;&#1095;&#1077;&#1085;&#1082;&#1086;%20&#1060;$" TargetMode="External"/><Relationship Id="rId146" Type="http://schemas.openxmlformats.org/officeDocument/2006/relationships/image" Target="media/image35.png"/><Relationship Id="rId167" Type="http://schemas.openxmlformats.org/officeDocument/2006/relationships/image" Target="media/image53.jpeg"/><Relationship Id="rId188" Type="http://schemas.openxmlformats.org/officeDocument/2006/relationships/image" Target="media/image68.jpeg"/><Relationship Id="rId311" Type="http://schemas.openxmlformats.org/officeDocument/2006/relationships/hyperlink" Target="http://www.iucnredlist.org/" TargetMode="External"/><Relationship Id="rId332" Type="http://schemas.openxmlformats.org/officeDocument/2006/relationships/image" Target="media/image149.jpeg"/><Relationship Id="rId353" Type="http://schemas.openxmlformats.org/officeDocument/2006/relationships/image" Target="cid:image002.jpg@01D3D8B6.D0D565D0" TargetMode="External"/><Relationship Id="rId71" Type="http://schemas.openxmlformats.org/officeDocument/2006/relationships/hyperlink" Target="http://greenbalkans.org/delfini/en/Publications.c135" TargetMode="External"/><Relationship Id="rId92" Type="http://schemas.openxmlformats.org/officeDocument/2006/relationships/hyperlink" Target="http://www.anpm.ro" TargetMode="External"/><Relationship Id="rId213" Type="http://schemas.openxmlformats.org/officeDocument/2006/relationships/hyperlink" Target="http://giovanni.sci.gsfc.nasa.gov" TargetMode="External"/><Relationship Id="rId234" Type="http://schemas.openxmlformats.org/officeDocument/2006/relationships/image" Target="media/image94.png"/><Relationship Id="rId2" Type="http://schemas.openxmlformats.org/officeDocument/2006/relationships/numbering" Target="numbering.xml"/><Relationship Id="rId29" Type="http://schemas.openxmlformats.org/officeDocument/2006/relationships/hyperlink" Target="mailto:doina2004bio@yahoo.com" TargetMode="External"/><Relationship Id="rId255" Type="http://schemas.openxmlformats.org/officeDocument/2006/relationships/oleObject" Target="embeddings/oleObject2.bin"/><Relationship Id="rId276" Type="http://schemas.openxmlformats.org/officeDocument/2006/relationships/hyperlink" Target="http://datazone.birdlife.org/site/factsheet/garadashly-ekerem-iba-turkmenistan/details" TargetMode="External"/><Relationship Id="rId297" Type="http://schemas.openxmlformats.org/officeDocument/2006/relationships/hyperlink" Target="http://sibeflyway.org/wp-content/uploads/2012/03/5-Budjagh-SIS-Part1-eng.pdf" TargetMode="External"/><Relationship Id="rId40" Type="http://schemas.openxmlformats.org/officeDocument/2006/relationships/hyperlink" Target="mailto:imb@nas.gov.ua" TargetMode="External"/><Relationship Id="rId115" Type="http://schemas.openxmlformats.org/officeDocument/2006/relationships/hyperlink" Target="http://www.marinespecies.org/aphia.php?p=taxdetails&amp;id=144169" TargetMode="External"/><Relationship Id="rId136" Type="http://schemas.openxmlformats.org/officeDocument/2006/relationships/image" Target="media/image28.jpeg"/><Relationship Id="rId157" Type="http://schemas.openxmlformats.org/officeDocument/2006/relationships/image" Target="media/image43.png"/><Relationship Id="rId178" Type="http://schemas.openxmlformats.org/officeDocument/2006/relationships/hyperlink" Target="http://dx.doi.org/10.2305/IUCN.UK.2008.RLTS.T17030A6737111.en" TargetMode="External"/><Relationship Id="rId301" Type="http://schemas.openxmlformats.org/officeDocument/2006/relationships/hyperlink" Target="http://www.briancoad.com" TargetMode="External"/><Relationship Id="rId322" Type="http://schemas.openxmlformats.org/officeDocument/2006/relationships/image" Target="media/image140.png"/><Relationship Id="rId343" Type="http://schemas.openxmlformats.org/officeDocument/2006/relationships/hyperlink" Target="http://elibrary.ru/author_items.asp?refid=219464242&amp;fam=%D0%93%D0%B0%D0%B2%D1%80%D0%B8%D0%BB%D0%BE%D0%B2&amp;init=%D0%9D+%D0%9D" TargetMode="External"/><Relationship Id="rId364" Type="http://schemas.openxmlformats.org/officeDocument/2006/relationships/image" Target="media/image161.png"/><Relationship Id="rId61" Type="http://schemas.openxmlformats.org/officeDocument/2006/relationships/hyperlink" Target="http://www.blacksea-commission.org/_environment-fish.asp" TargetMode="External"/><Relationship Id="rId82" Type="http://schemas.openxmlformats.org/officeDocument/2006/relationships/hyperlink" Target="http://www.bioflux.com.ro/aacl" TargetMode="External"/><Relationship Id="rId199" Type="http://schemas.openxmlformats.org/officeDocument/2006/relationships/hyperlink" Target="http://giovanni.sci.gsfc.nasa.gov" TargetMode="External"/><Relationship Id="rId203" Type="http://schemas.openxmlformats.org/officeDocument/2006/relationships/image" Target="media/image78.png"/><Relationship Id="rId19" Type="http://schemas.openxmlformats.org/officeDocument/2006/relationships/hyperlink" Target="mailto:evmamedovaz@gmail.com" TargetMode="External"/><Relationship Id="rId224" Type="http://schemas.openxmlformats.org/officeDocument/2006/relationships/hyperlink" Target="http://www.yelkouanshearwater.org" TargetMode="External"/><Relationship Id="rId245" Type="http://schemas.openxmlformats.org/officeDocument/2006/relationships/hyperlink" Target="http://www.darwininitiative.org.uk/documents/15024/22941/15-024%20SSPA%20Scoping%20and%20Inception%20Plan%20with%20annexes.pdf" TargetMode="External"/><Relationship Id="rId266" Type="http://schemas.openxmlformats.org/officeDocument/2006/relationships/image" Target="media/image114.jpeg"/><Relationship Id="rId287" Type="http://schemas.openxmlformats.org/officeDocument/2006/relationships/image" Target="media/image124.jpeg"/><Relationship Id="rId30" Type="http://schemas.openxmlformats.org/officeDocument/2006/relationships/hyperlink" Target="mailto:doina.cioaca@mmediu.ro" TargetMode="External"/><Relationship Id="rId105" Type="http://schemas.openxmlformats.org/officeDocument/2006/relationships/image" Target="media/image18.png"/><Relationship Id="rId126" Type="http://schemas.openxmlformats.org/officeDocument/2006/relationships/hyperlink" Target="http://www.irbis-nbuv.gov.ua/cgi-bin/irbis_nbuv/cgiirbis_64.exe?Z21ID=&amp;I21DBN=UJRN&amp;P21DBN=UJRN&amp;S21STN=1&amp;S21REF=10&amp;S21FMT=JUU_all&amp;C21COM=S&amp;S21CNR=20&amp;S21P01=0&amp;S21P02=0&amp;S21P03=IJ=&amp;S21COLORTERMS=1&amp;S21STR=&#1046;14395" TargetMode="External"/><Relationship Id="rId147" Type="http://schemas.openxmlformats.org/officeDocument/2006/relationships/image" Target="media/image36.png"/><Relationship Id="rId168" Type="http://schemas.openxmlformats.org/officeDocument/2006/relationships/image" Target="media/image54.tiff"/><Relationship Id="rId312" Type="http://schemas.openxmlformats.org/officeDocument/2006/relationships/hyperlink" Target="http://www.iucnredlist.org/" TargetMode="External"/><Relationship Id="rId333" Type="http://schemas.openxmlformats.org/officeDocument/2006/relationships/image" Target="media/image150.jpeg"/><Relationship Id="rId354" Type="http://schemas.openxmlformats.org/officeDocument/2006/relationships/image" Target="media/image156.jpeg"/><Relationship Id="rId51" Type="http://schemas.openxmlformats.org/officeDocument/2006/relationships/hyperlink" Target="mailto:valbertych@mail.ru" TargetMode="External"/><Relationship Id="rId72" Type="http://schemas.openxmlformats.org/officeDocument/2006/relationships/hyperlink" Target="http://coconetgis.ismar.cnr.it" TargetMode="External"/><Relationship Id="rId93" Type="http://schemas.openxmlformats.org/officeDocument/2006/relationships/image" Target="media/image13.jpeg"/><Relationship Id="rId189" Type="http://schemas.openxmlformats.org/officeDocument/2006/relationships/image" Target="media/image69.jpeg"/><Relationship Id="rId3" Type="http://schemas.openxmlformats.org/officeDocument/2006/relationships/styles" Target="styles.xml"/><Relationship Id="rId214" Type="http://schemas.openxmlformats.org/officeDocument/2006/relationships/hyperlink" Target="http://datazone.birdlife.org/site/factsheet/eastern-black-sea-mountains-iba-turkey/details%20on%2005/04/2017" TargetMode="External"/><Relationship Id="rId235" Type="http://schemas.openxmlformats.org/officeDocument/2006/relationships/image" Target="media/image95.jpeg"/><Relationship Id="rId256" Type="http://schemas.openxmlformats.org/officeDocument/2006/relationships/image" Target="media/image106.png"/><Relationship Id="rId277" Type="http://schemas.openxmlformats.org/officeDocument/2006/relationships/hyperlink" Target="http://datazone.birdlife.org/site/factsheet/gomishan-marshes-and-turkoman-steppes-iba-iran-islamic-republic-of/details" TargetMode="External"/><Relationship Id="rId298" Type="http://schemas.openxmlformats.org/officeDocument/2006/relationships/image" Target="media/image133.png"/><Relationship Id="rId116" Type="http://schemas.openxmlformats.org/officeDocument/2006/relationships/hyperlink" Target="http://www.marinespecies.org/aphia.php?p=taxdetails&amp;id=144166" TargetMode="External"/><Relationship Id="rId137" Type="http://schemas.openxmlformats.org/officeDocument/2006/relationships/image" Target="media/image29.jpeg"/><Relationship Id="rId158" Type="http://schemas.openxmlformats.org/officeDocument/2006/relationships/image" Target="media/image44.png"/><Relationship Id="rId302" Type="http://schemas.openxmlformats.org/officeDocument/2006/relationships/hyperlink" Target="http://www.briancoad.com" TargetMode="External"/><Relationship Id="rId323" Type="http://schemas.openxmlformats.org/officeDocument/2006/relationships/oleObject" Target="embeddings/oleObject4.bin"/><Relationship Id="rId344" Type="http://schemas.openxmlformats.org/officeDocument/2006/relationships/hyperlink" Target="http://elibrary.ru/author_items.asp?refid=219464244&amp;fam=%D0%A0%D1%83%D1%81%D0%B0%D0%BD%D0%BE%D0%B2&amp;init=%D0%93+%D0%9C" TargetMode="External"/><Relationship Id="rId20" Type="http://schemas.openxmlformats.org/officeDocument/2006/relationships/hyperlink" Target="mailto:azfiri@azeurotel.com" TargetMode="External"/><Relationship Id="rId41" Type="http://schemas.openxmlformats.org/officeDocument/2006/relationships/hyperlink" Target="mailto:Sokolovev87@gmail.com" TargetMode="External"/><Relationship Id="rId62" Type="http://schemas.openxmlformats.org/officeDocument/2006/relationships/image" Target="media/image4.png"/><Relationship Id="rId83" Type="http://schemas.openxmlformats.org/officeDocument/2006/relationships/hyperlink" Target="http://www.natura2000.eea.europa.eu" TargetMode="External"/><Relationship Id="rId179" Type="http://schemas.openxmlformats.org/officeDocument/2006/relationships/image" Target="media/image60.png"/><Relationship Id="rId365" Type="http://schemas.openxmlformats.org/officeDocument/2006/relationships/image" Target="media/image162.png"/><Relationship Id="rId190" Type="http://schemas.openxmlformats.org/officeDocument/2006/relationships/hyperlink" Target="http://ec.europa.eu/environment/nature/natura2000/marine/docs/appendix_1_habitat.pdf" TargetMode="External"/><Relationship Id="rId204" Type="http://schemas.openxmlformats.org/officeDocument/2006/relationships/image" Target="media/image79.emf"/><Relationship Id="rId225" Type="http://schemas.openxmlformats.org/officeDocument/2006/relationships/image" Target="media/image88.png"/><Relationship Id="rId246" Type="http://schemas.openxmlformats.org/officeDocument/2006/relationships/hyperlink" Target="http://projects.inweh.unu.edu/inweh/display.php?ID=1057" TargetMode="External"/><Relationship Id="rId267" Type="http://schemas.openxmlformats.org/officeDocument/2006/relationships/image" Target="media/image115.jpeg"/><Relationship Id="rId288" Type="http://schemas.openxmlformats.org/officeDocument/2006/relationships/image" Target="media/image125.jpeg"/><Relationship Id="rId106" Type="http://schemas.openxmlformats.org/officeDocument/2006/relationships/image" Target="media/image19.emf"/><Relationship Id="rId127" Type="http://schemas.openxmlformats.org/officeDocument/2006/relationships/hyperlink" Target="http://www.irbis-nbuv.gov.ua/cgi-bin/irbis_nbuv/cgiirbis_64.exe?I21DBN=LINK&amp;P21DBN=UJRN&amp;Z21ID=&amp;S21REF=10&amp;S21CNR=20&amp;S21STN=1&amp;S21FMT=ASP_meta&amp;C21COM=S&amp;2_S21P03=FILA=&amp;2_S21STR=algol_2015_25_3_4" TargetMode="External"/><Relationship Id="rId313" Type="http://schemas.openxmlformats.org/officeDocument/2006/relationships/image" Target="media/image13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D93E0A10DE6483A85EDBF6BE07F037F"/>
        <w:category>
          <w:name w:val="General"/>
          <w:gallery w:val="placeholder"/>
        </w:category>
        <w:types>
          <w:type w:val="bbPlcHdr"/>
        </w:types>
        <w:behaviors>
          <w:behavior w:val="content"/>
        </w:behaviors>
        <w:guid w:val="{C689EFD0-F1C8-4A2B-AA88-D1C207D33425}"/>
      </w:docPartPr>
      <w:docPartBody>
        <w:p w:rsidR="00D9406C" w:rsidRDefault="00FA3F49">
          <w:r w:rsidRPr="00053DD5">
            <w:rPr>
              <w:rStyle w:val="PlaceholderText"/>
            </w:rPr>
            <w:t>[Subject]</w:t>
          </w:r>
        </w:p>
      </w:docPartBody>
    </w:docPart>
    <w:docPart>
      <w:docPartPr>
        <w:name w:val="30DB5A3B57D1474CA64230B075013402"/>
        <w:category>
          <w:name w:val="General"/>
          <w:gallery w:val="placeholder"/>
        </w:category>
        <w:types>
          <w:type w:val="bbPlcHdr"/>
        </w:types>
        <w:behaviors>
          <w:behavior w:val="content"/>
        </w:behaviors>
        <w:guid w:val="{31C4A749-67F5-4C99-B7BC-56AFD086D3DF}"/>
      </w:docPartPr>
      <w:docPartBody>
        <w:p w:rsidR="00D9406C" w:rsidRDefault="00FA3F49">
          <w:r w:rsidRPr="00053DD5">
            <w:rPr>
              <w:rStyle w:val="PlaceholderText"/>
            </w:rPr>
            <w:t>[Title]</w:t>
          </w:r>
        </w:p>
      </w:docPartBody>
    </w:docPart>
    <w:docPart>
      <w:docPartPr>
        <w:name w:val="B6F8E172F96546B0BDCE1FCB1788EC70"/>
        <w:category>
          <w:name w:val="General"/>
          <w:gallery w:val="placeholder"/>
        </w:category>
        <w:types>
          <w:type w:val="bbPlcHdr"/>
        </w:types>
        <w:behaviors>
          <w:behavior w:val="content"/>
        </w:behaviors>
        <w:guid w:val="{F2471FBB-C3FF-48A5-8571-C5FF774DA061}"/>
      </w:docPartPr>
      <w:docPartBody>
        <w:p w:rsidR="00D9406C" w:rsidRDefault="00FA3F49">
          <w:r w:rsidRPr="00053DD5">
            <w:rPr>
              <w:rStyle w:val="PlaceholderText"/>
            </w:rPr>
            <w:t>[Subject]</w:t>
          </w:r>
        </w:p>
      </w:docPartBody>
    </w:docPart>
    <w:docPart>
      <w:docPartPr>
        <w:name w:val="6CBB52D073D14C08B2E3B8991EFF2A79"/>
        <w:category>
          <w:name w:val="General"/>
          <w:gallery w:val="placeholder"/>
        </w:category>
        <w:types>
          <w:type w:val="bbPlcHdr"/>
        </w:types>
        <w:behaviors>
          <w:behavior w:val="content"/>
        </w:behaviors>
        <w:guid w:val="{5BB79C42-D803-48B8-BA5D-39A418EF97A0}"/>
      </w:docPartPr>
      <w:docPartBody>
        <w:p w:rsidR="00D9406C" w:rsidRDefault="00FA3F49" w:rsidP="00FA3F49">
          <w:pPr>
            <w:pStyle w:val="6CBB52D073D14C08B2E3B8991EFF2A79"/>
          </w:pPr>
          <w:r w:rsidRPr="00053DD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andex-sans">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Yu Gothic"/>
    <w:charset w:val="80"/>
    <w:family w:val="auto"/>
    <w:pitch w:val="variable"/>
    <w:sig w:usb0="E00002FF" w:usb1="7AC7FFFF" w:usb2="00000012" w:usb3="00000000" w:csb0="0002000D" w:csb1="00000000"/>
  </w:font>
  <w:font w:name="Gulim">
    <w:altName w:val="굴림"/>
    <w:panose1 w:val="020B0600000101010101"/>
    <w:charset w:val="81"/>
    <w:family w:val="swiss"/>
    <w:pitch w:val="variable"/>
    <w:sig w:usb0="B00002AF" w:usb1="69D77CFB" w:usb2="00000030" w:usb3="00000000" w:csb0="0008009F" w:csb1="00000000"/>
  </w:font>
  <w:font w:name="Novarese CE">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ource Code Pro">
    <w:altName w:val="Consolas"/>
    <w:charset w:val="00"/>
    <w:family w:val="auto"/>
    <w:pitch w:val="variable"/>
    <w:sig w:usb0="00000001" w:usb1="00000001" w:usb2="00000000" w:usb3="00000000" w:csb0="00000193" w:csb1="00000000"/>
  </w:font>
  <w:font w:name="TimesNewRoman">
    <w:altName w:val="Times New Roman"/>
    <w:panose1 w:val="00000000000000000000"/>
    <w:charset w:val="00"/>
    <w:family w:val="roman"/>
    <w:notTrueType/>
    <w:pitch w:val="default"/>
  </w:font>
  <w:font w:name="ArialMT">
    <w:altName w:val="Arial"/>
    <w:panose1 w:val="00000000000000000000"/>
    <w:charset w:val="BA"/>
    <w:family w:val="auto"/>
    <w:notTrueType/>
    <w:pitch w:val="default"/>
    <w:sig w:usb0="00000005" w:usb1="00000000" w:usb2="00000000" w:usb3="00000000" w:csb0="00000080" w:csb1="00000000"/>
  </w:font>
  <w:font w:name="Arial-ItalicMT">
    <w:altName w:val="Arial"/>
    <w:charset w:val="00"/>
    <w:family w:val="auto"/>
    <w:pitch w:val="variable"/>
    <w:sig w:usb0="E0000AFF" w:usb1="00007843" w:usb2="00000001" w:usb3="00000000" w:csb0="000001BF" w:csb1="00000000"/>
  </w:font>
  <w:font w:name="Arial-BoldMT">
    <w:altName w:val="Arial"/>
    <w:charset w:val="00"/>
    <w:family w:val="auto"/>
    <w:pitch w:val="variable"/>
    <w:sig w:usb0="E0002AFF" w:usb1="C0007843" w:usb2="00000009" w:usb3="00000000" w:csb0="000001FF" w:csb1="00000000"/>
  </w:font>
  <w:font w:name="MyriadPro-Cond">
    <w:altName w:val="Arial Unicode MS"/>
    <w:panose1 w:val="00000000000000000000"/>
    <w:charset w:val="80"/>
    <w:family w:val="swiss"/>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inionPro-Regular">
    <w:altName w:val="Cambria"/>
    <w:panose1 w:val="00000000000000000000"/>
    <w:charset w:val="00"/>
    <w:family w:val="auto"/>
    <w:notTrueType/>
    <w:pitch w:val="default"/>
    <w:sig w:usb0="00000003" w:usb1="00000000" w:usb2="00000000" w:usb3="00000000" w:csb0="00000001" w:csb1="00000000"/>
  </w:font>
  <w:font w:name="MinionPro-SemiboldIt">
    <w:altName w:val="MS Gothic"/>
    <w:panose1 w:val="00000000000000000000"/>
    <w:charset w:val="80"/>
    <w:family w:val="roman"/>
    <w:notTrueType/>
    <w:pitch w:val="default"/>
    <w:sig w:usb0="00000000" w:usb1="08070000" w:usb2="00000010" w:usb3="00000000" w:csb0="00020000" w:csb1="00000000"/>
  </w:font>
  <w:font w:name="MyriadPro-BoldCond">
    <w:altName w:val="MS Gothic"/>
    <w:panose1 w:val="00000000000000000000"/>
    <w:charset w:val="80"/>
    <w:family w:val="auto"/>
    <w:notTrueType/>
    <w:pitch w:val="default"/>
    <w:sig w:usb0="00000001" w:usb1="08070000" w:usb2="00000010" w:usb3="00000000" w:csb0="00020000"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F49"/>
    <w:rsid w:val="00546331"/>
    <w:rsid w:val="006A5075"/>
    <w:rsid w:val="00D9406C"/>
    <w:rsid w:val="00EB48BE"/>
    <w:rsid w:val="00FA3F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FA3F49"/>
    <w:rPr>
      <w:color w:val="808080"/>
    </w:rPr>
  </w:style>
  <w:style w:type="paragraph" w:customStyle="1" w:styleId="6CBB52D073D14C08B2E3B8991EFF2A79">
    <w:name w:val="6CBB52D073D14C08B2E3B8991EFF2A79"/>
    <w:rsid w:val="00FA3F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90279-B827-4464-97EA-F598FBA6A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71</Pages>
  <Words>136104</Words>
  <Characters>775793</Characters>
  <Application>Microsoft Office Word</Application>
  <DocSecurity>0</DocSecurity>
  <Lines>6464</Lines>
  <Paragraphs>1820</Paragraphs>
  <ScaleCrop>false</ScaleCrop>
  <HeadingPairs>
    <vt:vector size="2" baseType="variant">
      <vt:variant>
        <vt:lpstr>Title</vt:lpstr>
      </vt:variant>
      <vt:variant>
        <vt:i4>1</vt:i4>
      </vt:variant>
    </vt:vector>
  </HeadingPairs>
  <TitlesOfParts>
    <vt:vector size="1" baseType="lpstr">
      <vt:lpstr>Report of the Regional Workshop to Facilitate the Description of Ecologically or Biologically Significant Marine Areas in the Black Sea and Caspian Sea</vt:lpstr>
    </vt:vector>
  </TitlesOfParts>
  <Company>SCBD</Company>
  <LinksUpToDate>false</LinksUpToDate>
  <CharactersWithSpaces>910077</CharactersWithSpaces>
  <SharedDoc>false</SharedDoc>
  <HLinks>
    <vt:vector size="6" baseType="variant">
      <vt:variant>
        <vt:i4>2359394</vt:i4>
      </vt:variant>
      <vt:variant>
        <vt:i4>0</vt:i4>
      </vt:variant>
      <vt:variant>
        <vt:i4>0</vt:i4>
      </vt:variant>
      <vt:variant>
        <vt:i4>5</vt:i4>
      </vt:variant>
      <vt:variant>
        <vt:lpwstr>http://www.cbd.int/doc/?meeting=EBSAWS-2015-01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Regional Workshop to Facilitate the Description of Ecologically or Biologically Significant Marine Areas in the Black Sea and Caspian Sea</dc:title>
  <dc:subject>CBD/EBSA/WS/2017/1/4</dc:subject>
  <dc:creator>CBD</dc:creator>
  <cp:lastModifiedBy>veronique lefebvre</cp:lastModifiedBy>
  <cp:revision>157</cp:revision>
  <cp:lastPrinted>2017-07-05T16:42:00Z</cp:lastPrinted>
  <dcterms:created xsi:type="dcterms:W3CDTF">2018-06-14T16:32:00Z</dcterms:created>
  <dcterms:modified xsi:type="dcterms:W3CDTF">2018-06-15T19:28:00Z</dcterms:modified>
</cp:coreProperties>
</file>