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7F4665" w14:paraId="3C82EFF3" w14:textId="77777777" w:rsidTr="00CF1848">
        <w:trPr>
          <w:trHeight w:val="709"/>
        </w:trPr>
        <w:tc>
          <w:tcPr>
            <w:tcW w:w="976" w:type="dxa"/>
            <w:tcBorders>
              <w:bottom w:val="single" w:sz="12" w:space="0" w:color="auto"/>
            </w:tcBorders>
          </w:tcPr>
          <w:p w14:paraId="06E99AEF" w14:textId="77777777" w:rsidR="00C9161D" w:rsidRPr="007F4665" w:rsidRDefault="00C9161D" w:rsidP="00887122">
            <w:pPr>
              <w:suppressLineNumbers/>
              <w:suppressAutoHyphens/>
              <w:rPr>
                <w:kern w:val="22"/>
                <w:lang w:val="fr-FR"/>
              </w:rPr>
            </w:pPr>
            <w:r w:rsidRPr="007F4665">
              <w:rPr>
                <w:noProof/>
                <w:kern w:val="22"/>
                <w:lang w:val="fr-FR"/>
              </w:rPr>
              <w:drawing>
                <wp:inline distT="0" distB="0" distL="0" distR="0" wp14:anchorId="4D325686" wp14:editId="1F2E2D58">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4AE9661D" w14:textId="19E369A3" w:rsidR="00C9161D" w:rsidRPr="007F4665" w:rsidRDefault="00B97567" w:rsidP="00482485">
            <w:pPr>
              <w:suppressLineNumbers/>
              <w:suppressAutoHyphens/>
              <w:rPr>
                <w:kern w:val="22"/>
                <w:lang w:val="fr-FR"/>
              </w:rPr>
            </w:pPr>
            <w:r w:rsidRPr="004C4E1F">
              <w:rPr>
                <w:noProof/>
                <w:lang w:val="en-US"/>
              </w:rPr>
              <w:drawing>
                <wp:inline distT="0" distB="0" distL="0" distR="0" wp14:anchorId="4458458B" wp14:editId="0970C03D">
                  <wp:extent cx="593725" cy="340995"/>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4090" w:type="dxa"/>
            <w:tcBorders>
              <w:bottom w:val="single" w:sz="12" w:space="0" w:color="auto"/>
            </w:tcBorders>
          </w:tcPr>
          <w:p w14:paraId="76FF5593" w14:textId="77777777" w:rsidR="00C9161D" w:rsidRPr="007F4665" w:rsidRDefault="00C9161D" w:rsidP="001F4589">
            <w:pPr>
              <w:suppressLineNumbers/>
              <w:suppressAutoHyphens/>
              <w:jc w:val="right"/>
              <w:rPr>
                <w:rFonts w:ascii="Arial" w:hAnsi="Arial" w:cs="Arial"/>
                <w:b/>
                <w:kern w:val="22"/>
                <w:sz w:val="32"/>
                <w:szCs w:val="32"/>
                <w:lang w:val="fr-FR"/>
              </w:rPr>
            </w:pPr>
            <w:r w:rsidRPr="007F4665">
              <w:rPr>
                <w:rFonts w:ascii="Arial" w:hAnsi="Arial" w:cs="Arial"/>
                <w:b/>
                <w:kern w:val="22"/>
                <w:sz w:val="32"/>
                <w:szCs w:val="32"/>
                <w:lang w:val="fr-FR"/>
              </w:rPr>
              <w:t>CBD</w:t>
            </w:r>
          </w:p>
        </w:tc>
      </w:tr>
      <w:tr w:rsidR="00C9161D" w:rsidRPr="007F4665" w14:paraId="1078384E" w14:textId="77777777" w:rsidTr="00CF1848">
        <w:tc>
          <w:tcPr>
            <w:tcW w:w="6117" w:type="dxa"/>
            <w:gridSpan w:val="2"/>
            <w:tcBorders>
              <w:top w:val="single" w:sz="12" w:space="0" w:color="auto"/>
              <w:bottom w:val="single" w:sz="36" w:space="0" w:color="auto"/>
            </w:tcBorders>
            <w:vAlign w:val="center"/>
          </w:tcPr>
          <w:p w14:paraId="063C0763" w14:textId="19E9B79F" w:rsidR="00C9161D" w:rsidRPr="007F4665" w:rsidRDefault="00B97567" w:rsidP="00482485">
            <w:pPr>
              <w:suppressLineNumbers/>
              <w:suppressAutoHyphens/>
              <w:rPr>
                <w:kern w:val="22"/>
                <w:lang w:val="fr-FR"/>
              </w:rPr>
            </w:pPr>
            <w:r>
              <w:rPr>
                <w:bCs/>
                <w:noProof/>
                <w:szCs w:val="22"/>
                <w:lang w:val="en-US"/>
              </w:rPr>
              <w:drawing>
                <wp:inline distT="0" distB="0" distL="0" distR="0" wp14:anchorId="363603A9" wp14:editId="51374D60">
                  <wp:extent cx="2857500" cy="1076325"/>
                  <wp:effectExtent l="0" t="0" r="0" b="9525"/>
                  <wp:docPr id="2" name="Picture 5"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fr-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67F5795E" w14:textId="77777777" w:rsidR="00B97567" w:rsidRPr="009A459D" w:rsidRDefault="00B97567" w:rsidP="00B97567">
            <w:pPr>
              <w:ind w:left="1215"/>
              <w:rPr>
                <w:color w:val="000000" w:themeColor="text1"/>
                <w:kern w:val="22"/>
                <w:szCs w:val="22"/>
                <w:lang w:val="fr-CA"/>
              </w:rPr>
            </w:pPr>
            <w:proofErr w:type="spellStart"/>
            <w:r w:rsidRPr="009A459D">
              <w:rPr>
                <w:color w:val="000000" w:themeColor="text1"/>
                <w:kern w:val="22"/>
                <w:szCs w:val="22"/>
                <w:lang w:val="fr-CA"/>
              </w:rPr>
              <w:t>Distr</w:t>
            </w:r>
            <w:proofErr w:type="spellEnd"/>
            <w:r w:rsidRPr="009A459D">
              <w:rPr>
                <w:color w:val="000000" w:themeColor="text1"/>
                <w:kern w:val="22"/>
                <w:szCs w:val="22"/>
                <w:lang w:val="fr-CA"/>
              </w:rPr>
              <w:t>.</w:t>
            </w:r>
          </w:p>
          <w:p w14:paraId="4F3DEE6E" w14:textId="77777777" w:rsidR="00B97567" w:rsidRPr="009A459D" w:rsidRDefault="00B97567" w:rsidP="00B97567">
            <w:pPr>
              <w:ind w:left="1215"/>
              <w:rPr>
                <w:color w:val="000000" w:themeColor="text1"/>
                <w:kern w:val="22"/>
                <w:szCs w:val="22"/>
                <w:lang w:val="fr-CA"/>
              </w:rPr>
            </w:pPr>
            <w:r w:rsidRPr="009A459D">
              <w:rPr>
                <w:caps/>
                <w:color w:val="000000" w:themeColor="text1"/>
                <w:kern w:val="22"/>
                <w:szCs w:val="22"/>
                <w:lang w:val="fr-CA"/>
              </w:rPr>
              <w:t>GéNéRALe</w:t>
            </w:r>
          </w:p>
          <w:p w14:paraId="2889549B" w14:textId="77777777" w:rsidR="00C9161D" w:rsidRPr="007F4665" w:rsidRDefault="00C9161D" w:rsidP="001F4589">
            <w:pPr>
              <w:suppressLineNumbers/>
              <w:suppressAutoHyphens/>
              <w:ind w:left="1215"/>
              <w:rPr>
                <w:kern w:val="22"/>
                <w:szCs w:val="22"/>
                <w:lang w:val="fr-FR"/>
              </w:rPr>
            </w:pPr>
          </w:p>
          <w:p w14:paraId="377F94DA" w14:textId="255EE015" w:rsidR="00C9161D" w:rsidRPr="007F4665" w:rsidRDefault="00BF3897" w:rsidP="001F4589">
            <w:pPr>
              <w:suppressLineNumbers/>
              <w:suppressAutoHyphens/>
              <w:ind w:left="1215"/>
              <w:rPr>
                <w:kern w:val="22"/>
                <w:szCs w:val="22"/>
                <w:lang w:val="fr-FR"/>
              </w:rPr>
            </w:pPr>
            <w:sdt>
              <w:sdtPr>
                <w:rPr>
                  <w:kern w:val="22"/>
                  <w:lang w:val="fr-FR"/>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F57A56" w:rsidRPr="007F4665">
                  <w:rPr>
                    <w:kern w:val="22"/>
                    <w:lang w:val="fr-FR"/>
                  </w:rPr>
                  <w:t>CBD/SBI/3/</w:t>
                </w:r>
                <w:r w:rsidR="00E634F5" w:rsidRPr="007F4665">
                  <w:rPr>
                    <w:kern w:val="22"/>
                    <w:lang w:val="fr-FR"/>
                  </w:rPr>
                  <w:t>8</w:t>
                </w:r>
                <w:r w:rsidR="00F57A56" w:rsidRPr="007F4665">
                  <w:rPr>
                    <w:kern w:val="22"/>
                    <w:lang w:val="fr-FR"/>
                  </w:rPr>
                  <w:t>/Add.1</w:t>
                </w:r>
              </w:sdtContent>
            </w:sdt>
          </w:p>
          <w:p w14:paraId="347E412B" w14:textId="6EB3BA95" w:rsidR="00C9161D" w:rsidRPr="007F4665" w:rsidRDefault="00BE5763" w:rsidP="001F4589">
            <w:pPr>
              <w:suppressLineNumbers/>
              <w:suppressAutoHyphens/>
              <w:ind w:left="1215"/>
              <w:rPr>
                <w:kern w:val="22"/>
                <w:szCs w:val="22"/>
                <w:lang w:val="fr-FR"/>
              </w:rPr>
            </w:pPr>
            <w:r w:rsidRPr="007F4665">
              <w:rPr>
                <w:kern w:val="22"/>
                <w:szCs w:val="22"/>
                <w:lang w:val="fr-FR"/>
              </w:rPr>
              <w:t>6</w:t>
            </w:r>
            <w:r w:rsidR="00F64256" w:rsidRPr="007F4665">
              <w:rPr>
                <w:kern w:val="22"/>
                <w:szCs w:val="22"/>
                <w:lang w:val="fr-FR"/>
              </w:rPr>
              <w:t xml:space="preserve"> </w:t>
            </w:r>
            <w:r w:rsidR="00D509EA">
              <w:rPr>
                <w:kern w:val="22"/>
                <w:szCs w:val="22"/>
                <w:lang w:val="fr-FR"/>
              </w:rPr>
              <w:t>octobre</w:t>
            </w:r>
            <w:r w:rsidR="00F57A56" w:rsidRPr="007F4665">
              <w:rPr>
                <w:kern w:val="22"/>
                <w:szCs w:val="22"/>
                <w:lang w:val="fr-FR"/>
              </w:rPr>
              <w:t xml:space="preserve"> </w:t>
            </w:r>
            <w:r w:rsidR="00BA769C" w:rsidRPr="007F4665">
              <w:rPr>
                <w:kern w:val="22"/>
                <w:szCs w:val="22"/>
                <w:lang w:val="fr-FR"/>
              </w:rPr>
              <w:t>2020</w:t>
            </w:r>
          </w:p>
          <w:p w14:paraId="6A96DD85" w14:textId="77777777" w:rsidR="00C9161D" w:rsidRPr="007F4665" w:rsidRDefault="00C9161D" w:rsidP="001F4589">
            <w:pPr>
              <w:suppressLineNumbers/>
              <w:suppressAutoHyphens/>
              <w:ind w:left="1215"/>
              <w:rPr>
                <w:kern w:val="22"/>
                <w:szCs w:val="22"/>
                <w:lang w:val="fr-FR"/>
              </w:rPr>
            </w:pPr>
          </w:p>
          <w:p w14:paraId="7332E411" w14:textId="2C232C98" w:rsidR="00B97567" w:rsidRDefault="00B97567" w:rsidP="001F4589">
            <w:pPr>
              <w:suppressLineNumbers/>
              <w:suppressAutoHyphens/>
              <w:ind w:left="1215"/>
              <w:rPr>
                <w:kern w:val="22"/>
                <w:szCs w:val="22"/>
                <w:lang w:val="fr-FR"/>
              </w:rPr>
            </w:pPr>
            <w:r>
              <w:rPr>
                <w:kern w:val="22"/>
                <w:szCs w:val="22"/>
                <w:lang w:val="fr-FR"/>
              </w:rPr>
              <w:t xml:space="preserve">FRANÇAIS </w:t>
            </w:r>
          </w:p>
          <w:p w14:paraId="49D1CB7C" w14:textId="1B658A10" w:rsidR="00C9161D" w:rsidRPr="00B97567" w:rsidRDefault="00D509EA" w:rsidP="00B97567">
            <w:pPr>
              <w:suppressLineNumbers/>
              <w:suppressAutoHyphens/>
              <w:ind w:left="1215"/>
              <w:rPr>
                <w:kern w:val="22"/>
                <w:szCs w:val="22"/>
                <w:lang w:val="fr-FR"/>
              </w:rPr>
            </w:pPr>
            <w:r w:rsidRPr="007F4665">
              <w:rPr>
                <w:kern w:val="22"/>
                <w:szCs w:val="22"/>
                <w:lang w:val="fr-FR"/>
              </w:rPr>
              <w:t>ORIGINAL :</w:t>
            </w:r>
            <w:r w:rsidR="006B2290" w:rsidRPr="007F4665">
              <w:rPr>
                <w:kern w:val="22"/>
                <w:szCs w:val="22"/>
                <w:lang w:val="fr-FR"/>
              </w:rPr>
              <w:t xml:space="preserve"> </w:t>
            </w:r>
            <w:r w:rsidR="00B97567">
              <w:rPr>
                <w:kern w:val="22"/>
                <w:szCs w:val="22"/>
                <w:lang w:val="fr-FR"/>
              </w:rPr>
              <w:t>ANGLAIS</w:t>
            </w:r>
          </w:p>
        </w:tc>
      </w:tr>
    </w:tbl>
    <w:p w14:paraId="18521DCD" w14:textId="77777777" w:rsidR="00D509EA" w:rsidRDefault="00D509EA" w:rsidP="001F4589">
      <w:pPr>
        <w:suppressLineNumbers/>
        <w:suppressAutoHyphens/>
        <w:ind w:left="284" w:hanging="284"/>
        <w:jc w:val="left"/>
        <w:rPr>
          <w:snapToGrid w:val="0"/>
          <w:kern w:val="22"/>
          <w:szCs w:val="22"/>
          <w:lang w:val="fr-FR" w:eastAsia="nb-NO"/>
        </w:rPr>
      </w:pPr>
      <w:bookmarkStart w:id="0" w:name="_Hlk47946195"/>
      <w:r>
        <w:rPr>
          <w:snapToGrid w:val="0"/>
          <w:kern w:val="22"/>
          <w:szCs w:val="22"/>
          <w:lang w:val="fr-FR" w:eastAsia="nb-NO"/>
        </w:rPr>
        <w:t>ORGANE SUBSIDIAIRE CHARGÉ DE L’APPLICATION</w:t>
      </w:r>
    </w:p>
    <w:p w14:paraId="09A9A9E9" w14:textId="038EDF34" w:rsidR="00BA769C" w:rsidRDefault="00D509EA" w:rsidP="00F54B6C">
      <w:pPr>
        <w:suppressLineNumbers/>
        <w:suppressAutoHyphens/>
        <w:jc w:val="left"/>
        <w:rPr>
          <w:snapToGrid w:val="0"/>
          <w:kern w:val="22"/>
          <w:szCs w:val="22"/>
          <w:lang w:val="fr-FR" w:eastAsia="nb-NO"/>
        </w:rPr>
      </w:pPr>
      <w:r>
        <w:rPr>
          <w:snapToGrid w:val="0"/>
          <w:kern w:val="22"/>
          <w:szCs w:val="22"/>
          <w:lang w:val="fr-FR" w:eastAsia="nb-NO"/>
        </w:rPr>
        <w:t>Troisième réunion</w:t>
      </w:r>
    </w:p>
    <w:p w14:paraId="2AD5841D" w14:textId="74B5DA8E" w:rsidR="005B753C" w:rsidRPr="00D509EA" w:rsidRDefault="00D509EA" w:rsidP="00D509EA">
      <w:pPr>
        <w:suppressLineNumbers/>
        <w:suppressAutoHyphens/>
        <w:ind w:left="284" w:hanging="284"/>
        <w:jc w:val="left"/>
        <w:rPr>
          <w:snapToGrid w:val="0"/>
          <w:kern w:val="22"/>
          <w:szCs w:val="22"/>
          <w:lang w:val="fr-FR" w:eastAsia="nb-NO"/>
        </w:rPr>
      </w:pPr>
      <w:r>
        <w:rPr>
          <w:snapToGrid w:val="0"/>
          <w:kern w:val="22"/>
          <w:szCs w:val="22"/>
          <w:lang w:val="fr-FR" w:eastAsia="nb-NO"/>
        </w:rPr>
        <w:t>Lieu et dates à déterminer</w:t>
      </w:r>
    </w:p>
    <w:p w14:paraId="51C5B7F1" w14:textId="3CDBBA1F" w:rsidR="002270F4" w:rsidRPr="007F4665" w:rsidRDefault="00D509EA" w:rsidP="001F4589">
      <w:pPr>
        <w:pStyle w:val="Cornernotation"/>
        <w:suppressLineNumbers/>
        <w:suppressAutoHyphens/>
        <w:kinsoku w:val="0"/>
        <w:overflowPunct w:val="0"/>
        <w:autoSpaceDE w:val="0"/>
        <w:autoSpaceDN w:val="0"/>
        <w:ind w:left="227" w:right="3970" w:hanging="227"/>
        <w:rPr>
          <w:rFonts w:eastAsia="Batang"/>
          <w:color w:val="000000"/>
          <w:kern w:val="22"/>
          <w:lang w:val="fr-FR" w:eastAsia="ko-KR"/>
        </w:rPr>
      </w:pPr>
      <w:bookmarkStart w:id="1" w:name="_Hlk35353706"/>
      <w:bookmarkEnd w:id="0"/>
      <w:r>
        <w:rPr>
          <w:snapToGrid w:val="0"/>
          <w:kern w:val="22"/>
          <w:szCs w:val="22"/>
          <w:lang w:val="fr-FR"/>
        </w:rPr>
        <w:t>Point 7 de l’ordre du jour provisoire</w:t>
      </w:r>
      <w:r w:rsidR="00317363" w:rsidRPr="007F4665">
        <w:rPr>
          <w:rStyle w:val="FootnoteReference"/>
          <w:snapToGrid w:val="0"/>
          <w:kern w:val="22"/>
          <w:szCs w:val="22"/>
          <w:vertAlign w:val="baseline"/>
          <w:lang w:val="fr-FR"/>
        </w:rPr>
        <w:footnoteReference w:customMarkFollows="1" w:id="1"/>
        <w:t>*</w:t>
      </w:r>
      <w:bookmarkEnd w:id="1"/>
    </w:p>
    <w:sdt>
      <w:sdtPr>
        <w:rPr>
          <w:rFonts w:ascii="Times New Roman Bold" w:hAnsi="Times New Roman Bold"/>
          <w:b/>
          <w:caps/>
          <w:kern w:val="22"/>
          <w:szCs w:val="22"/>
          <w:lang w:val="fr-FR" w:eastAsia="ko-KR"/>
        </w:rPr>
        <w:alias w:val="Title"/>
        <w:tag w:val=""/>
        <w:id w:val="772832786"/>
        <w:placeholder>
          <w:docPart w:val="BEB20ED685304A1C91A992BF91A9937D"/>
        </w:placeholder>
        <w:dataBinding w:prefixMappings="xmlns:ns0='http://purl.org/dc/elements/1.1/' xmlns:ns1='http://schemas.openxmlformats.org/package/2006/metadata/core-properties' " w:xpath="/ns1:coreProperties[1]/ns0:title[1]" w:storeItemID="{6C3C8BC8-F283-45AE-878A-BAB7291924A1}"/>
        <w:text/>
      </w:sdtPr>
      <w:sdtEndPr/>
      <w:sdtContent>
        <w:p w14:paraId="292E83A0" w14:textId="29287ECB" w:rsidR="002270F4" w:rsidRPr="007F4665" w:rsidRDefault="00D73151" w:rsidP="001F4589">
          <w:pPr>
            <w:suppressLineNumbers/>
            <w:suppressAutoHyphens/>
            <w:kinsoku w:val="0"/>
            <w:overflowPunct w:val="0"/>
            <w:autoSpaceDE w:val="0"/>
            <w:autoSpaceDN w:val="0"/>
            <w:spacing w:before="240" w:after="120"/>
            <w:ind w:left="272"/>
            <w:jc w:val="center"/>
            <w:rPr>
              <w:rFonts w:ascii="Times New Roman Bold" w:hAnsi="Times New Roman Bold"/>
              <w:b/>
              <w:caps/>
              <w:kern w:val="22"/>
              <w:szCs w:val="22"/>
              <w:lang w:val="fr-FR" w:eastAsia="ko-KR"/>
            </w:rPr>
          </w:pPr>
          <w:r>
            <w:rPr>
              <w:rFonts w:ascii="Times New Roman Bold" w:hAnsi="Times New Roman Bold"/>
              <w:b/>
              <w:caps/>
              <w:kern w:val="22"/>
              <w:szCs w:val="22"/>
              <w:lang w:val="fr-FR" w:eastAsia="ko-KR"/>
            </w:rPr>
            <w:t>OUTIL DE GESTION DES CONNAISSANCES POUR LE CADRE MONDIAL DE LA BIODIVERSITÉ POUR L’APRÈS-2020</w:t>
          </w:r>
        </w:p>
      </w:sdtContent>
    </w:sdt>
    <w:p w14:paraId="6E50C869" w14:textId="1192888D" w:rsidR="00D57DEB" w:rsidRPr="007F4665" w:rsidRDefault="00D509EA" w:rsidP="00482485">
      <w:pPr>
        <w:pStyle w:val="Para1"/>
        <w:numPr>
          <w:ilvl w:val="0"/>
          <w:numId w:val="0"/>
        </w:numPr>
        <w:suppressLineNumbers/>
        <w:suppressAutoHyphens/>
        <w:kinsoku w:val="0"/>
        <w:overflowPunct w:val="0"/>
        <w:autoSpaceDE w:val="0"/>
        <w:autoSpaceDN w:val="0"/>
        <w:adjustRightInd w:val="0"/>
        <w:snapToGrid w:val="0"/>
        <w:spacing w:before="240"/>
        <w:jc w:val="center"/>
        <w:rPr>
          <w:i/>
          <w:kern w:val="22"/>
          <w:lang w:val="fr-FR"/>
        </w:rPr>
      </w:pPr>
      <w:r>
        <w:rPr>
          <w:i/>
          <w:snapToGrid/>
          <w:kern w:val="22"/>
          <w:lang w:val="fr-FR"/>
        </w:rPr>
        <w:t>Note par la Secrétaire exécutive</w:t>
      </w:r>
    </w:p>
    <w:p w14:paraId="6CF04934" w14:textId="3CB0D87E" w:rsidR="00964A8F" w:rsidRPr="007F4665" w:rsidRDefault="00B13D66" w:rsidP="001F4589">
      <w:pPr>
        <w:pStyle w:val="Heading1"/>
        <w:numPr>
          <w:ilvl w:val="0"/>
          <w:numId w:val="5"/>
        </w:numPr>
        <w:suppressLineNumbers/>
        <w:suppressAutoHyphens/>
        <w:spacing w:before="120"/>
        <w:ind w:left="720"/>
        <w:rPr>
          <w:rFonts w:ascii="Times New Roman Bold" w:hAnsi="Times New Roman Bold"/>
          <w:kern w:val="22"/>
          <w:lang w:val="fr-FR"/>
        </w:rPr>
      </w:pPr>
      <w:r w:rsidRPr="007F4665">
        <w:rPr>
          <w:rFonts w:ascii="Times New Roman Bold" w:hAnsi="Times New Roman Bold"/>
          <w:kern w:val="22"/>
          <w:lang w:val="fr-FR"/>
        </w:rPr>
        <w:t>Introduction</w:t>
      </w:r>
    </w:p>
    <w:p w14:paraId="11760CA7" w14:textId="77777777" w:rsidR="00F5224D" w:rsidRDefault="005A6910" w:rsidP="00F5224D">
      <w:pPr>
        <w:pStyle w:val="Para1"/>
        <w:numPr>
          <w:ilvl w:val="0"/>
          <w:numId w:val="10"/>
        </w:numPr>
        <w:suppressLineNumbers/>
        <w:tabs>
          <w:tab w:val="clear" w:pos="360"/>
        </w:tabs>
        <w:suppressAutoHyphens/>
        <w:rPr>
          <w:kern w:val="22"/>
          <w:szCs w:val="22"/>
          <w:lang w:val="fr-FR"/>
        </w:rPr>
      </w:pPr>
      <w:r w:rsidRPr="007F4665">
        <w:rPr>
          <w:kern w:val="22"/>
          <w:szCs w:val="22"/>
          <w:lang w:val="fr-FR"/>
        </w:rPr>
        <w:t xml:space="preserve">Dans la décision </w:t>
      </w:r>
      <w:hyperlink r:id="rId15" w:history="1">
        <w:r w:rsidRPr="000D0511">
          <w:rPr>
            <w:rStyle w:val="Hyperlink"/>
            <w:kern w:val="22"/>
            <w:sz w:val="22"/>
            <w:szCs w:val="22"/>
            <w:lang w:val="fr-FR"/>
          </w:rPr>
          <w:t>14/25</w:t>
        </w:r>
      </w:hyperlink>
      <w:r w:rsidRPr="007F4665">
        <w:rPr>
          <w:kern w:val="22"/>
          <w:szCs w:val="22"/>
          <w:lang w:val="fr-FR"/>
        </w:rPr>
        <w:t xml:space="preserve">, la Conférence des Parties a demandé </w:t>
      </w:r>
      <w:r w:rsidR="000D0511">
        <w:rPr>
          <w:kern w:val="22"/>
          <w:szCs w:val="22"/>
          <w:lang w:val="fr-FR"/>
        </w:rPr>
        <w:t>à la Secrétaire exécutive</w:t>
      </w:r>
      <w:r w:rsidRPr="007F4665">
        <w:rPr>
          <w:kern w:val="22"/>
          <w:szCs w:val="22"/>
          <w:lang w:val="fr-FR"/>
        </w:rPr>
        <w:t xml:space="preserve"> de mettre au point, en consultation avec les comités consultatifs informels du Centre d'échange (CHM), du Centre d'échange pour la prévention des risques biotechnologiques et du Centre d'échange pour l'accès et le partage des avantages, un</w:t>
      </w:r>
      <w:r w:rsidR="000D0511">
        <w:rPr>
          <w:kern w:val="22"/>
          <w:szCs w:val="22"/>
          <w:lang w:val="fr-FR"/>
        </w:rPr>
        <w:t xml:space="preserve">e composante </w:t>
      </w:r>
      <w:r w:rsidRPr="007F4665">
        <w:rPr>
          <w:kern w:val="22"/>
          <w:szCs w:val="22"/>
          <w:lang w:val="fr-FR"/>
        </w:rPr>
        <w:t xml:space="preserve">de gestion des connaissances dans le cadre du processus préparatoire du cadre mondial </w:t>
      </w:r>
      <w:r w:rsidR="000D0511">
        <w:rPr>
          <w:kern w:val="22"/>
          <w:szCs w:val="22"/>
          <w:lang w:val="fr-FR"/>
        </w:rPr>
        <w:t>de</w:t>
      </w:r>
      <w:r w:rsidRPr="007F4665">
        <w:rPr>
          <w:kern w:val="22"/>
          <w:szCs w:val="22"/>
          <w:lang w:val="fr-FR"/>
        </w:rPr>
        <w:t xml:space="preserve"> la biodiversité </w:t>
      </w:r>
      <w:r w:rsidR="000D0511">
        <w:rPr>
          <w:kern w:val="22"/>
          <w:szCs w:val="22"/>
          <w:lang w:val="fr-FR"/>
        </w:rPr>
        <w:t>pour l’</w:t>
      </w:r>
      <w:r w:rsidRPr="007F4665">
        <w:rPr>
          <w:kern w:val="22"/>
          <w:szCs w:val="22"/>
          <w:lang w:val="fr-FR"/>
        </w:rPr>
        <w:t>après</w:t>
      </w:r>
      <w:r w:rsidR="000D0511">
        <w:rPr>
          <w:kern w:val="22"/>
          <w:szCs w:val="22"/>
          <w:lang w:val="fr-FR"/>
        </w:rPr>
        <w:t>-</w:t>
      </w:r>
      <w:r w:rsidRPr="007F4665">
        <w:rPr>
          <w:kern w:val="22"/>
          <w:szCs w:val="22"/>
          <w:lang w:val="fr-FR"/>
        </w:rPr>
        <w:t>2020.</w:t>
      </w:r>
    </w:p>
    <w:p w14:paraId="649E1572" w14:textId="436824E8" w:rsidR="005A6910" w:rsidRPr="00F5224D" w:rsidRDefault="005A6910" w:rsidP="00F5224D">
      <w:pPr>
        <w:pStyle w:val="Para1"/>
        <w:numPr>
          <w:ilvl w:val="0"/>
          <w:numId w:val="10"/>
        </w:numPr>
        <w:suppressLineNumbers/>
        <w:tabs>
          <w:tab w:val="clear" w:pos="360"/>
        </w:tabs>
        <w:suppressAutoHyphens/>
        <w:rPr>
          <w:kern w:val="22"/>
          <w:szCs w:val="22"/>
          <w:lang w:val="fr-FR"/>
        </w:rPr>
      </w:pPr>
      <w:r w:rsidRPr="00F5224D">
        <w:rPr>
          <w:kern w:val="22"/>
          <w:szCs w:val="22"/>
          <w:lang w:val="fr-FR"/>
        </w:rPr>
        <w:t>Diverses dispositions et décisions des conventions et processus liés à la biodiversité reconnaissent l'importance cruciale de la gestion de l'information et des connaissances pour la réalisation de leurs objectifs</w:t>
      </w:r>
      <w:r w:rsidR="00FE3FE5">
        <w:rPr>
          <w:rStyle w:val="FootnoteReference"/>
          <w:kern w:val="22"/>
          <w:szCs w:val="22"/>
          <w:lang w:val="fr-FR"/>
        </w:rPr>
        <w:footnoteReference w:id="2"/>
      </w:r>
      <w:r w:rsidRPr="00F5224D">
        <w:rPr>
          <w:kern w:val="22"/>
          <w:szCs w:val="22"/>
          <w:lang w:val="fr-FR"/>
        </w:rPr>
        <w:t xml:space="preserve">.   Le </w:t>
      </w:r>
      <w:r w:rsidR="009F4A39">
        <w:rPr>
          <w:kern w:val="22"/>
          <w:szCs w:val="22"/>
          <w:lang w:val="fr-FR"/>
        </w:rPr>
        <w:t>P</w:t>
      </w:r>
      <w:r w:rsidRPr="00F5224D">
        <w:rPr>
          <w:kern w:val="22"/>
          <w:szCs w:val="22"/>
          <w:lang w:val="fr-FR"/>
        </w:rPr>
        <w:t xml:space="preserve">lan stratégique pour la </w:t>
      </w:r>
      <w:r w:rsidR="009F4A39">
        <w:rPr>
          <w:kern w:val="22"/>
          <w:szCs w:val="22"/>
          <w:lang w:val="fr-FR"/>
        </w:rPr>
        <w:t>diversité biologique</w:t>
      </w:r>
      <w:r w:rsidRPr="00F5224D">
        <w:rPr>
          <w:kern w:val="22"/>
          <w:szCs w:val="22"/>
          <w:lang w:val="fr-FR"/>
        </w:rPr>
        <w:t xml:space="preserve"> 201</w:t>
      </w:r>
      <w:r w:rsidR="00F5224D" w:rsidRPr="00F5224D">
        <w:rPr>
          <w:kern w:val="22"/>
          <w:szCs w:val="22"/>
          <w:lang w:val="fr-FR"/>
        </w:rPr>
        <w:t>1</w:t>
      </w:r>
      <w:r w:rsidRPr="00F5224D">
        <w:rPr>
          <w:kern w:val="22"/>
          <w:szCs w:val="22"/>
          <w:lang w:val="fr-FR"/>
        </w:rPr>
        <w:t>-2020</w:t>
      </w:r>
      <w:r w:rsidR="002B4D5A">
        <w:rPr>
          <w:kern w:val="22"/>
          <w:szCs w:val="22"/>
          <w:lang w:val="fr-FR"/>
        </w:rPr>
        <w:t xml:space="preserve"> </w:t>
      </w:r>
      <w:r w:rsidRPr="00F5224D">
        <w:rPr>
          <w:kern w:val="22"/>
          <w:szCs w:val="22"/>
          <w:lang w:val="fr-FR"/>
        </w:rPr>
        <w:t xml:space="preserve">comprend </w:t>
      </w:r>
      <w:r w:rsidR="002B4D5A">
        <w:rPr>
          <w:kern w:val="22"/>
          <w:szCs w:val="22"/>
          <w:lang w:val="fr-FR"/>
        </w:rPr>
        <w:t>le but stratégique E</w:t>
      </w:r>
      <w:r w:rsidRPr="00F5224D">
        <w:rPr>
          <w:kern w:val="22"/>
          <w:szCs w:val="22"/>
          <w:lang w:val="fr-FR"/>
        </w:rPr>
        <w:t xml:space="preserve"> :</w:t>
      </w:r>
      <w:r w:rsidR="002B4D5A">
        <w:rPr>
          <w:kern w:val="22"/>
          <w:szCs w:val="22"/>
          <w:lang w:val="fr-FR"/>
        </w:rPr>
        <w:t xml:space="preserve"> renforcer</w:t>
      </w:r>
      <w:r w:rsidRPr="00F5224D">
        <w:rPr>
          <w:kern w:val="22"/>
          <w:szCs w:val="22"/>
          <w:lang w:val="fr-FR"/>
        </w:rPr>
        <w:t xml:space="preserve"> la mise en œuvre </w:t>
      </w:r>
      <w:r w:rsidR="002B4D5A">
        <w:rPr>
          <w:kern w:val="22"/>
          <w:szCs w:val="22"/>
          <w:lang w:val="fr-FR"/>
        </w:rPr>
        <w:t xml:space="preserve">au moyen d’une </w:t>
      </w:r>
      <w:r w:rsidRPr="00F5224D">
        <w:rPr>
          <w:kern w:val="22"/>
          <w:szCs w:val="22"/>
          <w:lang w:val="fr-FR"/>
        </w:rPr>
        <w:t xml:space="preserve">planification participative, </w:t>
      </w:r>
      <w:r w:rsidR="002B4D5A">
        <w:rPr>
          <w:kern w:val="22"/>
          <w:szCs w:val="22"/>
          <w:lang w:val="fr-FR"/>
        </w:rPr>
        <w:t xml:space="preserve">de </w:t>
      </w:r>
      <w:r w:rsidRPr="00F5224D">
        <w:rPr>
          <w:kern w:val="22"/>
          <w:szCs w:val="22"/>
          <w:lang w:val="fr-FR"/>
        </w:rPr>
        <w:t xml:space="preserve">la gestion des connaissances et </w:t>
      </w:r>
      <w:r w:rsidR="002B4D5A">
        <w:rPr>
          <w:kern w:val="22"/>
          <w:szCs w:val="22"/>
          <w:lang w:val="fr-FR"/>
        </w:rPr>
        <w:t>du</w:t>
      </w:r>
      <w:r w:rsidRPr="00F5224D">
        <w:rPr>
          <w:kern w:val="22"/>
          <w:szCs w:val="22"/>
          <w:lang w:val="fr-FR"/>
        </w:rPr>
        <w:t xml:space="preserve"> renforcement des capacités</w:t>
      </w:r>
      <w:r w:rsidR="00FE3FE5">
        <w:rPr>
          <w:rStyle w:val="FootnoteReference"/>
          <w:kern w:val="22"/>
          <w:szCs w:val="22"/>
          <w:lang w:val="fr-FR"/>
        </w:rPr>
        <w:footnoteReference w:id="3"/>
      </w:r>
      <w:r w:rsidRPr="00F5224D">
        <w:rPr>
          <w:kern w:val="22"/>
          <w:szCs w:val="22"/>
          <w:lang w:val="fr-FR"/>
        </w:rPr>
        <w:t>.</w:t>
      </w:r>
      <w:r w:rsidR="00F5224D" w:rsidRPr="00F5224D">
        <w:rPr>
          <w:kern w:val="22"/>
          <w:szCs w:val="22"/>
          <w:lang w:val="fr-FR"/>
        </w:rPr>
        <w:t xml:space="preserve"> Celui-ci</w:t>
      </w:r>
      <w:r w:rsidRPr="00F5224D">
        <w:rPr>
          <w:kern w:val="22"/>
          <w:szCs w:val="22"/>
          <w:lang w:val="fr-FR"/>
        </w:rPr>
        <w:t xml:space="preserve"> inclut également l</w:t>
      </w:r>
      <w:r w:rsidR="007251A8">
        <w:rPr>
          <w:kern w:val="22"/>
          <w:szCs w:val="22"/>
          <w:lang w:val="fr-FR"/>
        </w:rPr>
        <w:t>’Objectif</w:t>
      </w:r>
      <w:r w:rsidRPr="00F5224D">
        <w:rPr>
          <w:kern w:val="22"/>
          <w:szCs w:val="22"/>
          <w:lang w:val="fr-FR"/>
        </w:rPr>
        <w:t xml:space="preserve"> 19 selon laquelle </w:t>
      </w:r>
      <w:r w:rsidR="00F5224D" w:rsidRPr="00F5224D">
        <w:rPr>
          <w:kern w:val="22"/>
          <w:szCs w:val="22"/>
          <w:lang w:val="fr-FR"/>
        </w:rPr>
        <w:t>«</w:t>
      </w:r>
      <w:r w:rsidR="00F5224D" w:rsidRPr="00F5224D">
        <w:rPr>
          <w:rFonts w:ascii="Times" w:hAnsi="Times" w:cs="Arial"/>
          <w:color w:val="222222"/>
          <w:szCs w:val="22"/>
          <w:shd w:val="clear" w:color="auto" w:fill="FFFFFF"/>
          <w:lang w:val="fr-FR" w:eastAsia="fr-FR"/>
        </w:rPr>
        <w:t xml:space="preserve"> d’ici à 2020, les connaissances, la base scientifique et les technologies associées à la diversité biologique, ses valeurs, son fonctionnement, son état et ses tendances, et les conséquences de son appauvrissement, sont améliorées, largement partagées et transférées, et appliquées. »</w:t>
      </w:r>
    </w:p>
    <w:p w14:paraId="54734DF6" w14:textId="439144C5" w:rsidR="004F18CC" w:rsidRPr="007F4665" w:rsidRDefault="005A6910" w:rsidP="001F4589">
      <w:pPr>
        <w:pStyle w:val="Para1"/>
        <w:numPr>
          <w:ilvl w:val="0"/>
          <w:numId w:val="10"/>
        </w:numPr>
        <w:suppressLineNumbers/>
        <w:tabs>
          <w:tab w:val="clear" w:pos="360"/>
        </w:tabs>
        <w:suppressAutoHyphens/>
        <w:rPr>
          <w:kern w:val="22"/>
          <w:szCs w:val="22"/>
          <w:lang w:val="fr-FR"/>
        </w:rPr>
      </w:pPr>
      <w:r w:rsidRPr="007F4665">
        <w:rPr>
          <w:kern w:val="22"/>
          <w:szCs w:val="22"/>
          <w:lang w:val="fr-FR"/>
        </w:rPr>
        <w:t>Le</w:t>
      </w:r>
      <w:r w:rsidR="009F4A39">
        <w:rPr>
          <w:kern w:val="22"/>
          <w:szCs w:val="22"/>
          <w:lang w:val="fr-FR"/>
        </w:rPr>
        <w:t xml:space="preserve"> P</w:t>
      </w:r>
      <w:r w:rsidRPr="007F4665">
        <w:rPr>
          <w:kern w:val="22"/>
          <w:szCs w:val="22"/>
          <w:lang w:val="fr-FR"/>
        </w:rPr>
        <w:t xml:space="preserve">lan stratégique pour la </w:t>
      </w:r>
      <w:r w:rsidR="009F4A39">
        <w:rPr>
          <w:kern w:val="22"/>
          <w:szCs w:val="22"/>
          <w:lang w:val="fr-FR"/>
        </w:rPr>
        <w:t>diversité biologique</w:t>
      </w:r>
      <w:r w:rsidRPr="007F4665">
        <w:rPr>
          <w:kern w:val="22"/>
          <w:szCs w:val="22"/>
          <w:lang w:val="fr-FR"/>
        </w:rPr>
        <w:t xml:space="preserve"> 2011-2020 a reconnu que la réalisation de ses </w:t>
      </w:r>
      <w:r w:rsidR="007251A8">
        <w:rPr>
          <w:kern w:val="22"/>
          <w:szCs w:val="22"/>
          <w:lang w:val="fr-FR"/>
        </w:rPr>
        <w:t>buts</w:t>
      </w:r>
      <w:r w:rsidR="00831FE8">
        <w:rPr>
          <w:kern w:val="22"/>
          <w:szCs w:val="22"/>
          <w:lang w:val="fr-FR"/>
        </w:rPr>
        <w:t xml:space="preserve"> stratégiques</w:t>
      </w:r>
      <w:r w:rsidRPr="007F4665">
        <w:rPr>
          <w:kern w:val="22"/>
          <w:szCs w:val="22"/>
          <w:lang w:val="fr-FR"/>
        </w:rPr>
        <w:t xml:space="preserve"> et </w:t>
      </w:r>
      <w:r w:rsidR="00831FE8">
        <w:rPr>
          <w:kern w:val="22"/>
          <w:szCs w:val="22"/>
          <w:lang w:val="fr-FR"/>
        </w:rPr>
        <w:t xml:space="preserve">de ses </w:t>
      </w:r>
      <w:r w:rsidRPr="007F4665">
        <w:rPr>
          <w:kern w:val="22"/>
          <w:szCs w:val="22"/>
          <w:lang w:val="fr-FR"/>
        </w:rPr>
        <w:t>objectifs nécessiterait des mécanismes de soutien renforcés</w:t>
      </w:r>
      <w:r w:rsidR="00831FE8">
        <w:rPr>
          <w:kern w:val="22"/>
          <w:szCs w:val="22"/>
          <w:lang w:val="fr-FR"/>
        </w:rPr>
        <w:t xml:space="preserve"> : la </w:t>
      </w:r>
      <w:r w:rsidRPr="007F4665">
        <w:rPr>
          <w:kern w:val="22"/>
          <w:szCs w:val="22"/>
          <w:lang w:val="fr-FR"/>
        </w:rPr>
        <w:t>production, l'utilisation et le partage des connaissance</w:t>
      </w:r>
      <w:r w:rsidR="00831FE8">
        <w:rPr>
          <w:kern w:val="22"/>
          <w:szCs w:val="22"/>
          <w:lang w:val="fr-FR"/>
        </w:rPr>
        <w:t>s. Le Plan</w:t>
      </w:r>
      <w:r w:rsidRPr="007F4665">
        <w:rPr>
          <w:kern w:val="22"/>
          <w:szCs w:val="22"/>
          <w:lang w:val="fr-FR"/>
        </w:rPr>
        <w:t xml:space="preserve"> a </w:t>
      </w:r>
      <w:r w:rsidR="00831FE8">
        <w:rPr>
          <w:kern w:val="22"/>
          <w:szCs w:val="22"/>
          <w:lang w:val="fr-FR"/>
        </w:rPr>
        <w:t xml:space="preserve">également </w:t>
      </w:r>
      <w:r w:rsidRPr="007F4665">
        <w:rPr>
          <w:kern w:val="22"/>
          <w:szCs w:val="22"/>
          <w:lang w:val="fr-FR"/>
        </w:rPr>
        <w:t xml:space="preserve">noté que, collectivement, les </w:t>
      </w:r>
      <w:r w:rsidR="007251A8">
        <w:rPr>
          <w:kern w:val="22"/>
          <w:szCs w:val="22"/>
          <w:lang w:val="fr-FR"/>
        </w:rPr>
        <w:t>P</w:t>
      </w:r>
      <w:r w:rsidRPr="007F4665">
        <w:rPr>
          <w:kern w:val="22"/>
          <w:szCs w:val="22"/>
          <w:lang w:val="fr-FR"/>
        </w:rPr>
        <w:t xml:space="preserve">arties et les parties prenantes disposent d'une grande expérience, de cas de bonnes pratiques, d'outils et de conseils et qu'il existe d'autres informations utiles au-delà de cette communauté. </w:t>
      </w:r>
      <w:r w:rsidR="007251A8">
        <w:rPr>
          <w:kern w:val="22"/>
          <w:szCs w:val="22"/>
          <w:lang w:val="fr-FR"/>
        </w:rPr>
        <w:t xml:space="preserve">Le </w:t>
      </w:r>
      <w:r w:rsidR="009F4A39">
        <w:rPr>
          <w:kern w:val="22"/>
          <w:szCs w:val="22"/>
          <w:lang w:val="fr-FR"/>
        </w:rPr>
        <w:t>P</w:t>
      </w:r>
      <w:r w:rsidR="007251A8">
        <w:rPr>
          <w:kern w:val="22"/>
          <w:szCs w:val="22"/>
          <w:lang w:val="fr-FR"/>
        </w:rPr>
        <w:t>lan stratégique a donc</w:t>
      </w:r>
      <w:r w:rsidRPr="007F4665">
        <w:rPr>
          <w:kern w:val="22"/>
          <w:szCs w:val="22"/>
          <w:lang w:val="fr-FR"/>
        </w:rPr>
        <w:t xml:space="preserve"> appelé à la création d'un réseau de connaissances sur la biodiversit</w:t>
      </w:r>
      <w:r w:rsidR="00831FE8">
        <w:rPr>
          <w:kern w:val="22"/>
          <w:szCs w:val="22"/>
          <w:lang w:val="fr-FR"/>
        </w:rPr>
        <w:t>é</w:t>
      </w:r>
      <w:r w:rsidRPr="007F4665">
        <w:rPr>
          <w:kern w:val="22"/>
          <w:szCs w:val="22"/>
          <w:lang w:val="fr-FR"/>
        </w:rPr>
        <w:t xml:space="preserve"> comprenant une base de données et un réseau de praticiens, afin de rassembler ces connaissances et cette expérience et de les rendre disponibles par le biais d</w:t>
      </w:r>
      <w:r w:rsidR="007251A8">
        <w:rPr>
          <w:kern w:val="22"/>
          <w:szCs w:val="22"/>
          <w:lang w:val="fr-FR"/>
        </w:rPr>
        <w:t xml:space="preserve">’un mécanisme d’échange. </w:t>
      </w:r>
    </w:p>
    <w:p w14:paraId="3DC2FD88" w14:textId="0E1AD140" w:rsidR="004F18CC" w:rsidRPr="007F4665" w:rsidRDefault="005A6910" w:rsidP="001F4589">
      <w:pPr>
        <w:pStyle w:val="Para1"/>
        <w:numPr>
          <w:ilvl w:val="0"/>
          <w:numId w:val="10"/>
        </w:numPr>
        <w:suppressLineNumbers/>
        <w:tabs>
          <w:tab w:val="clear" w:pos="360"/>
        </w:tabs>
        <w:suppressAutoHyphens/>
        <w:rPr>
          <w:kern w:val="22"/>
          <w:szCs w:val="22"/>
          <w:lang w:val="fr-FR"/>
        </w:rPr>
      </w:pPr>
      <w:r w:rsidRPr="007F4665">
        <w:rPr>
          <w:kern w:val="22"/>
          <w:szCs w:val="22"/>
          <w:lang w:val="fr-FR"/>
        </w:rPr>
        <w:t xml:space="preserve">La cinquième édition des </w:t>
      </w:r>
      <w:r w:rsidRPr="007251A8">
        <w:rPr>
          <w:i/>
          <w:iCs/>
          <w:kern w:val="22"/>
          <w:szCs w:val="22"/>
          <w:lang w:val="fr-FR"/>
        </w:rPr>
        <w:t xml:space="preserve">Perspectives mondiales de la </w:t>
      </w:r>
      <w:r w:rsidR="007251A8">
        <w:rPr>
          <w:i/>
          <w:iCs/>
          <w:kern w:val="22"/>
          <w:szCs w:val="22"/>
          <w:lang w:val="fr-FR"/>
        </w:rPr>
        <w:t xml:space="preserve">diversité biologique </w:t>
      </w:r>
      <w:r w:rsidRPr="007F4665">
        <w:rPr>
          <w:kern w:val="22"/>
          <w:szCs w:val="22"/>
          <w:lang w:val="fr-FR"/>
        </w:rPr>
        <w:t xml:space="preserve">a </w:t>
      </w:r>
      <w:r w:rsidR="00831FE8">
        <w:rPr>
          <w:kern w:val="22"/>
          <w:szCs w:val="22"/>
          <w:lang w:val="fr-FR"/>
        </w:rPr>
        <w:t>constaté</w:t>
      </w:r>
      <w:r w:rsidRPr="007F4665">
        <w:rPr>
          <w:kern w:val="22"/>
          <w:szCs w:val="22"/>
          <w:lang w:val="fr-FR"/>
        </w:rPr>
        <w:t xml:space="preserve"> que des progrès importants ont été réalisés depuis 2010 dans la production, le partage et l'évaluation des connaissances, des informations et des données sur la biodiversité</w:t>
      </w:r>
      <w:r w:rsidR="00831FE8">
        <w:rPr>
          <w:kern w:val="22"/>
          <w:szCs w:val="22"/>
          <w:lang w:val="fr-FR"/>
        </w:rPr>
        <w:t>,</w:t>
      </w:r>
      <w:r w:rsidRPr="007F4665">
        <w:rPr>
          <w:kern w:val="22"/>
          <w:szCs w:val="22"/>
          <w:lang w:val="fr-FR"/>
        </w:rPr>
        <w:t xml:space="preserve"> l'agrégation de données de grande taille, les progrès de la modélisation et de l'intelligence artificielle ouvrant </w:t>
      </w:r>
      <w:r w:rsidR="00831FE8">
        <w:rPr>
          <w:kern w:val="22"/>
          <w:szCs w:val="22"/>
          <w:lang w:val="fr-FR"/>
        </w:rPr>
        <w:t xml:space="preserve">ainsi </w:t>
      </w:r>
      <w:r w:rsidRPr="007F4665">
        <w:rPr>
          <w:kern w:val="22"/>
          <w:szCs w:val="22"/>
          <w:lang w:val="fr-FR"/>
        </w:rPr>
        <w:t xml:space="preserve">de nouvelles possibilités pour une </w:t>
      </w:r>
      <w:r w:rsidRPr="007F4665">
        <w:rPr>
          <w:kern w:val="22"/>
          <w:szCs w:val="22"/>
          <w:lang w:val="fr-FR"/>
        </w:rPr>
        <w:lastRenderedPageBreak/>
        <w:t>meilleure compréhension de la biosphère. Toutefois, des déséquilibres majeurs subsistent en ce qui concerne la localisation et l'orientation taxonomique des études et d</w:t>
      </w:r>
      <w:r w:rsidR="007251A8">
        <w:rPr>
          <w:kern w:val="22"/>
          <w:szCs w:val="22"/>
          <w:lang w:val="fr-FR"/>
        </w:rPr>
        <w:t>u suivi</w:t>
      </w:r>
      <w:r w:rsidRPr="007F4665">
        <w:rPr>
          <w:kern w:val="22"/>
          <w:szCs w:val="22"/>
          <w:lang w:val="fr-FR"/>
        </w:rPr>
        <w:t>. Il existe également des lacunes dans l'information sur les conséquences de la perte de biodiversité pour les populations et l'application des connaissances sur la biodiversité dans la prise de décision est limitée</w:t>
      </w:r>
      <w:r w:rsidR="006435AA" w:rsidRPr="007F4665">
        <w:rPr>
          <w:kern w:val="22"/>
          <w:szCs w:val="22"/>
          <w:lang w:val="fr-FR"/>
        </w:rPr>
        <w:t>.</w:t>
      </w:r>
      <w:r w:rsidR="006435AA" w:rsidRPr="007F4665">
        <w:rPr>
          <w:rStyle w:val="FootnoteReference"/>
          <w:kern w:val="22"/>
          <w:szCs w:val="22"/>
          <w:lang w:val="fr-FR"/>
        </w:rPr>
        <w:footnoteReference w:id="4"/>
      </w:r>
      <w:r w:rsidR="004F18CC" w:rsidRPr="007F4665">
        <w:rPr>
          <w:kern w:val="22"/>
          <w:szCs w:val="22"/>
          <w:lang w:val="fr-FR"/>
        </w:rPr>
        <w:t xml:space="preserve"> </w:t>
      </w:r>
    </w:p>
    <w:p w14:paraId="00BCC0D4" w14:textId="01809981" w:rsidR="004B35C3" w:rsidRPr="007F4665" w:rsidRDefault="005A6910" w:rsidP="001F4589">
      <w:pPr>
        <w:pStyle w:val="Para1"/>
        <w:numPr>
          <w:ilvl w:val="0"/>
          <w:numId w:val="10"/>
        </w:numPr>
        <w:suppressLineNumbers/>
        <w:tabs>
          <w:tab w:val="clear" w:pos="360"/>
        </w:tabs>
        <w:suppressAutoHyphens/>
        <w:rPr>
          <w:kern w:val="22"/>
          <w:szCs w:val="22"/>
          <w:lang w:val="fr-FR"/>
        </w:rPr>
      </w:pPr>
      <w:r w:rsidRPr="007F4665">
        <w:rPr>
          <w:kern w:val="22"/>
          <w:szCs w:val="22"/>
          <w:lang w:val="fr-FR"/>
        </w:rPr>
        <w:t xml:space="preserve">Au cours des réunions du </w:t>
      </w:r>
      <w:r w:rsidR="004F00C8">
        <w:rPr>
          <w:kern w:val="22"/>
          <w:szCs w:val="22"/>
          <w:lang w:val="fr-FR"/>
        </w:rPr>
        <w:t>G</w:t>
      </w:r>
      <w:r w:rsidRPr="007F4665">
        <w:rPr>
          <w:kern w:val="22"/>
          <w:szCs w:val="22"/>
          <w:lang w:val="fr-FR"/>
        </w:rPr>
        <w:t xml:space="preserve">roupe de travail à composition non limitée sur le cadre mondial </w:t>
      </w:r>
      <w:r w:rsidR="004F00C8">
        <w:rPr>
          <w:kern w:val="22"/>
          <w:szCs w:val="22"/>
          <w:lang w:val="fr-FR"/>
        </w:rPr>
        <w:t>de</w:t>
      </w:r>
      <w:r w:rsidRPr="007F4665">
        <w:rPr>
          <w:kern w:val="22"/>
          <w:szCs w:val="22"/>
          <w:lang w:val="fr-FR"/>
        </w:rPr>
        <w:t xml:space="preserve"> la biodiversité p</w:t>
      </w:r>
      <w:r w:rsidR="004F00C8">
        <w:rPr>
          <w:kern w:val="22"/>
          <w:szCs w:val="22"/>
          <w:lang w:val="fr-FR"/>
        </w:rPr>
        <w:t>our l’après-</w:t>
      </w:r>
      <w:r w:rsidRPr="007F4665">
        <w:rPr>
          <w:kern w:val="22"/>
          <w:szCs w:val="22"/>
          <w:lang w:val="fr-FR"/>
        </w:rPr>
        <w:t xml:space="preserve">2020 et des consultations régionales et thématiques associées, la gestion des connaissances a été identifiée comme l'un des moyens essentiels pour la mise en œuvre réussie du cadre mondial </w:t>
      </w:r>
      <w:r w:rsidR="004F00C8">
        <w:rPr>
          <w:kern w:val="22"/>
          <w:szCs w:val="22"/>
          <w:lang w:val="fr-FR"/>
        </w:rPr>
        <w:t xml:space="preserve">de </w:t>
      </w:r>
      <w:r w:rsidRPr="007F4665">
        <w:rPr>
          <w:kern w:val="22"/>
          <w:szCs w:val="22"/>
          <w:lang w:val="fr-FR"/>
        </w:rPr>
        <w:t>la biodiversité p</w:t>
      </w:r>
      <w:r w:rsidR="004F00C8">
        <w:rPr>
          <w:kern w:val="22"/>
          <w:szCs w:val="22"/>
          <w:lang w:val="fr-FR"/>
        </w:rPr>
        <w:t>our l’après</w:t>
      </w:r>
      <w:r w:rsidRPr="007F4665">
        <w:rPr>
          <w:kern w:val="22"/>
          <w:szCs w:val="22"/>
          <w:lang w:val="fr-FR"/>
        </w:rPr>
        <w:t xml:space="preserve">-2020, au même titre que la mobilisation des ressources, le renforcement des capacités, la coopération technique et scientifique </w:t>
      </w:r>
      <w:r w:rsidR="007149F5">
        <w:rPr>
          <w:kern w:val="22"/>
          <w:szCs w:val="22"/>
          <w:lang w:val="fr-FR"/>
        </w:rPr>
        <w:t xml:space="preserve">ainsi que </w:t>
      </w:r>
      <w:r w:rsidRPr="007F4665">
        <w:rPr>
          <w:kern w:val="22"/>
          <w:szCs w:val="22"/>
          <w:lang w:val="fr-FR"/>
        </w:rPr>
        <w:t>la communication.</w:t>
      </w:r>
    </w:p>
    <w:p w14:paraId="405EA6D3" w14:textId="027829FA" w:rsidR="00463216" w:rsidRPr="007F4665" w:rsidRDefault="00463216" w:rsidP="001F4589">
      <w:pPr>
        <w:pStyle w:val="Para1"/>
        <w:numPr>
          <w:ilvl w:val="0"/>
          <w:numId w:val="10"/>
        </w:numPr>
        <w:suppressLineNumbers/>
        <w:tabs>
          <w:tab w:val="clear" w:pos="360"/>
        </w:tabs>
        <w:suppressAutoHyphens/>
        <w:rPr>
          <w:kern w:val="22"/>
          <w:szCs w:val="22"/>
          <w:lang w:val="fr-FR"/>
        </w:rPr>
      </w:pPr>
      <w:r w:rsidRPr="007F4665">
        <w:rPr>
          <w:kern w:val="22"/>
          <w:szCs w:val="22"/>
          <w:lang w:val="fr-FR"/>
        </w:rPr>
        <w:t>Le présent document expose les éléments de la composante gestion des connaissance</w:t>
      </w:r>
      <w:r w:rsidR="009D22A4">
        <w:rPr>
          <w:kern w:val="22"/>
          <w:szCs w:val="22"/>
          <w:lang w:val="fr-FR"/>
        </w:rPr>
        <w:t>s</w:t>
      </w:r>
      <w:r w:rsidRPr="007F4665">
        <w:rPr>
          <w:kern w:val="22"/>
          <w:szCs w:val="22"/>
          <w:lang w:val="fr-FR"/>
        </w:rPr>
        <w:t xml:space="preserve"> du cadre mondial </w:t>
      </w:r>
      <w:r w:rsidR="009D22A4">
        <w:rPr>
          <w:kern w:val="22"/>
          <w:szCs w:val="22"/>
          <w:lang w:val="fr-FR"/>
        </w:rPr>
        <w:t xml:space="preserve">de </w:t>
      </w:r>
      <w:r w:rsidRPr="007F4665">
        <w:rPr>
          <w:kern w:val="22"/>
          <w:szCs w:val="22"/>
          <w:lang w:val="fr-FR"/>
        </w:rPr>
        <w:t xml:space="preserve">la biodiversité </w:t>
      </w:r>
      <w:r w:rsidR="009D22A4">
        <w:rPr>
          <w:kern w:val="22"/>
          <w:szCs w:val="22"/>
          <w:lang w:val="fr-FR"/>
        </w:rPr>
        <w:t xml:space="preserve">pour </w:t>
      </w:r>
      <w:r w:rsidRPr="007F4665">
        <w:rPr>
          <w:kern w:val="22"/>
          <w:szCs w:val="22"/>
          <w:lang w:val="fr-FR"/>
        </w:rPr>
        <w:t>l'après-2020 et les stratégies possibles pour l</w:t>
      </w:r>
      <w:r w:rsidR="007149F5">
        <w:rPr>
          <w:kern w:val="22"/>
          <w:szCs w:val="22"/>
          <w:lang w:val="fr-FR"/>
        </w:rPr>
        <w:t>a</w:t>
      </w:r>
      <w:r w:rsidRPr="007F4665">
        <w:rPr>
          <w:kern w:val="22"/>
          <w:szCs w:val="22"/>
          <w:lang w:val="fr-FR"/>
        </w:rPr>
        <w:t xml:space="preserve"> rendre opérationnel</w:t>
      </w:r>
      <w:r w:rsidR="007149F5">
        <w:rPr>
          <w:kern w:val="22"/>
          <w:szCs w:val="22"/>
          <w:lang w:val="fr-FR"/>
        </w:rPr>
        <w:t>le</w:t>
      </w:r>
      <w:r w:rsidRPr="007F4665">
        <w:rPr>
          <w:kern w:val="22"/>
          <w:szCs w:val="22"/>
          <w:lang w:val="fr-FR"/>
        </w:rPr>
        <w:t xml:space="preserve">. La section II fournit une introduction et un cadre conceptuel pour la composante de gestion des connaissances, la section III décrit la </w:t>
      </w:r>
      <w:r w:rsidR="009D22A4">
        <w:rPr>
          <w:kern w:val="22"/>
          <w:szCs w:val="22"/>
          <w:lang w:val="fr-FR"/>
        </w:rPr>
        <w:t>justification</w:t>
      </w:r>
      <w:r w:rsidRPr="007F4665">
        <w:rPr>
          <w:kern w:val="22"/>
          <w:szCs w:val="22"/>
          <w:lang w:val="fr-FR"/>
        </w:rPr>
        <w:t xml:space="preserve">, les objectifs et l'impact attendu de </w:t>
      </w:r>
      <w:r w:rsidR="007149F5">
        <w:rPr>
          <w:kern w:val="22"/>
          <w:szCs w:val="22"/>
          <w:lang w:val="fr-FR"/>
        </w:rPr>
        <w:t xml:space="preserve">cette </w:t>
      </w:r>
      <w:r w:rsidR="003B381E">
        <w:rPr>
          <w:kern w:val="22"/>
          <w:szCs w:val="22"/>
          <w:lang w:val="fr-FR"/>
        </w:rPr>
        <w:t>composante</w:t>
      </w:r>
      <w:r w:rsidR="003B381E" w:rsidRPr="007F4665">
        <w:rPr>
          <w:kern w:val="22"/>
          <w:szCs w:val="22"/>
          <w:lang w:val="fr-FR"/>
        </w:rPr>
        <w:t xml:space="preserve"> ;</w:t>
      </w:r>
      <w:r w:rsidRPr="007F4665">
        <w:rPr>
          <w:kern w:val="22"/>
          <w:szCs w:val="22"/>
          <w:lang w:val="fr-FR"/>
        </w:rPr>
        <w:t xml:space="preserve"> la section IV présente des stratégies pour améliorer la gestion des connaissances à l'appui du cadre mondial </w:t>
      </w:r>
      <w:r w:rsidR="009D22A4">
        <w:rPr>
          <w:kern w:val="22"/>
          <w:szCs w:val="22"/>
          <w:lang w:val="fr-FR"/>
        </w:rPr>
        <w:t>de</w:t>
      </w:r>
      <w:r w:rsidRPr="007F4665">
        <w:rPr>
          <w:kern w:val="22"/>
          <w:szCs w:val="22"/>
          <w:lang w:val="fr-FR"/>
        </w:rPr>
        <w:t xml:space="preserve"> la biodiversité p</w:t>
      </w:r>
      <w:r w:rsidR="009D22A4">
        <w:rPr>
          <w:kern w:val="22"/>
          <w:szCs w:val="22"/>
          <w:lang w:val="fr-FR"/>
        </w:rPr>
        <w:t>our l’après</w:t>
      </w:r>
      <w:r w:rsidRPr="007F4665">
        <w:rPr>
          <w:kern w:val="22"/>
          <w:szCs w:val="22"/>
          <w:lang w:val="fr-FR"/>
        </w:rPr>
        <w:t xml:space="preserve">-2020 et </w:t>
      </w:r>
      <w:r w:rsidR="007149F5">
        <w:rPr>
          <w:kern w:val="22"/>
          <w:szCs w:val="22"/>
          <w:lang w:val="fr-FR"/>
        </w:rPr>
        <w:t xml:space="preserve">enfin, </w:t>
      </w:r>
      <w:r w:rsidRPr="007F4665">
        <w:rPr>
          <w:kern w:val="22"/>
          <w:szCs w:val="22"/>
          <w:lang w:val="fr-FR"/>
        </w:rPr>
        <w:t>la section V décrit les options possibles pour un cadre de mise en œuvre.</w:t>
      </w:r>
    </w:p>
    <w:p w14:paraId="6B5A50F7" w14:textId="243961EE" w:rsidR="00964A8F" w:rsidRPr="007F4665" w:rsidRDefault="00D73151" w:rsidP="001F4589">
      <w:pPr>
        <w:pStyle w:val="Heading2"/>
        <w:keepNext w:val="0"/>
        <w:numPr>
          <w:ilvl w:val="0"/>
          <w:numId w:val="6"/>
        </w:numPr>
        <w:suppressLineNumbers/>
        <w:tabs>
          <w:tab w:val="clear" w:pos="720"/>
        </w:tabs>
        <w:suppressAutoHyphens/>
        <w:spacing w:before="0" w:after="0"/>
        <w:rPr>
          <w:kern w:val="22"/>
          <w:lang w:val="fr-FR"/>
        </w:rPr>
      </w:pPr>
      <w:bookmarkStart w:id="2" w:name="_Toc39228075"/>
      <w:r>
        <w:rPr>
          <w:kern w:val="22"/>
          <w:lang w:val="fr-FR"/>
        </w:rPr>
        <w:t xml:space="preserve">Justification de la composante gestion des connaissances </w:t>
      </w:r>
      <w:bookmarkEnd w:id="2"/>
    </w:p>
    <w:p w14:paraId="08FB6F8F" w14:textId="25EDF692" w:rsidR="005A6910" w:rsidRPr="007F4665" w:rsidRDefault="005A6910" w:rsidP="001F4589">
      <w:pPr>
        <w:pStyle w:val="Para1"/>
        <w:numPr>
          <w:ilvl w:val="0"/>
          <w:numId w:val="10"/>
        </w:numPr>
        <w:suppressLineNumbers/>
        <w:tabs>
          <w:tab w:val="clear" w:pos="360"/>
        </w:tabs>
        <w:suppressAutoHyphens/>
        <w:rPr>
          <w:kern w:val="22"/>
          <w:szCs w:val="22"/>
          <w:lang w:val="fr-FR"/>
        </w:rPr>
      </w:pPr>
      <w:r w:rsidRPr="007F4665">
        <w:rPr>
          <w:kern w:val="22"/>
          <w:szCs w:val="22"/>
          <w:lang w:val="fr-FR"/>
        </w:rPr>
        <w:t xml:space="preserve">La gestion des connaissances est l'un des principaux moyens stratégiques de mise en œuvre qui sous-tendra la réalisation des buts </w:t>
      </w:r>
      <w:r w:rsidR="00435AB7">
        <w:rPr>
          <w:kern w:val="22"/>
          <w:szCs w:val="22"/>
          <w:lang w:val="fr-FR"/>
        </w:rPr>
        <w:t xml:space="preserve">stratégiques </w:t>
      </w:r>
      <w:r w:rsidRPr="007F4665">
        <w:rPr>
          <w:kern w:val="22"/>
          <w:szCs w:val="22"/>
          <w:lang w:val="fr-FR"/>
        </w:rPr>
        <w:t xml:space="preserve">et objectifs du cadre mondial </w:t>
      </w:r>
      <w:r w:rsidR="000538F4">
        <w:rPr>
          <w:kern w:val="22"/>
          <w:szCs w:val="22"/>
          <w:lang w:val="fr-FR"/>
        </w:rPr>
        <w:t>de</w:t>
      </w:r>
      <w:r w:rsidRPr="007F4665">
        <w:rPr>
          <w:kern w:val="22"/>
          <w:szCs w:val="22"/>
          <w:lang w:val="fr-FR"/>
        </w:rPr>
        <w:t xml:space="preserve"> la biodiversité </w:t>
      </w:r>
      <w:r w:rsidR="000538F4">
        <w:rPr>
          <w:kern w:val="22"/>
          <w:szCs w:val="22"/>
          <w:lang w:val="fr-FR"/>
        </w:rPr>
        <w:t>pour</w:t>
      </w:r>
      <w:r w:rsidRPr="007F4665">
        <w:rPr>
          <w:kern w:val="22"/>
          <w:szCs w:val="22"/>
          <w:lang w:val="fr-FR"/>
        </w:rPr>
        <w:t xml:space="preserve"> l'après-2020. </w:t>
      </w:r>
      <w:r w:rsidR="000538F4">
        <w:rPr>
          <w:kern w:val="22"/>
          <w:szCs w:val="22"/>
          <w:lang w:val="fr-FR"/>
        </w:rPr>
        <w:t xml:space="preserve">Afin de faire face à une planification, </w:t>
      </w:r>
      <w:r w:rsidRPr="007F4665">
        <w:rPr>
          <w:kern w:val="22"/>
          <w:szCs w:val="22"/>
          <w:lang w:val="fr-FR"/>
        </w:rPr>
        <w:t>une formulation des politiques, une prise de décision et une mise en œuvre efficaces, il est essentiel de pouvoir accéder facilement et en temps utile aux données</w:t>
      </w:r>
      <w:r w:rsidR="000538F4">
        <w:rPr>
          <w:kern w:val="22"/>
          <w:szCs w:val="22"/>
          <w:lang w:val="fr-FR"/>
        </w:rPr>
        <w:t xml:space="preserve"> pertinentes</w:t>
      </w:r>
      <w:r w:rsidRPr="007F4665">
        <w:rPr>
          <w:kern w:val="22"/>
          <w:szCs w:val="22"/>
          <w:lang w:val="fr-FR"/>
        </w:rPr>
        <w:t xml:space="preserve">, </w:t>
      </w:r>
      <w:r w:rsidR="00435AB7">
        <w:rPr>
          <w:kern w:val="22"/>
          <w:szCs w:val="22"/>
          <w:lang w:val="fr-FR"/>
        </w:rPr>
        <w:t xml:space="preserve">aux </w:t>
      </w:r>
      <w:r w:rsidRPr="007F4665">
        <w:rPr>
          <w:kern w:val="22"/>
          <w:szCs w:val="22"/>
          <w:lang w:val="fr-FR"/>
        </w:rPr>
        <w:t xml:space="preserve">informations et connaissances disponibles et adaptées à la biodiversité. Toutefois, de nombreux </w:t>
      </w:r>
      <w:r w:rsidR="00435AB7">
        <w:rPr>
          <w:kern w:val="22"/>
          <w:szCs w:val="22"/>
          <w:lang w:val="fr-FR"/>
        </w:rPr>
        <w:t>G</w:t>
      </w:r>
      <w:r w:rsidRPr="007F4665">
        <w:rPr>
          <w:kern w:val="22"/>
          <w:szCs w:val="22"/>
          <w:lang w:val="fr-FR"/>
        </w:rPr>
        <w:t>ouvernements et organisations sont encore confrontés à plusieurs défis pour mettre en œuvre des processus et des initiatives efficaces de gestion des connaissances. Dans de nombreux pays, en particulier dans les pays en développement et les pays à économie en transition, les données, les informations et les connaissances sur la biodiversité dont ont besoin les décideurs politiques, les praticiens, les p</w:t>
      </w:r>
      <w:r w:rsidR="00B7017A">
        <w:rPr>
          <w:kern w:val="22"/>
          <w:szCs w:val="22"/>
          <w:lang w:val="fr-FR"/>
        </w:rPr>
        <w:t xml:space="preserve">euples </w:t>
      </w:r>
      <w:r w:rsidRPr="007F4665">
        <w:rPr>
          <w:kern w:val="22"/>
          <w:szCs w:val="22"/>
          <w:lang w:val="fr-FR"/>
        </w:rPr>
        <w:t>autochtones et les communautés locales, ainsi que les scientifiques, sont limitées. En outre, une grande partie de ce qui est disponible est fragmenté</w:t>
      </w:r>
      <w:r w:rsidR="00B80EE0">
        <w:rPr>
          <w:kern w:val="22"/>
          <w:szCs w:val="22"/>
          <w:lang w:val="fr-FR"/>
        </w:rPr>
        <w:t>e</w:t>
      </w:r>
      <w:r w:rsidRPr="007F4665">
        <w:rPr>
          <w:kern w:val="22"/>
          <w:szCs w:val="22"/>
          <w:lang w:val="fr-FR"/>
        </w:rPr>
        <w:t>, difficile à trouver ou inaccessible.</w:t>
      </w:r>
    </w:p>
    <w:p w14:paraId="4CE3A3CB" w14:textId="3E96B6EB" w:rsidR="009A2A94" w:rsidRPr="007F4665" w:rsidRDefault="005A6910" w:rsidP="001F4589">
      <w:pPr>
        <w:pStyle w:val="Para1"/>
        <w:numPr>
          <w:ilvl w:val="0"/>
          <w:numId w:val="10"/>
        </w:numPr>
        <w:suppressLineNumbers/>
        <w:tabs>
          <w:tab w:val="clear" w:pos="360"/>
        </w:tabs>
        <w:suppressAutoHyphens/>
        <w:rPr>
          <w:kern w:val="22"/>
          <w:szCs w:val="22"/>
          <w:lang w:val="fr-FR"/>
        </w:rPr>
      </w:pPr>
      <w:r w:rsidRPr="007F4665">
        <w:rPr>
          <w:kern w:val="22"/>
          <w:szCs w:val="22"/>
          <w:lang w:val="fr-FR"/>
        </w:rPr>
        <w:t xml:space="preserve">Une réunion d'experts convoquée par la Cambridge Conservation Initiative à Cambridge, au Royaume-Uni, du 10 au 12 avril 2018, </w:t>
      </w:r>
      <w:r w:rsidR="00B7017A">
        <w:rPr>
          <w:kern w:val="22"/>
          <w:szCs w:val="22"/>
          <w:lang w:val="fr-FR"/>
        </w:rPr>
        <w:t>en vue</w:t>
      </w:r>
      <w:r w:rsidRPr="007F4665">
        <w:rPr>
          <w:kern w:val="22"/>
          <w:szCs w:val="22"/>
          <w:lang w:val="fr-FR"/>
        </w:rPr>
        <w:t xml:space="preserve"> de faire progresser la compréhension de la nécessité de fonder l'élaboration du cadre mondial </w:t>
      </w:r>
      <w:r w:rsidR="00B7017A">
        <w:rPr>
          <w:kern w:val="22"/>
          <w:szCs w:val="22"/>
          <w:lang w:val="fr-FR"/>
        </w:rPr>
        <w:t xml:space="preserve">de </w:t>
      </w:r>
      <w:r w:rsidRPr="007F4665">
        <w:rPr>
          <w:kern w:val="22"/>
          <w:szCs w:val="22"/>
          <w:lang w:val="fr-FR"/>
        </w:rPr>
        <w:t xml:space="preserve">la biodiversité </w:t>
      </w:r>
      <w:r w:rsidR="00B7017A">
        <w:rPr>
          <w:kern w:val="22"/>
          <w:szCs w:val="22"/>
          <w:lang w:val="fr-FR"/>
        </w:rPr>
        <w:t xml:space="preserve">pour </w:t>
      </w:r>
      <w:r w:rsidRPr="007F4665">
        <w:rPr>
          <w:kern w:val="22"/>
          <w:szCs w:val="22"/>
          <w:lang w:val="fr-FR"/>
        </w:rPr>
        <w:t>l'après</w:t>
      </w:r>
      <w:r w:rsidR="00B7017A">
        <w:rPr>
          <w:kern w:val="22"/>
          <w:szCs w:val="22"/>
          <w:lang w:val="fr-FR"/>
        </w:rPr>
        <w:t>-</w:t>
      </w:r>
      <w:r w:rsidRPr="007F4665">
        <w:rPr>
          <w:kern w:val="22"/>
          <w:szCs w:val="22"/>
          <w:lang w:val="fr-FR"/>
        </w:rPr>
        <w:t>2020 sur les éléments disponibles, a noté</w:t>
      </w:r>
      <w:r w:rsidR="003B381E">
        <w:rPr>
          <w:kern w:val="22"/>
          <w:szCs w:val="22"/>
          <w:lang w:val="fr-FR"/>
        </w:rPr>
        <w:t xml:space="preserve"> notamment </w:t>
      </w:r>
      <w:r w:rsidRPr="007F4665">
        <w:rPr>
          <w:kern w:val="22"/>
          <w:szCs w:val="22"/>
          <w:lang w:val="fr-FR"/>
        </w:rPr>
        <w:t>qu'il existe des données, des informations et des connaissances importantes, mais qu'elles ne sont souvent pas f</w:t>
      </w:r>
      <w:r w:rsidR="00B7017A">
        <w:rPr>
          <w:kern w:val="22"/>
          <w:szCs w:val="22"/>
          <w:lang w:val="fr-FR"/>
        </w:rPr>
        <w:t>acile</w:t>
      </w:r>
      <w:r w:rsidR="00B80EE0">
        <w:rPr>
          <w:kern w:val="22"/>
          <w:szCs w:val="22"/>
          <w:lang w:val="fr-FR"/>
        </w:rPr>
        <w:t>s</w:t>
      </w:r>
      <w:r w:rsidR="00B7017A">
        <w:rPr>
          <w:kern w:val="22"/>
          <w:szCs w:val="22"/>
          <w:lang w:val="fr-FR"/>
        </w:rPr>
        <w:t xml:space="preserve"> d’</w:t>
      </w:r>
      <w:r w:rsidRPr="007F4665">
        <w:rPr>
          <w:kern w:val="22"/>
          <w:szCs w:val="22"/>
          <w:lang w:val="fr-FR"/>
        </w:rPr>
        <w:t>acc</w:t>
      </w:r>
      <w:r w:rsidR="00B7017A">
        <w:rPr>
          <w:kern w:val="22"/>
          <w:szCs w:val="22"/>
          <w:lang w:val="fr-FR"/>
        </w:rPr>
        <w:t>è</w:t>
      </w:r>
      <w:r w:rsidRPr="007F4665">
        <w:rPr>
          <w:kern w:val="22"/>
          <w:szCs w:val="22"/>
          <w:lang w:val="fr-FR"/>
        </w:rPr>
        <w:t xml:space="preserve">s à ceux qui pourraient les utiliser à bon escient. Parmi les raisons de cette situation, on peut citer les journaux </w:t>
      </w:r>
      <w:r w:rsidR="005C0B09">
        <w:rPr>
          <w:kern w:val="22"/>
          <w:szCs w:val="22"/>
          <w:lang w:val="fr-FR"/>
        </w:rPr>
        <w:t>payants</w:t>
      </w:r>
      <w:r w:rsidRPr="007F4665">
        <w:rPr>
          <w:kern w:val="22"/>
          <w:szCs w:val="22"/>
          <w:lang w:val="fr-FR"/>
        </w:rPr>
        <w:t xml:space="preserve">, la confidentialité ou simplement le fait de ne pas savoir qu'ils existent ou de ne pas savoir comment les utiliser. Les participants ont souligné la nécessité de faciliter la </w:t>
      </w:r>
      <w:r w:rsidR="00FD28C0">
        <w:rPr>
          <w:kern w:val="22"/>
          <w:szCs w:val="22"/>
          <w:lang w:val="fr-FR"/>
        </w:rPr>
        <w:t>« </w:t>
      </w:r>
      <w:r w:rsidRPr="007F4665">
        <w:rPr>
          <w:kern w:val="22"/>
          <w:szCs w:val="22"/>
          <w:lang w:val="fr-FR"/>
        </w:rPr>
        <w:t>découverte</w:t>
      </w:r>
      <w:r w:rsidR="00FD28C0">
        <w:rPr>
          <w:kern w:val="22"/>
          <w:szCs w:val="22"/>
          <w:lang w:val="fr-FR"/>
        </w:rPr>
        <w:t xml:space="preserve"> » </w:t>
      </w:r>
      <w:r w:rsidRPr="007F4665">
        <w:rPr>
          <w:kern w:val="22"/>
          <w:szCs w:val="22"/>
          <w:lang w:val="fr-FR"/>
        </w:rPr>
        <w:t>de données, d'informations et de connaissances pertinentes de toutes sources et d'en faciliter l'utilisation. Ils ont également souligné l'intérêt potentiel de développer une stratégie de production de connaissances ou de recherche pour identifier clairement les connaissances nécessaires pour soutenir la mise en œuvre d</w:t>
      </w:r>
      <w:r w:rsidR="005F0518">
        <w:rPr>
          <w:kern w:val="22"/>
          <w:szCs w:val="22"/>
          <w:lang w:val="fr-FR"/>
        </w:rPr>
        <w:t xml:space="preserve">u </w:t>
      </w:r>
      <w:r w:rsidRPr="007F4665">
        <w:rPr>
          <w:kern w:val="22"/>
          <w:szCs w:val="22"/>
          <w:lang w:val="fr-FR"/>
        </w:rPr>
        <w:t xml:space="preserve">cadre mondial de la biodiversité </w:t>
      </w:r>
      <w:r w:rsidR="005F0518">
        <w:rPr>
          <w:kern w:val="22"/>
          <w:szCs w:val="22"/>
          <w:lang w:val="fr-FR"/>
        </w:rPr>
        <w:t>pour l’</w:t>
      </w:r>
      <w:r w:rsidRPr="007F4665">
        <w:rPr>
          <w:kern w:val="22"/>
          <w:szCs w:val="22"/>
          <w:lang w:val="fr-FR"/>
        </w:rPr>
        <w:t>après</w:t>
      </w:r>
      <w:r w:rsidR="005F0518">
        <w:rPr>
          <w:kern w:val="22"/>
          <w:szCs w:val="22"/>
          <w:lang w:val="fr-FR"/>
        </w:rPr>
        <w:t>-</w:t>
      </w:r>
      <w:r w:rsidRPr="007F4665">
        <w:rPr>
          <w:kern w:val="22"/>
          <w:szCs w:val="22"/>
          <w:lang w:val="fr-FR"/>
        </w:rPr>
        <w:t xml:space="preserve">2020. Enfin, </w:t>
      </w:r>
      <w:r w:rsidR="003B381E">
        <w:rPr>
          <w:kern w:val="22"/>
          <w:szCs w:val="22"/>
          <w:lang w:val="fr-FR"/>
        </w:rPr>
        <w:t>les experts ont</w:t>
      </w:r>
      <w:r w:rsidRPr="007F4665">
        <w:rPr>
          <w:kern w:val="22"/>
          <w:szCs w:val="22"/>
          <w:lang w:val="fr-FR"/>
        </w:rPr>
        <w:t xml:space="preserve"> souligné la nécessité d'inclure des éléments de preuve provenant de différents systèmes de connaissances, et en particulier des systèmes de connaissances traditionnelles, dans toute stratégie de production de connaissances ou de recherche si l'on veut qu'elle soit efficace</w:t>
      </w:r>
      <w:r w:rsidR="00740DC1" w:rsidRPr="007F4665">
        <w:rPr>
          <w:kern w:val="22"/>
          <w:lang w:val="fr-FR"/>
        </w:rPr>
        <w:t>.</w:t>
      </w:r>
      <w:r w:rsidR="00740DC1" w:rsidRPr="007F4665">
        <w:rPr>
          <w:rStyle w:val="FootnoteReference"/>
          <w:kern w:val="22"/>
          <w:lang w:val="fr-FR"/>
        </w:rPr>
        <w:footnoteReference w:id="5"/>
      </w:r>
    </w:p>
    <w:p w14:paraId="73F82FDF" w14:textId="22A341E7" w:rsidR="00964A8F" w:rsidRPr="007F4665" w:rsidRDefault="005A6910" w:rsidP="001F4589">
      <w:pPr>
        <w:pStyle w:val="Para1"/>
        <w:numPr>
          <w:ilvl w:val="0"/>
          <w:numId w:val="10"/>
        </w:numPr>
        <w:suppressLineNumbers/>
        <w:tabs>
          <w:tab w:val="clear" w:pos="360"/>
        </w:tabs>
        <w:suppressAutoHyphens/>
        <w:rPr>
          <w:kern w:val="22"/>
          <w:szCs w:val="22"/>
          <w:lang w:val="fr-FR"/>
        </w:rPr>
      </w:pPr>
      <w:r w:rsidRPr="007F4665">
        <w:rPr>
          <w:kern w:val="22"/>
          <w:szCs w:val="22"/>
          <w:lang w:val="fr-FR"/>
        </w:rPr>
        <w:t>L</w:t>
      </w:r>
      <w:r w:rsidR="005F0518">
        <w:rPr>
          <w:kern w:val="22"/>
          <w:szCs w:val="22"/>
          <w:lang w:val="fr-FR"/>
        </w:rPr>
        <w:t xml:space="preserve">a composante </w:t>
      </w:r>
      <w:r w:rsidRPr="007F4665">
        <w:rPr>
          <w:kern w:val="22"/>
          <w:szCs w:val="22"/>
          <w:lang w:val="fr-FR"/>
        </w:rPr>
        <w:t>gestion des connaissances</w:t>
      </w:r>
      <w:r w:rsidR="005F0518">
        <w:rPr>
          <w:kern w:val="22"/>
          <w:szCs w:val="22"/>
          <w:lang w:val="fr-FR"/>
        </w:rPr>
        <w:t xml:space="preserve"> </w:t>
      </w:r>
      <w:r w:rsidRPr="007F4665">
        <w:rPr>
          <w:kern w:val="22"/>
          <w:szCs w:val="22"/>
          <w:lang w:val="fr-FR"/>
        </w:rPr>
        <w:t xml:space="preserve">vise à résoudre certains des problèmes susmentionnés, notamment les obstacles qui empêchent l'utilisation efficace des données, informations et connaissances existantes en matière de biodiversité, en tirant parti des initiatives et réseaux existants de gestion des connaissances </w:t>
      </w:r>
      <w:r w:rsidR="005F0518">
        <w:rPr>
          <w:kern w:val="22"/>
          <w:szCs w:val="22"/>
          <w:lang w:val="fr-FR"/>
        </w:rPr>
        <w:t>relatives à la</w:t>
      </w:r>
      <w:r w:rsidRPr="007F4665">
        <w:rPr>
          <w:kern w:val="22"/>
          <w:szCs w:val="22"/>
          <w:lang w:val="fr-FR"/>
        </w:rPr>
        <w:t xml:space="preserve"> biodiversité, en comblant les lacunes qui empêchent leur pleine utilisation et en </w:t>
      </w:r>
      <w:r w:rsidRPr="007F4665">
        <w:rPr>
          <w:kern w:val="22"/>
          <w:szCs w:val="22"/>
          <w:lang w:val="fr-FR"/>
        </w:rPr>
        <w:lastRenderedPageBreak/>
        <w:t>renforçant la coordination et la collaboration entre eux. De tels efforts exigent de reconnaître et d'optimiser les contributions des diverses institutions gouvernementales et non gouvernementales, des organisations régionales et internationales, des chercheurs, des praticiens et des autres parties prenantes impliquées dans la gestion des connaissances sur la biodiversité.</w:t>
      </w:r>
    </w:p>
    <w:p w14:paraId="37E55B6B" w14:textId="6F3485ED" w:rsidR="00964A8F" w:rsidRPr="007F4665" w:rsidRDefault="009C0F18" w:rsidP="001F4589">
      <w:pPr>
        <w:pStyle w:val="Heading2"/>
        <w:numPr>
          <w:ilvl w:val="0"/>
          <w:numId w:val="6"/>
        </w:numPr>
        <w:suppressLineNumbers/>
        <w:tabs>
          <w:tab w:val="clear" w:pos="720"/>
        </w:tabs>
        <w:suppressAutoHyphens/>
        <w:ind w:left="714" w:hanging="357"/>
        <w:rPr>
          <w:kern w:val="22"/>
          <w:lang w:val="fr-FR"/>
        </w:rPr>
      </w:pPr>
      <w:r>
        <w:rPr>
          <w:kern w:val="22"/>
          <w:lang w:val="fr-FR"/>
        </w:rPr>
        <w:t>Portée de la composante gestion des connaissances</w:t>
      </w:r>
    </w:p>
    <w:p w14:paraId="75594AA0" w14:textId="1778D0E3" w:rsidR="005A6910" w:rsidRPr="007F4665" w:rsidRDefault="005A6910" w:rsidP="001F4589">
      <w:pPr>
        <w:pStyle w:val="Para1"/>
        <w:numPr>
          <w:ilvl w:val="0"/>
          <w:numId w:val="10"/>
        </w:numPr>
        <w:suppressLineNumbers/>
        <w:tabs>
          <w:tab w:val="clear" w:pos="360"/>
        </w:tabs>
        <w:suppressAutoHyphens/>
        <w:rPr>
          <w:kern w:val="22"/>
          <w:szCs w:val="22"/>
          <w:lang w:val="fr-FR"/>
        </w:rPr>
      </w:pPr>
      <w:bookmarkStart w:id="3" w:name="_Hlk33447232"/>
      <w:r w:rsidRPr="007F4665">
        <w:rPr>
          <w:kern w:val="22"/>
          <w:szCs w:val="22"/>
          <w:lang w:val="fr-FR"/>
        </w:rPr>
        <w:t>Dans le contexte de ce</w:t>
      </w:r>
      <w:r w:rsidR="005F0518">
        <w:rPr>
          <w:kern w:val="22"/>
          <w:szCs w:val="22"/>
          <w:lang w:val="fr-FR"/>
        </w:rPr>
        <w:t>tte composante</w:t>
      </w:r>
      <w:r w:rsidRPr="007F4665">
        <w:rPr>
          <w:kern w:val="22"/>
          <w:szCs w:val="22"/>
          <w:lang w:val="fr-FR"/>
        </w:rPr>
        <w:t>, la gestion des connaissances englobe une série de processus, de stratégies et de pratiques par lesquels les connaissances, les informations et les données relatives à la biodiversité sont générées, découvertes et collectées, organisées/conservées, stockées, partagées et utilisées/appliquées pour atteindre les objectifs et les résultats liés à la biodiversité. Ces objectifs peuvent comprendre l'élaboration de politiques, la prise de décisions, la planification et la mise en œuvre en connaissance</w:t>
      </w:r>
      <w:r w:rsidR="00C15AA2">
        <w:rPr>
          <w:kern w:val="22"/>
          <w:szCs w:val="22"/>
          <w:lang w:val="fr-FR"/>
        </w:rPr>
        <w:t xml:space="preserve">, </w:t>
      </w:r>
      <w:r w:rsidRPr="007F4665">
        <w:rPr>
          <w:kern w:val="22"/>
          <w:szCs w:val="22"/>
          <w:lang w:val="fr-FR"/>
        </w:rPr>
        <w:t xml:space="preserve">l'apprentissage organisationnel continu par la collecte et le partage des meilleures pratiques </w:t>
      </w:r>
      <w:r w:rsidR="005C0B09">
        <w:rPr>
          <w:kern w:val="22"/>
          <w:szCs w:val="22"/>
          <w:lang w:val="fr-FR"/>
        </w:rPr>
        <w:t xml:space="preserve">ainsi que </w:t>
      </w:r>
      <w:r w:rsidRPr="007F4665">
        <w:rPr>
          <w:kern w:val="22"/>
          <w:szCs w:val="22"/>
          <w:lang w:val="fr-FR"/>
        </w:rPr>
        <w:t xml:space="preserve">des enseignements tirés des </w:t>
      </w:r>
      <w:r w:rsidR="00C15AA2">
        <w:rPr>
          <w:kern w:val="22"/>
          <w:szCs w:val="22"/>
          <w:lang w:val="fr-FR"/>
        </w:rPr>
        <w:t xml:space="preserve">évènements </w:t>
      </w:r>
      <w:r w:rsidRPr="007F4665">
        <w:rPr>
          <w:kern w:val="22"/>
          <w:szCs w:val="22"/>
          <w:lang w:val="fr-FR"/>
        </w:rPr>
        <w:t xml:space="preserve">passés afin d'informer ou d'améliorer les </w:t>
      </w:r>
      <w:r w:rsidR="00C15AA2">
        <w:rPr>
          <w:kern w:val="22"/>
          <w:szCs w:val="22"/>
          <w:lang w:val="fr-FR"/>
        </w:rPr>
        <w:t>évènements</w:t>
      </w:r>
      <w:r w:rsidRPr="007F4665">
        <w:rPr>
          <w:kern w:val="22"/>
          <w:szCs w:val="22"/>
          <w:lang w:val="fr-FR"/>
        </w:rPr>
        <w:t xml:space="preserve"> futur</w:t>
      </w:r>
      <w:r w:rsidR="00C15AA2">
        <w:rPr>
          <w:kern w:val="22"/>
          <w:szCs w:val="22"/>
          <w:lang w:val="fr-FR"/>
        </w:rPr>
        <w:t>s</w:t>
      </w:r>
      <w:r w:rsidRPr="007F4665">
        <w:rPr>
          <w:kern w:val="22"/>
          <w:szCs w:val="22"/>
          <w:lang w:val="fr-FR"/>
        </w:rPr>
        <w:t>.</w:t>
      </w:r>
    </w:p>
    <w:p w14:paraId="47B63A26" w14:textId="5FC3F283" w:rsidR="008F4690" w:rsidRPr="007F4665" w:rsidRDefault="005A6910" w:rsidP="001F4589">
      <w:pPr>
        <w:pStyle w:val="Para1"/>
        <w:numPr>
          <w:ilvl w:val="0"/>
          <w:numId w:val="10"/>
        </w:numPr>
        <w:suppressLineNumbers/>
        <w:tabs>
          <w:tab w:val="clear" w:pos="360"/>
        </w:tabs>
        <w:suppressAutoHyphens/>
        <w:rPr>
          <w:kern w:val="22"/>
          <w:szCs w:val="22"/>
          <w:lang w:val="fr-FR"/>
        </w:rPr>
      </w:pPr>
      <w:r w:rsidRPr="007F4665">
        <w:rPr>
          <w:rFonts w:eastAsia="Malgun Gothic"/>
          <w:kern w:val="22"/>
          <w:lang w:val="fr-FR"/>
        </w:rPr>
        <w:t xml:space="preserve">La composante gestion des connaissances utilise les descriptions de travail </w:t>
      </w:r>
      <w:r w:rsidR="00B80EE0">
        <w:rPr>
          <w:rFonts w:eastAsia="Malgun Gothic"/>
          <w:kern w:val="22"/>
          <w:lang w:val="fr-FR"/>
        </w:rPr>
        <w:t>suivants</w:t>
      </w:r>
      <w:r w:rsidRPr="007F4665">
        <w:rPr>
          <w:rFonts w:eastAsia="Malgun Gothic"/>
          <w:kern w:val="22"/>
          <w:lang w:val="fr-FR"/>
        </w:rPr>
        <w:t xml:space="preserve"> basées sur la </w:t>
      </w:r>
      <w:r w:rsidR="00C15AA2">
        <w:rPr>
          <w:rFonts w:eastAsia="Malgun Gothic"/>
          <w:kern w:val="22"/>
          <w:lang w:val="fr-FR"/>
        </w:rPr>
        <w:t>chaîne</w:t>
      </w:r>
      <w:r w:rsidR="00FE3FE5">
        <w:rPr>
          <w:rStyle w:val="FootnoteReference"/>
          <w:rFonts w:eastAsia="Malgun Gothic"/>
          <w:kern w:val="22"/>
          <w:lang w:val="fr-FR"/>
        </w:rPr>
        <w:footnoteReference w:id="6"/>
      </w:r>
      <w:r w:rsidRPr="007F4665">
        <w:rPr>
          <w:rFonts w:eastAsia="Malgun Gothic"/>
          <w:kern w:val="22"/>
          <w:lang w:val="fr-FR"/>
        </w:rPr>
        <w:t xml:space="preserve"> des données, </w:t>
      </w:r>
      <w:r w:rsidR="00C15AA2">
        <w:rPr>
          <w:rFonts w:eastAsia="Malgun Gothic"/>
          <w:kern w:val="22"/>
          <w:lang w:val="fr-FR"/>
        </w:rPr>
        <w:t>de l’</w:t>
      </w:r>
      <w:r w:rsidRPr="007F4665">
        <w:rPr>
          <w:rFonts w:eastAsia="Malgun Gothic"/>
          <w:kern w:val="22"/>
          <w:lang w:val="fr-FR"/>
        </w:rPr>
        <w:t xml:space="preserve">informations, </w:t>
      </w:r>
      <w:r w:rsidR="00C15AA2">
        <w:rPr>
          <w:rFonts w:eastAsia="Malgun Gothic"/>
          <w:kern w:val="22"/>
          <w:lang w:val="fr-FR"/>
        </w:rPr>
        <w:t xml:space="preserve">des </w:t>
      </w:r>
      <w:r w:rsidRPr="007F4665">
        <w:rPr>
          <w:rFonts w:eastAsia="Malgun Gothic"/>
          <w:kern w:val="22"/>
          <w:lang w:val="fr-FR"/>
        </w:rPr>
        <w:t xml:space="preserve">connaissances et </w:t>
      </w:r>
      <w:r w:rsidR="00C15AA2">
        <w:rPr>
          <w:rFonts w:eastAsia="Malgun Gothic"/>
          <w:kern w:val="22"/>
          <w:lang w:val="fr-FR"/>
        </w:rPr>
        <w:t>de la s</w:t>
      </w:r>
      <w:r w:rsidRPr="007F4665">
        <w:rPr>
          <w:rFonts w:eastAsia="Malgun Gothic"/>
          <w:kern w:val="22"/>
          <w:lang w:val="fr-FR"/>
        </w:rPr>
        <w:t xml:space="preserve">agesse (DIKW) (voir </w:t>
      </w:r>
      <w:r w:rsidR="00C15AA2">
        <w:rPr>
          <w:rFonts w:eastAsia="Malgun Gothic"/>
          <w:kern w:val="22"/>
          <w:lang w:val="fr-FR"/>
        </w:rPr>
        <w:t xml:space="preserve">la </w:t>
      </w:r>
      <w:r w:rsidR="00E07211">
        <w:rPr>
          <w:rFonts w:eastAsia="Malgun Gothic"/>
          <w:kern w:val="22"/>
          <w:lang w:val="fr-FR"/>
        </w:rPr>
        <w:t>F</w:t>
      </w:r>
      <w:r w:rsidRPr="007F4665">
        <w:rPr>
          <w:rFonts w:eastAsia="Malgun Gothic"/>
          <w:kern w:val="22"/>
          <w:lang w:val="fr-FR"/>
        </w:rPr>
        <w:t>igure 1 ci-dessous) :</w:t>
      </w:r>
    </w:p>
    <w:p w14:paraId="3B9720B4" w14:textId="75FB3B3C" w:rsidR="005A6910" w:rsidRPr="007F4665" w:rsidRDefault="005A6910" w:rsidP="001F4589">
      <w:pPr>
        <w:pStyle w:val="Para1"/>
        <w:numPr>
          <w:ilvl w:val="1"/>
          <w:numId w:val="10"/>
        </w:numPr>
        <w:suppressLineNumbers/>
        <w:suppressAutoHyphens/>
        <w:rPr>
          <w:kern w:val="22"/>
          <w:szCs w:val="22"/>
          <w:lang w:val="fr-FR"/>
        </w:rPr>
      </w:pPr>
      <w:r w:rsidRPr="007F4665">
        <w:rPr>
          <w:kern w:val="22"/>
          <w:szCs w:val="22"/>
          <w:lang w:val="fr-FR"/>
        </w:rPr>
        <w:t xml:space="preserve">Les données sont des chiffres bruts, des faits ou des produits d'observations qui n'ont souvent aucune signification en soi tant qu'ils ne sont pas organisés, traités et interprétés ; </w:t>
      </w:r>
    </w:p>
    <w:p w14:paraId="55668394" w14:textId="288AC111" w:rsidR="005A6910" w:rsidRPr="007F4665" w:rsidRDefault="005A6910" w:rsidP="001F4589">
      <w:pPr>
        <w:pStyle w:val="Para1"/>
        <w:numPr>
          <w:ilvl w:val="1"/>
          <w:numId w:val="10"/>
        </w:numPr>
        <w:suppressLineNumbers/>
        <w:suppressAutoHyphens/>
        <w:rPr>
          <w:kern w:val="22"/>
          <w:szCs w:val="22"/>
          <w:lang w:val="fr-FR"/>
        </w:rPr>
      </w:pPr>
      <w:r w:rsidRPr="007F4665">
        <w:rPr>
          <w:kern w:val="22"/>
          <w:szCs w:val="22"/>
          <w:lang w:val="fr-FR"/>
        </w:rPr>
        <w:t>Les informations peuvent être qualifiées de données organisées, structurées, traitées et contextualisées, ce qui les rend significatives, utiles et pertinentes pour une finalité ou un contexte spécifique</w:t>
      </w:r>
      <w:r w:rsidR="00C15AA2">
        <w:rPr>
          <w:kern w:val="22"/>
          <w:szCs w:val="22"/>
          <w:lang w:val="fr-FR"/>
        </w:rPr>
        <w:t> ;</w:t>
      </w:r>
    </w:p>
    <w:p w14:paraId="510611B6" w14:textId="77777777" w:rsidR="005C1F0C" w:rsidRPr="007F4665" w:rsidRDefault="005A6910" w:rsidP="005C1F0C">
      <w:pPr>
        <w:pStyle w:val="Para1"/>
        <w:numPr>
          <w:ilvl w:val="1"/>
          <w:numId w:val="10"/>
        </w:numPr>
        <w:suppressLineNumbers/>
        <w:suppressAutoHyphens/>
        <w:rPr>
          <w:kern w:val="22"/>
          <w:szCs w:val="22"/>
          <w:lang w:val="fr-FR"/>
        </w:rPr>
      </w:pPr>
      <w:r w:rsidRPr="007F4665">
        <w:rPr>
          <w:kern w:val="22"/>
          <w:szCs w:val="22"/>
          <w:lang w:val="fr-FR"/>
        </w:rPr>
        <w:t>La connaissance désigne les informations qui sont transformées par un traitement cognitif, une réflexion et une application aboutissant à une prise de conscience ou à une compréhension par des individus ou des communautés dans un but spécifique ou dans un contexte donné. La connaissance peut être acquise par l'apprentissage, l'expérience ou la pratique ;</w:t>
      </w:r>
    </w:p>
    <w:p w14:paraId="34D1A320" w14:textId="714DC5E5" w:rsidR="005C1F0C" w:rsidRPr="007F4665" w:rsidRDefault="005C0B09" w:rsidP="005C1F0C">
      <w:pPr>
        <w:pStyle w:val="Para1"/>
        <w:numPr>
          <w:ilvl w:val="1"/>
          <w:numId w:val="10"/>
        </w:numPr>
        <w:suppressLineNumbers/>
        <w:suppressAutoHyphens/>
        <w:rPr>
          <w:kern w:val="22"/>
          <w:szCs w:val="22"/>
          <w:lang w:val="fr-FR"/>
        </w:rPr>
      </w:pPr>
      <w:r>
        <w:rPr>
          <w:kern w:val="22"/>
          <w:lang w:val="fr-FR"/>
        </w:rPr>
        <w:t>La sagesse se rapporte à l’intuition et à la perspicacité humaines basées sur l’application répétée de</w:t>
      </w:r>
      <w:r w:rsidR="006270CA">
        <w:rPr>
          <w:kern w:val="22"/>
          <w:lang w:val="fr-FR"/>
        </w:rPr>
        <w:t>s</w:t>
      </w:r>
      <w:r>
        <w:rPr>
          <w:kern w:val="22"/>
          <w:lang w:val="fr-FR"/>
        </w:rPr>
        <w:t xml:space="preserve"> connaissances </w:t>
      </w:r>
      <w:r w:rsidR="006270CA">
        <w:rPr>
          <w:kern w:val="22"/>
          <w:lang w:val="fr-FR"/>
        </w:rPr>
        <w:t xml:space="preserve">ainsi que sur les </w:t>
      </w:r>
      <w:r>
        <w:rPr>
          <w:kern w:val="22"/>
          <w:lang w:val="fr-FR"/>
        </w:rPr>
        <w:t xml:space="preserve">années d’expérience. La sagesse est souvent codifiée en croyances, traditions, philosophies et principes. </w:t>
      </w:r>
      <w:r w:rsidR="0070368A">
        <w:rPr>
          <w:kern w:val="22"/>
          <w:lang w:val="fr-FR"/>
        </w:rPr>
        <w:t xml:space="preserve">Une grande partie de la connaissance traditionnelle des peuples autochtones et des communautés locales pourraient être considérées comme de la « sagesse ». </w:t>
      </w:r>
    </w:p>
    <w:p w14:paraId="2D031BB0" w14:textId="7BA49A7B" w:rsidR="00292964" w:rsidRPr="00E07211" w:rsidRDefault="00292964" w:rsidP="006D4A4F">
      <w:pPr>
        <w:pStyle w:val="Para1"/>
        <w:numPr>
          <w:ilvl w:val="0"/>
          <w:numId w:val="0"/>
        </w:numPr>
        <w:suppressLineNumbers/>
        <w:suppressAutoHyphens/>
        <w:jc w:val="center"/>
        <w:rPr>
          <w:b/>
          <w:bCs/>
          <w:kern w:val="22"/>
          <w:szCs w:val="22"/>
          <w:lang w:val="fr-FR"/>
        </w:rPr>
      </w:pPr>
      <w:r w:rsidRPr="00E07211">
        <w:rPr>
          <w:b/>
          <w:bCs/>
          <w:kern w:val="22"/>
          <w:lang w:val="fr-FR"/>
        </w:rPr>
        <w:t>Figure</w:t>
      </w:r>
      <w:r w:rsidR="00E07211">
        <w:rPr>
          <w:b/>
          <w:bCs/>
          <w:kern w:val="22"/>
          <w:lang w:val="fr-FR"/>
        </w:rPr>
        <w:t xml:space="preserve">. </w:t>
      </w:r>
      <w:r w:rsidR="00450A4E" w:rsidRPr="00E07211">
        <w:rPr>
          <w:b/>
          <w:bCs/>
          <w:kern w:val="22"/>
          <w:lang w:val="fr-FR"/>
        </w:rPr>
        <w:t>La chaîne de valeur DIKW</w:t>
      </w:r>
    </w:p>
    <w:p w14:paraId="22EE74D1" w14:textId="77777777" w:rsidR="00360DB6" w:rsidRDefault="002A2096" w:rsidP="00360DB6">
      <w:pPr>
        <w:pStyle w:val="CBD-Para"/>
        <w:keepLines w:val="0"/>
        <w:widowControl w:val="0"/>
        <w:numPr>
          <w:ilvl w:val="0"/>
          <w:numId w:val="0"/>
        </w:numPr>
        <w:spacing w:before="240" w:after="240"/>
        <w:jc w:val="center"/>
        <w:rPr>
          <w:i/>
          <w:iCs/>
          <w:kern w:val="22"/>
          <w:lang w:val="fr-FR"/>
        </w:rPr>
      </w:pPr>
      <w:r w:rsidRPr="007F4665">
        <w:rPr>
          <w:noProof/>
          <w:kern w:val="22"/>
          <w:lang w:val="fr-FR"/>
        </w:rPr>
        <w:drawing>
          <wp:inline distT="0" distB="0" distL="0" distR="0" wp14:anchorId="41DE5A8D" wp14:editId="55DB0458">
            <wp:extent cx="3929975" cy="2066666"/>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6"/>
                    <a:stretch>
                      <a:fillRect/>
                    </a:stretch>
                  </pic:blipFill>
                  <pic:spPr bwMode="auto">
                    <a:xfrm>
                      <a:off x="0" y="0"/>
                      <a:ext cx="4042625" cy="2125906"/>
                    </a:xfrm>
                    <a:prstGeom prst="rect">
                      <a:avLst/>
                    </a:prstGeom>
                    <a:noFill/>
                    <a:ln>
                      <a:noFill/>
                    </a:ln>
                  </pic:spPr>
                </pic:pic>
              </a:graphicData>
            </a:graphic>
          </wp:inline>
        </w:drawing>
      </w:r>
    </w:p>
    <w:p w14:paraId="6FC064E5" w14:textId="52265096" w:rsidR="00CF3687" w:rsidRPr="007F4665" w:rsidRDefault="00CF3687" w:rsidP="00360DB6">
      <w:pPr>
        <w:pStyle w:val="CBD-Para"/>
        <w:keepLines w:val="0"/>
        <w:widowControl w:val="0"/>
        <w:numPr>
          <w:ilvl w:val="0"/>
          <w:numId w:val="0"/>
        </w:numPr>
        <w:spacing w:before="240" w:after="240"/>
        <w:jc w:val="center"/>
        <w:rPr>
          <w:i/>
          <w:iCs/>
          <w:kern w:val="22"/>
          <w:lang w:val="fr-FR"/>
        </w:rPr>
      </w:pPr>
      <w:r w:rsidRPr="007F4665">
        <w:rPr>
          <w:i/>
          <w:iCs/>
          <w:kern w:val="22"/>
          <w:lang w:val="fr-FR"/>
        </w:rPr>
        <w:t>Source</w:t>
      </w:r>
      <w:r w:rsidR="00450A4E">
        <w:rPr>
          <w:i/>
          <w:iCs/>
          <w:kern w:val="22"/>
          <w:lang w:val="fr-FR"/>
        </w:rPr>
        <w:t xml:space="preserve"> </w:t>
      </w:r>
      <w:r w:rsidRPr="007F4665">
        <w:rPr>
          <w:i/>
          <w:iCs/>
          <w:kern w:val="22"/>
          <w:lang w:val="fr-FR"/>
        </w:rPr>
        <w:t>:</w:t>
      </w:r>
      <w:r w:rsidR="003E6CD8" w:rsidRPr="007F4665">
        <w:rPr>
          <w:kern w:val="22"/>
          <w:lang w:val="fr-FR"/>
        </w:rPr>
        <w:t xml:space="preserve"> </w:t>
      </w:r>
      <w:hyperlink r:id="rId17" w:history="1">
        <w:r w:rsidR="003F400E" w:rsidRPr="007F4665">
          <w:rPr>
            <w:rStyle w:val="Hyperlink"/>
            <w:i/>
            <w:iCs/>
            <w:kern w:val="22"/>
            <w:sz w:val="22"/>
            <w:lang w:val="fr-FR"/>
          </w:rPr>
          <w:t>https://academic.oup.com/jas/article/97/5/1921/5382308</w:t>
        </w:r>
      </w:hyperlink>
    </w:p>
    <w:p w14:paraId="26C197A8" w14:textId="5675AEB0" w:rsidR="001D464B" w:rsidRPr="007F4665" w:rsidRDefault="00C15AA2" w:rsidP="001F4589">
      <w:pPr>
        <w:pStyle w:val="Para1"/>
        <w:numPr>
          <w:ilvl w:val="0"/>
          <w:numId w:val="10"/>
        </w:numPr>
        <w:suppressLineNumbers/>
        <w:tabs>
          <w:tab w:val="clear" w:pos="360"/>
        </w:tabs>
        <w:suppressAutoHyphens/>
        <w:rPr>
          <w:kern w:val="22"/>
          <w:szCs w:val="22"/>
          <w:lang w:val="fr-FR"/>
        </w:rPr>
      </w:pPr>
      <w:r>
        <w:rPr>
          <w:kern w:val="22"/>
          <w:szCs w:val="22"/>
          <w:lang w:val="fr-FR"/>
        </w:rPr>
        <w:lastRenderedPageBreak/>
        <w:t xml:space="preserve">D’après les définitions ci-dessus, il est clair </w:t>
      </w:r>
      <w:r w:rsidR="00463216" w:rsidRPr="007F4665">
        <w:rPr>
          <w:kern w:val="22"/>
          <w:szCs w:val="22"/>
          <w:lang w:val="fr-FR"/>
        </w:rPr>
        <w:t>que la composante gestion des connaissances englobe la gestion des données, la gestion de l'information et d'autres disciplines et pratiques connexes telles que la gestion des dossiers, la gestion des documents</w:t>
      </w:r>
      <w:r w:rsidR="00E07211">
        <w:rPr>
          <w:kern w:val="22"/>
          <w:szCs w:val="22"/>
          <w:lang w:val="fr-FR"/>
        </w:rPr>
        <w:t xml:space="preserve"> ainsi que </w:t>
      </w:r>
      <w:r w:rsidR="00463216" w:rsidRPr="007F4665">
        <w:rPr>
          <w:kern w:val="22"/>
          <w:szCs w:val="22"/>
          <w:lang w:val="fr-FR"/>
        </w:rPr>
        <w:t>la gestion des contenus. Bien que ces termes soient parfois utilisés de manière interchangeable, il est important de reconnaître que dans le contexte de cette composante, toutes ces activités sont des éléments constitutifs qui contribuent aux différentes étapes du cycle de gestion des connaissances.</w:t>
      </w:r>
    </w:p>
    <w:p w14:paraId="5FC1FCE2" w14:textId="5DB051C3" w:rsidR="001D464B" w:rsidRPr="007F4665" w:rsidRDefault="00463216" w:rsidP="001F4589">
      <w:pPr>
        <w:pStyle w:val="Para1"/>
        <w:numPr>
          <w:ilvl w:val="0"/>
          <w:numId w:val="10"/>
        </w:numPr>
        <w:suppressLineNumbers/>
        <w:tabs>
          <w:tab w:val="clear" w:pos="360"/>
        </w:tabs>
        <w:suppressAutoHyphens/>
        <w:rPr>
          <w:kern w:val="22"/>
          <w:szCs w:val="22"/>
          <w:lang w:val="fr-FR"/>
        </w:rPr>
      </w:pPr>
      <w:r w:rsidRPr="007F4665">
        <w:rPr>
          <w:kern w:val="22"/>
          <w:szCs w:val="22"/>
          <w:lang w:val="fr-FR"/>
        </w:rPr>
        <w:t>L</w:t>
      </w:r>
      <w:r w:rsidR="00C15AA2">
        <w:rPr>
          <w:kern w:val="22"/>
          <w:szCs w:val="22"/>
          <w:lang w:val="fr-FR"/>
        </w:rPr>
        <w:t xml:space="preserve">a composante </w:t>
      </w:r>
      <w:r w:rsidRPr="007F4665">
        <w:rPr>
          <w:kern w:val="22"/>
          <w:szCs w:val="22"/>
          <w:lang w:val="fr-FR"/>
        </w:rPr>
        <w:t>gestion des connaissances</w:t>
      </w:r>
      <w:r w:rsidR="00C15AA2">
        <w:rPr>
          <w:kern w:val="22"/>
          <w:szCs w:val="22"/>
          <w:lang w:val="fr-FR"/>
        </w:rPr>
        <w:t xml:space="preserve"> </w:t>
      </w:r>
      <w:r w:rsidRPr="007F4665">
        <w:rPr>
          <w:kern w:val="22"/>
          <w:szCs w:val="22"/>
          <w:lang w:val="fr-FR"/>
        </w:rPr>
        <w:t xml:space="preserve">complète les stratégies et les mécanismes déjà en place ou en cours d'élaboration pour soutenir la mise en œuvre du cadre mondial </w:t>
      </w:r>
      <w:r w:rsidR="00C15AA2">
        <w:rPr>
          <w:kern w:val="22"/>
          <w:szCs w:val="22"/>
          <w:lang w:val="fr-FR"/>
        </w:rPr>
        <w:t xml:space="preserve">de </w:t>
      </w:r>
      <w:r w:rsidRPr="007F4665">
        <w:rPr>
          <w:kern w:val="22"/>
          <w:szCs w:val="22"/>
          <w:lang w:val="fr-FR"/>
        </w:rPr>
        <w:t xml:space="preserve">la biodiversité </w:t>
      </w:r>
      <w:r w:rsidR="00C15AA2">
        <w:rPr>
          <w:kern w:val="22"/>
          <w:szCs w:val="22"/>
          <w:lang w:val="fr-FR"/>
        </w:rPr>
        <w:t>pour l’</w:t>
      </w:r>
      <w:r w:rsidRPr="007F4665">
        <w:rPr>
          <w:kern w:val="22"/>
          <w:szCs w:val="22"/>
          <w:lang w:val="fr-FR"/>
        </w:rPr>
        <w:t>après</w:t>
      </w:r>
      <w:r w:rsidR="00C15AA2">
        <w:rPr>
          <w:kern w:val="22"/>
          <w:szCs w:val="22"/>
          <w:lang w:val="fr-FR"/>
        </w:rPr>
        <w:t>-</w:t>
      </w:r>
      <w:r w:rsidRPr="007F4665">
        <w:rPr>
          <w:kern w:val="22"/>
          <w:szCs w:val="22"/>
          <w:lang w:val="fr-FR"/>
        </w:rPr>
        <w:t xml:space="preserve">2020. Il s'agit notamment du cadre pour une stratégie de communication mondiale, du cadre stratégique à long terme pour le développement des capacités, des propositions visant à renforcer la coopération technique et scientifique à l'appui du cadre mondial </w:t>
      </w:r>
      <w:r w:rsidR="00927647">
        <w:rPr>
          <w:kern w:val="22"/>
          <w:szCs w:val="22"/>
          <w:lang w:val="fr-FR"/>
        </w:rPr>
        <w:t>de</w:t>
      </w:r>
      <w:r w:rsidRPr="007F4665">
        <w:rPr>
          <w:kern w:val="22"/>
          <w:szCs w:val="22"/>
          <w:lang w:val="fr-FR"/>
        </w:rPr>
        <w:t xml:space="preserve"> la biodiversité </w:t>
      </w:r>
      <w:r w:rsidR="00927647">
        <w:rPr>
          <w:kern w:val="22"/>
          <w:szCs w:val="22"/>
          <w:lang w:val="fr-FR"/>
        </w:rPr>
        <w:t>pour l’après</w:t>
      </w:r>
      <w:r w:rsidRPr="007F4665">
        <w:rPr>
          <w:kern w:val="22"/>
          <w:szCs w:val="22"/>
          <w:lang w:val="fr-FR"/>
        </w:rPr>
        <w:t>-2020 et des mécanismes de compte rendu, d'évaluation et de réexamen de la mise en œuvre.</w:t>
      </w:r>
    </w:p>
    <w:p w14:paraId="2097A90D" w14:textId="4EF71FDB" w:rsidR="0022217D" w:rsidRPr="007F4665" w:rsidRDefault="00463216" w:rsidP="001F4589">
      <w:pPr>
        <w:pStyle w:val="Para1"/>
        <w:numPr>
          <w:ilvl w:val="0"/>
          <w:numId w:val="10"/>
        </w:numPr>
        <w:suppressLineNumbers/>
        <w:tabs>
          <w:tab w:val="clear" w:pos="360"/>
          <w:tab w:val="num" w:pos="720"/>
        </w:tabs>
        <w:suppressAutoHyphens/>
        <w:rPr>
          <w:kern w:val="22"/>
          <w:szCs w:val="22"/>
          <w:lang w:val="fr-FR"/>
        </w:rPr>
      </w:pPr>
      <w:r w:rsidRPr="007F4665">
        <w:rPr>
          <w:kern w:val="22"/>
          <w:szCs w:val="22"/>
          <w:lang w:val="fr-FR"/>
        </w:rPr>
        <w:t>Ce</w:t>
      </w:r>
      <w:r w:rsidR="00C41776">
        <w:rPr>
          <w:kern w:val="22"/>
          <w:szCs w:val="22"/>
          <w:lang w:val="fr-FR"/>
        </w:rPr>
        <w:t>tte composante</w:t>
      </w:r>
      <w:r w:rsidRPr="007F4665">
        <w:rPr>
          <w:kern w:val="22"/>
          <w:szCs w:val="22"/>
          <w:lang w:val="fr-FR"/>
        </w:rPr>
        <w:t xml:space="preserve"> couvre divers types de données, d'informations et de connaissances pertinentes pour la conservation et l'utilisation durable de la diversité biologique, allant des données et informations scientifiques, techniques, technologiques, juridiques et politiques aux informations et connaissances liées à la mise en œuvre, y compris des études de cas sur les expériences, les meilleures pratiques et les enseignements tirés de l'élaboration et de la mise en œuvre des politiques, plans et programmes nationaux </w:t>
      </w:r>
      <w:r w:rsidR="00C41776">
        <w:rPr>
          <w:kern w:val="22"/>
          <w:szCs w:val="22"/>
          <w:lang w:val="fr-FR"/>
        </w:rPr>
        <w:t>relatifs à la</w:t>
      </w:r>
      <w:r w:rsidRPr="007F4665">
        <w:rPr>
          <w:kern w:val="22"/>
          <w:szCs w:val="22"/>
          <w:lang w:val="fr-FR"/>
        </w:rPr>
        <w:t xml:space="preserve"> biodiversité. Elle comprend également les décisions, les recommandations et la documentation officielle créées par les conventions relatives à la biodiversité, les autres conventions de Rio et les processus connexes.</w:t>
      </w:r>
    </w:p>
    <w:p w14:paraId="5ABE99D5" w14:textId="0A98D5AF" w:rsidR="0022217D" w:rsidRPr="007F4665" w:rsidRDefault="004F2C9E" w:rsidP="001F4589">
      <w:pPr>
        <w:pStyle w:val="Para1"/>
        <w:numPr>
          <w:ilvl w:val="0"/>
          <w:numId w:val="10"/>
        </w:numPr>
        <w:suppressLineNumbers/>
        <w:tabs>
          <w:tab w:val="clear" w:pos="360"/>
          <w:tab w:val="num" w:pos="720"/>
        </w:tabs>
        <w:suppressAutoHyphens/>
        <w:rPr>
          <w:kern w:val="22"/>
          <w:szCs w:val="22"/>
          <w:lang w:val="fr-FR"/>
        </w:rPr>
      </w:pPr>
      <w:r>
        <w:rPr>
          <w:kern w:val="22"/>
          <w:lang w:val="fr-FR"/>
        </w:rPr>
        <w:t xml:space="preserve">La composante </w:t>
      </w:r>
      <w:r w:rsidR="00463216" w:rsidRPr="007F4665">
        <w:rPr>
          <w:kern w:val="22"/>
          <w:lang w:val="fr-FR"/>
        </w:rPr>
        <w:t>gestion des connaissances vise à améliorer l'interopérabilité, l'accessibilité et l'utilisation des systèmes, outils et mécanismes de gestion des informations et des connaissances pertinent</w:t>
      </w:r>
      <w:r w:rsidR="001E1F71">
        <w:rPr>
          <w:kern w:val="22"/>
          <w:lang w:val="fr-FR"/>
        </w:rPr>
        <w:t>e</w:t>
      </w:r>
      <w:r w:rsidR="00463216" w:rsidRPr="007F4665">
        <w:rPr>
          <w:kern w:val="22"/>
          <w:lang w:val="fr-FR"/>
        </w:rPr>
        <w:t xml:space="preserve">s pour soutenir le cadre mondial de la biodiversité </w:t>
      </w:r>
      <w:r>
        <w:rPr>
          <w:kern w:val="22"/>
          <w:lang w:val="fr-FR"/>
        </w:rPr>
        <w:t>pour l’après</w:t>
      </w:r>
      <w:r w:rsidR="00463216" w:rsidRPr="007F4665">
        <w:rPr>
          <w:kern w:val="22"/>
          <w:lang w:val="fr-FR"/>
        </w:rPr>
        <w:t xml:space="preserve">-2020. </w:t>
      </w:r>
      <w:r w:rsidR="00E07211">
        <w:rPr>
          <w:kern w:val="22"/>
          <w:lang w:val="fr-FR"/>
        </w:rPr>
        <w:t>Ces derniers comprennent</w:t>
      </w:r>
      <w:r w:rsidR="00F07DBD">
        <w:rPr>
          <w:kern w:val="22"/>
          <w:lang w:val="fr-FR"/>
        </w:rPr>
        <w:t xml:space="preserve">, </w:t>
      </w:r>
      <w:r w:rsidR="00463216" w:rsidRPr="007F4665">
        <w:rPr>
          <w:kern w:val="22"/>
          <w:lang w:val="fr-FR"/>
        </w:rPr>
        <w:t xml:space="preserve">mais pas exclusivement, des systèmes des conventions relatives à la biodiversité, y compris le mécanisme </w:t>
      </w:r>
      <w:r>
        <w:rPr>
          <w:kern w:val="22"/>
          <w:lang w:val="fr-FR"/>
        </w:rPr>
        <w:t>de centre d’</w:t>
      </w:r>
      <w:r w:rsidR="00463216" w:rsidRPr="007F4665">
        <w:rPr>
          <w:kern w:val="22"/>
          <w:lang w:val="fr-FR"/>
        </w:rPr>
        <w:t>échange de la Convention sur la diversité biologique, le Centre d'échange pour la prévention des risques biotechnologiques et le Centre d'échange pour l'accès et le partage des avantages</w:t>
      </w:r>
      <w:r w:rsidR="005170FB">
        <w:rPr>
          <w:kern w:val="22"/>
          <w:lang w:val="fr-FR"/>
        </w:rPr>
        <w:t xml:space="preserve"> ainsi que</w:t>
      </w:r>
      <w:r w:rsidR="00463216" w:rsidRPr="007F4665">
        <w:rPr>
          <w:kern w:val="22"/>
          <w:lang w:val="fr-FR"/>
        </w:rPr>
        <w:t xml:space="preserve"> le Service d'information </w:t>
      </w:r>
      <w:r>
        <w:rPr>
          <w:kern w:val="22"/>
          <w:lang w:val="fr-FR"/>
        </w:rPr>
        <w:t>des</w:t>
      </w:r>
      <w:r w:rsidR="00463216" w:rsidRPr="007F4665">
        <w:rPr>
          <w:kern w:val="22"/>
          <w:lang w:val="fr-FR"/>
        </w:rPr>
        <w:t xml:space="preserve"> sites Ramsar et la base de données commerciales de la CITES</w:t>
      </w:r>
      <w:r w:rsidR="00FE3FE5">
        <w:rPr>
          <w:rStyle w:val="FootnoteReference"/>
          <w:kern w:val="22"/>
          <w:lang w:val="fr-FR"/>
        </w:rPr>
        <w:footnoteReference w:id="7"/>
      </w:r>
      <w:r w:rsidR="00463216" w:rsidRPr="007F4665">
        <w:rPr>
          <w:kern w:val="22"/>
          <w:lang w:val="fr-FR"/>
        </w:rPr>
        <w:t xml:space="preserve">.  </w:t>
      </w:r>
      <w:r w:rsidR="005F0A33">
        <w:rPr>
          <w:kern w:val="22"/>
          <w:lang w:val="fr-FR"/>
        </w:rPr>
        <w:t>Nous pouvons également citer</w:t>
      </w:r>
      <w:r w:rsidR="00463216" w:rsidRPr="007F4665">
        <w:rPr>
          <w:kern w:val="22"/>
          <w:lang w:val="fr-FR"/>
        </w:rPr>
        <w:t xml:space="preserve"> le portail d'information des Nations unies sur les </w:t>
      </w:r>
      <w:r w:rsidR="005F0A33">
        <w:rPr>
          <w:kern w:val="22"/>
          <w:lang w:val="fr-FR"/>
        </w:rPr>
        <w:t>A</w:t>
      </w:r>
      <w:r w:rsidR="00463216" w:rsidRPr="007F4665">
        <w:rPr>
          <w:kern w:val="22"/>
          <w:lang w:val="fr-FR"/>
        </w:rPr>
        <w:t>ccords environnementaux multilatéraux (</w:t>
      </w:r>
      <w:proofErr w:type="spellStart"/>
      <w:r w:rsidR="00463216" w:rsidRPr="007F4665">
        <w:rPr>
          <w:kern w:val="22"/>
          <w:lang w:val="fr-FR"/>
        </w:rPr>
        <w:t>InforMEA</w:t>
      </w:r>
      <w:proofErr w:type="spellEnd"/>
      <w:r w:rsidR="00463216" w:rsidRPr="007F4665">
        <w:rPr>
          <w:kern w:val="22"/>
          <w:lang w:val="fr-FR"/>
        </w:rPr>
        <w:t>)</w:t>
      </w:r>
      <w:r w:rsidR="00FE3FE5">
        <w:rPr>
          <w:rStyle w:val="FootnoteReference"/>
          <w:kern w:val="22"/>
          <w:lang w:val="fr-FR"/>
        </w:rPr>
        <w:footnoteReference w:id="8"/>
      </w:r>
      <w:r w:rsidR="00463216" w:rsidRPr="007F4665">
        <w:rPr>
          <w:kern w:val="22"/>
          <w:lang w:val="fr-FR"/>
        </w:rPr>
        <w:t>,</w:t>
      </w:r>
      <w:r w:rsidR="005F0A33">
        <w:rPr>
          <w:kern w:val="22"/>
          <w:lang w:val="fr-FR"/>
        </w:rPr>
        <w:t xml:space="preserve"> </w:t>
      </w:r>
      <w:r w:rsidR="00463216" w:rsidRPr="007F4665">
        <w:rPr>
          <w:kern w:val="22"/>
          <w:lang w:val="fr-FR"/>
        </w:rPr>
        <w:t>l'Union internationale pour la conservation de la nature (UICN)</w:t>
      </w:r>
      <w:r w:rsidR="00FE3FE5">
        <w:rPr>
          <w:rStyle w:val="FootnoteReference"/>
          <w:kern w:val="22"/>
          <w:lang w:val="fr-FR"/>
        </w:rPr>
        <w:footnoteReference w:id="9"/>
      </w:r>
      <w:r w:rsidR="00463216" w:rsidRPr="007F4665">
        <w:rPr>
          <w:kern w:val="22"/>
          <w:lang w:val="fr-FR"/>
        </w:rPr>
        <w:t>, le laboratoire des Nations unies sur la biodiversité</w:t>
      </w:r>
      <w:r w:rsidR="00FE3FE5">
        <w:rPr>
          <w:rStyle w:val="FootnoteReference"/>
          <w:kern w:val="22"/>
          <w:lang w:val="fr-FR"/>
        </w:rPr>
        <w:footnoteReference w:id="10"/>
      </w:r>
      <w:r w:rsidR="00463216" w:rsidRPr="007F4665">
        <w:rPr>
          <w:kern w:val="22"/>
          <w:lang w:val="fr-FR"/>
        </w:rPr>
        <w:t xml:space="preserve">, la base de données mondiale sur les </w:t>
      </w:r>
      <w:r w:rsidR="005F0A33">
        <w:rPr>
          <w:kern w:val="22"/>
          <w:lang w:val="fr-FR"/>
        </w:rPr>
        <w:t>aires</w:t>
      </w:r>
      <w:r w:rsidR="00463216" w:rsidRPr="007F4665">
        <w:rPr>
          <w:kern w:val="22"/>
          <w:lang w:val="fr-FR"/>
        </w:rPr>
        <w:t xml:space="preserve"> protégées (WDPA), la base de données mondiale sur l'efficacité de la gestion des</w:t>
      </w:r>
      <w:r w:rsidR="005F0A33">
        <w:rPr>
          <w:kern w:val="22"/>
          <w:lang w:val="fr-FR"/>
        </w:rPr>
        <w:t xml:space="preserve"> aires</w:t>
      </w:r>
      <w:r w:rsidR="00463216" w:rsidRPr="007F4665">
        <w:rPr>
          <w:kern w:val="22"/>
          <w:lang w:val="fr-FR"/>
        </w:rPr>
        <w:t xml:space="preserve"> protégées (GDPAME), le registre des </w:t>
      </w:r>
      <w:r w:rsidR="003A12CE">
        <w:rPr>
          <w:kern w:val="22"/>
          <w:lang w:val="fr-FR"/>
        </w:rPr>
        <w:t>aires</w:t>
      </w:r>
      <w:r w:rsidR="00463216" w:rsidRPr="007F4665">
        <w:rPr>
          <w:kern w:val="22"/>
          <w:lang w:val="fr-FR"/>
        </w:rPr>
        <w:t xml:space="preserve"> </w:t>
      </w:r>
      <w:r w:rsidR="00C56620">
        <w:rPr>
          <w:kern w:val="22"/>
          <w:lang w:val="fr-FR"/>
        </w:rPr>
        <w:t>du patrimoine autochtone et communautaire</w:t>
      </w:r>
      <w:r w:rsidR="00463216" w:rsidRPr="007F4665">
        <w:rPr>
          <w:kern w:val="22"/>
          <w:lang w:val="fr-FR"/>
        </w:rPr>
        <w:t xml:space="preserve"> (registre </w:t>
      </w:r>
      <w:r w:rsidR="003A12CE">
        <w:rPr>
          <w:kern w:val="22"/>
          <w:lang w:val="fr-FR"/>
        </w:rPr>
        <w:t>APAC</w:t>
      </w:r>
      <w:r w:rsidR="00463216" w:rsidRPr="007F4665">
        <w:rPr>
          <w:kern w:val="22"/>
          <w:lang w:val="fr-FR"/>
        </w:rPr>
        <w:t>)</w:t>
      </w:r>
      <w:r w:rsidR="00FE3FE5">
        <w:rPr>
          <w:rStyle w:val="FootnoteReference"/>
          <w:kern w:val="22"/>
          <w:lang w:val="fr-FR"/>
        </w:rPr>
        <w:footnoteReference w:id="11"/>
      </w:r>
      <w:r w:rsidR="00463216" w:rsidRPr="007F4665">
        <w:rPr>
          <w:kern w:val="22"/>
          <w:lang w:val="fr-FR"/>
        </w:rPr>
        <w:t>, etc.</w:t>
      </w:r>
      <w:r w:rsidR="00FE3FE5">
        <w:rPr>
          <w:rStyle w:val="FootnoteReference"/>
          <w:kern w:val="22"/>
          <w:lang w:val="fr-FR"/>
        </w:rPr>
        <w:footnoteReference w:id="12"/>
      </w:r>
    </w:p>
    <w:p w14:paraId="669D2AEF" w14:textId="5DBE4B2C" w:rsidR="002C6686" w:rsidRPr="00B97567" w:rsidRDefault="003A12CE" w:rsidP="001F4589">
      <w:pPr>
        <w:pStyle w:val="Para1"/>
        <w:numPr>
          <w:ilvl w:val="0"/>
          <w:numId w:val="10"/>
        </w:numPr>
        <w:suppressLineNumbers/>
        <w:tabs>
          <w:tab w:val="clear" w:pos="360"/>
          <w:tab w:val="num" w:pos="720"/>
        </w:tabs>
        <w:suppressAutoHyphens/>
        <w:rPr>
          <w:kern w:val="22"/>
          <w:szCs w:val="22"/>
          <w:lang w:val="fr-FR"/>
        </w:rPr>
      </w:pPr>
      <w:r>
        <w:rPr>
          <w:kern w:val="22"/>
          <w:lang w:val="fr-FR"/>
        </w:rPr>
        <w:t>La composante gestion</w:t>
      </w:r>
      <w:r w:rsidR="00463216" w:rsidRPr="007F4665">
        <w:rPr>
          <w:kern w:val="22"/>
          <w:lang w:val="fr-FR"/>
        </w:rPr>
        <w:t xml:space="preserve"> des connaissances propose également des actions visant à favoriser la coordination, la collaboration et la complémentarité entre diverses initiatives et institutions soutenant la production, la saisie, la gestion et l'utilisation de données, d'informations et de connaissances relatives à la biodiversité et à encourager les fournisseurs de données mondiales à soutenir les acteurs nationaux et les systèmes statistiques nationaux, qui sont essentiels au suivi national. </w:t>
      </w:r>
      <w:r>
        <w:rPr>
          <w:kern w:val="22"/>
          <w:lang w:val="fr-FR"/>
        </w:rPr>
        <w:t>Nous retrouvons :</w:t>
      </w:r>
      <w:r w:rsidR="00F07DBD">
        <w:rPr>
          <w:kern w:val="22"/>
          <w:lang w:val="fr-FR"/>
        </w:rPr>
        <w:t xml:space="preserve"> </w:t>
      </w:r>
      <w:r w:rsidR="00463216" w:rsidRPr="007F4665">
        <w:rPr>
          <w:kern w:val="22"/>
          <w:lang w:val="fr-FR"/>
        </w:rPr>
        <w:t>le Centre</w:t>
      </w:r>
      <w:r>
        <w:rPr>
          <w:kern w:val="22"/>
          <w:lang w:val="fr-FR"/>
        </w:rPr>
        <w:t xml:space="preserve"> </w:t>
      </w:r>
      <w:r w:rsidR="00463216" w:rsidRPr="007F4665">
        <w:rPr>
          <w:kern w:val="22"/>
          <w:lang w:val="fr-FR"/>
        </w:rPr>
        <w:t xml:space="preserve">de surveillance de la conservation </w:t>
      </w:r>
      <w:r>
        <w:rPr>
          <w:kern w:val="22"/>
          <w:lang w:val="fr-FR"/>
        </w:rPr>
        <w:t>mondiale de la nature</w:t>
      </w:r>
      <w:r w:rsidR="00463216" w:rsidRPr="007F4665">
        <w:rPr>
          <w:kern w:val="22"/>
          <w:lang w:val="fr-FR"/>
        </w:rPr>
        <w:t xml:space="preserve"> du Programme des Nations unies pour l'environnement, le groupe de travail sur les connaissances et les données de la </w:t>
      </w:r>
      <w:r>
        <w:rPr>
          <w:kern w:val="22"/>
          <w:lang w:val="fr-FR"/>
        </w:rPr>
        <w:t>P</w:t>
      </w:r>
      <w:r w:rsidR="00463216" w:rsidRPr="007F4665">
        <w:rPr>
          <w:kern w:val="22"/>
          <w:lang w:val="fr-FR"/>
        </w:rPr>
        <w:t>lateforme intergouvernementale scientifique et politique sur la biodiversité et les services écosystémiques (IPBES), le Programme de</w:t>
      </w:r>
      <w:r w:rsidR="00493D7F">
        <w:rPr>
          <w:kern w:val="22"/>
          <w:lang w:val="fr-FR"/>
        </w:rPr>
        <w:t xml:space="preserve"> collaboration des</w:t>
      </w:r>
      <w:r w:rsidR="00463216" w:rsidRPr="007F4665">
        <w:rPr>
          <w:kern w:val="22"/>
          <w:lang w:val="fr-FR"/>
        </w:rPr>
        <w:t xml:space="preserve"> </w:t>
      </w:r>
      <w:r w:rsidR="00463216" w:rsidRPr="007F4665">
        <w:rPr>
          <w:kern w:val="22"/>
          <w:lang w:val="fr-FR"/>
        </w:rPr>
        <w:lastRenderedPageBreak/>
        <w:t xml:space="preserve">Nations unies </w:t>
      </w:r>
      <w:r w:rsidR="00493D7F">
        <w:rPr>
          <w:kern w:val="22"/>
          <w:lang w:val="fr-FR"/>
        </w:rPr>
        <w:t>sur la</w:t>
      </w:r>
      <w:r w:rsidR="00463216" w:rsidRPr="007F4665">
        <w:rPr>
          <w:kern w:val="22"/>
          <w:lang w:val="fr-FR"/>
        </w:rPr>
        <w:t xml:space="preserve"> réduct</w:t>
      </w:r>
      <w:r w:rsidR="00463216" w:rsidRPr="00B97567">
        <w:rPr>
          <w:kern w:val="22"/>
          <w:lang w:val="fr-FR"/>
        </w:rPr>
        <w:t xml:space="preserve">ion des émissions </w:t>
      </w:r>
      <w:r w:rsidR="00493D7F">
        <w:rPr>
          <w:kern w:val="22"/>
          <w:lang w:val="fr-FR"/>
        </w:rPr>
        <w:t xml:space="preserve">liées </w:t>
      </w:r>
      <w:r w:rsidR="00463216" w:rsidRPr="00B97567">
        <w:rPr>
          <w:kern w:val="22"/>
          <w:lang w:val="fr-FR"/>
        </w:rPr>
        <w:t>à la déforestation et à la dégradation des forêts (</w:t>
      </w:r>
      <w:r w:rsidR="00493D7F">
        <w:rPr>
          <w:kern w:val="22"/>
          <w:lang w:val="fr-FR"/>
        </w:rPr>
        <w:t xml:space="preserve">ONU </w:t>
      </w:r>
      <w:r w:rsidR="00463216" w:rsidRPr="00B97567">
        <w:rPr>
          <w:kern w:val="22"/>
          <w:lang w:val="fr-FR"/>
        </w:rPr>
        <w:t>REDD), le Fonds mondial d'information sur la biodiversité (GBIF),</w:t>
      </w:r>
      <w:r w:rsidR="00F7420D">
        <w:rPr>
          <w:kern w:val="22"/>
          <w:lang w:val="fr-FR"/>
        </w:rPr>
        <w:t xml:space="preserve"> l’</w:t>
      </w:r>
      <w:r w:rsidR="00463216" w:rsidRPr="00B97567">
        <w:rPr>
          <w:kern w:val="22"/>
          <w:lang w:val="fr-FR"/>
        </w:rPr>
        <w:t xml:space="preserve">Encyclopédie de la </w:t>
      </w:r>
      <w:r w:rsidR="00493D7F">
        <w:rPr>
          <w:kern w:val="22"/>
          <w:lang w:val="fr-FR"/>
        </w:rPr>
        <w:t>V</w:t>
      </w:r>
      <w:r w:rsidR="00463216" w:rsidRPr="00B97567">
        <w:rPr>
          <w:kern w:val="22"/>
          <w:lang w:val="fr-FR"/>
        </w:rPr>
        <w:t xml:space="preserve">ie (EOL), l'initiative internationale </w:t>
      </w:r>
      <w:proofErr w:type="spellStart"/>
      <w:r w:rsidR="00493D7F">
        <w:rPr>
          <w:kern w:val="22"/>
          <w:lang w:val="fr-FR"/>
        </w:rPr>
        <w:t>Barcode</w:t>
      </w:r>
      <w:proofErr w:type="spellEnd"/>
      <w:r w:rsidR="00493D7F">
        <w:rPr>
          <w:kern w:val="22"/>
          <w:lang w:val="fr-FR"/>
        </w:rPr>
        <w:t xml:space="preserve"> of Life </w:t>
      </w:r>
      <w:r w:rsidR="00463216" w:rsidRPr="00B97567">
        <w:rPr>
          <w:kern w:val="22"/>
          <w:lang w:val="fr-FR"/>
        </w:rPr>
        <w:t>(</w:t>
      </w:r>
      <w:proofErr w:type="spellStart"/>
      <w:r w:rsidR="00463216" w:rsidRPr="00B97567">
        <w:rPr>
          <w:kern w:val="22"/>
          <w:lang w:val="fr-FR"/>
        </w:rPr>
        <w:t>iBOL</w:t>
      </w:r>
      <w:proofErr w:type="spellEnd"/>
      <w:r w:rsidR="00463216" w:rsidRPr="00B97567">
        <w:rPr>
          <w:kern w:val="22"/>
          <w:lang w:val="fr-FR"/>
        </w:rPr>
        <w:t xml:space="preserve">), le </w:t>
      </w:r>
      <w:r w:rsidR="00493D7F">
        <w:rPr>
          <w:kern w:val="22"/>
          <w:lang w:val="fr-FR"/>
        </w:rPr>
        <w:t>Groupe sur l’observation</w:t>
      </w:r>
      <w:r w:rsidR="00463216" w:rsidRPr="00B97567">
        <w:rPr>
          <w:kern w:val="22"/>
          <w:lang w:val="fr-FR"/>
        </w:rPr>
        <w:t xml:space="preserve"> de la </w:t>
      </w:r>
      <w:r w:rsidR="00493D7F">
        <w:rPr>
          <w:kern w:val="22"/>
          <w:lang w:val="fr-FR"/>
        </w:rPr>
        <w:t>Terre et du Réseau pour l’observation de la biodiversité (GEO</w:t>
      </w:r>
      <w:r w:rsidR="00246C91">
        <w:rPr>
          <w:kern w:val="22"/>
          <w:lang w:val="fr-FR"/>
        </w:rPr>
        <w:t>-</w:t>
      </w:r>
      <w:r w:rsidR="00493D7F">
        <w:rPr>
          <w:kern w:val="22"/>
          <w:lang w:val="fr-FR"/>
        </w:rPr>
        <w:t xml:space="preserve">BON), </w:t>
      </w:r>
      <w:r w:rsidR="00463216" w:rsidRPr="00B97567">
        <w:rPr>
          <w:kern w:val="22"/>
          <w:lang w:val="fr-FR"/>
        </w:rPr>
        <w:t xml:space="preserve">l'observatoire numérique des </w:t>
      </w:r>
      <w:r w:rsidR="00493D7F">
        <w:rPr>
          <w:kern w:val="22"/>
          <w:lang w:val="fr-FR"/>
        </w:rPr>
        <w:t>aires</w:t>
      </w:r>
      <w:r w:rsidR="00463216" w:rsidRPr="00B97567">
        <w:rPr>
          <w:kern w:val="22"/>
          <w:lang w:val="fr-FR"/>
        </w:rPr>
        <w:t xml:space="preserve"> protégées (DOPA), l'outil </w:t>
      </w:r>
      <w:r w:rsidR="00493D7F">
        <w:rPr>
          <w:kern w:val="22"/>
          <w:lang w:val="fr-FR"/>
        </w:rPr>
        <w:t>de communication des données</w:t>
      </w:r>
      <w:r w:rsidR="00463216" w:rsidRPr="00B97567">
        <w:rPr>
          <w:kern w:val="22"/>
          <w:lang w:val="fr-FR"/>
        </w:rPr>
        <w:t xml:space="preserve"> (</w:t>
      </w:r>
      <w:proofErr w:type="spellStart"/>
      <w:r w:rsidR="00463216" w:rsidRPr="00B97567">
        <w:rPr>
          <w:kern w:val="22"/>
          <w:lang w:val="fr-FR"/>
        </w:rPr>
        <w:t>DaRT</w:t>
      </w:r>
      <w:proofErr w:type="spellEnd"/>
      <w:r w:rsidR="00463216" w:rsidRPr="00B97567">
        <w:rPr>
          <w:kern w:val="22"/>
          <w:lang w:val="fr-FR"/>
        </w:rPr>
        <w:t xml:space="preserve">), le centre de connaissances de la Convention des Nations unies sur la lutte contre la désertification </w:t>
      </w:r>
      <w:r w:rsidR="00F7420D">
        <w:rPr>
          <w:kern w:val="22"/>
          <w:lang w:val="fr-FR"/>
        </w:rPr>
        <w:t>ainsi que le c</w:t>
      </w:r>
      <w:r w:rsidR="00463216" w:rsidRPr="00B97567">
        <w:rPr>
          <w:kern w:val="22"/>
          <w:lang w:val="fr-FR"/>
        </w:rPr>
        <w:t xml:space="preserve">entre de données des </w:t>
      </w:r>
      <w:r w:rsidR="00493D7F">
        <w:rPr>
          <w:kern w:val="22"/>
          <w:lang w:val="fr-FR"/>
        </w:rPr>
        <w:t>O</w:t>
      </w:r>
      <w:r w:rsidR="00463216" w:rsidRPr="00B97567">
        <w:rPr>
          <w:kern w:val="22"/>
          <w:lang w:val="fr-FR"/>
        </w:rPr>
        <w:t>bjectifs de développement durable (SDG). Ces initiatives et institutions, ainsi que d'autres, sont décrites dans le document d'information CBD/SBI/3/INF/13.</w:t>
      </w:r>
    </w:p>
    <w:p w14:paraId="779F9999" w14:textId="27A444FB" w:rsidR="006A7231" w:rsidRPr="00B97567" w:rsidRDefault="009C0F18" w:rsidP="001F4589">
      <w:pPr>
        <w:pStyle w:val="Heading2"/>
        <w:numPr>
          <w:ilvl w:val="0"/>
          <w:numId w:val="6"/>
        </w:numPr>
        <w:suppressLineNumbers/>
        <w:tabs>
          <w:tab w:val="clear" w:pos="720"/>
        </w:tabs>
        <w:suppressAutoHyphens/>
        <w:ind w:left="714" w:hanging="357"/>
        <w:rPr>
          <w:kern w:val="22"/>
          <w:lang w:val="fr-FR"/>
        </w:rPr>
      </w:pPr>
      <w:r>
        <w:rPr>
          <w:kern w:val="22"/>
          <w:lang w:val="fr-FR"/>
        </w:rPr>
        <w:t>Piliers de la composante gestion des connaissances</w:t>
      </w:r>
    </w:p>
    <w:p w14:paraId="193A94EA" w14:textId="474095FA" w:rsidR="00095274" w:rsidRPr="00B97567" w:rsidRDefault="009C0F18" w:rsidP="001F4589">
      <w:pPr>
        <w:pStyle w:val="Para1"/>
        <w:numPr>
          <w:ilvl w:val="0"/>
          <w:numId w:val="10"/>
        </w:numPr>
        <w:suppressLineNumbers/>
        <w:tabs>
          <w:tab w:val="clear" w:pos="360"/>
          <w:tab w:val="num" w:pos="720"/>
        </w:tabs>
        <w:suppressAutoHyphens/>
        <w:rPr>
          <w:kern w:val="22"/>
          <w:szCs w:val="22"/>
          <w:lang w:val="fr-FR"/>
        </w:rPr>
      </w:pPr>
      <w:r>
        <w:rPr>
          <w:kern w:val="22"/>
          <w:lang w:val="fr-FR"/>
        </w:rPr>
        <w:t>La composante</w:t>
      </w:r>
      <w:r w:rsidR="00463216" w:rsidRPr="00B97567">
        <w:rPr>
          <w:kern w:val="22"/>
          <w:lang w:val="fr-FR"/>
        </w:rPr>
        <w:t xml:space="preserve"> gestion des connaissances</w:t>
      </w:r>
      <w:r>
        <w:rPr>
          <w:kern w:val="22"/>
          <w:lang w:val="fr-FR"/>
        </w:rPr>
        <w:t> </w:t>
      </w:r>
      <w:r w:rsidR="00463216" w:rsidRPr="00B97567">
        <w:rPr>
          <w:kern w:val="22"/>
          <w:lang w:val="fr-FR"/>
        </w:rPr>
        <w:t>comprend quatre piliers :</w:t>
      </w:r>
    </w:p>
    <w:p w14:paraId="776F8C3A" w14:textId="6561FE80" w:rsidR="00095274" w:rsidRPr="00B97567" w:rsidRDefault="00463216" w:rsidP="001F4589">
      <w:pPr>
        <w:pStyle w:val="Para1"/>
        <w:numPr>
          <w:ilvl w:val="1"/>
          <w:numId w:val="10"/>
        </w:numPr>
        <w:suppressLineNumbers/>
        <w:suppressAutoHyphens/>
        <w:rPr>
          <w:color w:val="000000" w:themeColor="text1"/>
          <w:kern w:val="22"/>
          <w:lang w:val="fr-FR"/>
        </w:rPr>
      </w:pPr>
      <w:r w:rsidRPr="008168E9">
        <w:rPr>
          <w:i/>
          <w:iCs/>
          <w:color w:val="000000" w:themeColor="text1"/>
          <w:kern w:val="22"/>
          <w:lang w:val="fr-FR"/>
        </w:rPr>
        <w:t>Les gens</w:t>
      </w:r>
      <w:r w:rsidR="00E94CFF">
        <w:rPr>
          <w:color w:val="000000" w:themeColor="text1"/>
          <w:kern w:val="22"/>
          <w:lang w:val="fr-FR"/>
        </w:rPr>
        <w:t xml:space="preserve"> </w:t>
      </w:r>
      <w:r w:rsidRPr="00B97567">
        <w:rPr>
          <w:color w:val="000000" w:themeColor="text1"/>
          <w:kern w:val="22"/>
          <w:lang w:val="fr-FR"/>
        </w:rPr>
        <w:t xml:space="preserve">: Il s'agit de divers acteurs (créateurs, gardiens, gestionnaires, conservateurs et utilisateurs des connaissances sur la biodiversité), </w:t>
      </w:r>
      <w:r w:rsidR="00850ADB">
        <w:rPr>
          <w:color w:val="000000" w:themeColor="text1"/>
          <w:kern w:val="22"/>
          <w:lang w:val="fr-FR"/>
        </w:rPr>
        <w:t xml:space="preserve">ceux-ci forment la base de la composante </w:t>
      </w:r>
      <w:r w:rsidRPr="00B97567">
        <w:rPr>
          <w:color w:val="000000" w:themeColor="text1"/>
          <w:kern w:val="22"/>
          <w:lang w:val="fr-FR"/>
        </w:rPr>
        <w:t xml:space="preserve">gestion des connaissances. Leurs rôles, responsabilités et attentes doivent être clarifiés. Il est également important de promouvoir et d'entretenir une culture de partage des connaissances et de reconnaître et de récompenser les champions de la connaissance ;  </w:t>
      </w:r>
    </w:p>
    <w:p w14:paraId="0D638841" w14:textId="32BA5562" w:rsidR="00095274" w:rsidRPr="00B97567" w:rsidRDefault="00463216" w:rsidP="001F4589">
      <w:pPr>
        <w:pStyle w:val="Para1"/>
        <w:numPr>
          <w:ilvl w:val="1"/>
          <w:numId w:val="10"/>
        </w:numPr>
        <w:suppressLineNumbers/>
        <w:suppressAutoHyphens/>
        <w:rPr>
          <w:color w:val="000000" w:themeColor="text1"/>
          <w:kern w:val="22"/>
          <w:lang w:val="fr-FR"/>
        </w:rPr>
      </w:pPr>
      <w:r w:rsidRPr="008168E9">
        <w:rPr>
          <w:i/>
          <w:iCs/>
          <w:color w:val="000000" w:themeColor="text1"/>
          <w:kern w:val="22"/>
          <w:lang w:val="fr-FR"/>
        </w:rPr>
        <w:t>Processus</w:t>
      </w:r>
      <w:r w:rsidRPr="00B97567">
        <w:rPr>
          <w:color w:val="000000" w:themeColor="text1"/>
          <w:kern w:val="22"/>
          <w:lang w:val="fr-FR"/>
        </w:rPr>
        <w:t xml:space="preserve"> : Cela comprend les processus, les procédures et les politiques qui guident la production, la saisie, la gestion, le partage et l'utilisation des connaissances. Cela implique également une vision, un leadership</w:t>
      </w:r>
      <w:r w:rsidR="008168E9">
        <w:rPr>
          <w:color w:val="000000" w:themeColor="text1"/>
          <w:kern w:val="22"/>
          <w:lang w:val="fr-FR"/>
        </w:rPr>
        <w:t xml:space="preserve">, une </w:t>
      </w:r>
      <w:r w:rsidRPr="00B97567">
        <w:rPr>
          <w:color w:val="000000" w:themeColor="text1"/>
          <w:kern w:val="22"/>
          <w:lang w:val="fr-FR"/>
        </w:rPr>
        <w:t xml:space="preserve">supervision, </w:t>
      </w:r>
      <w:r w:rsidR="008168E9">
        <w:rPr>
          <w:color w:val="000000" w:themeColor="text1"/>
          <w:kern w:val="22"/>
          <w:lang w:val="fr-FR"/>
        </w:rPr>
        <w:t xml:space="preserve">un </w:t>
      </w:r>
      <w:r w:rsidRPr="00B97567">
        <w:rPr>
          <w:color w:val="000000" w:themeColor="text1"/>
          <w:kern w:val="22"/>
          <w:lang w:val="fr-FR"/>
        </w:rPr>
        <w:t xml:space="preserve">alignement de la gestion des connaissances sur les objectifs et la mise à disposition des ressources nécessaires ;  </w:t>
      </w:r>
    </w:p>
    <w:p w14:paraId="3E6EF0C4" w14:textId="580962B1" w:rsidR="00095274" w:rsidRPr="00B97567" w:rsidRDefault="00463216" w:rsidP="001F4589">
      <w:pPr>
        <w:pStyle w:val="Para1"/>
        <w:numPr>
          <w:ilvl w:val="1"/>
          <w:numId w:val="10"/>
        </w:numPr>
        <w:suppressLineNumbers/>
        <w:suppressAutoHyphens/>
        <w:rPr>
          <w:color w:val="000000" w:themeColor="text1"/>
          <w:kern w:val="22"/>
          <w:lang w:val="fr-FR"/>
        </w:rPr>
      </w:pPr>
      <w:r w:rsidRPr="008168E9">
        <w:rPr>
          <w:i/>
          <w:iCs/>
          <w:color w:val="000000" w:themeColor="text1"/>
          <w:kern w:val="22"/>
          <w:lang w:val="fr-FR"/>
        </w:rPr>
        <w:t>La technologie</w:t>
      </w:r>
      <w:r w:rsidR="008168E9">
        <w:rPr>
          <w:color w:val="000000" w:themeColor="text1"/>
          <w:kern w:val="22"/>
          <w:lang w:val="fr-FR"/>
        </w:rPr>
        <w:t xml:space="preserve"> : </w:t>
      </w:r>
      <w:r w:rsidRPr="00B97567">
        <w:rPr>
          <w:color w:val="000000" w:themeColor="text1"/>
          <w:kern w:val="22"/>
          <w:lang w:val="fr-FR"/>
        </w:rPr>
        <w:t>joue un rôle clé dans l</w:t>
      </w:r>
      <w:r w:rsidR="00213C38">
        <w:rPr>
          <w:color w:val="000000" w:themeColor="text1"/>
          <w:kern w:val="22"/>
          <w:lang w:val="fr-FR"/>
        </w:rPr>
        <w:t xml:space="preserve">’exécution </w:t>
      </w:r>
      <w:r w:rsidRPr="00B97567">
        <w:rPr>
          <w:color w:val="000000" w:themeColor="text1"/>
          <w:kern w:val="22"/>
          <w:lang w:val="fr-FR"/>
        </w:rPr>
        <w:t>et le soutien des services de gestion des connaissances. Cela comprend les outils, systèmes</w:t>
      </w:r>
      <w:r w:rsidR="00FE3FE5">
        <w:rPr>
          <w:rStyle w:val="FootnoteReference"/>
          <w:color w:val="000000" w:themeColor="text1"/>
          <w:kern w:val="22"/>
          <w:lang w:val="fr-FR"/>
        </w:rPr>
        <w:footnoteReference w:id="13"/>
      </w:r>
      <w:r w:rsidRPr="00B97567">
        <w:rPr>
          <w:color w:val="000000" w:themeColor="text1"/>
          <w:kern w:val="22"/>
          <w:lang w:val="fr-FR"/>
        </w:rPr>
        <w:t xml:space="preserve"> et plateformes technologiques qui permettent aux acteurs concernés (les </w:t>
      </w:r>
      <w:r w:rsidR="00213C38">
        <w:rPr>
          <w:color w:val="000000" w:themeColor="text1"/>
          <w:kern w:val="22"/>
          <w:lang w:val="fr-FR"/>
        </w:rPr>
        <w:t>gens</w:t>
      </w:r>
      <w:r w:rsidRPr="00B97567">
        <w:rPr>
          <w:color w:val="000000" w:themeColor="text1"/>
          <w:kern w:val="22"/>
          <w:lang w:val="fr-FR"/>
        </w:rPr>
        <w:t>) de collecter, analyser, organiser, stocker, récupérer et partager les connaissances liées à la biodiversité ;</w:t>
      </w:r>
    </w:p>
    <w:p w14:paraId="41177029" w14:textId="0C43C7A6" w:rsidR="00095274" w:rsidRPr="00B97567" w:rsidRDefault="00463216" w:rsidP="001F4589">
      <w:pPr>
        <w:pStyle w:val="Para1"/>
        <w:numPr>
          <w:ilvl w:val="1"/>
          <w:numId w:val="10"/>
        </w:numPr>
        <w:suppressLineNumbers/>
        <w:suppressAutoHyphens/>
        <w:rPr>
          <w:color w:val="000000"/>
          <w:kern w:val="22"/>
          <w:lang w:val="fr-FR"/>
        </w:rPr>
      </w:pPr>
      <w:r w:rsidRPr="008168E9">
        <w:rPr>
          <w:i/>
          <w:iCs/>
          <w:color w:val="000000" w:themeColor="text1"/>
          <w:kern w:val="22"/>
          <w:lang w:val="fr-FR"/>
        </w:rPr>
        <w:t>Contenu</w:t>
      </w:r>
      <w:r w:rsidRPr="00B97567">
        <w:rPr>
          <w:color w:val="000000" w:themeColor="text1"/>
          <w:kern w:val="22"/>
          <w:lang w:val="fr-FR"/>
        </w:rPr>
        <w:t xml:space="preserve"> : Il s'agit de la portée du contenu des connaissances sur la biodiversité et de la manière dont il est géré - la taxonomie et les métadonnées, les outils et les modèles, ainsi que l'analyse et la validation (pour l'assurance qualité), le catalogage, le marquage et l'indexation, la numérisation et l'organisation des ressources d'information et de connaissances pour faciliter la recherche et la récupération.</w:t>
      </w:r>
    </w:p>
    <w:p w14:paraId="3E938F65" w14:textId="280303BC" w:rsidR="001C7F0C" w:rsidRPr="00B97567" w:rsidRDefault="00463216" w:rsidP="001F4589">
      <w:pPr>
        <w:pStyle w:val="Para1"/>
        <w:numPr>
          <w:ilvl w:val="0"/>
          <w:numId w:val="10"/>
        </w:numPr>
        <w:suppressLineNumbers/>
        <w:tabs>
          <w:tab w:val="clear" w:pos="360"/>
        </w:tabs>
        <w:suppressAutoHyphens/>
        <w:rPr>
          <w:kern w:val="22"/>
          <w:szCs w:val="22"/>
          <w:lang w:val="fr-FR"/>
        </w:rPr>
      </w:pPr>
      <w:bookmarkStart w:id="4" w:name="_Toc39228079"/>
      <w:r w:rsidRPr="00B97567">
        <w:rPr>
          <w:kern w:val="22"/>
          <w:szCs w:val="22"/>
          <w:lang w:val="fr-FR"/>
        </w:rPr>
        <w:t>Les quatre piliers ci-dessus sont interdépendants et doivent être abordés de manière équilibrée et complémentaire. La gestion des connaissances ne se</w:t>
      </w:r>
      <w:r w:rsidR="00F07DBD">
        <w:rPr>
          <w:kern w:val="22"/>
          <w:szCs w:val="22"/>
          <w:lang w:val="fr-FR"/>
        </w:rPr>
        <w:t>ra</w:t>
      </w:r>
      <w:r w:rsidRPr="00B97567">
        <w:rPr>
          <w:kern w:val="22"/>
          <w:szCs w:val="22"/>
          <w:lang w:val="fr-FR"/>
        </w:rPr>
        <w:t xml:space="preserve"> pas efficace si seuls les aspects technologiques </w:t>
      </w:r>
      <w:r w:rsidR="00F07DBD">
        <w:rPr>
          <w:kern w:val="22"/>
          <w:szCs w:val="22"/>
          <w:lang w:val="fr-FR"/>
        </w:rPr>
        <w:t xml:space="preserve">sont </w:t>
      </w:r>
      <w:r w:rsidRPr="00B97567">
        <w:rPr>
          <w:kern w:val="22"/>
          <w:szCs w:val="22"/>
          <w:lang w:val="fr-FR"/>
        </w:rPr>
        <w:t>abordés et non les aspects liés aux processus et aux personnes. L</w:t>
      </w:r>
      <w:r w:rsidR="00213C38">
        <w:rPr>
          <w:kern w:val="22"/>
          <w:szCs w:val="22"/>
          <w:lang w:val="fr-FR"/>
        </w:rPr>
        <w:t xml:space="preserve">a composante </w:t>
      </w:r>
      <w:r w:rsidRPr="00B97567">
        <w:rPr>
          <w:kern w:val="22"/>
          <w:szCs w:val="22"/>
          <w:lang w:val="fr-FR"/>
        </w:rPr>
        <w:t>gestion des connaissances</w:t>
      </w:r>
      <w:r w:rsidR="00213C38">
        <w:rPr>
          <w:kern w:val="22"/>
          <w:szCs w:val="22"/>
          <w:lang w:val="fr-FR"/>
        </w:rPr>
        <w:t xml:space="preserve"> </w:t>
      </w:r>
      <w:r w:rsidRPr="00B97567">
        <w:rPr>
          <w:kern w:val="22"/>
          <w:szCs w:val="22"/>
          <w:lang w:val="fr-FR"/>
        </w:rPr>
        <w:t xml:space="preserve">sera étroitement </w:t>
      </w:r>
      <w:r w:rsidR="00EF1C6B" w:rsidRPr="00B97567">
        <w:rPr>
          <w:kern w:val="22"/>
          <w:szCs w:val="22"/>
          <w:lang w:val="fr-FR"/>
        </w:rPr>
        <w:t>liée</w:t>
      </w:r>
      <w:r w:rsidRPr="00B97567">
        <w:rPr>
          <w:kern w:val="22"/>
          <w:szCs w:val="22"/>
          <w:lang w:val="fr-FR"/>
        </w:rPr>
        <w:t xml:space="preserve"> aux systèmes d'information sur la surveillance de la biodiversité et au mécanisme amélioré de planification, de notification et d'examen du cadre mondial</w:t>
      </w:r>
      <w:r w:rsidR="00213C38">
        <w:rPr>
          <w:kern w:val="22"/>
          <w:szCs w:val="22"/>
          <w:lang w:val="fr-FR"/>
        </w:rPr>
        <w:t xml:space="preserve"> de</w:t>
      </w:r>
      <w:r w:rsidRPr="00B97567">
        <w:rPr>
          <w:kern w:val="22"/>
          <w:szCs w:val="22"/>
          <w:lang w:val="fr-FR"/>
        </w:rPr>
        <w:t xml:space="preserve"> la biodiversité </w:t>
      </w:r>
      <w:r w:rsidR="00213C38">
        <w:rPr>
          <w:kern w:val="22"/>
          <w:szCs w:val="22"/>
          <w:lang w:val="fr-FR"/>
        </w:rPr>
        <w:t>pour l’après-</w:t>
      </w:r>
      <w:r w:rsidRPr="00B97567">
        <w:rPr>
          <w:kern w:val="22"/>
          <w:szCs w:val="22"/>
          <w:lang w:val="fr-FR"/>
        </w:rPr>
        <w:t>2020 afin de faciliter la réalisation des objectifs. Il favorisera également une approche systémique globale, comprenant des données brutes, telles que les données satellitaires et la science citoyenne, des données traitées et géospatiales, telles que les cartes de l'occupation des sols, les algorithmes nécessaires au traitement des données, les données d'indicateurs, les analyses et les aperçus prédictifs</w:t>
      </w:r>
      <w:r w:rsidR="00A465AA">
        <w:rPr>
          <w:kern w:val="22"/>
          <w:szCs w:val="22"/>
          <w:lang w:val="fr-FR"/>
        </w:rPr>
        <w:t xml:space="preserve"> ainsi que</w:t>
      </w:r>
      <w:r w:rsidRPr="00B97567">
        <w:rPr>
          <w:kern w:val="22"/>
          <w:szCs w:val="22"/>
          <w:lang w:val="fr-FR"/>
        </w:rPr>
        <w:t xml:space="preserve"> les publications.</w:t>
      </w:r>
    </w:p>
    <w:p w14:paraId="297E6F2A" w14:textId="151B6152" w:rsidR="00964A8F" w:rsidRPr="00B97567" w:rsidRDefault="00964A8F" w:rsidP="001F4589">
      <w:pPr>
        <w:pStyle w:val="Heading1"/>
        <w:suppressLineNumbers/>
        <w:tabs>
          <w:tab w:val="clear" w:pos="720"/>
          <w:tab w:val="left" w:pos="426"/>
        </w:tabs>
        <w:suppressAutoHyphens/>
        <w:spacing w:before="120"/>
        <w:rPr>
          <w:bCs/>
          <w:kern w:val="22"/>
          <w:lang w:val="fr-FR"/>
        </w:rPr>
      </w:pPr>
      <w:bookmarkStart w:id="5" w:name="_Toc39228081"/>
      <w:bookmarkStart w:id="6" w:name="_Hlk52838994"/>
      <w:bookmarkEnd w:id="3"/>
      <w:bookmarkEnd w:id="4"/>
      <w:r w:rsidRPr="00B97567">
        <w:rPr>
          <w:bCs/>
          <w:kern w:val="22"/>
          <w:lang w:val="fr-FR"/>
        </w:rPr>
        <w:t>II.</w:t>
      </w:r>
      <w:bookmarkEnd w:id="5"/>
      <w:r w:rsidRPr="00B97567">
        <w:rPr>
          <w:bCs/>
          <w:kern w:val="22"/>
          <w:lang w:val="fr-FR"/>
        </w:rPr>
        <w:tab/>
      </w:r>
      <w:r w:rsidR="00D509EA">
        <w:rPr>
          <w:bCs/>
          <w:kern w:val="22"/>
          <w:lang w:val="fr-FR"/>
        </w:rPr>
        <w:t xml:space="preserve">les objectifs </w:t>
      </w:r>
      <w:r w:rsidR="00E94CFF">
        <w:rPr>
          <w:bCs/>
          <w:kern w:val="22"/>
          <w:lang w:val="fr-FR"/>
        </w:rPr>
        <w:t>et les r</w:t>
      </w:r>
      <w:r w:rsidR="001E1F71">
        <w:rPr>
          <w:bCs/>
          <w:kern w:val="22"/>
          <w:lang w:val="fr-FR"/>
        </w:rPr>
        <w:t>É</w:t>
      </w:r>
      <w:r w:rsidR="00E94CFF">
        <w:rPr>
          <w:bCs/>
          <w:kern w:val="22"/>
          <w:lang w:val="fr-FR"/>
        </w:rPr>
        <w:t>sultats atte</w:t>
      </w:r>
      <w:r w:rsidR="009C0F18">
        <w:rPr>
          <w:bCs/>
          <w:kern w:val="22"/>
          <w:lang w:val="fr-FR"/>
        </w:rPr>
        <w:t>nd</w:t>
      </w:r>
      <w:r w:rsidR="00E94CFF">
        <w:rPr>
          <w:bCs/>
          <w:kern w:val="22"/>
          <w:lang w:val="fr-FR"/>
        </w:rPr>
        <w:t xml:space="preserve">us </w:t>
      </w:r>
    </w:p>
    <w:bookmarkEnd w:id="6"/>
    <w:p w14:paraId="63873464" w14:textId="4832B5D8" w:rsidR="00463216" w:rsidRPr="00B97567" w:rsidRDefault="00463216" w:rsidP="00463216">
      <w:pPr>
        <w:pStyle w:val="Para1"/>
        <w:numPr>
          <w:ilvl w:val="0"/>
          <w:numId w:val="10"/>
        </w:numPr>
        <w:suppressLineNumbers/>
        <w:tabs>
          <w:tab w:val="clear" w:pos="360"/>
          <w:tab w:val="num" w:pos="720"/>
        </w:tabs>
        <w:suppressAutoHyphens/>
        <w:rPr>
          <w:kern w:val="22"/>
          <w:szCs w:val="22"/>
          <w:lang w:val="fr-FR"/>
        </w:rPr>
      </w:pPr>
      <w:r w:rsidRPr="00B97567">
        <w:rPr>
          <w:kern w:val="22"/>
          <w:szCs w:val="22"/>
          <w:lang w:val="fr-FR"/>
        </w:rPr>
        <w:t xml:space="preserve">Ce volet de la </w:t>
      </w:r>
      <w:r w:rsidR="0032627B">
        <w:rPr>
          <w:kern w:val="22"/>
          <w:szCs w:val="22"/>
          <w:lang w:val="fr-FR"/>
        </w:rPr>
        <w:t>composante</w:t>
      </w:r>
      <w:r w:rsidRPr="00B97567">
        <w:rPr>
          <w:kern w:val="22"/>
          <w:szCs w:val="22"/>
          <w:lang w:val="fr-FR"/>
        </w:rPr>
        <w:t xml:space="preserve"> des connaissances est destiné à guider la gestion des connaissances par la communauté de la biodiversité à l'appui du cadre mondial de la biodiversité pour l'après-2020. Les actions proposées seront mises en œuvre et coordonnées, le cas échéant, par des acteurs gouvernementaux et non gouvernementaux, y compris les </w:t>
      </w:r>
      <w:r w:rsidR="00D40753">
        <w:rPr>
          <w:kern w:val="22"/>
          <w:szCs w:val="22"/>
          <w:lang w:val="fr-FR"/>
        </w:rPr>
        <w:t>P</w:t>
      </w:r>
      <w:r w:rsidRPr="00B97567">
        <w:rPr>
          <w:kern w:val="22"/>
          <w:szCs w:val="22"/>
          <w:lang w:val="fr-FR"/>
        </w:rPr>
        <w:t>arties aux conventions et processus liés à la biodiversité, les secrétariats des</w:t>
      </w:r>
      <w:r w:rsidR="00DB530F">
        <w:rPr>
          <w:kern w:val="22"/>
          <w:szCs w:val="22"/>
          <w:lang w:val="fr-FR"/>
        </w:rPr>
        <w:t xml:space="preserve"> C</w:t>
      </w:r>
      <w:r w:rsidRPr="00B97567">
        <w:rPr>
          <w:kern w:val="22"/>
          <w:szCs w:val="22"/>
          <w:lang w:val="fr-FR"/>
        </w:rPr>
        <w:t>onventions, les organisations partenaires et d'autres parties prenantes. Ce</w:t>
      </w:r>
      <w:r w:rsidR="0032627B">
        <w:rPr>
          <w:kern w:val="22"/>
          <w:szCs w:val="22"/>
          <w:lang w:val="fr-FR"/>
        </w:rPr>
        <w:t>tte composante</w:t>
      </w:r>
      <w:r w:rsidRPr="00B97567">
        <w:rPr>
          <w:kern w:val="22"/>
          <w:szCs w:val="22"/>
          <w:lang w:val="fr-FR"/>
        </w:rPr>
        <w:t xml:space="preserve"> vise à améliorer le partage des données, des informations et des connaissances entre les conventions et les organisations liées à la biodiversité.</w:t>
      </w:r>
    </w:p>
    <w:p w14:paraId="7E5AAAE2" w14:textId="702BCA31" w:rsidR="005E55C2" w:rsidRPr="00B97567" w:rsidRDefault="00463216" w:rsidP="001F4589">
      <w:pPr>
        <w:pStyle w:val="Para1"/>
        <w:numPr>
          <w:ilvl w:val="0"/>
          <w:numId w:val="10"/>
        </w:numPr>
        <w:suppressLineNumbers/>
        <w:tabs>
          <w:tab w:val="clear" w:pos="360"/>
          <w:tab w:val="num" w:pos="720"/>
        </w:tabs>
        <w:suppressAutoHyphens/>
        <w:rPr>
          <w:kern w:val="22"/>
          <w:szCs w:val="22"/>
          <w:lang w:val="fr-FR"/>
        </w:rPr>
      </w:pPr>
      <w:r w:rsidRPr="00B97567">
        <w:rPr>
          <w:kern w:val="22"/>
          <w:lang w:val="fr-FR"/>
        </w:rPr>
        <w:lastRenderedPageBreak/>
        <w:t xml:space="preserve">L'objectif général est de faciliter et de soutenir la mise en œuvre effective du cadre mondial </w:t>
      </w:r>
      <w:r w:rsidR="00EE42CB">
        <w:rPr>
          <w:kern w:val="22"/>
          <w:lang w:val="fr-FR"/>
        </w:rPr>
        <w:t xml:space="preserve">de </w:t>
      </w:r>
      <w:r w:rsidRPr="00B97567">
        <w:rPr>
          <w:kern w:val="22"/>
          <w:lang w:val="fr-FR"/>
        </w:rPr>
        <w:t xml:space="preserve">la biodiversité </w:t>
      </w:r>
      <w:r w:rsidR="0032627B">
        <w:rPr>
          <w:kern w:val="22"/>
          <w:lang w:val="fr-FR"/>
        </w:rPr>
        <w:t>pour l’</w:t>
      </w:r>
      <w:r w:rsidRPr="00B97567">
        <w:rPr>
          <w:kern w:val="22"/>
          <w:lang w:val="fr-FR"/>
        </w:rPr>
        <w:t>après</w:t>
      </w:r>
      <w:r w:rsidR="0032627B">
        <w:rPr>
          <w:kern w:val="22"/>
          <w:lang w:val="fr-FR"/>
        </w:rPr>
        <w:t>-</w:t>
      </w:r>
      <w:r w:rsidRPr="00B97567">
        <w:rPr>
          <w:kern w:val="22"/>
          <w:lang w:val="fr-FR"/>
        </w:rPr>
        <w:t xml:space="preserve">2020 en améliorant la production, la collecte, l'organisation, le partage et l'utilisation des données, des informations et des connaissances pertinentes par la communauté mondiale. Pour ce faire, il faudrait créer une culture de partage des connaissances et favoriser les réseaux de collaboration et les communautés de pratique en ligne. Il faudrait également analyser, partager et exploiter les expériences et les enseignements tirés de diverses initiatives de gestion des connaissances en matière de biodiversité. En outre, la planification nationale et le suivi des plans et engagements nationaux sont essentiels pour identifier les domaines dans lesquels des actions sont nécessaires. La composante de gestion des connaissances devrait contribuer directement au suivi du cadre mondial </w:t>
      </w:r>
      <w:r w:rsidR="0032627B">
        <w:rPr>
          <w:kern w:val="22"/>
          <w:lang w:val="fr-FR"/>
        </w:rPr>
        <w:t xml:space="preserve">de </w:t>
      </w:r>
      <w:r w:rsidRPr="00B97567">
        <w:rPr>
          <w:kern w:val="22"/>
          <w:lang w:val="fr-FR"/>
        </w:rPr>
        <w:t>la biodiversité p</w:t>
      </w:r>
      <w:r w:rsidR="0032627B">
        <w:rPr>
          <w:kern w:val="22"/>
          <w:lang w:val="fr-FR"/>
        </w:rPr>
        <w:t>our l’après-</w:t>
      </w:r>
      <w:r w:rsidRPr="00B97567">
        <w:rPr>
          <w:kern w:val="22"/>
          <w:lang w:val="fr-FR"/>
        </w:rPr>
        <w:t>2020 et garantir que les données et les indicateurs soient au centre des rapports nationaux.</w:t>
      </w:r>
    </w:p>
    <w:p w14:paraId="775A89D3" w14:textId="2283AE79" w:rsidR="005E55C2" w:rsidRPr="00B97567" w:rsidRDefault="00D509EA" w:rsidP="001F4589">
      <w:pPr>
        <w:pStyle w:val="Heading2"/>
        <w:numPr>
          <w:ilvl w:val="0"/>
          <w:numId w:val="7"/>
        </w:numPr>
        <w:suppressLineNumbers/>
        <w:tabs>
          <w:tab w:val="clear" w:pos="720"/>
        </w:tabs>
        <w:suppressAutoHyphens/>
        <w:ind w:left="714" w:hanging="357"/>
        <w:rPr>
          <w:kern w:val="22"/>
          <w:lang w:val="fr-FR"/>
        </w:rPr>
      </w:pPr>
      <w:r>
        <w:rPr>
          <w:kern w:val="22"/>
          <w:lang w:val="fr-FR"/>
        </w:rPr>
        <w:t>Obje</w:t>
      </w:r>
      <w:r w:rsidR="009C0F18">
        <w:rPr>
          <w:kern w:val="22"/>
          <w:lang w:val="fr-FR"/>
        </w:rPr>
        <w:t>ctif</w:t>
      </w:r>
      <w:r>
        <w:rPr>
          <w:kern w:val="22"/>
          <w:lang w:val="fr-FR"/>
        </w:rPr>
        <w:t xml:space="preserve">s spécifiques </w:t>
      </w:r>
    </w:p>
    <w:p w14:paraId="0B81D282" w14:textId="05010090" w:rsidR="006164D8" w:rsidRPr="00B97567" w:rsidRDefault="00463216" w:rsidP="001F4589">
      <w:pPr>
        <w:pStyle w:val="Para1"/>
        <w:numPr>
          <w:ilvl w:val="0"/>
          <w:numId w:val="10"/>
        </w:numPr>
        <w:suppressLineNumbers/>
        <w:tabs>
          <w:tab w:val="clear" w:pos="360"/>
          <w:tab w:val="num" w:pos="720"/>
        </w:tabs>
        <w:suppressAutoHyphens/>
        <w:rPr>
          <w:kern w:val="22"/>
          <w:lang w:val="fr-FR"/>
        </w:rPr>
      </w:pPr>
      <w:r w:rsidRPr="00B97567">
        <w:rPr>
          <w:kern w:val="22"/>
          <w:lang w:val="fr-FR"/>
        </w:rPr>
        <w:t xml:space="preserve">Les objectifs spécifiques de la composante </w:t>
      </w:r>
      <w:r w:rsidR="0032627B">
        <w:rPr>
          <w:kern w:val="22"/>
          <w:lang w:val="fr-FR"/>
        </w:rPr>
        <w:t>g</w:t>
      </w:r>
      <w:r w:rsidRPr="00B97567">
        <w:rPr>
          <w:kern w:val="22"/>
          <w:lang w:val="fr-FR"/>
        </w:rPr>
        <w:t>estion des connaissances sont de permettre aux acteurs gouvernementaux et non gouvernementaux de disposer facilement et rapidement de</w:t>
      </w:r>
      <w:r w:rsidR="0032627B">
        <w:rPr>
          <w:kern w:val="22"/>
          <w:lang w:val="fr-FR"/>
        </w:rPr>
        <w:t>s</w:t>
      </w:r>
      <w:r w:rsidRPr="00B97567">
        <w:rPr>
          <w:kern w:val="22"/>
          <w:lang w:val="fr-FR"/>
        </w:rPr>
        <w:t xml:space="preserve"> données, d</w:t>
      </w:r>
      <w:r w:rsidR="0032627B">
        <w:rPr>
          <w:kern w:val="22"/>
          <w:lang w:val="fr-FR"/>
        </w:rPr>
        <w:t xml:space="preserve">es </w:t>
      </w:r>
      <w:r w:rsidRPr="00B97567">
        <w:rPr>
          <w:kern w:val="22"/>
          <w:lang w:val="fr-FR"/>
        </w:rPr>
        <w:t>informations et de</w:t>
      </w:r>
      <w:r w:rsidR="0032627B">
        <w:rPr>
          <w:kern w:val="22"/>
          <w:lang w:val="fr-FR"/>
        </w:rPr>
        <w:t xml:space="preserve">s </w:t>
      </w:r>
      <w:r w:rsidRPr="00B97567">
        <w:rPr>
          <w:kern w:val="22"/>
          <w:lang w:val="fr-FR"/>
        </w:rPr>
        <w:t>connaissances de qualité pour faire leur travail et également de permettre aux fournisseurs d'informations sur la biodiversité de collaborer, de partager et d'exploiter ensemble les informations sur diverses plateformes, traités et processus connexes en</w:t>
      </w:r>
      <w:r w:rsidR="00D509EA">
        <w:rPr>
          <w:kern w:val="22"/>
          <w:lang w:val="fr-FR"/>
        </w:rPr>
        <w:t xml:space="preserve"> </w:t>
      </w:r>
      <w:r w:rsidRPr="00B97567">
        <w:rPr>
          <w:kern w:val="22"/>
          <w:lang w:val="fr-FR"/>
        </w:rPr>
        <w:t>:</w:t>
      </w:r>
    </w:p>
    <w:p w14:paraId="0E75799B" w14:textId="6D509758" w:rsidR="006164D8" w:rsidRPr="00B97567" w:rsidRDefault="00463216" w:rsidP="001F4589">
      <w:pPr>
        <w:pStyle w:val="CBD-Para-a"/>
        <w:tabs>
          <w:tab w:val="clear" w:pos="360"/>
          <w:tab w:val="num" w:pos="1276"/>
        </w:tabs>
        <w:ind w:firstLine="720"/>
        <w:rPr>
          <w:kern w:val="22"/>
          <w:lang w:val="fr-FR"/>
        </w:rPr>
      </w:pPr>
      <w:r w:rsidRPr="00B97567">
        <w:rPr>
          <w:kern w:val="22"/>
          <w:lang w:val="fr-FR"/>
        </w:rPr>
        <w:t>Cré</w:t>
      </w:r>
      <w:r w:rsidR="0032627B">
        <w:rPr>
          <w:kern w:val="22"/>
          <w:lang w:val="fr-FR"/>
        </w:rPr>
        <w:t>ant</w:t>
      </w:r>
      <w:r w:rsidRPr="00B97567">
        <w:rPr>
          <w:kern w:val="22"/>
          <w:lang w:val="fr-FR"/>
        </w:rPr>
        <w:t xml:space="preserve"> des environnements et des mécanismes favorables à l'amélioration de la production, de la gestion, du partage et de l'utilisation des données, des informations et des connaissances relatives à la biodiversité ;</w:t>
      </w:r>
    </w:p>
    <w:p w14:paraId="4BC6E183" w14:textId="70960558" w:rsidR="006164D8" w:rsidRPr="00B97567" w:rsidRDefault="00463216" w:rsidP="001F4589">
      <w:pPr>
        <w:pStyle w:val="CBD-Para-a"/>
        <w:tabs>
          <w:tab w:val="clear" w:pos="360"/>
          <w:tab w:val="num" w:pos="1276"/>
        </w:tabs>
        <w:ind w:firstLine="720"/>
        <w:rPr>
          <w:kern w:val="22"/>
          <w:lang w:val="fr-FR"/>
        </w:rPr>
      </w:pPr>
      <w:r w:rsidRPr="00B97567">
        <w:rPr>
          <w:kern w:val="22"/>
          <w:lang w:val="fr-FR"/>
        </w:rPr>
        <w:t>Exploit</w:t>
      </w:r>
      <w:r w:rsidR="0032627B">
        <w:rPr>
          <w:kern w:val="22"/>
          <w:lang w:val="fr-FR"/>
        </w:rPr>
        <w:t>ant</w:t>
      </w:r>
      <w:r w:rsidRPr="00B97567">
        <w:rPr>
          <w:kern w:val="22"/>
          <w:lang w:val="fr-FR"/>
        </w:rPr>
        <w:t xml:space="preserve"> les systèmes, initiatives et réseaux pertinents existants de gestion des connaissances sur la biodiversité par le biais de processus multipartites coordonnés et collaboratifs ;</w:t>
      </w:r>
    </w:p>
    <w:p w14:paraId="27C62CE4" w14:textId="37F6EDDF" w:rsidR="006164D8" w:rsidRPr="00B97567" w:rsidRDefault="00463216" w:rsidP="001F4589">
      <w:pPr>
        <w:pStyle w:val="CBD-Para-a"/>
        <w:tabs>
          <w:tab w:val="clear" w:pos="360"/>
          <w:tab w:val="num" w:pos="1276"/>
        </w:tabs>
        <w:ind w:firstLine="720"/>
        <w:rPr>
          <w:kern w:val="22"/>
          <w:lang w:val="fr-FR"/>
        </w:rPr>
      </w:pPr>
      <w:r w:rsidRPr="00B97567">
        <w:rPr>
          <w:kern w:val="22"/>
          <w:lang w:val="fr-FR"/>
        </w:rPr>
        <w:t>Amélior</w:t>
      </w:r>
      <w:r w:rsidR="007B78FD">
        <w:rPr>
          <w:kern w:val="22"/>
          <w:lang w:val="fr-FR"/>
        </w:rPr>
        <w:t>ant</w:t>
      </w:r>
      <w:r w:rsidRPr="00B97567">
        <w:rPr>
          <w:kern w:val="22"/>
          <w:lang w:val="fr-FR"/>
        </w:rPr>
        <w:t xml:space="preserve"> la possibilité de découvrir et d'accéder aux données, informations et connaissances relatives à la biodiversité à partir de sources multiples ;</w:t>
      </w:r>
    </w:p>
    <w:p w14:paraId="78B4F98C" w14:textId="0BBD1726" w:rsidR="006164D8" w:rsidRPr="00B97567" w:rsidRDefault="00C8222D" w:rsidP="00463216">
      <w:pPr>
        <w:pStyle w:val="CBD-Para-a"/>
        <w:tabs>
          <w:tab w:val="clear" w:pos="360"/>
          <w:tab w:val="num" w:pos="1276"/>
        </w:tabs>
        <w:ind w:firstLine="720"/>
        <w:rPr>
          <w:kern w:val="22"/>
          <w:lang w:val="fr-FR"/>
        </w:rPr>
      </w:pPr>
      <w:r w:rsidRPr="00C8222D">
        <w:rPr>
          <w:kern w:val="22"/>
          <w:lang w:val="fr-FR"/>
        </w:rPr>
        <w:t>Encourage</w:t>
      </w:r>
      <w:r w:rsidR="007B78FD">
        <w:rPr>
          <w:kern w:val="22"/>
          <w:lang w:val="fr-FR"/>
        </w:rPr>
        <w:t>ant</w:t>
      </w:r>
      <w:r w:rsidRPr="00C8222D">
        <w:rPr>
          <w:kern w:val="22"/>
          <w:lang w:val="fr-FR"/>
        </w:rPr>
        <w:t xml:space="preserve"> et permettre aux parties prenantes concernées de participer aux processus et aux réseaux de partage des connaissances sur la biodiversité ;</w:t>
      </w:r>
    </w:p>
    <w:p w14:paraId="51D65E14" w14:textId="1477FED4" w:rsidR="006164D8" w:rsidRPr="00B97567" w:rsidRDefault="007B78FD" w:rsidP="001F4589">
      <w:pPr>
        <w:pStyle w:val="CBD-Para-a"/>
        <w:tabs>
          <w:tab w:val="clear" w:pos="360"/>
          <w:tab w:val="num" w:pos="1276"/>
        </w:tabs>
        <w:ind w:firstLine="720"/>
        <w:rPr>
          <w:kern w:val="22"/>
          <w:lang w:val="fr-FR"/>
        </w:rPr>
      </w:pPr>
      <w:r w:rsidRPr="00B97567">
        <w:rPr>
          <w:kern w:val="22"/>
          <w:lang w:val="fr-FR"/>
        </w:rPr>
        <w:t>Renfor</w:t>
      </w:r>
      <w:r>
        <w:rPr>
          <w:kern w:val="22"/>
          <w:lang w:val="fr-FR"/>
        </w:rPr>
        <w:t>çant</w:t>
      </w:r>
      <w:r w:rsidR="00463216" w:rsidRPr="00B97567">
        <w:rPr>
          <w:kern w:val="22"/>
          <w:lang w:val="fr-FR"/>
        </w:rPr>
        <w:t xml:space="preserve"> les capacités des parties prenantes concernées à accéder aux données, informations et connaissances existantes en matière de biodiversité aux niveaux national, régional et international et à les utiliser ;</w:t>
      </w:r>
    </w:p>
    <w:p w14:paraId="38EF4050" w14:textId="3B52DF2A" w:rsidR="00463216" w:rsidRPr="00B97567" w:rsidRDefault="00463216" w:rsidP="001F4589">
      <w:pPr>
        <w:pStyle w:val="CBD-Para-a"/>
        <w:tabs>
          <w:tab w:val="clear" w:pos="360"/>
          <w:tab w:val="num" w:pos="1276"/>
        </w:tabs>
        <w:ind w:firstLine="720"/>
        <w:rPr>
          <w:kern w:val="22"/>
          <w:lang w:val="fr-FR"/>
        </w:rPr>
      </w:pPr>
      <w:r w:rsidRPr="00B97567">
        <w:rPr>
          <w:kern w:val="22"/>
          <w:lang w:val="fr-FR"/>
        </w:rPr>
        <w:t>Faciliter l</w:t>
      </w:r>
      <w:r w:rsidR="00FE7F6A">
        <w:rPr>
          <w:kern w:val="22"/>
          <w:lang w:val="fr-FR"/>
        </w:rPr>
        <w:t xml:space="preserve">e suivi </w:t>
      </w:r>
      <w:r w:rsidRPr="00B97567">
        <w:rPr>
          <w:kern w:val="22"/>
          <w:lang w:val="fr-FR"/>
        </w:rPr>
        <w:t>et l'évaluation ;</w:t>
      </w:r>
    </w:p>
    <w:p w14:paraId="2B6F4D1D" w14:textId="6E63910D" w:rsidR="00463216" w:rsidRPr="00B97567" w:rsidRDefault="00463216" w:rsidP="001F4589">
      <w:pPr>
        <w:pStyle w:val="CBD-Para-a"/>
        <w:keepLines w:val="0"/>
        <w:tabs>
          <w:tab w:val="clear" w:pos="360"/>
          <w:tab w:val="num" w:pos="1276"/>
        </w:tabs>
        <w:ind w:firstLine="720"/>
        <w:rPr>
          <w:kern w:val="22"/>
          <w:lang w:val="fr-FR"/>
        </w:rPr>
      </w:pPr>
      <w:r w:rsidRPr="00B97567">
        <w:rPr>
          <w:kern w:val="22"/>
          <w:lang w:val="fr-FR"/>
        </w:rPr>
        <w:t xml:space="preserve">Promouvoir le partage des données et les dialogues aux niveaux national et mondial, ainsi que les données ouvertes, les métadonnées ouvertes et l'assurance qualité ; </w:t>
      </w:r>
    </w:p>
    <w:p w14:paraId="6AD52523" w14:textId="02BBD055" w:rsidR="006164D8" w:rsidRPr="00B97567" w:rsidRDefault="00463216" w:rsidP="001F4589">
      <w:pPr>
        <w:pStyle w:val="CBD-Para-a"/>
        <w:keepLines w:val="0"/>
        <w:tabs>
          <w:tab w:val="clear" w:pos="360"/>
          <w:tab w:val="num" w:pos="1276"/>
        </w:tabs>
        <w:ind w:firstLine="720"/>
        <w:rPr>
          <w:kern w:val="22"/>
          <w:lang w:val="fr-FR"/>
        </w:rPr>
      </w:pPr>
      <w:r w:rsidRPr="00B97567">
        <w:rPr>
          <w:kern w:val="22"/>
          <w:lang w:val="fr-FR"/>
        </w:rPr>
        <w:t>Renforcer les synergies entre les conventions relatives à la biodiversité afin de faciliter une meilleure coordination des rapports nationaux.</w:t>
      </w:r>
    </w:p>
    <w:p w14:paraId="0DFEA37C" w14:textId="7681A408" w:rsidR="006164D8" w:rsidRPr="00B97567" w:rsidRDefault="007F4665" w:rsidP="001F4589">
      <w:pPr>
        <w:pStyle w:val="Para1"/>
        <w:numPr>
          <w:ilvl w:val="0"/>
          <w:numId w:val="10"/>
        </w:numPr>
        <w:suppressLineNumbers/>
        <w:tabs>
          <w:tab w:val="clear" w:pos="360"/>
          <w:tab w:val="num" w:pos="720"/>
        </w:tabs>
        <w:suppressAutoHyphens/>
        <w:rPr>
          <w:kern w:val="22"/>
          <w:szCs w:val="22"/>
          <w:lang w:val="fr-FR"/>
        </w:rPr>
      </w:pPr>
      <w:r w:rsidRPr="00B97567">
        <w:rPr>
          <w:rStyle w:val="CommentReference"/>
          <w:snapToGrid/>
          <w:kern w:val="22"/>
          <w:sz w:val="22"/>
          <w:szCs w:val="22"/>
          <w:lang w:val="fr-FR"/>
        </w:rPr>
        <w:t xml:space="preserve">Ces objectifs sont complémentaires de ceux énoncés dans le cadre stratégique à long terme pour le développement des capacités (CBD/SBI/3/7/Add.1), </w:t>
      </w:r>
      <w:r w:rsidR="005B484C">
        <w:rPr>
          <w:rStyle w:val="CommentReference"/>
          <w:snapToGrid/>
          <w:kern w:val="22"/>
          <w:sz w:val="22"/>
          <w:szCs w:val="22"/>
          <w:lang w:val="fr-FR"/>
        </w:rPr>
        <w:t xml:space="preserve">dans </w:t>
      </w:r>
      <w:r w:rsidRPr="00B97567">
        <w:rPr>
          <w:rStyle w:val="CommentReference"/>
          <w:snapToGrid/>
          <w:kern w:val="22"/>
          <w:sz w:val="22"/>
          <w:szCs w:val="22"/>
          <w:lang w:val="fr-FR"/>
        </w:rPr>
        <w:t xml:space="preserve">les propositions visant à renforcer la coopération technique et scientifique (CBD/SBI/3/7/Add.2) et </w:t>
      </w:r>
      <w:r w:rsidR="005B484C">
        <w:rPr>
          <w:rStyle w:val="CommentReference"/>
          <w:snapToGrid/>
          <w:kern w:val="22"/>
          <w:sz w:val="22"/>
          <w:szCs w:val="22"/>
          <w:lang w:val="fr-FR"/>
        </w:rPr>
        <w:t xml:space="preserve">dans </w:t>
      </w:r>
      <w:r w:rsidRPr="00B97567">
        <w:rPr>
          <w:rStyle w:val="CommentReference"/>
          <w:snapToGrid/>
          <w:kern w:val="22"/>
          <w:sz w:val="22"/>
          <w:szCs w:val="22"/>
          <w:lang w:val="fr-FR"/>
        </w:rPr>
        <w:t xml:space="preserve">les propositions pour un mécanisme amélioré de planification, de notification et d'examen du cadre mondial </w:t>
      </w:r>
      <w:r w:rsidR="007B78FD">
        <w:rPr>
          <w:rStyle w:val="CommentReference"/>
          <w:snapToGrid/>
          <w:kern w:val="22"/>
          <w:sz w:val="22"/>
          <w:szCs w:val="22"/>
          <w:lang w:val="fr-FR"/>
        </w:rPr>
        <w:t>de la</w:t>
      </w:r>
      <w:r w:rsidRPr="00B97567">
        <w:rPr>
          <w:rStyle w:val="CommentReference"/>
          <w:snapToGrid/>
          <w:kern w:val="22"/>
          <w:sz w:val="22"/>
          <w:szCs w:val="22"/>
          <w:lang w:val="fr-FR"/>
        </w:rPr>
        <w:t xml:space="preserve"> biodiversité </w:t>
      </w:r>
      <w:r w:rsidR="007B78FD">
        <w:rPr>
          <w:rStyle w:val="CommentReference"/>
          <w:snapToGrid/>
          <w:kern w:val="22"/>
          <w:sz w:val="22"/>
          <w:szCs w:val="22"/>
          <w:lang w:val="fr-FR"/>
        </w:rPr>
        <w:t>pour l’après-</w:t>
      </w:r>
      <w:r w:rsidRPr="00B97567">
        <w:rPr>
          <w:rStyle w:val="CommentReference"/>
          <w:snapToGrid/>
          <w:kern w:val="22"/>
          <w:sz w:val="22"/>
          <w:szCs w:val="22"/>
          <w:lang w:val="fr-FR"/>
        </w:rPr>
        <w:t>2020 (CBD/SBI/3/11).</w:t>
      </w:r>
    </w:p>
    <w:p w14:paraId="7CD27195" w14:textId="1037A8AB" w:rsidR="006164D8" w:rsidRPr="00B97567" w:rsidRDefault="009C0F18" w:rsidP="001F4589">
      <w:pPr>
        <w:pStyle w:val="Heading2"/>
        <w:numPr>
          <w:ilvl w:val="0"/>
          <w:numId w:val="7"/>
        </w:numPr>
        <w:suppressLineNumbers/>
        <w:tabs>
          <w:tab w:val="clear" w:pos="720"/>
        </w:tabs>
        <w:suppressAutoHyphens/>
        <w:ind w:left="714" w:hanging="357"/>
        <w:rPr>
          <w:kern w:val="22"/>
          <w:lang w:val="fr-FR"/>
        </w:rPr>
      </w:pPr>
      <w:r>
        <w:rPr>
          <w:kern w:val="22"/>
          <w:lang w:val="fr-FR"/>
        </w:rPr>
        <w:t>Résultats et étapes attendus</w:t>
      </w:r>
      <w:r w:rsidR="006B539E">
        <w:rPr>
          <w:kern w:val="22"/>
          <w:lang w:val="fr-FR"/>
        </w:rPr>
        <w:t xml:space="preserve"> </w:t>
      </w:r>
    </w:p>
    <w:p w14:paraId="305C6168" w14:textId="6B3615C5" w:rsidR="006164D8" w:rsidRPr="00B97567" w:rsidRDefault="007F4665" w:rsidP="001F4589">
      <w:pPr>
        <w:pStyle w:val="Para1"/>
        <w:numPr>
          <w:ilvl w:val="0"/>
          <w:numId w:val="10"/>
        </w:numPr>
        <w:suppressLineNumbers/>
        <w:tabs>
          <w:tab w:val="clear" w:pos="360"/>
          <w:tab w:val="num" w:pos="720"/>
        </w:tabs>
        <w:suppressAutoHyphens/>
        <w:rPr>
          <w:kern w:val="22"/>
          <w:lang w:val="fr-FR"/>
        </w:rPr>
      </w:pPr>
      <w:r w:rsidRPr="00B97567">
        <w:rPr>
          <w:kern w:val="22"/>
          <w:lang w:val="fr-FR"/>
        </w:rPr>
        <w:t>La mise en œuvre d</w:t>
      </w:r>
      <w:r w:rsidR="009C0F18">
        <w:rPr>
          <w:kern w:val="22"/>
          <w:lang w:val="fr-FR"/>
        </w:rPr>
        <w:t>e la composante </w:t>
      </w:r>
      <w:r w:rsidRPr="00B97567">
        <w:rPr>
          <w:kern w:val="22"/>
          <w:lang w:val="fr-FR"/>
        </w:rPr>
        <w:t>gestion des connaissances devrait aboutir à</w:t>
      </w:r>
      <w:r w:rsidR="00D509EA">
        <w:rPr>
          <w:kern w:val="22"/>
          <w:lang w:val="fr-FR"/>
        </w:rPr>
        <w:t xml:space="preserve"> </w:t>
      </w:r>
      <w:r w:rsidRPr="00B97567">
        <w:rPr>
          <w:kern w:val="22"/>
          <w:lang w:val="fr-FR"/>
        </w:rPr>
        <w:t>:</w:t>
      </w:r>
    </w:p>
    <w:p w14:paraId="6311AB6B" w14:textId="311CF5C7" w:rsidR="006164D8" w:rsidRPr="00B97567" w:rsidRDefault="00073083" w:rsidP="001F4589">
      <w:pPr>
        <w:pStyle w:val="CBD-Para-a"/>
        <w:numPr>
          <w:ilvl w:val="1"/>
          <w:numId w:val="13"/>
        </w:numPr>
        <w:tabs>
          <w:tab w:val="clear" w:pos="1080"/>
          <w:tab w:val="num" w:pos="1276"/>
        </w:tabs>
        <w:ind w:left="0" w:firstLine="720"/>
        <w:rPr>
          <w:kern w:val="22"/>
          <w:lang w:val="fr-FR"/>
        </w:rPr>
      </w:pPr>
      <w:r>
        <w:rPr>
          <w:kern w:val="22"/>
          <w:lang w:val="fr-FR"/>
        </w:rPr>
        <w:t>La d</w:t>
      </w:r>
      <w:r w:rsidR="007F4665" w:rsidRPr="00B97567">
        <w:rPr>
          <w:kern w:val="22"/>
          <w:lang w:val="fr-FR"/>
        </w:rPr>
        <w:t xml:space="preserve">isponibilité et </w:t>
      </w:r>
      <w:r>
        <w:rPr>
          <w:kern w:val="22"/>
          <w:lang w:val="fr-FR"/>
        </w:rPr>
        <w:t>l’</w:t>
      </w:r>
      <w:r w:rsidR="007F4665" w:rsidRPr="00B97567">
        <w:rPr>
          <w:kern w:val="22"/>
          <w:lang w:val="fr-FR"/>
        </w:rPr>
        <w:t>accessibilité accrues des données, informations et connaissances pertinentes à tous les niveaux ;</w:t>
      </w:r>
    </w:p>
    <w:p w14:paraId="37EA2381" w14:textId="51FEA077" w:rsidR="006164D8" w:rsidRPr="00B97567" w:rsidRDefault="00073083" w:rsidP="001F4589">
      <w:pPr>
        <w:pStyle w:val="CBD-Para-a"/>
        <w:numPr>
          <w:ilvl w:val="1"/>
          <w:numId w:val="13"/>
        </w:numPr>
        <w:tabs>
          <w:tab w:val="clear" w:pos="1080"/>
          <w:tab w:val="num" w:pos="1276"/>
        </w:tabs>
        <w:ind w:left="0" w:firstLine="720"/>
        <w:rPr>
          <w:kern w:val="22"/>
          <w:lang w:val="fr-FR"/>
        </w:rPr>
      </w:pPr>
      <w:r>
        <w:rPr>
          <w:kern w:val="22"/>
          <w:lang w:val="fr-FR"/>
        </w:rPr>
        <w:t>L’a</w:t>
      </w:r>
      <w:r w:rsidR="007F4665" w:rsidRPr="00B97567">
        <w:rPr>
          <w:kern w:val="22"/>
          <w:lang w:val="fr-FR"/>
        </w:rPr>
        <w:t xml:space="preserve">doption et </w:t>
      </w:r>
      <w:r>
        <w:rPr>
          <w:kern w:val="22"/>
          <w:lang w:val="fr-FR"/>
        </w:rPr>
        <w:t>l’</w:t>
      </w:r>
      <w:r w:rsidR="007F4665" w:rsidRPr="00B97567">
        <w:rPr>
          <w:kern w:val="22"/>
          <w:lang w:val="fr-FR"/>
        </w:rPr>
        <w:t xml:space="preserve">utilisation accrues des données, des informations et des connaissances pour soutenir la mise en œuvre du cadre mondial </w:t>
      </w:r>
      <w:r w:rsidR="007B78FD">
        <w:rPr>
          <w:kern w:val="22"/>
          <w:lang w:val="fr-FR"/>
        </w:rPr>
        <w:t>de</w:t>
      </w:r>
      <w:r w:rsidR="007F4665" w:rsidRPr="00B97567">
        <w:rPr>
          <w:kern w:val="22"/>
          <w:lang w:val="fr-FR"/>
        </w:rPr>
        <w:t xml:space="preserve"> la biodiversité </w:t>
      </w:r>
      <w:r w:rsidR="007B78FD">
        <w:rPr>
          <w:kern w:val="22"/>
          <w:lang w:val="fr-FR"/>
        </w:rPr>
        <w:t>pour</w:t>
      </w:r>
      <w:r w:rsidR="007F4665" w:rsidRPr="00B97567">
        <w:rPr>
          <w:kern w:val="22"/>
          <w:lang w:val="fr-FR"/>
        </w:rPr>
        <w:t xml:space="preserve"> l'après-2020 ;</w:t>
      </w:r>
    </w:p>
    <w:p w14:paraId="2C60DA77" w14:textId="36D3822F" w:rsidR="006164D8" w:rsidRPr="00B97567" w:rsidRDefault="00073083" w:rsidP="001F4589">
      <w:pPr>
        <w:pStyle w:val="CBD-Para-a"/>
        <w:numPr>
          <w:ilvl w:val="1"/>
          <w:numId w:val="13"/>
        </w:numPr>
        <w:tabs>
          <w:tab w:val="clear" w:pos="1080"/>
          <w:tab w:val="num" w:pos="1276"/>
        </w:tabs>
        <w:ind w:left="0" w:firstLine="720"/>
        <w:rPr>
          <w:kern w:val="22"/>
          <w:lang w:val="fr-FR"/>
        </w:rPr>
      </w:pPr>
      <w:r>
        <w:rPr>
          <w:kern w:val="22"/>
          <w:lang w:val="fr-FR"/>
        </w:rPr>
        <w:t>Le r</w:t>
      </w:r>
      <w:r w:rsidR="007F4665" w:rsidRPr="00B97567">
        <w:rPr>
          <w:kern w:val="22"/>
          <w:lang w:val="fr-FR"/>
        </w:rPr>
        <w:t>enforcement de la capacité des</w:t>
      </w:r>
      <w:r>
        <w:rPr>
          <w:kern w:val="22"/>
          <w:lang w:val="fr-FR"/>
        </w:rPr>
        <w:t xml:space="preserve"> G</w:t>
      </w:r>
      <w:r w:rsidR="007F4665" w:rsidRPr="00B97567">
        <w:rPr>
          <w:kern w:val="22"/>
          <w:lang w:val="fr-FR"/>
        </w:rPr>
        <w:t>ouvernements et des parties prenantes concernées à saisir, gérer et utiliser les données, les informations et les connaissances relatives à la biodiversité ;</w:t>
      </w:r>
    </w:p>
    <w:p w14:paraId="1AA9CF77" w14:textId="7A5EC759" w:rsidR="006164D8" w:rsidRPr="00B97567" w:rsidRDefault="00073083" w:rsidP="001F4589">
      <w:pPr>
        <w:pStyle w:val="CBD-Para-a"/>
        <w:numPr>
          <w:ilvl w:val="1"/>
          <w:numId w:val="13"/>
        </w:numPr>
        <w:tabs>
          <w:tab w:val="clear" w:pos="1080"/>
          <w:tab w:val="num" w:pos="1276"/>
        </w:tabs>
        <w:ind w:left="0" w:firstLine="720"/>
        <w:rPr>
          <w:kern w:val="22"/>
          <w:lang w:val="fr-FR"/>
        </w:rPr>
      </w:pPr>
      <w:r>
        <w:rPr>
          <w:kern w:val="22"/>
          <w:lang w:val="fr-FR"/>
        </w:rPr>
        <w:lastRenderedPageBreak/>
        <w:t>La capacité accrue des Gouvernement</w:t>
      </w:r>
      <w:r w:rsidR="00205950">
        <w:rPr>
          <w:kern w:val="22"/>
          <w:lang w:val="fr-FR"/>
        </w:rPr>
        <w:t>s</w:t>
      </w:r>
      <w:r>
        <w:rPr>
          <w:kern w:val="22"/>
          <w:lang w:val="fr-FR"/>
        </w:rPr>
        <w:t xml:space="preserve"> et des parties prenantes à </w:t>
      </w:r>
      <w:r w:rsidR="00650CFD">
        <w:rPr>
          <w:kern w:val="22"/>
          <w:lang w:val="fr-FR"/>
        </w:rPr>
        <w:t>saisi</w:t>
      </w:r>
      <w:r>
        <w:rPr>
          <w:kern w:val="22"/>
          <w:lang w:val="fr-FR"/>
        </w:rPr>
        <w:t>r, gérer et utiliser les données relatives à la biodiversité, à l’information et aux connaissances ;</w:t>
      </w:r>
    </w:p>
    <w:p w14:paraId="7F88BF99" w14:textId="6793BD4B" w:rsidR="006164D8" w:rsidRPr="00B97567" w:rsidRDefault="0095541C" w:rsidP="001F4589">
      <w:pPr>
        <w:pStyle w:val="CBD-Para-a"/>
        <w:numPr>
          <w:ilvl w:val="1"/>
          <w:numId w:val="13"/>
        </w:numPr>
        <w:tabs>
          <w:tab w:val="clear" w:pos="1080"/>
          <w:tab w:val="num" w:pos="1276"/>
        </w:tabs>
        <w:ind w:left="0" w:firstLine="720"/>
        <w:rPr>
          <w:kern w:val="22"/>
          <w:lang w:val="fr-FR"/>
        </w:rPr>
      </w:pPr>
      <w:r>
        <w:rPr>
          <w:kern w:val="22"/>
          <w:lang w:val="fr-FR"/>
        </w:rPr>
        <w:t>L’a</w:t>
      </w:r>
      <w:r w:rsidR="007F4665" w:rsidRPr="00B97567">
        <w:rPr>
          <w:kern w:val="22"/>
          <w:lang w:val="fr-FR"/>
        </w:rPr>
        <w:t>mélioration de l'accès en temps réel aux données et aux informations pour la planification et les rapports nationaux dans le cadre des conventions relatives à la biodiversité et pour les examens mondiaux, y compris dans le contexte de l'IPBES ;</w:t>
      </w:r>
    </w:p>
    <w:p w14:paraId="3C2B59B4" w14:textId="7CE721EC" w:rsidR="006164D8" w:rsidRPr="00B97567" w:rsidRDefault="007F4665" w:rsidP="001F4589">
      <w:pPr>
        <w:pStyle w:val="CBD-Para-a"/>
        <w:numPr>
          <w:ilvl w:val="1"/>
          <w:numId w:val="13"/>
        </w:numPr>
        <w:tabs>
          <w:tab w:val="clear" w:pos="1080"/>
          <w:tab w:val="num" w:pos="1276"/>
        </w:tabs>
        <w:ind w:left="0" w:firstLine="720"/>
        <w:rPr>
          <w:kern w:val="22"/>
          <w:lang w:val="fr-FR"/>
        </w:rPr>
      </w:pPr>
      <w:r w:rsidRPr="00B97567">
        <w:rPr>
          <w:kern w:val="22"/>
          <w:lang w:val="fr-FR"/>
        </w:rPr>
        <w:t>Un partage accru des informations entre les conventions et les organisations liées à la biodiversité.</w:t>
      </w:r>
    </w:p>
    <w:p w14:paraId="661D1173" w14:textId="14EE1876" w:rsidR="006164D8" w:rsidRPr="00B97567" w:rsidRDefault="007F4665" w:rsidP="001F4589">
      <w:pPr>
        <w:pStyle w:val="Para1"/>
        <w:numPr>
          <w:ilvl w:val="0"/>
          <w:numId w:val="10"/>
        </w:numPr>
        <w:suppressLineNumbers/>
        <w:tabs>
          <w:tab w:val="clear" w:pos="360"/>
          <w:tab w:val="num" w:pos="720"/>
        </w:tabs>
        <w:suppressAutoHyphens/>
        <w:rPr>
          <w:kern w:val="22"/>
          <w:lang w:val="fr-FR"/>
        </w:rPr>
      </w:pPr>
      <w:r w:rsidRPr="00B97567">
        <w:rPr>
          <w:kern w:val="22"/>
          <w:szCs w:val="22"/>
          <w:lang w:val="fr-FR"/>
        </w:rPr>
        <w:t>E</w:t>
      </w:r>
      <w:r w:rsidR="0095541C">
        <w:rPr>
          <w:kern w:val="22"/>
          <w:szCs w:val="22"/>
          <w:lang w:val="fr-FR"/>
        </w:rPr>
        <w:t>nfin</w:t>
      </w:r>
      <w:r w:rsidRPr="00B97567">
        <w:rPr>
          <w:kern w:val="22"/>
          <w:szCs w:val="22"/>
          <w:lang w:val="fr-FR"/>
        </w:rPr>
        <w:t xml:space="preserve">, les améliorations susmentionnées devraient permettre aux </w:t>
      </w:r>
      <w:r w:rsidR="0095541C">
        <w:rPr>
          <w:kern w:val="22"/>
          <w:szCs w:val="22"/>
          <w:lang w:val="fr-FR"/>
        </w:rPr>
        <w:t>G</w:t>
      </w:r>
      <w:r w:rsidRPr="00B97567">
        <w:rPr>
          <w:kern w:val="22"/>
          <w:szCs w:val="22"/>
          <w:lang w:val="fr-FR"/>
        </w:rPr>
        <w:t>ouvernements, aux p</w:t>
      </w:r>
      <w:r w:rsidR="00447BF1">
        <w:rPr>
          <w:kern w:val="22"/>
          <w:szCs w:val="22"/>
          <w:lang w:val="fr-FR"/>
        </w:rPr>
        <w:t>euples</w:t>
      </w:r>
      <w:r w:rsidRPr="00B97567">
        <w:rPr>
          <w:kern w:val="22"/>
          <w:szCs w:val="22"/>
          <w:lang w:val="fr-FR"/>
        </w:rPr>
        <w:t xml:space="preserve"> autochtones et aux communautés locales, ainsi qu'à toutes les parties prenantes, le cas échéant</w:t>
      </w:r>
      <w:r w:rsidR="0095541C">
        <w:rPr>
          <w:kern w:val="22"/>
          <w:szCs w:val="22"/>
          <w:lang w:val="fr-FR"/>
        </w:rPr>
        <w:t>, à</w:t>
      </w:r>
      <w:r w:rsidRPr="00B97567">
        <w:rPr>
          <w:kern w:val="22"/>
          <w:szCs w:val="22"/>
          <w:lang w:val="fr-FR"/>
        </w:rPr>
        <w:t xml:space="preserve"> :</w:t>
      </w:r>
    </w:p>
    <w:p w14:paraId="0433586D" w14:textId="16E26D70" w:rsidR="006164D8" w:rsidRPr="00B97567" w:rsidRDefault="005C03BF" w:rsidP="001F4589">
      <w:pPr>
        <w:pStyle w:val="CBD-Para-a"/>
        <w:keepLines w:val="0"/>
        <w:numPr>
          <w:ilvl w:val="0"/>
          <w:numId w:val="14"/>
        </w:numPr>
        <w:tabs>
          <w:tab w:val="clear" w:pos="1080"/>
          <w:tab w:val="num" w:pos="1276"/>
        </w:tabs>
        <w:ind w:left="0" w:firstLine="720"/>
        <w:rPr>
          <w:kern w:val="22"/>
          <w:lang w:val="fr-FR"/>
        </w:rPr>
      </w:pPr>
      <w:r w:rsidRPr="00B97567">
        <w:rPr>
          <w:kern w:val="22"/>
          <w:lang w:val="fr-FR"/>
        </w:rPr>
        <w:t>Améliorer la mise en œuvre et la prise de décision grâce à une utilisation plus efficace des données, des informations et des connaissances disponibles ;</w:t>
      </w:r>
    </w:p>
    <w:p w14:paraId="77191F89" w14:textId="078D0EB9" w:rsidR="005C03BF" w:rsidRPr="00B97567" w:rsidRDefault="005C03BF" w:rsidP="001F4589">
      <w:pPr>
        <w:pStyle w:val="CBD-Para-a"/>
        <w:keepLines w:val="0"/>
        <w:numPr>
          <w:ilvl w:val="0"/>
          <w:numId w:val="14"/>
        </w:numPr>
        <w:tabs>
          <w:tab w:val="clear" w:pos="1080"/>
          <w:tab w:val="num" w:pos="1276"/>
        </w:tabs>
        <w:ind w:left="0" w:firstLine="720"/>
        <w:rPr>
          <w:kern w:val="22"/>
          <w:lang w:val="fr-FR"/>
        </w:rPr>
      </w:pPr>
      <w:r w:rsidRPr="00B97567">
        <w:rPr>
          <w:kern w:val="22"/>
          <w:lang w:val="fr-FR"/>
        </w:rPr>
        <w:t xml:space="preserve">Accroître l'efficacité en accédant aux travaux antérieurs et en les exploitant plutôt qu'en les répétant, et en tirant </w:t>
      </w:r>
      <w:r w:rsidR="00447BF1">
        <w:rPr>
          <w:kern w:val="22"/>
          <w:lang w:val="fr-FR"/>
        </w:rPr>
        <w:t>d</w:t>
      </w:r>
      <w:r w:rsidRPr="00B97567">
        <w:rPr>
          <w:kern w:val="22"/>
          <w:lang w:val="fr-FR"/>
        </w:rPr>
        <w:t>es leçons des expériences des autres ;</w:t>
      </w:r>
    </w:p>
    <w:p w14:paraId="43C756C4" w14:textId="497A890D" w:rsidR="005C03BF" w:rsidRPr="00B97567" w:rsidRDefault="005C03BF" w:rsidP="001F4589">
      <w:pPr>
        <w:pStyle w:val="CBD-Para-a"/>
        <w:keepLines w:val="0"/>
        <w:numPr>
          <w:ilvl w:val="0"/>
          <w:numId w:val="14"/>
        </w:numPr>
        <w:tabs>
          <w:tab w:val="clear" w:pos="1080"/>
          <w:tab w:val="num" w:pos="1276"/>
        </w:tabs>
        <w:ind w:left="0" w:firstLine="720"/>
        <w:rPr>
          <w:kern w:val="22"/>
          <w:lang w:val="fr-FR"/>
        </w:rPr>
      </w:pPr>
      <w:r w:rsidRPr="00B97567">
        <w:rPr>
          <w:kern w:val="22"/>
          <w:lang w:val="fr-FR"/>
        </w:rPr>
        <w:t>Réduire les inefficacités dans la prestation de services en obtenant les informations nécessaires en temps utile ou en réduisant le temps passé à rechercher des informations ;</w:t>
      </w:r>
    </w:p>
    <w:p w14:paraId="0CA61327" w14:textId="7E3E2266" w:rsidR="005C03BF" w:rsidRPr="00B97567" w:rsidRDefault="00D509EA" w:rsidP="001F4589">
      <w:pPr>
        <w:pStyle w:val="CBD-Para-a"/>
        <w:keepLines w:val="0"/>
        <w:numPr>
          <w:ilvl w:val="0"/>
          <w:numId w:val="14"/>
        </w:numPr>
        <w:tabs>
          <w:tab w:val="clear" w:pos="1080"/>
          <w:tab w:val="num" w:pos="1276"/>
        </w:tabs>
        <w:ind w:left="0" w:firstLine="720"/>
        <w:rPr>
          <w:kern w:val="22"/>
          <w:lang w:val="fr-FR"/>
        </w:rPr>
      </w:pPr>
      <w:r>
        <w:rPr>
          <w:kern w:val="22"/>
          <w:lang w:val="fr-FR"/>
        </w:rPr>
        <w:t>A</w:t>
      </w:r>
      <w:r w:rsidR="005C03BF" w:rsidRPr="00B97567">
        <w:rPr>
          <w:kern w:val="22"/>
          <w:lang w:val="fr-FR"/>
        </w:rPr>
        <w:t>méliorer la communication et le développement professionnel et organisationnel en augmentant l'apprentissage au sein des gouvernements et des organisations</w:t>
      </w:r>
      <w:r w:rsidR="00447BF1">
        <w:rPr>
          <w:kern w:val="22"/>
          <w:lang w:val="fr-FR"/>
        </w:rPr>
        <w:t> ;</w:t>
      </w:r>
    </w:p>
    <w:p w14:paraId="2A6BBBFD" w14:textId="35DC2658" w:rsidR="00225D2C" w:rsidRPr="00B97567" w:rsidRDefault="005C03BF" w:rsidP="001F4589">
      <w:pPr>
        <w:pStyle w:val="CBD-Para-a"/>
        <w:keepLines w:val="0"/>
        <w:numPr>
          <w:ilvl w:val="0"/>
          <w:numId w:val="14"/>
        </w:numPr>
        <w:tabs>
          <w:tab w:val="clear" w:pos="1080"/>
          <w:tab w:val="num" w:pos="1276"/>
        </w:tabs>
        <w:ind w:left="0" w:firstLine="720"/>
        <w:rPr>
          <w:kern w:val="22"/>
          <w:lang w:val="fr-FR"/>
        </w:rPr>
      </w:pPr>
      <w:r w:rsidRPr="00B97567">
        <w:rPr>
          <w:kern w:val="22"/>
          <w:lang w:val="fr-FR"/>
        </w:rPr>
        <w:t>Faciliter l'innovation en tirant parti des ressources de connaissances existantes pour créer de nouveaux produits.</w:t>
      </w:r>
    </w:p>
    <w:p w14:paraId="2396E374" w14:textId="50449C60" w:rsidR="009A6964" w:rsidRPr="00B97567" w:rsidRDefault="000520B7" w:rsidP="001F4589">
      <w:pPr>
        <w:pStyle w:val="Heading1"/>
        <w:suppressLineNumbers/>
        <w:tabs>
          <w:tab w:val="clear" w:pos="720"/>
          <w:tab w:val="left" w:pos="426"/>
        </w:tabs>
        <w:suppressAutoHyphens/>
        <w:spacing w:before="120"/>
        <w:rPr>
          <w:bCs/>
          <w:kern w:val="22"/>
          <w:lang w:val="fr-FR"/>
        </w:rPr>
      </w:pPr>
      <w:r w:rsidRPr="00B97567">
        <w:rPr>
          <w:bCs/>
          <w:kern w:val="22"/>
          <w:lang w:val="fr-FR"/>
        </w:rPr>
        <w:t>iii.</w:t>
      </w:r>
      <w:r w:rsidRPr="00B97567">
        <w:rPr>
          <w:bCs/>
          <w:kern w:val="22"/>
          <w:lang w:val="fr-FR"/>
        </w:rPr>
        <w:tab/>
      </w:r>
      <w:r w:rsidRPr="00B97567">
        <w:rPr>
          <w:bCs/>
          <w:kern w:val="22"/>
          <w:lang w:val="fr-FR"/>
        </w:rPr>
        <w:tab/>
      </w:r>
      <w:r w:rsidR="009C0F18" w:rsidRPr="009811B0">
        <w:rPr>
          <w:rFonts w:ascii="Times" w:hAnsi="Times"/>
          <w:bCs/>
          <w:kern w:val="22"/>
          <w:lang w:val="fr-FR"/>
        </w:rPr>
        <w:t>stratÉgies pour amÉliorer la gestion des connaissances sur la biodiversitÉ</w:t>
      </w:r>
    </w:p>
    <w:p w14:paraId="14141D96" w14:textId="651E4B69" w:rsidR="00964A8F" w:rsidRPr="00B97567" w:rsidRDefault="005C03BF" w:rsidP="00482485">
      <w:pPr>
        <w:pStyle w:val="Para1"/>
        <w:numPr>
          <w:ilvl w:val="0"/>
          <w:numId w:val="10"/>
        </w:numPr>
        <w:suppressLineNumbers/>
        <w:tabs>
          <w:tab w:val="clear" w:pos="360"/>
          <w:tab w:val="num" w:pos="720"/>
        </w:tabs>
        <w:suppressAutoHyphens/>
        <w:rPr>
          <w:kern w:val="22"/>
          <w:szCs w:val="22"/>
          <w:lang w:val="fr-FR"/>
        </w:rPr>
      </w:pPr>
      <w:r w:rsidRPr="00B97567">
        <w:rPr>
          <w:rFonts w:eastAsia="Malgun Gothic"/>
          <w:kern w:val="22"/>
          <w:lang w:val="fr-FR"/>
        </w:rPr>
        <w:t xml:space="preserve">Cette section décrit les grandes catégories de stratégies que doivent entreprendre les </w:t>
      </w:r>
      <w:r w:rsidR="00447BF1">
        <w:rPr>
          <w:rFonts w:eastAsia="Malgun Gothic"/>
          <w:kern w:val="22"/>
          <w:lang w:val="fr-FR"/>
        </w:rPr>
        <w:t>P</w:t>
      </w:r>
      <w:r w:rsidRPr="00B97567">
        <w:rPr>
          <w:rFonts w:eastAsia="Malgun Gothic"/>
          <w:kern w:val="22"/>
          <w:lang w:val="fr-FR"/>
        </w:rPr>
        <w:t>arties, les organisations concernées et les secrétariats des conventions, selon le cas, pour améliorer les étapes suivantes du cycle de gestion des connaissances à l'appui du cadre mondial de la biodiversité pour l'après-2020. Les principales actions stratégiques spécifiques destinées à faciliter la mise en œuvre de ce</w:t>
      </w:r>
      <w:r w:rsidR="00447BF1">
        <w:rPr>
          <w:rFonts w:eastAsia="Malgun Gothic"/>
          <w:kern w:val="22"/>
          <w:lang w:val="fr-FR"/>
        </w:rPr>
        <w:t>tte composante</w:t>
      </w:r>
      <w:r w:rsidRPr="00B97567">
        <w:rPr>
          <w:rFonts w:eastAsia="Malgun Gothic"/>
          <w:kern w:val="22"/>
          <w:lang w:val="fr-FR"/>
        </w:rPr>
        <w:t>, y compris les calendriers proposés et une liste indicative des principaux responsables de la mise en œuvre des différentes actions, sont présentées à l'annexe I. Les actions stratégiques proposées sont regroupées selon les étapes suivantes du cycle de gestion des connaissances : production et synthèse des connaissances ; découverte et collecte des connaissances ; organisation et partage des connaissances ; utilisation/application des connaissances ; et audit et examen des connaissances afin d'identifier les lacunes en matière de connaissances et d'améliorer la planification et l</w:t>
      </w:r>
      <w:r w:rsidR="00447BF1">
        <w:rPr>
          <w:rFonts w:eastAsia="Malgun Gothic"/>
          <w:kern w:val="22"/>
          <w:lang w:val="fr-FR"/>
        </w:rPr>
        <w:t>’établissement</w:t>
      </w:r>
      <w:r w:rsidRPr="00B97567">
        <w:rPr>
          <w:rFonts w:eastAsia="Malgun Gothic"/>
          <w:kern w:val="22"/>
          <w:lang w:val="fr-FR"/>
        </w:rPr>
        <w:t xml:space="preserve"> des priorités au niveau national, tout en tenant compte des priorités mondiales.</w:t>
      </w:r>
      <w:r w:rsidRPr="00B97567">
        <w:rPr>
          <w:kern w:val="22"/>
          <w:lang w:val="fr-FR"/>
        </w:rPr>
        <w:t xml:space="preserve"> </w:t>
      </w:r>
    </w:p>
    <w:p w14:paraId="62BFCEDE" w14:textId="1EAB6B30" w:rsidR="00964A8F" w:rsidRPr="00B97567" w:rsidRDefault="0018757A" w:rsidP="00482485">
      <w:pPr>
        <w:pStyle w:val="Heading2"/>
        <w:numPr>
          <w:ilvl w:val="0"/>
          <w:numId w:val="11"/>
        </w:numPr>
        <w:suppressLineNumbers/>
        <w:tabs>
          <w:tab w:val="clear" w:pos="720"/>
        </w:tabs>
        <w:suppressAutoHyphens/>
        <w:ind w:left="714" w:hanging="357"/>
        <w:rPr>
          <w:kern w:val="22"/>
          <w:lang w:val="fr-FR"/>
        </w:rPr>
      </w:pPr>
      <w:r>
        <w:rPr>
          <w:kern w:val="22"/>
          <w:lang w:val="fr-FR"/>
        </w:rPr>
        <w:t>Promouvoir la production et la synthèse des connaissances</w:t>
      </w:r>
    </w:p>
    <w:p w14:paraId="73701082" w14:textId="043296ED" w:rsidR="00964A8F" w:rsidRPr="00B97567" w:rsidRDefault="00331431" w:rsidP="00482485">
      <w:pPr>
        <w:pStyle w:val="Para1"/>
        <w:numPr>
          <w:ilvl w:val="0"/>
          <w:numId w:val="10"/>
        </w:numPr>
        <w:suppressLineNumbers/>
        <w:tabs>
          <w:tab w:val="clear" w:pos="360"/>
        </w:tabs>
        <w:suppressAutoHyphens/>
        <w:rPr>
          <w:kern w:val="22"/>
          <w:szCs w:val="22"/>
          <w:lang w:val="fr-FR"/>
        </w:rPr>
      </w:pPr>
      <w:r w:rsidRPr="00331431">
        <w:rPr>
          <w:kern w:val="22"/>
          <w:lang w:val="fr-FR"/>
        </w:rPr>
        <w:t xml:space="preserve">La production et la synthèse des connaissances englobent la création et l'avancement de nouvelles connaissances et la constitution d'une base de données probantes, principalement par le biais de la recherche et d'initiatives universitaires, ainsi que l'analyse des informations fournies par les </w:t>
      </w:r>
      <w:r w:rsidR="00315177">
        <w:rPr>
          <w:kern w:val="22"/>
          <w:lang w:val="fr-FR"/>
        </w:rPr>
        <w:t>G</w:t>
      </w:r>
      <w:r w:rsidRPr="00331431">
        <w:rPr>
          <w:kern w:val="22"/>
          <w:lang w:val="fr-FR"/>
        </w:rPr>
        <w:t xml:space="preserve">ouvernements, les organisations concernées et d'autres sources. Parmi les exemples d'organisations et de processus contribuant à la </w:t>
      </w:r>
      <w:r w:rsidR="00315177">
        <w:rPr>
          <w:kern w:val="22"/>
          <w:lang w:val="fr-FR"/>
        </w:rPr>
        <w:t xml:space="preserve">production </w:t>
      </w:r>
      <w:r w:rsidRPr="00331431">
        <w:rPr>
          <w:kern w:val="22"/>
          <w:lang w:val="fr-FR"/>
        </w:rPr>
        <w:t>et à la synthèse d'informations et de connaissances liées à la biodiversité, on peut citer les instituts de recherche universitaires, GEO-BON, IPBES</w:t>
      </w:r>
      <w:r w:rsidR="009811B0">
        <w:rPr>
          <w:kern w:val="22"/>
          <w:lang w:val="fr-FR"/>
        </w:rPr>
        <w:t>,</w:t>
      </w:r>
      <w:r w:rsidR="00447F2D">
        <w:rPr>
          <w:rStyle w:val="FootnoteReference"/>
          <w:kern w:val="22"/>
          <w:lang w:val="fr-FR"/>
        </w:rPr>
        <w:footnoteReference w:id="14"/>
      </w:r>
      <w:r w:rsidRPr="00331431">
        <w:rPr>
          <w:kern w:val="22"/>
          <w:lang w:val="fr-FR"/>
        </w:rPr>
        <w:t xml:space="preserve"> les évaluations mondiales de l'Organisation des Nations unies pour l'alimentation et l'agriculture (FAO), le PNUE-WCMC, etc.</w:t>
      </w:r>
    </w:p>
    <w:p w14:paraId="155D7F21" w14:textId="3CDF95A8" w:rsidR="00964A8F" w:rsidRPr="00B97567" w:rsidRDefault="0018757A" w:rsidP="001F4589">
      <w:pPr>
        <w:pStyle w:val="Heading2"/>
        <w:numPr>
          <w:ilvl w:val="0"/>
          <w:numId w:val="11"/>
        </w:numPr>
        <w:suppressLineNumbers/>
        <w:tabs>
          <w:tab w:val="clear" w:pos="720"/>
        </w:tabs>
        <w:suppressAutoHyphens/>
        <w:ind w:left="714" w:hanging="357"/>
        <w:rPr>
          <w:kern w:val="22"/>
          <w:lang w:val="fr-FR"/>
        </w:rPr>
      </w:pPr>
      <w:r>
        <w:rPr>
          <w:kern w:val="22"/>
          <w:lang w:val="fr-FR"/>
        </w:rPr>
        <w:t>Faciliter la découverte et la collecte des connaissances</w:t>
      </w:r>
    </w:p>
    <w:p w14:paraId="7722ED13" w14:textId="24BFC00A" w:rsidR="00964A8F" w:rsidRPr="00B97567" w:rsidRDefault="00331431" w:rsidP="001F4589">
      <w:pPr>
        <w:pStyle w:val="Para1"/>
        <w:numPr>
          <w:ilvl w:val="0"/>
          <w:numId w:val="10"/>
        </w:numPr>
        <w:suppressLineNumbers/>
        <w:tabs>
          <w:tab w:val="clear" w:pos="360"/>
        </w:tabs>
        <w:suppressAutoHyphens/>
        <w:rPr>
          <w:kern w:val="22"/>
          <w:szCs w:val="22"/>
          <w:lang w:val="fr-FR"/>
        </w:rPr>
      </w:pPr>
      <w:r w:rsidRPr="00331431">
        <w:rPr>
          <w:kern w:val="22"/>
          <w:lang w:val="fr-FR"/>
        </w:rPr>
        <w:t>La découverte et la collecte de connaissances sont un élément essentiel de cette composante</w:t>
      </w:r>
      <w:r w:rsidR="00447F2D">
        <w:rPr>
          <w:rStyle w:val="FootnoteReference"/>
          <w:kern w:val="22"/>
          <w:lang w:val="fr-FR"/>
        </w:rPr>
        <w:footnoteReference w:id="15"/>
      </w:r>
      <w:r w:rsidRPr="00331431">
        <w:rPr>
          <w:kern w:val="22"/>
          <w:lang w:val="fr-FR"/>
        </w:rPr>
        <w:t xml:space="preserve">.  À mesure que la production de connaissances augmente et que des quantités massives de données, </w:t>
      </w:r>
      <w:r w:rsidRPr="00331431">
        <w:rPr>
          <w:kern w:val="22"/>
          <w:lang w:val="fr-FR"/>
        </w:rPr>
        <w:lastRenderedPageBreak/>
        <w:t xml:space="preserve">d'informations et de connaissances sont stockées dans des bibliothèques et des bases de données numériques dans le monde entier, il devient difficile de les identifier et d'y accéder. Il est nécessaire de comprendre l'étendue de ce qui est collecté dans l'ensemble des sources et de garder une trace des sources pertinentes. Certaines de ces sources sont accessibles au public, tandis que d'autres sont gérées comme des ressources payantes et/ou privées. Un certain nombre d'efforts sont en cours pour identifier et compiler les sources existantes de données, d'informations et de connaissances sur la biodiversité, y compris celles identifiées dans les recueils du PNUE-WCMC mentionnés ci-dessus. Ces efforts doivent être élargis et développés pour soutenir le cadre mondial de la biodiversité </w:t>
      </w:r>
      <w:r w:rsidR="00B7408B">
        <w:rPr>
          <w:kern w:val="22"/>
          <w:lang w:val="fr-FR"/>
        </w:rPr>
        <w:t>pour l’après-</w:t>
      </w:r>
      <w:r w:rsidRPr="00331431">
        <w:rPr>
          <w:kern w:val="22"/>
          <w:lang w:val="fr-FR"/>
        </w:rPr>
        <w:t>2020.</w:t>
      </w:r>
    </w:p>
    <w:p w14:paraId="11EDD7E2" w14:textId="175CD990" w:rsidR="00964A8F" w:rsidRPr="00B97567" w:rsidRDefault="0018757A" w:rsidP="001F4589">
      <w:pPr>
        <w:pStyle w:val="Heading2"/>
        <w:numPr>
          <w:ilvl w:val="0"/>
          <w:numId w:val="11"/>
        </w:numPr>
        <w:suppressLineNumbers/>
        <w:tabs>
          <w:tab w:val="clear" w:pos="720"/>
        </w:tabs>
        <w:suppressAutoHyphens/>
        <w:ind w:left="714" w:hanging="357"/>
        <w:rPr>
          <w:kern w:val="22"/>
          <w:lang w:val="fr-FR"/>
        </w:rPr>
      </w:pPr>
      <w:r>
        <w:rPr>
          <w:kern w:val="22"/>
          <w:lang w:val="fr-FR"/>
        </w:rPr>
        <w:t>Améliorer l’organisation et le partage des connaissances</w:t>
      </w:r>
    </w:p>
    <w:p w14:paraId="1DCAFDE9" w14:textId="7A99BD57" w:rsidR="000862A2" w:rsidRPr="00B97567" w:rsidRDefault="005C03BF" w:rsidP="001F4589">
      <w:pPr>
        <w:pStyle w:val="Para1"/>
        <w:numPr>
          <w:ilvl w:val="0"/>
          <w:numId w:val="10"/>
        </w:numPr>
        <w:suppressLineNumbers/>
        <w:tabs>
          <w:tab w:val="clear" w:pos="360"/>
        </w:tabs>
        <w:suppressAutoHyphens/>
        <w:rPr>
          <w:kern w:val="22"/>
          <w:szCs w:val="22"/>
          <w:lang w:val="fr-FR"/>
        </w:rPr>
      </w:pPr>
      <w:r w:rsidRPr="00B97567">
        <w:rPr>
          <w:kern w:val="22"/>
          <w:szCs w:val="22"/>
          <w:lang w:val="fr-FR"/>
        </w:rPr>
        <w:t xml:space="preserve">Les connaissances générées ou collectées doivent être organisées, cataloguées et cartographiées à l'aide de métadonnées et de descripteurs appropriés pour faciliter la recherche, l'accessibilité et l'extraction. Des acteurs clés tels que GBIF, GEO-BON, </w:t>
      </w:r>
      <w:proofErr w:type="spellStart"/>
      <w:r w:rsidRPr="00B97567">
        <w:rPr>
          <w:kern w:val="22"/>
          <w:szCs w:val="22"/>
          <w:lang w:val="fr-FR"/>
        </w:rPr>
        <w:t>InforMEA</w:t>
      </w:r>
      <w:proofErr w:type="spellEnd"/>
      <w:r w:rsidRPr="00B97567">
        <w:rPr>
          <w:kern w:val="22"/>
          <w:szCs w:val="22"/>
          <w:lang w:val="fr-FR"/>
        </w:rPr>
        <w:t xml:space="preserve"> et </w:t>
      </w:r>
      <w:r w:rsidR="00146ADC">
        <w:rPr>
          <w:kern w:val="22"/>
          <w:szCs w:val="22"/>
          <w:lang w:val="fr-FR"/>
        </w:rPr>
        <w:t>PNUE</w:t>
      </w:r>
      <w:r w:rsidRPr="00B97567">
        <w:rPr>
          <w:kern w:val="22"/>
          <w:szCs w:val="22"/>
          <w:lang w:val="fr-FR"/>
        </w:rPr>
        <w:t xml:space="preserve">-WCMC ont développé des normes qui peuvent être élaborées et partagées </w:t>
      </w:r>
      <w:r w:rsidR="00146ADC">
        <w:rPr>
          <w:kern w:val="22"/>
          <w:szCs w:val="22"/>
          <w:lang w:val="fr-FR"/>
        </w:rPr>
        <w:t>davantage</w:t>
      </w:r>
      <w:r w:rsidRPr="00B97567">
        <w:rPr>
          <w:kern w:val="22"/>
          <w:szCs w:val="22"/>
          <w:lang w:val="fr-FR"/>
        </w:rPr>
        <w:t>. Il est possible d'améliorer l'accès à l'information en assurant un marquage complet des métadonnées, y compris le marquage par sujet des objets de connaissance. L'utilisation cohérente d'une terminologie partagée augmente la facilité de recherche, tout comme l'indexation en texte intégral. L'amélioration de l'interopérabilité des systèmes de recherche, la normalisation et l'utilisation de descripteurs communs permettront de mieux trouver les informations.</w:t>
      </w:r>
    </w:p>
    <w:p w14:paraId="5839B1BC" w14:textId="708BB549" w:rsidR="00311425" w:rsidRPr="00B97567" w:rsidRDefault="005C03BF" w:rsidP="001F4589">
      <w:pPr>
        <w:pStyle w:val="Para1"/>
        <w:numPr>
          <w:ilvl w:val="0"/>
          <w:numId w:val="10"/>
        </w:numPr>
        <w:suppressLineNumbers/>
        <w:tabs>
          <w:tab w:val="clear" w:pos="360"/>
        </w:tabs>
        <w:suppressAutoHyphens/>
        <w:rPr>
          <w:kern w:val="22"/>
          <w:szCs w:val="22"/>
          <w:lang w:val="fr-FR"/>
        </w:rPr>
      </w:pPr>
      <w:r w:rsidRPr="00B97567">
        <w:rPr>
          <w:kern w:val="22"/>
          <w:szCs w:val="22"/>
          <w:lang w:val="fr-FR"/>
        </w:rPr>
        <w:t xml:space="preserve">Bien qu'il existe de nombreuses collections de données, d'informations et de connaissances sur la biodiversité, il reste difficile de les trouver et de les partager. En outre, toutes les informations ne sont pas mises à disposition en libre accès, ce qui rend leur accès et leur utilisation difficiles pour toutes les parties prenantes, et plus particulièrement pour celles des pays en développement. </w:t>
      </w:r>
      <w:r w:rsidR="00146ADC">
        <w:rPr>
          <w:kern w:val="22"/>
          <w:szCs w:val="22"/>
          <w:lang w:val="fr-FR"/>
        </w:rPr>
        <w:t xml:space="preserve">Il faudrait davantage du travail </w:t>
      </w:r>
      <w:r w:rsidRPr="00B97567">
        <w:rPr>
          <w:kern w:val="22"/>
          <w:szCs w:val="22"/>
          <w:lang w:val="fr-FR"/>
        </w:rPr>
        <w:t xml:space="preserve">pour permettre aux utilisateurs de trouver et d'accéder plus facilement aux informations et aux connaissances disponibles dans des formats compréhensibles. Ce dernier objectif pourrait être atteint en tirant parti des technologies modernes pour améliorer l'intégration des données, des informations et des connaissances et la visualisation des résultats de recherche. Conformément aux normes internationales et aux meilleures pratiques, les secrétariats des conventions relatives à la biodiversité ont mis au point divers </w:t>
      </w:r>
      <w:r w:rsidR="00146ADC">
        <w:rPr>
          <w:kern w:val="22"/>
          <w:szCs w:val="22"/>
          <w:lang w:val="fr-FR"/>
        </w:rPr>
        <w:t>« </w:t>
      </w:r>
      <w:r w:rsidRPr="00B97567">
        <w:rPr>
          <w:kern w:val="22"/>
          <w:szCs w:val="22"/>
          <w:lang w:val="fr-FR"/>
        </w:rPr>
        <w:t>formats communs</w:t>
      </w:r>
      <w:r w:rsidR="00146ADC">
        <w:rPr>
          <w:kern w:val="22"/>
          <w:szCs w:val="22"/>
          <w:lang w:val="fr-FR"/>
        </w:rPr>
        <w:t> »</w:t>
      </w:r>
      <w:r w:rsidRPr="00B97567">
        <w:rPr>
          <w:kern w:val="22"/>
          <w:szCs w:val="22"/>
          <w:lang w:val="fr-FR"/>
        </w:rPr>
        <w:t xml:space="preserve"> qui sont utilisés pour décrire les informations fréquemment </w:t>
      </w:r>
      <w:r w:rsidR="003640C1">
        <w:rPr>
          <w:kern w:val="22"/>
          <w:szCs w:val="22"/>
          <w:lang w:val="fr-FR"/>
        </w:rPr>
        <w:t>recueillies</w:t>
      </w:r>
      <w:r w:rsidRPr="00B97567">
        <w:rPr>
          <w:kern w:val="22"/>
          <w:szCs w:val="22"/>
          <w:lang w:val="fr-FR"/>
        </w:rPr>
        <w:t>.</w:t>
      </w:r>
    </w:p>
    <w:p w14:paraId="2ECF74C4" w14:textId="44C468F2" w:rsidR="005F2238" w:rsidRPr="00B97567" w:rsidRDefault="0018757A" w:rsidP="001F4589">
      <w:pPr>
        <w:pStyle w:val="Heading2"/>
        <w:numPr>
          <w:ilvl w:val="0"/>
          <w:numId w:val="11"/>
        </w:numPr>
        <w:suppressLineNumbers/>
        <w:tabs>
          <w:tab w:val="clear" w:pos="720"/>
        </w:tabs>
        <w:suppressAutoHyphens/>
        <w:spacing w:after="0"/>
        <w:ind w:left="714" w:hanging="357"/>
        <w:rPr>
          <w:kern w:val="22"/>
          <w:lang w:val="fr-FR"/>
        </w:rPr>
      </w:pPr>
      <w:r>
        <w:rPr>
          <w:kern w:val="22"/>
          <w:lang w:val="fr-FR"/>
        </w:rPr>
        <w:t>Promouvoir l’utilisation et l’application efficace des connaissances</w:t>
      </w:r>
    </w:p>
    <w:p w14:paraId="0D958CB0" w14:textId="50791883" w:rsidR="00375343" w:rsidRPr="00B97567" w:rsidRDefault="005C03BF" w:rsidP="001F4589">
      <w:pPr>
        <w:pStyle w:val="Para1"/>
        <w:numPr>
          <w:ilvl w:val="0"/>
          <w:numId w:val="10"/>
        </w:numPr>
        <w:suppressLineNumbers/>
        <w:tabs>
          <w:tab w:val="clear" w:pos="360"/>
        </w:tabs>
        <w:suppressAutoHyphens/>
        <w:rPr>
          <w:kern w:val="22"/>
          <w:szCs w:val="22"/>
          <w:lang w:val="fr-FR"/>
        </w:rPr>
      </w:pPr>
      <w:r w:rsidRPr="00B97567">
        <w:rPr>
          <w:kern w:val="22"/>
          <w:szCs w:val="22"/>
          <w:lang w:val="fr-FR"/>
        </w:rPr>
        <w:t xml:space="preserve">Comme indiqué ci-dessus, les </w:t>
      </w:r>
      <w:r w:rsidR="00246C91">
        <w:rPr>
          <w:kern w:val="22"/>
          <w:szCs w:val="22"/>
          <w:lang w:val="fr-FR"/>
        </w:rPr>
        <w:t>G</w:t>
      </w:r>
      <w:r w:rsidRPr="00B97567">
        <w:rPr>
          <w:kern w:val="22"/>
          <w:szCs w:val="22"/>
          <w:lang w:val="fr-FR"/>
        </w:rPr>
        <w:t xml:space="preserve">ouvernements, les organisations et les autres parties prenantes disposent collectivement d'une grande quantité de données, d'informations et de connaissances sur la biodiversité stockées dans des bases de données, des bibliothèques et d'autres </w:t>
      </w:r>
      <w:r w:rsidR="00146ADC">
        <w:rPr>
          <w:kern w:val="22"/>
          <w:szCs w:val="22"/>
          <w:lang w:val="fr-FR"/>
        </w:rPr>
        <w:t>rec</w:t>
      </w:r>
      <w:r w:rsidR="001E1F71">
        <w:rPr>
          <w:kern w:val="22"/>
          <w:szCs w:val="22"/>
          <w:lang w:val="fr-FR"/>
        </w:rPr>
        <w:t>ue</w:t>
      </w:r>
      <w:r w:rsidR="00146ADC">
        <w:rPr>
          <w:kern w:val="22"/>
          <w:szCs w:val="22"/>
          <w:lang w:val="fr-FR"/>
        </w:rPr>
        <w:t>ils</w:t>
      </w:r>
      <w:r w:rsidRPr="00B97567">
        <w:rPr>
          <w:kern w:val="22"/>
          <w:szCs w:val="22"/>
          <w:lang w:val="fr-FR"/>
        </w:rPr>
        <w:t>. Cependant, cette richesse de données n'a de valeur que si elle est partagée et utilisée efficacement pour soutenir la planification de la biodiversité, l'élaboration des politiques, la prise de décision, la mise en œuvre, le suivi, l'examen et les processus de notification.</w:t>
      </w:r>
    </w:p>
    <w:p w14:paraId="32CEFE03" w14:textId="3FA9A40F" w:rsidR="00745470" w:rsidRPr="00B97567" w:rsidRDefault="005C03BF" w:rsidP="001F4589">
      <w:pPr>
        <w:pStyle w:val="Para1"/>
        <w:numPr>
          <w:ilvl w:val="0"/>
          <w:numId w:val="10"/>
        </w:numPr>
        <w:suppressLineNumbers/>
        <w:tabs>
          <w:tab w:val="clear" w:pos="360"/>
        </w:tabs>
        <w:suppressAutoHyphens/>
        <w:rPr>
          <w:kern w:val="22"/>
          <w:szCs w:val="22"/>
          <w:lang w:val="fr-FR"/>
        </w:rPr>
      </w:pPr>
      <w:r w:rsidRPr="00B97567">
        <w:rPr>
          <w:kern w:val="22"/>
          <w:szCs w:val="22"/>
          <w:lang w:val="fr-FR"/>
        </w:rPr>
        <w:t>Diverses initiatives</w:t>
      </w:r>
      <w:r w:rsidR="00F07DBD">
        <w:rPr>
          <w:kern w:val="22"/>
          <w:szCs w:val="22"/>
          <w:lang w:val="fr-FR"/>
        </w:rPr>
        <w:t xml:space="preserve">, </w:t>
      </w:r>
      <w:r w:rsidRPr="00B97567">
        <w:rPr>
          <w:kern w:val="22"/>
          <w:szCs w:val="22"/>
          <w:lang w:val="fr-FR"/>
        </w:rPr>
        <w:t xml:space="preserve">telles que l'IPBES et le projet </w:t>
      </w:r>
      <w:proofErr w:type="spellStart"/>
      <w:r w:rsidRPr="00B97567">
        <w:rPr>
          <w:kern w:val="22"/>
          <w:szCs w:val="22"/>
          <w:lang w:val="fr-FR"/>
        </w:rPr>
        <w:t>Connect</w:t>
      </w:r>
      <w:proofErr w:type="spellEnd"/>
      <w:r w:rsidR="00F07DBD">
        <w:rPr>
          <w:kern w:val="22"/>
          <w:szCs w:val="22"/>
          <w:lang w:val="fr-FR"/>
        </w:rPr>
        <w:t>,</w:t>
      </w:r>
      <w:r w:rsidRPr="00B97567">
        <w:rPr>
          <w:kern w:val="22"/>
          <w:szCs w:val="22"/>
          <w:lang w:val="fr-FR"/>
        </w:rPr>
        <w:t xml:space="preserve"> ont permis de progresser dans l'aide apportée aux gouvernements et aux parties prenantes pour intégrer les données sur la biodiversité dans le processus décisionnel. L</w:t>
      </w:r>
      <w:r w:rsidR="00F07DBD">
        <w:rPr>
          <w:kern w:val="22"/>
          <w:szCs w:val="22"/>
          <w:lang w:val="fr-FR"/>
        </w:rPr>
        <w:t xml:space="preserve">’objectif du </w:t>
      </w:r>
      <w:r w:rsidRPr="00B97567">
        <w:rPr>
          <w:kern w:val="22"/>
          <w:szCs w:val="22"/>
          <w:lang w:val="fr-FR"/>
        </w:rPr>
        <w:t xml:space="preserve">projet </w:t>
      </w:r>
      <w:proofErr w:type="spellStart"/>
      <w:r w:rsidRPr="00B97567">
        <w:rPr>
          <w:kern w:val="22"/>
          <w:szCs w:val="22"/>
          <w:lang w:val="fr-FR"/>
        </w:rPr>
        <w:t>Connect</w:t>
      </w:r>
      <w:proofErr w:type="spellEnd"/>
      <w:r w:rsidRPr="00B97567">
        <w:rPr>
          <w:kern w:val="22"/>
          <w:szCs w:val="22"/>
          <w:lang w:val="fr-FR"/>
        </w:rPr>
        <w:t xml:space="preserve"> </w:t>
      </w:r>
      <w:r w:rsidR="00F07DBD">
        <w:rPr>
          <w:kern w:val="22"/>
          <w:szCs w:val="22"/>
          <w:lang w:val="fr-FR"/>
        </w:rPr>
        <w:t>est</w:t>
      </w:r>
      <w:r w:rsidRPr="00B97567">
        <w:rPr>
          <w:kern w:val="22"/>
          <w:szCs w:val="22"/>
          <w:lang w:val="fr-FR"/>
        </w:rPr>
        <w:t xml:space="preserve"> d'assurer </w:t>
      </w:r>
      <w:r w:rsidR="00F07DBD">
        <w:rPr>
          <w:kern w:val="22"/>
          <w:szCs w:val="22"/>
          <w:lang w:val="fr-FR"/>
        </w:rPr>
        <w:t>que la</w:t>
      </w:r>
      <w:r w:rsidRPr="00B97567">
        <w:rPr>
          <w:kern w:val="22"/>
          <w:szCs w:val="22"/>
          <w:lang w:val="fr-FR"/>
        </w:rPr>
        <w:t xml:space="preserve"> biodiversité </w:t>
      </w:r>
      <w:r w:rsidR="00F07DBD">
        <w:rPr>
          <w:kern w:val="22"/>
          <w:szCs w:val="22"/>
          <w:lang w:val="fr-FR"/>
        </w:rPr>
        <w:t xml:space="preserve">est bien prise en compte </w:t>
      </w:r>
      <w:r w:rsidR="003B7376">
        <w:rPr>
          <w:kern w:val="22"/>
          <w:szCs w:val="22"/>
          <w:lang w:val="fr-FR"/>
        </w:rPr>
        <w:t>lors de</w:t>
      </w:r>
      <w:r w:rsidRPr="00B97567">
        <w:rPr>
          <w:kern w:val="22"/>
          <w:szCs w:val="22"/>
          <w:lang w:val="fr-FR"/>
        </w:rPr>
        <w:t xml:space="preserve"> la prise de décision dans les différents secteurs gouvernementaux en améliorant l'accès des décideurs du développement aux informations sur la biodiversité et leur utilisation, et en intégrant les informations sur la biodiversité dans les processus décisionnels nationaux en matière de développement. De telles initiatives doivent promouvoir la contextualisation et l'utilisation des connaissances existantes en matière d'information pour soutenir la politique, la planification, la prise de décision, la mise en œuvre, le suivi et la présentation de rapports.</w:t>
      </w:r>
    </w:p>
    <w:p w14:paraId="4C45B0DF" w14:textId="43226ABA" w:rsidR="00964A8F" w:rsidRPr="00B97567" w:rsidRDefault="0018757A" w:rsidP="001F4589">
      <w:pPr>
        <w:pStyle w:val="Heading2"/>
        <w:numPr>
          <w:ilvl w:val="0"/>
          <w:numId w:val="11"/>
        </w:numPr>
        <w:suppressLineNumbers/>
        <w:tabs>
          <w:tab w:val="clear" w:pos="720"/>
        </w:tabs>
        <w:suppressAutoHyphens/>
        <w:ind w:left="714" w:hanging="357"/>
        <w:rPr>
          <w:kern w:val="22"/>
          <w:lang w:val="fr-FR"/>
        </w:rPr>
      </w:pPr>
      <w:r>
        <w:rPr>
          <w:kern w:val="22"/>
          <w:lang w:val="fr-FR"/>
        </w:rPr>
        <w:t>Réalisation d’audits et d’examens des connaissances</w:t>
      </w:r>
    </w:p>
    <w:p w14:paraId="5DC25958" w14:textId="31606CB4" w:rsidR="00964A8F" w:rsidRPr="00B97567" w:rsidRDefault="005C03BF" w:rsidP="001F4589">
      <w:pPr>
        <w:pStyle w:val="Para1"/>
        <w:numPr>
          <w:ilvl w:val="0"/>
          <w:numId w:val="10"/>
        </w:numPr>
        <w:suppressLineNumbers/>
        <w:tabs>
          <w:tab w:val="clear" w:pos="360"/>
        </w:tabs>
        <w:suppressAutoHyphens/>
        <w:rPr>
          <w:kern w:val="22"/>
          <w:szCs w:val="22"/>
          <w:lang w:val="fr-FR"/>
        </w:rPr>
      </w:pPr>
      <w:r w:rsidRPr="00B97567">
        <w:rPr>
          <w:kern w:val="22"/>
          <w:lang w:val="fr-FR"/>
        </w:rPr>
        <w:t xml:space="preserve">Des audits et des examens des connaissances seront menés périodiquement pour évaluer la manière dont la composante de gestion des connaissances contribue à la réalisation des buts </w:t>
      </w:r>
      <w:r w:rsidR="00724526">
        <w:rPr>
          <w:kern w:val="22"/>
          <w:lang w:val="fr-FR"/>
        </w:rPr>
        <w:t xml:space="preserve">stratégiques </w:t>
      </w:r>
      <w:r w:rsidRPr="00B97567">
        <w:rPr>
          <w:kern w:val="22"/>
          <w:lang w:val="fr-FR"/>
        </w:rPr>
        <w:t xml:space="preserve">et objectifs du cadre mondial </w:t>
      </w:r>
      <w:r w:rsidR="00146ADC">
        <w:rPr>
          <w:kern w:val="22"/>
          <w:lang w:val="fr-FR"/>
        </w:rPr>
        <w:t>de</w:t>
      </w:r>
      <w:r w:rsidRPr="00B97567">
        <w:rPr>
          <w:kern w:val="22"/>
          <w:lang w:val="fr-FR"/>
        </w:rPr>
        <w:t xml:space="preserve"> la biodiversité </w:t>
      </w:r>
      <w:r w:rsidR="00146ADC">
        <w:rPr>
          <w:kern w:val="22"/>
          <w:lang w:val="fr-FR"/>
        </w:rPr>
        <w:t xml:space="preserve">pour l’après </w:t>
      </w:r>
      <w:r w:rsidRPr="00B97567">
        <w:rPr>
          <w:kern w:val="22"/>
          <w:lang w:val="fr-FR"/>
        </w:rPr>
        <w:t>après</w:t>
      </w:r>
      <w:r w:rsidR="00146ADC">
        <w:rPr>
          <w:kern w:val="22"/>
          <w:lang w:val="fr-FR"/>
        </w:rPr>
        <w:t>-</w:t>
      </w:r>
      <w:r w:rsidRPr="00B97567">
        <w:rPr>
          <w:kern w:val="22"/>
          <w:lang w:val="fr-FR"/>
        </w:rPr>
        <w:t>2020, pour identifier les lacunes en matière de connaissances et améliorer la planification et l</w:t>
      </w:r>
      <w:r w:rsidR="00146ADC">
        <w:rPr>
          <w:kern w:val="22"/>
          <w:lang w:val="fr-FR"/>
        </w:rPr>
        <w:t>’établissement</w:t>
      </w:r>
      <w:r w:rsidRPr="00B97567">
        <w:rPr>
          <w:kern w:val="22"/>
          <w:lang w:val="fr-FR"/>
        </w:rPr>
        <w:t xml:space="preserve"> des priorités au niveau national, tout en tenant </w:t>
      </w:r>
      <w:r w:rsidRPr="00B97567">
        <w:rPr>
          <w:kern w:val="22"/>
          <w:lang w:val="fr-FR"/>
        </w:rPr>
        <w:lastRenderedPageBreak/>
        <w:t>compte des priorités mondiales. Différentes méthodes, notamment l'analyse des forces, faiblesses, opportunités et menaces (SWOT), seront utilisées, le cas échéant.</w:t>
      </w:r>
    </w:p>
    <w:p w14:paraId="03EA79A3" w14:textId="6113B719" w:rsidR="00964A8F" w:rsidRPr="009811B0" w:rsidRDefault="00324E56" w:rsidP="001F4589">
      <w:pPr>
        <w:pStyle w:val="Heading1"/>
        <w:suppressLineNumbers/>
        <w:suppressAutoHyphens/>
        <w:spacing w:before="120"/>
        <w:rPr>
          <w:rFonts w:ascii="Times" w:hAnsi="Times"/>
          <w:bCs/>
          <w:kern w:val="22"/>
          <w:lang w:val="fr-FR"/>
        </w:rPr>
      </w:pPr>
      <w:r w:rsidRPr="009811B0">
        <w:rPr>
          <w:rFonts w:ascii="Times" w:hAnsi="Times"/>
          <w:bCs/>
          <w:kern w:val="22"/>
          <w:lang w:val="fr-FR"/>
        </w:rPr>
        <w:t>I</w:t>
      </w:r>
      <w:r w:rsidR="00964A8F" w:rsidRPr="009811B0">
        <w:rPr>
          <w:rFonts w:ascii="Times" w:hAnsi="Times"/>
          <w:bCs/>
          <w:kern w:val="22"/>
          <w:lang w:val="fr-FR"/>
        </w:rPr>
        <w:t>V.</w:t>
      </w:r>
      <w:r w:rsidR="00B52D51" w:rsidRPr="009811B0">
        <w:rPr>
          <w:rFonts w:ascii="Times" w:hAnsi="Times"/>
          <w:bCs/>
          <w:kern w:val="22"/>
          <w:lang w:val="fr-FR"/>
        </w:rPr>
        <w:tab/>
      </w:r>
      <w:r w:rsidR="0018757A" w:rsidRPr="009811B0">
        <w:rPr>
          <w:rFonts w:ascii="Times" w:hAnsi="Times"/>
          <w:bCs/>
          <w:kern w:val="22"/>
          <w:lang w:val="fr-FR"/>
        </w:rPr>
        <w:t>Mise en œuvre de la composante gestion des connaissances</w:t>
      </w:r>
    </w:p>
    <w:p w14:paraId="1547D2CE" w14:textId="6C46214A" w:rsidR="000A35A2" w:rsidRPr="00B97567" w:rsidRDefault="005C03BF" w:rsidP="00482485">
      <w:pPr>
        <w:pStyle w:val="Para1"/>
        <w:numPr>
          <w:ilvl w:val="0"/>
          <w:numId w:val="10"/>
        </w:numPr>
        <w:suppressLineNumbers/>
        <w:tabs>
          <w:tab w:val="clear" w:pos="360"/>
          <w:tab w:val="num" w:pos="720"/>
        </w:tabs>
        <w:suppressAutoHyphens/>
        <w:rPr>
          <w:kern w:val="22"/>
          <w:szCs w:val="22"/>
          <w:lang w:val="fr-FR"/>
        </w:rPr>
      </w:pPr>
      <w:r w:rsidRPr="00B97567">
        <w:rPr>
          <w:kern w:val="22"/>
          <w:lang w:val="fr-FR"/>
        </w:rPr>
        <w:t>L</w:t>
      </w:r>
      <w:r w:rsidR="00146ADC">
        <w:rPr>
          <w:kern w:val="22"/>
          <w:lang w:val="fr-FR"/>
        </w:rPr>
        <w:t xml:space="preserve">a composante </w:t>
      </w:r>
      <w:r w:rsidRPr="00B97567">
        <w:rPr>
          <w:kern w:val="22"/>
          <w:lang w:val="fr-FR"/>
        </w:rPr>
        <w:t>gestion des connaissances sera mis</w:t>
      </w:r>
      <w:r w:rsidR="00146ADC">
        <w:rPr>
          <w:kern w:val="22"/>
          <w:lang w:val="fr-FR"/>
        </w:rPr>
        <w:t>e</w:t>
      </w:r>
      <w:r w:rsidRPr="00B97567">
        <w:rPr>
          <w:kern w:val="22"/>
          <w:lang w:val="fr-FR"/>
        </w:rPr>
        <w:t xml:space="preserve"> en œuvre par les </w:t>
      </w:r>
      <w:r w:rsidR="00B22BDC">
        <w:rPr>
          <w:kern w:val="22"/>
          <w:lang w:val="fr-FR"/>
        </w:rPr>
        <w:t>G</w:t>
      </w:r>
      <w:r w:rsidRPr="00B97567">
        <w:rPr>
          <w:kern w:val="22"/>
          <w:lang w:val="fr-FR"/>
        </w:rPr>
        <w:t xml:space="preserve">ouvernements et les parties prenantes concernées conformément à leurs priorités stratégiques pour mettre en œuvre le cadre mondial </w:t>
      </w:r>
      <w:r w:rsidR="00146ADC">
        <w:rPr>
          <w:kern w:val="22"/>
          <w:lang w:val="fr-FR"/>
        </w:rPr>
        <w:t xml:space="preserve">de </w:t>
      </w:r>
      <w:r w:rsidRPr="00B97567">
        <w:rPr>
          <w:kern w:val="22"/>
          <w:lang w:val="fr-FR"/>
        </w:rPr>
        <w:t xml:space="preserve">la biodiversité </w:t>
      </w:r>
      <w:r w:rsidR="00146ADC">
        <w:rPr>
          <w:kern w:val="22"/>
          <w:lang w:val="fr-FR"/>
        </w:rPr>
        <w:t xml:space="preserve">pour </w:t>
      </w:r>
      <w:r w:rsidRPr="00B97567">
        <w:rPr>
          <w:kern w:val="22"/>
          <w:lang w:val="fr-FR"/>
        </w:rPr>
        <w:t xml:space="preserve">l'après-2020. Les actions possibles pour faciliter la mise en œuvre de cette composante sont présentées à </w:t>
      </w:r>
      <w:r w:rsidR="00101D5F">
        <w:rPr>
          <w:kern w:val="22"/>
          <w:lang w:val="fr-FR"/>
        </w:rPr>
        <w:t xml:space="preserve">dans </w:t>
      </w:r>
      <w:r w:rsidRPr="00B97567">
        <w:rPr>
          <w:kern w:val="22"/>
          <w:lang w:val="fr-FR"/>
        </w:rPr>
        <w:t xml:space="preserve">l'annexe II. Elles s'appuient sur les actions clés visant à renforcer les synergies et la coopération entre les conventions relatives à la biodiversité et les organisations internationales dans le domaine de la gestion de l'information et des connaissances, identifiées dans la décision </w:t>
      </w:r>
      <w:hyperlink r:id="rId18" w:history="1">
        <w:r w:rsidRPr="00146ADC">
          <w:rPr>
            <w:rStyle w:val="Hyperlink"/>
            <w:kern w:val="22"/>
            <w:sz w:val="22"/>
            <w:lang w:val="fr-FR"/>
          </w:rPr>
          <w:t>XIII/24</w:t>
        </w:r>
      </w:hyperlink>
      <w:r w:rsidRPr="00B97567">
        <w:rPr>
          <w:kern w:val="22"/>
          <w:lang w:val="fr-FR"/>
        </w:rPr>
        <w:t xml:space="preserve">. Ces actions seront mises en œuvre de manière à compléter le cadre stratégique à long terme pour le développement des capacités, les propositions visant à renforcer la coopération technique et scientifique, le cadre pour une stratégie de communication mondiale, la stratégie en matière de données pour le secrétariat de la Convention sur la diversité biologique et le mécanisme amélioré de planification, de notification et d'examen du cadre mondial </w:t>
      </w:r>
      <w:r w:rsidR="00B22BDC">
        <w:rPr>
          <w:kern w:val="22"/>
          <w:lang w:val="fr-FR"/>
        </w:rPr>
        <w:t xml:space="preserve">de </w:t>
      </w:r>
      <w:r w:rsidRPr="00B97567">
        <w:rPr>
          <w:kern w:val="22"/>
          <w:lang w:val="fr-FR"/>
        </w:rPr>
        <w:t xml:space="preserve">la biodiversité </w:t>
      </w:r>
      <w:r w:rsidR="00B22BDC">
        <w:rPr>
          <w:kern w:val="22"/>
          <w:lang w:val="fr-FR"/>
        </w:rPr>
        <w:t>pour l’a</w:t>
      </w:r>
      <w:r w:rsidRPr="00B97567">
        <w:rPr>
          <w:kern w:val="22"/>
          <w:lang w:val="fr-FR"/>
        </w:rPr>
        <w:t>près</w:t>
      </w:r>
      <w:r w:rsidR="00B22BDC">
        <w:rPr>
          <w:kern w:val="22"/>
          <w:lang w:val="fr-FR"/>
        </w:rPr>
        <w:t>-</w:t>
      </w:r>
      <w:r w:rsidRPr="00B97567">
        <w:rPr>
          <w:kern w:val="22"/>
          <w:lang w:val="fr-FR"/>
        </w:rPr>
        <w:t>2020.</w:t>
      </w:r>
    </w:p>
    <w:p w14:paraId="1BD49DCE" w14:textId="7924C6A2" w:rsidR="000A35A2" w:rsidRPr="00B97567" w:rsidRDefault="005C03BF" w:rsidP="00482485">
      <w:pPr>
        <w:pStyle w:val="Para1"/>
        <w:numPr>
          <w:ilvl w:val="0"/>
          <w:numId w:val="10"/>
        </w:numPr>
        <w:suppressLineNumbers/>
        <w:tabs>
          <w:tab w:val="clear" w:pos="360"/>
          <w:tab w:val="num" w:pos="720"/>
        </w:tabs>
        <w:suppressAutoHyphens/>
        <w:rPr>
          <w:kern w:val="22"/>
          <w:szCs w:val="22"/>
          <w:lang w:val="fr-FR"/>
        </w:rPr>
      </w:pPr>
      <w:r w:rsidRPr="00B97567">
        <w:rPr>
          <w:kern w:val="22"/>
          <w:lang w:val="fr-FR"/>
        </w:rPr>
        <w:t xml:space="preserve">L'amélioration de la gestion des connaissances nécessitera une collaboration, une coopération et une coordination efficaces entre les </w:t>
      </w:r>
      <w:r w:rsidR="00910BD8">
        <w:rPr>
          <w:kern w:val="22"/>
          <w:lang w:val="fr-FR"/>
        </w:rPr>
        <w:t>G</w:t>
      </w:r>
      <w:r w:rsidRPr="00B97567">
        <w:rPr>
          <w:kern w:val="22"/>
          <w:lang w:val="fr-FR"/>
        </w:rPr>
        <w:t xml:space="preserve">ouvernements et les organisations </w:t>
      </w:r>
      <w:r w:rsidR="00B22BDC">
        <w:rPr>
          <w:kern w:val="22"/>
          <w:lang w:val="fr-FR"/>
        </w:rPr>
        <w:t>pertinentes</w:t>
      </w:r>
      <w:r w:rsidRPr="00B97567">
        <w:rPr>
          <w:kern w:val="22"/>
          <w:lang w:val="fr-FR"/>
        </w:rPr>
        <w:t xml:space="preserve"> en ce qui concerne les données, les informations et les processus de connaissances sur la biodiversité. Elle peut également nécessiter la contribution et le soutien des organismes et mécanismes institutionnels pertinents aux </w:t>
      </w:r>
      <w:r w:rsidR="00B22BDC">
        <w:rPr>
          <w:kern w:val="22"/>
          <w:lang w:val="fr-FR"/>
        </w:rPr>
        <w:t>G</w:t>
      </w:r>
      <w:r w:rsidRPr="00B97567">
        <w:rPr>
          <w:kern w:val="22"/>
          <w:lang w:val="fr-FR"/>
        </w:rPr>
        <w:t>ouvernements et aux autres acteurs clés (notamment les créateurs, gestionnaires, courtiers, praticiens et utilisateurs des connaissances) concernés. Ce soutien pourrait être fourni, le cas échéant, par :</w:t>
      </w:r>
    </w:p>
    <w:p w14:paraId="46B69F22" w14:textId="7BAD0712" w:rsidR="000A35A2" w:rsidRPr="00B97567" w:rsidRDefault="005C03BF" w:rsidP="001F4589">
      <w:pPr>
        <w:pStyle w:val="CBD-Para-a"/>
        <w:keepLines w:val="0"/>
        <w:numPr>
          <w:ilvl w:val="0"/>
          <w:numId w:val="16"/>
        </w:numPr>
        <w:tabs>
          <w:tab w:val="clear" w:pos="1080"/>
          <w:tab w:val="num" w:pos="1276"/>
        </w:tabs>
        <w:ind w:left="0" w:firstLine="720"/>
        <w:rPr>
          <w:kern w:val="22"/>
          <w:lang w:val="fr-FR"/>
        </w:rPr>
      </w:pPr>
      <w:r w:rsidRPr="00B97567">
        <w:rPr>
          <w:kern w:val="22"/>
          <w:lang w:val="fr-FR"/>
        </w:rPr>
        <w:t xml:space="preserve">Les comités consultatifs existants, tels que le comité directeur de l'initiative de gestion de l'information et des connaissances </w:t>
      </w:r>
      <w:r w:rsidR="00246C91">
        <w:rPr>
          <w:kern w:val="22"/>
          <w:lang w:val="fr-FR"/>
        </w:rPr>
        <w:t xml:space="preserve">sur les </w:t>
      </w:r>
      <w:r w:rsidRPr="00B97567">
        <w:rPr>
          <w:kern w:val="22"/>
          <w:lang w:val="fr-FR"/>
        </w:rPr>
        <w:t>AME, dirigée par le PNUE ;</w:t>
      </w:r>
    </w:p>
    <w:p w14:paraId="6703B723" w14:textId="59FC07A9" w:rsidR="000A35A2" w:rsidRPr="00B97567" w:rsidRDefault="005C03BF" w:rsidP="001F4589">
      <w:pPr>
        <w:pStyle w:val="CBD-Para-a"/>
        <w:keepLines w:val="0"/>
        <w:numPr>
          <w:ilvl w:val="0"/>
          <w:numId w:val="16"/>
        </w:numPr>
        <w:tabs>
          <w:tab w:val="clear" w:pos="1080"/>
          <w:tab w:val="num" w:pos="1276"/>
        </w:tabs>
        <w:ind w:left="0" w:firstLine="720"/>
        <w:rPr>
          <w:kern w:val="22"/>
          <w:lang w:val="fr-FR"/>
        </w:rPr>
      </w:pPr>
      <w:r w:rsidRPr="00B97567">
        <w:rPr>
          <w:kern w:val="22"/>
          <w:lang w:val="fr-FR"/>
        </w:rPr>
        <w:t>Des groupes consultatifs, tels que le groupe consultatif informel sur la coopération technique et scientifique</w:t>
      </w:r>
      <w:r w:rsidR="0084357B">
        <w:rPr>
          <w:rStyle w:val="FootnoteReference"/>
          <w:kern w:val="22"/>
          <w:lang w:val="fr-FR"/>
        </w:rPr>
        <w:footnoteReference w:id="16"/>
      </w:r>
      <w:r w:rsidRPr="00B97567">
        <w:rPr>
          <w:kern w:val="22"/>
          <w:lang w:val="fr-FR"/>
        </w:rPr>
        <w:t xml:space="preserve"> qui doit être créé en vertu de la décision </w:t>
      </w:r>
      <w:hyperlink r:id="rId19" w:history="1">
        <w:r w:rsidRPr="00246C91">
          <w:rPr>
            <w:rStyle w:val="Hyperlink"/>
            <w:kern w:val="22"/>
            <w:sz w:val="22"/>
            <w:lang w:val="fr-FR"/>
          </w:rPr>
          <w:t>14/24 B</w:t>
        </w:r>
      </w:hyperlink>
      <w:r w:rsidRPr="00B97567">
        <w:rPr>
          <w:kern w:val="22"/>
          <w:lang w:val="fr-FR"/>
        </w:rPr>
        <w:t>, paragraphe 5 ;</w:t>
      </w:r>
    </w:p>
    <w:p w14:paraId="1495A71D" w14:textId="3627B3AE" w:rsidR="000A35A2" w:rsidRPr="00B97567" w:rsidRDefault="005C03BF" w:rsidP="001F4589">
      <w:pPr>
        <w:pStyle w:val="CBD-Para-a"/>
        <w:keepLines w:val="0"/>
        <w:numPr>
          <w:ilvl w:val="0"/>
          <w:numId w:val="16"/>
        </w:numPr>
        <w:tabs>
          <w:tab w:val="clear" w:pos="1080"/>
          <w:tab w:val="num" w:pos="1276"/>
        </w:tabs>
        <w:ind w:left="0" w:firstLine="720"/>
        <w:rPr>
          <w:kern w:val="22"/>
          <w:lang w:val="fr-FR"/>
        </w:rPr>
      </w:pPr>
      <w:r w:rsidRPr="00B97567">
        <w:rPr>
          <w:kern w:val="22"/>
          <w:lang w:val="fr-FR"/>
        </w:rPr>
        <w:t xml:space="preserve">Des réseaux informels, tels que l'Alliance pour la connaissance </w:t>
      </w:r>
      <w:r w:rsidR="00B02CBC">
        <w:rPr>
          <w:kern w:val="22"/>
          <w:lang w:val="fr-FR"/>
        </w:rPr>
        <w:t>sur</w:t>
      </w:r>
      <w:r w:rsidRPr="00B97567">
        <w:rPr>
          <w:kern w:val="22"/>
          <w:lang w:val="fr-FR"/>
        </w:rPr>
        <w:t xml:space="preserve"> la biodiversité</w:t>
      </w:r>
      <w:r w:rsidR="0084357B">
        <w:rPr>
          <w:rStyle w:val="FootnoteReference"/>
          <w:kern w:val="22"/>
          <w:lang w:val="fr-FR"/>
        </w:rPr>
        <w:footnoteReference w:id="17"/>
      </w:r>
      <w:r w:rsidRPr="00B97567">
        <w:rPr>
          <w:kern w:val="22"/>
          <w:lang w:val="fr-FR"/>
        </w:rPr>
        <w:t xml:space="preserve">, qui rassemble les parties prenantes travaillant </w:t>
      </w:r>
      <w:r w:rsidR="00B72A24">
        <w:rPr>
          <w:kern w:val="22"/>
          <w:lang w:val="fr-FR"/>
        </w:rPr>
        <w:t xml:space="preserve">sur </w:t>
      </w:r>
      <w:r w:rsidRPr="00B97567">
        <w:rPr>
          <w:kern w:val="22"/>
          <w:lang w:val="fr-FR"/>
        </w:rPr>
        <w:t>l</w:t>
      </w:r>
      <w:r w:rsidR="00A45310">
        <w:rPr>
          <w:kern w:val="22"/>
          <w:lang w:val="fr-FR"/>
        </w:rPr>
        <w:t xml:space="preserve">a collecte, </w:t>
      </w:r>
      <w:r w:rsidRPr="00B97567">
        <w:rPr>
          <w:kern w:val="22"/>
          <w:lang w:val="fr-FR"/>
        </w:rPr>
        <w:t xml:space="preserve">la conservation ou </w:t>
      </w:r>
      <w:r w:rsidR="00B72A24">
        <w:rPr>
          <w:kern w:val="22"/>
          <w:lang w:val="fr-FR"/>
        </w:rPr>
        <w:t xml:space="preserve">le </w:t>
      </w:r>
      <w:r w:rsidRPr="00B97567">
        <w:rPr>
          <w:kern w:val="22"/>
          <w:lang w:val="fr-FR"/>
        </w:rPr>
        <w:t>partage de données, d'informations et de connaissances sur la biodiversité ;</w:t>
      </w:r>
    </w:p>
    <w:p w14:paraId="4C38BE81" w14:textId="66FB8AF4" w:rsidR="000A35A2" w:rsidRPr="00B97567" w:rsidRDefault="005C03BF" w:rsidP="001F4589">
      <w:pPr>
        <w:pStyle w:val="CBD-Para-a"/>
        <w:keepLines w:val="0"/>
        <w:numPr>
          <w:ilvl w:val="0"/>
          <w:numId w:val="16"/>
        </w:numPr>
        <w:tabs>
          <w:tab w:val="clear" w:pos="1080"/>
          <w:tab w:val="num" w:pos="1276"/>
        </w:tabs>
        <w:ind w:left="0" w:firstLine="720"/>
        <w:rPr>
          <w:kern w:val="22"/>
          <w:lang w:val="fr-FR"/>
        </w:rPr>
      </w:pPr>
      <w:r w:rsidRPr="00B97567">
        <w:rPr>
          <w:kern w:val="22"/>
          <w:lang w:val="fr-FR"/>
        </w:rPr>
        <w:t>Le partenariat élargi sur les indicateurs de biodiversité (BIP), qui comprendra un plus grand nombre d'utilisateurs et favorisera la collaboration avec la Commission statistique des Nations unies ;</w:t>
      </w:r>
    </w:p>
    <w:p w14:paraId="37F132D4" w14:textId="0CA5EE67" w:rsidR="000A35A2" w:rsidRPr="00B97567" w:rsidRDefault="005C03BF" w:rsidP="001F4589">
      <w:pPr>
        <w:pStyle w:val="CBD-Para-a"/>
        <w:keepLines w:val="0"/>
        <w:numPr>
          <w:ilvl w:val="0"/>
          <w:numId w:val="16"/>
        </w:numPr>
        <w:tabs>
          <w:tab w:val="clear" w:pos="1080"/>
          <w:tab w:val="num" w:pos="1276"/>
        </w:tabs>
        <w:ind w:left="0" w:firstLine="720"/>
        <w:rPr>
          <w:kern w:val="22"/>
          <w:lang w:val="fr-FR"/>
        </w:rPr>
      </w:pPr>
      <w:r w:rsidRPr="00B97567">
        <w:rPr>
          <w:kern w:val="22"/>
          <w:lang w:val="fr-FR"/>
        </w:rPr>
        <w:t>Une coalition ou un partenariat informel impliquant des organisations pertinentes</w:t>
      </w:r>
      <w:r w:rsidR="00F07DBD">
        <w:rPr>
          <w:kern w:val="22"/>
          <w:lang w:val="fr-FR"/>
        </w:rPr>
        <w:t>,</w:t>
      </w:r>
      <w:r w:rsidRPr="00B97567">
        <w:rPr>
          <w:kern w:val="22"/>
          <w:lang w:val="fr-FR"/>
        </w:rPr>
        <w:t xml:space="preserve"> telles que le PNUE, le Programme des Nations unies pour le développement (PNUD), le </w:t>
      </w:r>
      <w:r w:rsidR="00246C91">
        <w:rPr>
          <w:kern w:val="22"/>
          <w:lang w:val="fr-FR"/>
        </w:rPr>
        <w:t>Système mondial d’information sur la biodiversité</w:t>
      </w:r>
      <w:r w:rsidRPr="00B97567">
        <w:rPr>
          <w:kern w:val="22"/>
          <w:lang w:val="fr-FR"/>
        </w:rPr>
        <w:t xml:space="preserve"> (GBIF)</w:t>
      </w:r>
      <w:r w:rsidR="00F07DBD">
        <w:rPr>
          <w:kern w:val="22"/>
          <w:lang w:val="fr-FR"/>
        </w:rPr>
        <w:t xml:space="preserve"> et </w:t>
      </w:r>
      <w:r w:rsidRPr="00B97567">
        <w:rPr>
          <w:kern w:val="22"/>
          <w:lang w:val="fr-FR"/>
        </w:rPr>
        <w:t>GEO</w:t>
      </w:r>
      <w:r w:rsidR="00246C91">
        <w:rPr>
          <w:kern w:val="22"/>
          <w:lang w:val="fr-FR"/>
        </w:rPr>
        <w:t>-</w:t>
      </w:r>
      <w:r w:rsidRPr="00B97567">
        <w:rPr>
          <w:kern w:val="22"/>
          <w:lang w:val="fr-FR"/>
        </w:rPr>
        <w:t>BON</w:t>
      </w:r>
      <w:r w:rsidR="00F07DBD">
        <w:rPr>
          <w:kern w:val="22"/>
          <w:lang w:val="fr-FR"/>
        </w:rPr>
        <w:t>.</w:t>
      </w:r>
    </w:p>
    <w:p w14:paraId="4ADA802B" w14:textId="149C3580" w:rsidR="00246C91" w:rsidRDefault="005C03BF" w:rsidP="00246C91">
      <w:pPr>
        <w:pStyle w:val="Para1"/>
        <w:numPr>
          <w:ilvl w:val="0"/>
          <w:numId w:val="10"/>
        </w:numPr>
        <w:suppressLineNumbers/>
        <w:tabs>
          <w:tab w:val="clear" w:pos="360"/>
          <w:tab w:val="num" w:pos="720"/>
        </w:tabs>
        <w:suppressAutoHyphens/>
        <w:rPr>
          <w:kern w:val="22"/>
          <w:szCs w:val="22"/>
          <w:lang w:val="fr-FR"/>
        </w:rPr>
      </w:pPr>
      <w:r w:rsidRPr="00B97567">
        <w:rPr>
          <w:kern w:val="22"/>
          <w:szCs w:val="22"/>
          <w:lang w:val="fr-FR"/>
        </w:rPr>
        <w:t>Les organisations, initiatives et processus pertinents de gestion des connaissances seront mis à profit pour soutenir la mise en œuvre efficace d</w:t>
      </w:r>
      <w:r w:rsidR="00246C91">
        <w:rPr>
          <w:kern w:val="22"/>
          <w:szCs w:val="22"/>
          <w:lang w:val="fr-FR"/>
        </w:rPr>
        <w:t xml:space="preserve">e la composante </w:t>
      </w:r>
      <w:r w:rsidRPr="00B97567">
        <w:rPr>
          <w:kern w:val="22"/>
          <w:szCs w:val="22"/>
          <w:lang w:val="fr-FR"/>
        </w:rPr>
        <w:t>gestion des connaissances du cadre mondial</w:t>
      </w:r>
      <w:r w:rsidR="00246C91">
        <w:rPr>
          <w:kern w:val="22"/>
          <w:szCs w:val="22"/>
          <w:lang w:val="fr-FR"/>
        </w:rPr>
        <w:t xml:space="preserve"> de </w:t>
      </w:r>
      <w:r w:rsidRPr="00B97567">
        <w:rPr>
          <w:kern w:val="22"/>
          <w:szCs w:val="22"/>
          <w:lang w:val="fr-FR"/>
        </w:rPr>
        <w:t xml:space="preserve">la biodiversité </w:t>
      </w:r>
      <w:r w:rsidR="00246C91">
        <w:rPr>
          <w:kern w:val="22"/>
          <w:szCs w:val="22"/>
          <w:lang w:val="fr-FR"/>
        </w:rPr>
        <w:t xml:space="preserve">pour </w:t>
      </w:r>
      <w:r w:rsidRPr="00B97567">
        <w:rPr>
          <w:kern w:val="22"/>
          <w:szCs w:val="22"/>
          <w:lang w:val="fr-FR"/>
        </w:rPr>
        <w:t>l'après-2020. Une base de données interactive en ligne de ces organisations, initiatives et processus sera créée pour favoriser la coordination, la collaboration et la complémentarité dans la production, l</w:t>
      </w:r>
      <w:r w:rsidR="00A45310">
        <w:rPr>
          <w:kern w:val="22"/>
          <w:szCs w:val="22"/>
          <w:lang w:val="fr-FR"/>
        </w:rPr>
        <w:t>a collecte</w:t>
      </w:r>
      <w:r w:rsidRPr="00B97567">
        <w:rPr>
          <w:kern w:val="22"/>
          <w:szCs w:val="22"/>
          <w:lang w:val="fr-FR"/>
        </w:rPr>
        <w:t>, la gestion, le partage et l'utilisation des données, informations et connaissances relatives à la biodiversité.</w:t>
      </w:r>
    </w:p>
    <w:p w14:paraId="63B046C8" w14:textId="77F4D98C" w:rsidR="00246C91" w:rsidRPr="00246C91" w:rsidRDefault="00246C91" w:rsidP="00246C91">
      <w:pPr>
        <w:pStyle w:val="Heading1"/>
        <w:suppressLineNumbers/>
        <w:tabs>
          <w:tab w:val="clear" w:pos="720"/>
        </w:tabs>
        <w:suppressAutoHyphens/>
        <w:kinsoku w:val="0"/>
        <w:overflowPunct w:val="0"/>
        <w:autoSpaceDE w:val="0"/>
        <w:autoSpaceDN w:val="0"/>
        <w:spacing w:before="120"/>
        <w:ind w:left="720"/>
        <w:rPr>
          <w:kern w:val="22"/>
          <w:lang w:val="fr-FR"/>
        </w:rPr>
      </w:pPr>
      <w:r w:rsidRPr="00B97567">
        <w:rPr>
          <w:kern w:val="22"/>
          <w:lang w:val="fr-FR"/>
        </w:rPr>
        <w:t>V.</w:t>
      </w:r>
      <w:r w:rsidRPr="00B97567">
        <w:rPr>
          <w:kern w:val="22"/>
          <w:lang w:val="fr-FR"/>
        </w:rPr>
        <w:tab/>
      </w:r>
      <w:r>
        <w:rPr>
          <w:kern w:val="22"/>
          <w:lang w:val="fr-FR"/>
        </w:rPr>
        <w:t xml:space="preserve">Le SUIVI ET L’EXAMEN </w:t>
      </w:r>
    </w:p>
    <w:p w14:paraId="5DFA5343" w14:textId="05A6E88E" w:rsidR="00B9399F" w:rsidRPr="00246C91" w:rsidRDefault="005C03BF" w:rsidP="00246C91">
      <w:pPr>
        <w:pStyle w:val="Para1"/>
        <w:numPr>
          <w:ilvl w:val="0"/>
          <w:numId w:val="10"/>
        </w:numPr>
        <w:suppressLineNumbers/>
        <w:tabs>
          <w:tab w:val="clear" w:pos="360"/>
          <w:tab w:val="num" w:pos="720"/>
        </w:tabs>
        <w:suppressAutoHyphens/>
        <w:rPr>
          <w:kern w:val="22"/>
          <w:szCs w:val="22"/>
          <w:lang w:val="fr-FR"/>
        </w:rPr>
        <w:sectPr w:rsidR="00B9399F" w:rsidRPr="00246C91" w:rsidSect="009141D4">
          <w:headerReference w:type="even" r:id="rId20"/>
          <w:headerReference w:type="default" r:id="rId21"/>
          <w:pgSz w:w="12240" w:h="15840"/>
          <w:pgMar w:top="567" w:right="1389" w:bottom="1134" w:left="1389" w:header="565" w:footer="709" w:gutter="0"/>
          <w:cols w:space="708"/>
          <w:titlePg/>
          <w:docGrid w:linePitch="360"/>
        </w:sectPr>
      </w:pPr>
      <w:r w:rsidRPr="00246C91">
        <w:rPr>
          <w:kern w:val="22"/>
          <w:lang w:val="fr-FR"/>
        </w:rPr>
        <w:t>La mise en œuvre de la composante gestion des connaissances</w:t>
      </w:r>
      <w:r w:rsidR="007A2B73">
        <w:rPr>
          <w:kern w:val="22"/>
          <w:lang w:val="fr-FR"/>
        </w:rPr>
        <w:t xml:space="preserve"> </w:t>
      </w:r>
      <w:r w:rsidRPr="00246C91">
        <w:rPr>
          <w:kern w:val="22"/>
          <w:lang w:val="fr-FR"/>
        </w:rPr>
        <w:t xml:space="preserve">sera suivie à l'aide des informations fournies par les </w:t>
      </w:r>
      <w:r w:rsidR="007A2B73">
        <w:rPr>
          <w:kern w:val="22"/>
          <w:lang w:val="fr-FR"/>
        </w:rPr>
        <w:t>P</w:t>
      </w:r>
      <w:r w:rsidRPr="00246C91">
        <w:rPr>
          <w:kern w:val="22"/>
          <w:lang w:val="fr-FR"/>
        </w:rPr>
        <w:t xml:space="preserve">arties dans leurs rapports nationaux </w:t>
      </w:r>
      <w:r w:rsidR="006D4403">
        <w:rPr>
          <w:kern w:val="22"/>
          <w:lang w:val="fr-FR"/>
        </w:rPr>
        <w:t xml:space="preserve">et par les organisations par le biais de leurs soumissions volontaires </w:t>
      </w:r>
      <w:r w:rsidRPr="00246C91">
        <w:rPr>
          <w:kern w:val="22"/>
          <w:lang w:val="fr-FR"/>
        </w:rPr>
        <w:t xml:space="preserve">aux </w:t>
      </w:r>
      <w:r w:rsidR="00F07DBD">
        <w:rPr>
          <w:kern w:val="22"/>
          <w:lang w:val="fr-FR"/>
        </w:rPr>
        <w:t>s</w:t>
      </w:r>
      <w:r w:rsidRPr="00246C91">
        <w:rPr>
          <w:kern w:val="22"/>
          <w:lang w:val="fr-FR"/>
        </w:rPr>
        <w:t>ecrétariats des conventions</w:t>
      </w:r>
      <w:r w:rsidR="006D4403">
        <w:rPr>
          <w:kern w:val="22"/>
          <w:lang w:val="fr-FR"/>
        </w:rPr>
        <w:t xml:space="preserve"> relatives à la biodiversité</w:t>
      </w:r>
      <w:r w:rsidRPr="00246C91">
        <w:rPr>
          <w:kern w:val="22"/>
          <w:lang w:val="fr-FR"/>
        </w:rPr>
        <w:t xml:space="preserve">. Un indicateur principal pour la gestion des connaissances sera inclus dans le cadre de suivi du cadre mondial </w:t>
      </w:r>
      <w:r w:rsidR="007A2B73">
        <w:rPr>
          <w:kern w:val="22"/>
          <w:lang w:val="fr-FR"/>
        </w:rPr>
        <w:t>de</w:t>
      </w:r>
      <w:r w:rsidRPr="00246C91">
        <w:rPr>
          <w:kern w:val="22"/>
          <w:lang w:val="fr-FR"/>
        </w:rPr>
        <w:t xml:space="preserve"> la biodiversité </w:t>
      </w:r>
      <w:r w:rsidR="007A2B73">
        <w:rPr>
          <w:kern w:val="22"/>
          <w:lang w:val="fr-FR"/>
        </w:rPr>
        <w:t>pour l’après</w:t>
      </w:r>
      <w:r w:rsidRPr="00246C91">
        <w:rPr>
          <w:kern w:val="22"/>
          <w:lang w:val="fr-FR"/>
        </w:rPr>
        <w:t xml:space="preserve">-2020, </w:t>
      </w:r>
      <w:r w:rsidR="00B31D34">
        <w:rPr>
          <w:kern w:val="22"/>
          <w:lang w:val="fr-FR"/>
        </w:rPr>
        <w:t>ainsi qu’</w:t>
      </w:r>
      <w:r w:rsidRPr="00246C91">
        <w:rPr>
          <w:kern w:val="22"/>
          <w:lang w:val="fr-FR"/>
        </w:rPr>
        <w:t xml:space="preserve">un ensemble complémentaire d'indicateurs que les acteurs gouvernementaux et non gouvernementaux </w:t>
      </w:r>
      <w:r w:rsidR="0095500B" w:rsidRPr="00246C91">
        <w:rPr>
          <w:kern w:val="22"/>
          <w:lang w:val="fr-FR"/>
        </w:rPr>
        <w:t>peu</w:t>
      </w:r>
      <w:r w:rsidR="0095500B">
        <w:rPr>
          <w:kern w:val="22"/>
          <w:lang w:val="fr-FR"/>
        </w:rPr>
        <w:t>vent</w:t>
      </w:r>
      <w:r w:rsidRPr="00246C91">
        <w:rPr>
          <w:kern w:val="22"/>
          <w:lang w:val="fr-FR"/>
        </w:rPr>
        <w:t xml:space="preserve"> également adapter et utiliser pour suivre, évaluer et rendre compte des résultats </w:t>
      </w:r>
      <w:r w:rsidRPr="00246C91">
        <w:rPr>
          <w:kern w:val="22"/>
          <w:lang w:val="fr-FR"/>
        </w:rPr>
        <w:lastRenderedPageBreak/>
        <w:t xml:space="preserve">et de l'impact de leurs efforts de gestion des connaissances aux niveaux national et régional sera élaboré par le Secrétariat en collaboration avec des experts et des praticiens des Parties et des organisations </w:t>
      </w:r>
      <w:r w:rsidR="007C4BE5">
        <w:rPr>
          <w:kern w:val="22"/>
          <w:lang w:val="fr-FR"/>
        </w:rPr>
        <w:t>pertinentes</w:t>
      </w:r>
      <w:r w:rsidRPr="00246C91">
        <w:rPr>
          <w:kern w:val="22"/>
          <w:lang w:val="fr-FR"/>
        </w:rPr>
        <w:t>. Les informations générées par le processus de suivi serviront à l'examen et à la mise à jour d</w:t>
      </w:r>
      <w:r w:rsidR="00015F71">
        <w:rPr>
          <w:kern w:val="22"/>
          <w:lang w:val="fr-FR"/>
        </w:rPr>
        <w:t xml:space="preserve">e la composante </w:t>
      </w:r>
      <w:r w:rsidRPr="00246C91">
        <w:rPr>
          <w:kern w:val="22"/>
          <w:lang w:val="fr-FR"/>
        </w:rPr>
        <w:t>gestion des connaissances, le cas échéant, en 2030.</w:t>
      </w:r>
    </w:p>
    <w:p w14:paraId="2C3F3456" w14:textId="24360F99" w:rsidR="006B112D" w:rsidRPr="00B97567" w:rsidRDefault="006B112D" w:rsidP="001F4589">
      <w:pPr>
        <w:keepNext/>
        <w:spacing w:after="120"/>
        <w:jc w:val="center"/>
        <w:rPr>
          <w:rFonts w:asciiTheme="majorBidi" w:hAnsiTheme="majorBidi" w:cstheme="majorBidi"/>
          <w:i/>
          <w:iCs/>
          <w:kern w:val="22"/>
          <w:lang w:val="fr-FR"/>
        </w:rPr>
      </w:pPr>
      <w:r w:rsidRPr="00B97567">
        <w:rPr>
          <w:rFonts w:asciiTheme="majorBidi" w:hAnsiTheme="majorBidi" w:cstheme="majorBidi"/>
          <w:i/>
          <w:iCs/>
          <w:kern w:val="22"/>
          <w:lang w:val="fr-FR"/>
        </w:rPr>
        <w:lastRenderedPageBreak/>
        <w:t>A</w:t>
      </w:r>
      <w:r w:rsidR="0021415C" w:rsidRPr="00B97567">
        <w:rPr>
          <w:rFonts w:asciiTheme="majorBidi" w:hAnsiTheme="majorBidi" w:cstheme="majorBidi"/>
          <w:i/>
          <w:iCs/>
          <w:kern w:val="22"/>
          <w:lang w:val="fr-FR"/>
        </w:rPr>
        <w:t>nnex</w:t>
      </w:r>
      <w:r w:rsidR="00D509EA">
        <w:rPr>
          <w:rFonts w:asciiTheme="majorBidi" w:hAnsiTheme="majorBidi" w:cstheme="majorBidi"/>
          <w:i/>
          <w:iCs/>
          <w:kern w:val="22"/>
          <w:lang w:val="fr-FR"/>
        </w:rPr>
        <w:t>e</w:t>
      </w:r>
      <w:r w:rsidRPr="00B97567">
        <w:rPr>
          <w:rFonts w:asciiTheme="majorBidi" w:hAnsiTheme="majorBidi" w:cstheme="majorBidi"/>
          <w:i/>
          <w:iCs/>
          <w:kern w:val="22"/>
          <w:lang w:val="fr-FR"/>
        </w:rPr>
        <w:t xml:space="preserve"> </w:t>
      </w:r>
      <w:r w:rsidR="0021415C" w:rsidRPr="00B97567">
        <w:rPr>
          <w:rFonts w:asciiTheme="majorBidi" w:hAnsiTheme="majorBidi" w:cstheme="majorBidi"/>
          <w:i/>
          <w:iCs/>
          <w:kern w:val="22"/>
          <w:lang w:val="fr-FR"/>
        </w:rPr>
        <w:t>I</w:t>
      </w:r>
    </w:p>
    <w:p w14:paraId="0FC7A3EF" w14:textId="6CFBBBD1" w:rsidR="006B112D" w:rsidRPr="00B97567" w:rsidRDefault="0062177A" w:rsidP="00482485">
      <w:pPr>
        <w:keepNext/>
        <w:ind w:left="1440" w:right="1181"/>
        <w:jc w:val="center"/>
        <w:rPr>
          <w:rFonts w:asciiTheme="majorBidi" w:hAnsiTheme="majorBidi" w:cstheme="majorBidi"/>
          <w:b/>
          <w:bCs/>
          <w:kern w:val="22"/>
          <w:lang w:val="fr-FR"/>
        </w:rPr>
      </w:pPr>
      <w:r>
        <w:rPr>
          <w:rFonts w:asciiTheme="majorBidi" w:hAnsiTheme="majorBidi" w:cstheme="majorBidi"/>
          <w:b/>
          <w:bCs/>
          <w:kern w:val="22"/>
          <w:lang w:val="fr-FR"/>
        </w:rPr>
        <w:t xml:space="preserve">ACTIONS STRATÉGIQUES VISANT À AMÉLIORER LA GESTION DES CONNAISSANCES POUR LA MISE EN ŒUVRE EFFICACE DU CADRE MONDIAL </w:t>
      </w:r>
      <w:r w:rsidR="003D72C5">
        <w:rPr>
          <w:rFonts w:asciiTheme="majorBidi" w:hAnsiTheme="majorBidi" w:cstheme="majorBidi"/>
          <w:b/>
          <w:bCs/>
          <w:kern w:val="22"/>
          <w:lang w:val="fr-FR"/>
        </w:rPr>
        <w:t>DE</w:t>
      </w:r>
      <w:r>
        <w:rPr>
          <w:rFonts w:asciiTheme="majorBidi" w:hAnsiTheme="majorBidi" w:cstheme="majorBidi"/>
          <w:b/>
          <w:bCs/>
          <w:kern w:val="22"/>
          <w:lang w:val="fr-FR"/>
        </w:rPr>
        <w:t xml:space="preserve"> LA</w:t>
      </w:r>
      <w:r w:rsidR="00450A4E">
        <w:rPr>
          <w:rFonts w:asciiTheme="majorBidi" w:hAnsiTheme="majorBidi" w:cstheme="majorBidi"/>
          <w:b/>
          <w:bCs/>
          <w:kern w:val="22"/>
          <w:lang w:val="fr-FR"/>
        </w:rPr>
        <w:t xml:space="preserve"> BIODIVERSITÉ POUR L’APRÈS-2020</w:t>
      </w:r>
    </w:p>
    <w:p w14:paraId="78E8AF62" w14:textId="77777777" w:rsidR="006B112D" w:rsidRPr="00B97567" w:rsidRDefault="006B112D" w:rsidP="001F4589">
      <w:pPr>
        <w:keepNext/>
        <w:rPr>
          <w:rFonts w:asciiTheme="majorBidi" w:hAnsiTheme="majorBidi" w:cstheme="majorBidi"/>
          <w:b/>
          <w:bCs/>
          <w:kern w:val="22"/>
          <w:lang w:val="fr-FR"/>
        </w:rPr>
      </w:pPr>
    </w:p>
    <w:tbl>
      <w:tblPr>
        <w:tblpPr w:leftFromText="180" w:rightFromText="180" w:vertAnchor="text" w:tblpX="-460" w:tblpY="1"/>
        <w:tblOverlap w:val="neve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9269"/>
        <w:gridCol w:w="1622"/>
        <w:gridCol w:w="1631"/>
      </w:tblGrid>
      <w:tr w:rsidR="00BE29D1" w:rsidRPr="00B97567" w14:paraId="1D7CA972" w14:textId="77777777" w:rsidTr="00BE29D1">
        <w:tc>
          <w:tcPr>
            <w:tcW w:w="708" w:type="pct"/>
            <w:tcBorders>
              <w:bottom w:val="nil"/>
            </w:tcBorders>
            <w:shd w:val="clear" w:color="auto" w:fill="auto"/>
            <w:vAlign w:val="center"/>
          </w:tcPr>
          <w:p w14:paraId="119D3F36" w14:textId="3CD37B9F" w:rsidR="006B112D" w:rsidRPr="00B97567" w:rsidRDefault="00E94CFF" w:rsidP="001F4589">
            <w:pPr>
              <w:keepNext/>
              <w:spacing w:before="60" w:after="60"/>
              <w:jc w:val="center"/>
              <w:rPr>
                <w:rFonts w:ascii="Times New Roman Bold" w:eastAsia="MS Mincho" w:hAnsi="Times New Roman Bold" w:cs="Times New Roman Bold"/>
                <w:b/>
                <w:noProof/>
                <w:snapToGrid w:val="0"/>
                <w:spacing w:val="-12"/>
                <w:kern w:val="22"/>
                <w:sz w:val="21"/>
                <w:szCs w:val="21"/>
                <w:lang w:val="fr-FR"/>
              </w:rPr>
            </w:pPr>
            <w:r>
              <w:rPr>
                <w:rFonts w:ascii="Times New Roman Bold" w:eastAsia="MS Mincho" w:hAnsi="Times New Roman Bold" w:cs="Times New Roman Bold"/>
                <w:b/>
                <w:noProof/>
                <w:snapToGrid w:val="0"/>
                <w:spacing w:val="-12"/>
                <w:kern w:val="22"/>
                <w:sz w:val="21"/>
                <w:szCs w:val="21"/>
                <w:lang w:val="fr-FR"/>
              </w:rPr>
              <w:t xml:space="preserve">Domaine stratégique </w:t>
            </w:r>
          </w:p>
        </w:tc>
        <w:tc>
          <w:tcPr>
            <w:tcW w:w="3177" w:type="pct"/>
            <w:tcBorders>
              <w:bottom w:val="nil"/>
            </w:tcBorders>
            <w:shd w:val="clear" w:color="auto" w:fill="auto"/>
            <w:vAlign w:val="center"/>
          </w:tcPr>
          <w:p w14:paraId="588EB0CA" w14:textId="45C26126" w:rsidR="006B112D" w:rsidRPr="00B97567" w:rsidRDefault="00E94CFF" w:rsidP="001F4589">
            <w:pPr>
              <w:keepNext/>
              <w:spacing w:before="60" w:after="60"/>
              <w:jc w:val="center"/>
              <w:rPr>
                <w:rFonts w:eastAsia="MS Mincho"/>
                <w:b/>
                <w:noProof/>
                <w:snapToGrid w:val="0"/>
                <w:kern w:val="22"/>
                <w:sz w:val="21"/>
                <w:szCs w:val="21"/>
                <w:lang w:val="fr-FR"/>
              </w:rPr>
            </w:pPr>
            <w:r>
              <w:rPr>
                <w:rFonts w:eastAsia="MS Mincho"/>
                <w:b/>
                <w:noProof/>
                <w:snapToGrid w:val="0"/>
                <w:kern w:val="22"/>
                <w:sz w:val="21"/>
                <w:szCs w:val="21"/>
                <w:lang w:val="fr-FR"/>
              </w:rPr>
              <w:t xml:space="preserve">Action stratégique </w:t>
            </w:r>
          </w:p>
        </w:tc>
        <w:tc>
          <w:tcPr>
            <w:tcW w:w="556" w:type="pct"/>
            <w:tcBorders>
              <w:bottom w:val="nil"/>
            </w:tcBorders>
          </w:tcPr>
          <w:p w14:paraId="75211BBB" w14:textId="76D6B38D" w:rsidR="006B112D" w:rsidRPr="00B97567" w:rsidRDefault="00E94CFF" w:rsidP="001F4589">
            <w:pPr>
              <w:keepNext/>
              <w:spacing w:before="60" w:after="60"/>
              <w:jc w:val="center"/>
              <w:rPr>
                <w:rFonts w:eastAsia="MS Mincho"/>
                <w:b/>
                <w:noProof/>
                <w:snapToGrid w:val="0"/>
                <w:kern w:val="22"/>
                <w:sz w:val="21"/>
                <w:szCs w:val="21"/>
                <w:lang w:val="fr-FR"/>
              </w:rPr>
            </w:pPr>
            <w:r>
              <w:rPr>
                <w:rFonts w:eastAsia="MS Mincho"/>
                <w:b/>
                <w:noProof/>
                <w:snapToGrid w:val="0"/>
                <w:kern w:val="22"/>
                <w:sz w:val="21"/>
                <w:szCs w:val="21"/>
                <w:lang w:val="fr-FR"/>
              </w:rPr>
              <w:t>Calendrier</w:t>
            </w:r>
            <w:r w:rsidR="008327D5">
              <w:rPr>
                <w:rStyle w:val="FootnoteReference"/>
                <w:rFonts w:eastAsia="MS Mincho"/>
                <w:b/>
                <w:noProof/>
                <w:snapToGrid w:val="0"/>
                <w:kern w:val="22"/>
                <w:szCs w:val="21"/>
                <w:lang w:val="fr-FR"/>
              </w:rPr>
              <w:footnoteReference w:id="18"/>
            </w:r>
          </w:p>
        </w:tc>
        <w:tc>
          <w:tcPr>
            <w:tcW w:w="559" w:type="pct"/>
            <w:tcBorders>
              <w:bottom w:val="nil"/>
            </w:tcBorders>
            <w:shd w:val="clear" w:color="auto" w:fill="auto"/>
            <w:vAlign w:val="center"/>
          </w:tcPr>
          <w:p w14:paraId="1231D9C9" w14:textId="0EC37F2F" w:rsidR="006B112D" w:rsidRPr="00B97567" w:rsidRDefault="00E94CFF" w:rsidP="001F4589">
            <w:pPr>
              <w:keepNext/>
              <w:spacing w:before="60" w:after="60"/>
              <w:jc w:val="center"/>
              <w:rPr>
                <w:rFonts w:eastAsia="MS Mincho"/>
                <w:b/>
                <w:noProof/>
                <w:snapToGrid w:val="0"/>
                <w:kern w:val="22"/>
                <w:sz w:val="21"/>
                <w:szCs w:val="21"/>
                <w:lang w:val="fr-FR"/>
              </w:rPr>
            </w:pPr>
            <w:r w:rsidRPr="00E94CFF">
              <w:rPr>
                <w:rFonts w:eastAsia="MS Mincho"/>
                <w:b/>
                <w:noProof/>
                <w:snapToGrid w:val="0"/>
                <w:kern w:val="22"/>
                <w:sz w:val="21"/>
                <w:szCs w:val="21"/>
                <w:lang w:val="fr-FR"/>
              </w:rPr>
              <w:t>Contributeurs potentiels</w:t>
            </w:r>
            <w:r w:rsidR="008327D5">
              <w:rPr>
                <w:rStyle w:val="FootnoteReference"/>
                <w:rFonts w:eastAsia="MS Mincho"/>
                <w:b/>
                <w:noProof/>
                <w:snapToGrid w:val="0"/>
                <w:kern w:val="22"/>
                <w:szCs w:val="21"/>
                <w:lang w:val="fr-FR"/>
              </w:rPr>
              <w:footnoteReference w:id="19"/>
            </w:r>
          </w:p>
        </w:tc>
      </w:tr>
      <w:tr w:rsidR="00BE29D1" w:rsidRPr="009A459D" w14:paraId="26791526" w14:textId="77777777" w:rsidTr="00BE29D1">
        <w:tc>
          <w:tcPr>
            <w:tcW w:w="708" w:type="pct"/>
            <w:vMerge w:val="restart"/>
            <w:shd w:val="clear" w:color="auto" w:fill="auto"/>
          </w:tcPr>
          <w:p w14:paraId="527D4172" w14:textId="1C97FD9B" w:rsidR="006B112D" w:rsidRPr="00B97567" w:rsidRDefault="00450A4E" w:rsidP="00482485">
            <w:pPr>
              <w:pStyle w:val="ListParagraph"/>
              <w:keepNext/>
              <w:numPr>
                <w:ilvl w:val="0"/>
                <w:numId w:val="20"/>
              </w:numPr>
              <w:ind w:left="430" w:hanging="430"/>
              <w:jc w:val="left"/>
              <w:rPr>
                <w:rFonts w:ascii="Times New Roman Bold" w:eastAsia="MS Mincho" w:hAnsi="Times New Roman Bold" w:cs="Times New Roman Bold"/>
                <w:b/>
                <w:noProof/>
                <w:snapToGrid w:val="0"/>
                <w:spacing w:val="-12"/>
                <w:kern w:val="22"/>
                <w:sz w:val="21"/>
                <w:szCs w:val="21"/>
                <w:lang w:val="fr-FR"/>
              </w:rPr>
            </w:pPr>
            <w:r w:rsidRPr="00450A4E">
              <w:rPr>
                <w:rFonts w:asciiTheme="majorBidi" w:eastAsia="MS Mincho" w:hAnsiTheme="majorBidi" w:cstheme="majorBidi"/>
                <w:bCs/>
                <w:noProof/>
                <w:snapToGrid w:val="0"/>
                <w:kern w:val="22"/>
                <w:sz w:val="21"/>
                <w:szCs w:val="21"/>
                <w:lang w:val="fr-FR"/>
              </w:rPr>
              <w:t>Promouvoir la production et la synthèse des connaissances</w:t>
            </w:r>
          </w:p>
        </w:tc>
        <w:tc>
          <w:tcPr>
            <w:tcW w:w="3177" w:type="pct"/>
            <w:tcBorders>
              <w:bottom w:val="nil"/>
            </w:tcBorders>
            <w:shd w:val="clear" w:color="auto" w:fill="auto"/>
          </w:tcPr>
          <w:p w14:paraId="2A4493BF" w14:textId="434D2359" w:rsidR="006B112D" w:rsidRPr="00B97567" w:rsidRDefault="005C03BF" w:rsidP="001F4589">
            <w:pPr>
              <w:pStyle w:val="ListParagraph"/>
              <w:keepNext/>
              <w:numPr>
                <w:ilvl w:val="0"/>
                <w:numId w:val="19"/>
              </w:numPr>
              <w:spacing w:after="60"/>
              <w:jc w:val="left"/>
              <w:rPr>
                <w:rFonts w:eastAsia="MS Mincho"/>
                <w:bCs/>
                <w:noProof/>
                <w:snapToGrid w:val="0"/>
                <w:kern w:val="22"/>
                <w:sz w:val="21"/>
                <w:szCs w:val="21"/>
                <w:lang w:val="fr-FR"/>
              </w:rPr>
            </w:pPr>
            <w:r w:rsidRPr="00B97567">
              <w:rPr>
                <w:rFonts w:eastAsia="MS Mincho"/>
                <w:bCs/>
                <w:noProof/>
                <w:snapToGrid w:val="0"/>
                <w:kern w:val="22"/>
                <w:sz w:val="21"/>
                <w:szCs w:val="21"/>
                <w:lang w:val="fr-FR"/>
              </w:rPr>
              <w:t>Identification des lacunes dans les connaissances sur la biodiversité et des options pour y remédier</w:t>
            </w:r>
          </w:p>
        </w:tc>
        <w:tc>
          <w:tcPr>
            <w:tcW w:w="556" w:type="pct"/>
            <w:tcBorders>
              <w:bottom w:val="nil"/>
            </w:tcBorders>
          </w:tcPr>
          <w:p w14:paraId="23E4DE5B" w14:textId="77777777" w:rsidR="006B112D" w:rsidRPr="00B97567" w:rsidRDefault="006B112D" w:rsidP="001F4589">
            <w:pPr>
              <w:keepNext/>
              <w:jc w:val="center"/>
              <w:rPr>
                <w:rFonts w:eastAsia="MS Mincho"/>
                <w:bCs/>
                <w:noProof/>
                <w:snapToGrid w:val="0"/>
                <w:kern w:val="22"/>
                <w:sz w:val="21"/>
                <w:szCs w:val="21"/>
                <w:lang w:val="fr-FR"/>
              </w:rPr>
            </w:pPr>
          </w:p>
        </w:tc>
        <w:tc>
          <w:tcPr>
            <w:tcW w:w="559" w:type="pct"/>
            <w:tcBorders>
              <w:bottom w:val="nil"/>
            </w:tcBorders>
            <w:shd w:val="clear" w:color="auto" w:fill="auto"/>
          </w:tcPr>
          <w:p w14:paraId="1E3305FA" w14:textId="77777777" w:rsidR="006B112D" w:rsidRPr="00B97567" w:rsidRDefault="006B112D" w:rsidP="001F4589">
            <w:pPr>
              <w:keepNext/>
              <w:jc w:val="left"/>
              <w:rPr>
                <w:rFonts w:eastAsia="MS Mincho"/>
                <w:bCs/>
                <w:noProof/>
                <w:snapToGrid w:val="0"/>
                <w:kern w:val="22"/>
                <w:sz w:val="21"/>
                <w:szCs w:val="21"/>
                <w:lang w:val="fr-FR"/>
              </w:rPr>
            </w:pPr>
          </w:p>
        </w:tc>
      </w:tr>
      <w:tr w:rsidR="00BE29D1" w:rsidRPr="009A459D" w14:paraId="7F6374F4" w14:textId="77777777" w:rsidTr="00BE29D1">
        <w:tc>
          <w:tcPr>
            <w:tcW w:w="708" w:type="pct"/>
            <w:vMerge/>
            <w:shd w:val="clear" w:color="auto" w:fill="auto"/>
          </w:tcPr>
          <w:p w14:paraId="0E2D17AB" w14:textId="77777777" w:rsidR="006B112D" w:rsidRPr="00B97567" w:rsidRDefault="006B112D" w:rsidP="001F4589">
            <w:pPr>
              <w:keepNext/>
              <w:jc w:val="center"/>
              <w:rPr>
                <w:rFonts w:ascii="Times New Roman Bold" w:eastAsia="MS Mincho" w:hAnsi="Times New Roman Bold" w:cs="Times New Roman Bold"/>
                <w:b/>
                <w:noProof/>
                <w:snapToGrid w:val="0"/>
                <w:spacing w:val="-12"/>
                <w:kern w:val="22"/>
                <w:sz w:val="21"/>
                <w:szCs w:val="21"/>
                <w:lang w:val="fr-FR"/>
              </w:rPr>
            </w:pPr>
          </w:p>
        </w:tc>
        <w:tc>
          <w:tcPr>
            <w:tcW w:w="3177" w:type="pct"/>
            <w:tcBorders>
              <w:bottom w:val="nil"/>
            </w:tcBorders>
            <w:shd w:val="clear" w:color="auto" w:fill="auto"/>
          </w:tcPr>
          <w:p w14:paraId="72F1ABD2" w14:textId="0ED665AC" w:rsidR="006B112D" w:rsidRPr="00B97567" w:rsidRDefault="005C03BF" w:rsidP="001F4589">
            <w:pPr>
              <w:pStyle w:val="ListParagraph"/>
              <w:keepNext/>
              <w:numPr>
                <w:ilvl w:val="0"/>
                <w:numId w:val="19"/>
              </w:numPr>
              <w:spacing w:after="60"/>
              <w:jc w:val="left"/>
              <w:rPr>
                <w:rFonts w:eastAsia="MS Mincho"/>
                <w:bCs/>
                <w:noProof/>
                <w:snapToGrid w:val="0"/>
                <w:kern w:val="22"/>
                <w:sz w:val="21"/>
                <w:szCs w:val="21"/>
                <w:lang w:val="fr-FR"/>
              </w:rPr>
            </w:pPr>
            <w:r w:rsidRPr="00B97567">
              <w:rPr>
                <w:rFonts w:eastAsia="MS Mincho"/>
                <w:bCs/>
                <w:noProof/>
                <w:snapToGrid w:val="0"/>
                <w:kern w:val="22"/>
                <w:sz w:val="21"/>
                <w:szCs w:val="21"/>
                <w:lang w:val="fr-FR"/>
              </w:rPr>
              <w:t>Développement de la collaboration entre les organisations et les institutions pour promouvoir la production de connaissances</w:t>
            </w:r>
          </w:p>
        </w:tc>
        <w:tc>
          <w:tcPr>
            <w:tcW w:w="556" w:type="pct"/>
            <w:tcBorders>
              <w:bottom w:val="nil"/>
            </w:tcBorders>
          </w:tcPr>
          <w:p w14:paraId="3C599A0A" w14:textId="77777777" w:rsidR="006B112D" w:rsidRPr="00B97567" w:rsidRDefault="006B112D" w:rsidP="001F4589">
            <w:pPr>
              <w:keepNext/>
              <w:jc w:val="center"/>
              <w:rPr>
                <w:rFonts w:asciiTheme="majorBidi" w:eastAsia="MS Mincho" w:hAnsiTheme="majorBidi" w:cstheme="majorBidi"/>
                <w:bCs/>
                <w:noProof/>
                <w:snapToGrid w:val="0"/>
                <w:kern w:val="22"/>
                <w:sz w:val="21"/>
                <w:szCs w:val="21"/>
                <w:lang w:val="fr-FR"/>
              </w:rPr>
            </w:pPr>
          </w:p>
        </w:tc>
        <w:tc>
          <w:tcPr>
            <w:tcW w:w="559" w:type="pct"/>
            <w:tcBorders>
              <w:bottom w:val="nil"/>
            </w:tcBorders>
            <w:shd w:val="clear" w:color="auto" w:fill="auto"/>
          </w:tcPr>
          <w:p w14:paraId="54774A1F" w14:textId="77777777" w:rsidR="006B112D" w:rsidRPr="00B97567" w:rsidRDefault="006B112D" w:rsidP="001F4589">
            <w:pPr>
              <w:keepNext/>
              <w:jc w:val="left"/>
              <w:rPr>
                <w:rFonts w:eastAsia="MS Mincho"/>
                <w:b/>
                <w:noProof/>
                <w:snapToGrid w:val="0"/>
                <w:kern w:val="22"/>
                <w:sz w:val="21"/>
                <w:szCs w:val="21"/>
                <w:lang w:val="fr-FR"/>
              </w:rPr>
            </w:pPr>
          </w:p>
        </w:tc>
      </w:tr>
      <w:tr w:rsidR="00BE29D1" w:rsidRPr="009A459D" w14:paraId="567F847C" w14:textId="77777777" w:rsidTr="00BE29D1">
        <w:tc>
          <w:tcPr>
            <w:tcW w:w="708" w:type="pct"/>
            <w:vMerge/>
            <w:shd w:val="clear" w:color="auto" w:fill="auto"/>
          </w:tcPr>
          <w:p w14:paraId="258AB1D9" w14:textId="77777777" w:rsidR="006B112D" w:rsidRPr="00B97567" w:rsidRDefault="006B112D" w:rsidP="001F4589">
            <w:pPr>
              <w:keepNext/>
              <w:jc w:val="center"/>
              <w:rPr>
                <w:rFonts w:ascii="Times New Roman Bold" w:eastAsia="MS Mincho" w:hAnsi="Times New Roman Bold" w:cs="Times New Roman Bold"/>
                <w:b/>
                <w:noProof/>
                <w:snapToGrid w:val="0"/>
                <w:spacing w:val="-12"/>
                <w:kern w:val="22"/>
                <w:sz w:val="21"/>
                <w:szCs w:val="21"/>
                <w:lang w:val="fr-FR"/>
              </w:rPr>
            </w:pPr>
          </w:p>
        </w:tc>
        <w:tc>
          <w:tcPr>
            <w:tcW w:w="3177" w:type="pct"/>
            <w:tcBorders>
              <w:bottom w:val="nil"/>
            </w:tcBorders>
            <w:shd w:val="clear" w:color="auto" w:fill="auto"/>
          </w:tcPr>
          <w:p w14:paraId="54D59963" w14:textId="60076354" w:rsidR="006B112D" w:rsidRPr="00B97567" w:rsidRDefault="005C03BF" w:rsidP="001F4589">
            <w:pPr>
              <w:pStyle w:val="ListParagraph"/>
              <w:keepNext/>
              <w:numPr>
                <w:ilvl w:val="0"/>
                <w:numId w:val="19"/>
              </w:numPr>
              <w:spacing w:after="60"/>
              <w:jc w:val="left"/>
              <w:rPr>
                <w:rFonts w:eastAsia="MS Mincho"/>
                <w:bCs/>
                <w:noProof/>
                <w:snapToGrid w:val="0"/>
                <w:kern w:val="22"/>
                <w:sz w:val="21"/>
                <w:szCs w:val="21"/>
                <w:lang w:val="fr-FR"/>
              </w:rPr>
            </w:pPr>
            <w:r w:rsidRPr="00B97567">
              <w:rPr>
                <w:rFonts w:eastAsia="MS Mincho"/>
                <w:bCs/>
                <w:noProof/>
                <w:snapToGrid w:val="0"/>
                <w:kern w:val="22"/>
                <w:sz w:val="21"/>
                <w:szCs w:val="21"/>
                <w:lang w:val="fr-FR"/>
              </w:rPr>
              <w:t>Renforcer la sensibilisation des communautés de recherche et universitaires</w:t>
            </w:r>
            <w:r w:rsidR="00830014">
              <w:rPr>
                <w:rFonts w:eastAsia="MS Mincho"/>
                <w:bCs/>
                <w:noProof/>
                <w:snapToGrid w:val="0"/>
                <w:kern w:val="22"/>
                <w:sz w:val="21"/>
                <w:szCs w:val="21"/>
                <w:lang w:val="fr-FR"/>
              </w:rPr>
              <w:t xml:space="preserve"> pertinentes</w:t>
            </w:r>
            <w:r w:rsidRPr="00B97567">
              <w:rPr>
                <w:rFonts w:eastAsia="MS Mincho"/>
                <w:bCs/>
                <w:noProof/>
                <w:snapToGrid w:val="0"/>
                <w:kern w:val="22"/>
                <w:sz w:val="21"/>
                <w:szCs w:val="21"/>
                <w:lang w:val="fr-FR"/>
              </w:rPr>
              <w:t xml:space="preserve"> et d'autres institutions afin de les encourager à partager les données, les informations et les connaissances pertinentes en matière de recherche</w:t>
            </w:r>
          </w:p>
        </w:tc>
        <w:tc>
          <w:tcPr>
            <w:tcW w:w="556" w:type="pct"/>
            <w:tcBorders>
              <w:bottom w:val="nil"/>
            </w:tcBorders>
          </w:tcPr>
          <w:p w14:paraId="216A56B7" w14:textId="77777777" w:rsidR="006B112D" w:rsidRPr="00B97567" w:rsidRDefault="006B112D" w:rsidP="001F4589">
            <w:pPr>
              <w:keepNext/>
              <w:jc w:val="center"/>
              <w:rPr>
                <w:rFonts w:asciiTheme="majorBidi" w:eastAsia="MS Mincho" w:hAnsiTheme="majorBidi" w:cstheme="majorBidi"/>
                <w:bCs/>
                <w:noProof/>
                <w:snapToGrid w:val="0"/>
                <w:kern w:val="22"/>
                <w:sz w:val="21"/>
                <w:szCs w:val="21"/>
                <w:lang w:val="fr-FR"/>
              </w:rPr>
            </w:pPr>
          </w:p>
        </w:tc>
        <w:tc>
          <w:tcPr>
            <w:tcW w:w="559" w:type="pct"/>
            <w:tcBorders>
              <w:bottom w:val="nil"/>
            </w:tcBorders>
            <w:shd w:val="clear" w:color="auto" w:fill="auto"/>
          </w:tcPr>
          <w:p w14:paraId="078D659A" w14:textId="77777777" w:rsidR="006B112D" w:rsidRPr="00B97567" w:rsidRDefault="006B112D" w:rsidP="001F4589">
            <w:pPr>
              <w:keepNext/>
              <w:jc w:val="left"/>
              <w:rPr>
                <w:rFonts w:eastAsia="MS Mincho"/>
                <w:b/>
                <w:noProof/>
                <w:snapToGrid w:val="0"/>
                <w:kern w:val="22"/>
                <w:sz w:val="21"/>
                <w:szCs w:val="21"/>
                <w:lang w:val="fr-FR"/>
              </w:rPr>
            </w:pPr>
          </w:p>
        </w:tc>
      </w:tr>
      <w:tr w:rsidR="00BE29D1" w:rsidRPr="009A459D" w14:paraId="3812A8B6" w14:textId="77777777" w:rsidTr="00BE29D1">
        <w:tc>
          <w:tcPr>
            <w:tcW w:w="708" w:type="pct"/>
            <w:vMerge/>
            <w:shd w:val="clear" w:color="auto" w:fill="auto"/>
          </w:tcPr>
          <w:p w14:paraId="750A6415" w14:textId="77777777" w:rsidR="006B112D" w:rsidRPr="00B97567" w:rsidRDefault="006B112D" w:rsidP="001F4589">
            <w:pPr>
              <w:keepNext/>
              <w:jc w:val="center"/>
              <w:rPr>
                <w:rFonts w:ascii="Times New Roman Bold" w:eastAsia="MS Mincho" w:hAnsi="Times New Roman Bold" w:cs="Times New Roman Bold"/>
                <w:b/>
                <w:noProof/>
                <w:snapToGrid w:val="0"/>
                <w:spacing w:val="-12"/>
                <w:kern w:val="22"/>
                <w:sz w:val="21"/>
                <w:szCs w:val="21"/>
                <w:lang w:val="fr-FR"/>
              </w:rPr>
            </w:pPr>
          </w:p>
        </w:tc>
        <w:tc>
          <w:tcPr>
            <w:tcW w:w="3177" w:type="pct"/>
            <w:tcBorders>
              <w:bottom w:val="nil"/>
            </w:tcBorders>
            <w:shd w:val="clear" w:color="auto" w:fill="auto"/>
          </w:tcPr>
          <w:p w14:paraId="2AAE6E12" w14:textId="7FB24AA1" w:rsidR="006B112D" w:rsidRPr="00B97567" w:rsidRDefault="005C03BF" w:rsidP="001F4589">
            <w:pPr>
              <w:pStyle w:val="ListParagraph"/>
              <w:keepNext/>
              <w:numPr>
                <w:ilvl w:val="0"/>
                <w:numId w:val="19"/>
              </w:numPr>
              <w:spacing w:after="60"/>
              <w:jc w:val="left"/>
              <w:rPr>
                <w:rFonts w:asciiTheme="majorBidi" w:eastAsia="MS Mincho" w:hAnsiTheme="majorBidi" w:cstheme="majorBidi"/>
                <w:bCs/>
                <w:noProof/>
                <w:snapToGrid w:val="0"/>
                <w:kern w:val="22"/>
                <w:sz w:val="21"/>
                <w:szCs w:val="21"/>
                <w:lang w:val="fr-FR"/>
              </w:rPr>
            </w:pPr>
            <w:r w:rsidRPr="00B97567">
              <w:rPr>
                <w:rFonts w:asciiTheme="majorBidi" w:eastAsia="MS Mincho" w:hAnsiTheme="majorBidi" w:cstheme="majorBidi"/>
                <w:bCs/>
                <w:noProof/>
                <w:snapToGrid w:val="0"/>
                <w:kern w:val="22"/>
                <w:sz w:val="21"/>
                <w:szCs w:val="21"/>
                <w:lang w:val="fr-FR"/>
              </w:rPr>
              <w:t>Développer les capacités locales et nationales de production de connaissances par la science citoyenne en encourageant la collecte de données, d'informations et de connaissances au niveau local</w:t>
            </w:r>
          </w:p>
        </w:tc>
        <w:tc>
          <w:tcPr>
            <w:tcW w:w="556" w:type="pct"/>
            <w:tcBorders>
              <w:bottom w:val="nil"/>
            </w:tcBorders>
          </w:tcPr>
          <w:p w14:paraId="00C16682" w14:textId="77777777" w:rsidR="006B112D" w:rsidRPr="00B97567" w:rsidRDefault="006B112D" w:rsidP="001F4589">
            <w:pPr>
              <w:keepNext/>
              <w:jc w:val="center"/>
              <w:rPr>
                <w:rFonts w:asciiTheme="majorBidi" w:eastAsia="MS Mincho" w:hAnsiTheme="majorBidi" w:cstheme="majorBidi"/>
                <w:bCs/>
                <w:noProof/>
                <w:snapToGrid w:val="0"/>
                <w:kern w:val="22"/>
                <w:sz w:val="21"/>
                <w:szCs w:val="21"/>
                <w:lang w:val="fr-FR"/>
              </w:rPr>
            </w:pPr>
          </w:p>
        </w:tc>
        <w:tc>
          <w:tcPr>
            <w:tcW w:w="559" w:type="pct"/>
            <w:tcBorders>
              <w:bottom w:val="nil"/>
            </w:tcBorders>
            <w:shd w:val="clear" w:color="auto" w:fill="auto"/>
          </w:tcPr>
          <w:p w14:paraId="16864506" w14:textId="77777777" w:rsidR="006B112D" w:rsidRPr="00B97567" w:rsidRDefault="006B112D" w:rsidP="001F4589">
            <w:pPr>
              <w:keepNext/>
              <w:jc w:val="left"/>
              <w:rPr>
                <w:rFonts w:asciiTheme="majorBidi" w:eastAsia="MS Mincho" w:hAnsiTheme="majorBidi" w:cstheme="majorBidi"/>
                <w:bCs/>
                <w:noProof/>
                <w:snapToGrid w:val="0"/>
                <w:kern w:val="22"/>
                <w:sz w:val="21"/>
                <w:szCs w:val="21"/>
                <w:lang w:val="fr-FR"/>
              </w:rPr>
            </w:pPr>
          </w:p>
        </w:tc>
      </w:tr>
      <w:tr w:rsidR="00BE29D1" w:rsidRPr="009A459D" w14:paraId="7F8F8201" w14:textId="77777777" w:rsidTr="00BF3897">
        <w:tc>
          <w:tcPr>
            <w:tcW w:w="708" w:type="pct"/>
            <w:vMerge/>
            <w:tcBorders>
              <w:bottom w:val="single" w:sz="4" w:space="0" w:color="auto"/>
            </w:tcBorders>
            <w:shd w:val="clear" w:color="auto" w:fill="auto"/>
          </w:tcPr>
          <w:p w14:paraId="3EDF0F91" w14:textId="77777777" w:rsidR="006B112D" w:rsidRPr="00B97567" w:rsidRDefault="006B112D" w:rsidP="001F4589">
            <w:pPr>
              <w:keepNext/>
              <w:jc w:val="center"/>
              <w:rPr>
                <w:rFonts w:ascii="Times New Roman Bold" w:eastAsia="MS Mincho" w:hAnsi="Times New Roman Bold" w:cs="Times New Roman Bold"/>
                <w:b/>
                <w:noProof/>
                <w:snapToGrid w:val="0"/>
                <w:spacing w:val="-12"/>
                <w:kern w:val="22"/>
                <w:sz w:val="21"/>
                <w:szCs w:val="21"/>
                <w:lang w:val="fr-FR"/>
              </w:rPr>
            </w:pPr>
          </w:p>
        </w:tc>
        <w:tc>
          <w:tcPr>
            <w:tcW w:w="3177" w:type="pct"/>
            <w:tcBorders>
              <w:bottom w:val="single" w:sz="4" w:space="0" w:color="auto"/>
            </w:tcBorders>
            <w:shd w:val="clear" w:color="auto" w:fill="auto"/>
          </w:tcPr>
          <w:p w14:paraId="0E650DBD" w14:textId="4BE3A9FF" w:rsidR="006B112D" w:rsidRPr="00B97567" w:rsidRDefault="005C03BF" w:rsidP="001F4589">
            <w:pPr>
              <w:pStyle w:val="ListParagraph"/>
              <w:keepNext/>
              <w:numPr>
                <w:ilvl w:val="0"/>
                <w:numId w:val="19"/>
              </w:numPr>
              <w:spacing w:after="60"/>
              <w:jc w:val="left"/>
              <w:rPr>
                <w:rFonts w:asciiTheme="majorBidi" w:eastAsia="MS Mincho" w:hAnsiTheme="majorBidi" w:cstheme="majorBidi"/>
                <w:bCs/>
                <w:noProof/>
                <w:snapToGrid w:val="0"/>
                <w:kern w:val="22"/>
                <w:sz w:val="21"/>
                <w:szCs w:val="21"/>
                <w:lang w:val="fr-FR"/>
              </w:rPr>
            </w:pPr>
            <w:r w:rsidRPr="00B97567">
              <w:rPr>
                <w:lang w:val="fr-FR"/>
              </w:rPr>
              <w:t>L</w:t>
            </w:r>
            <w:r w:rsidRPr="00B97567">
              <w:rPr>
                <w:rFonts w:asciiTheme="majorBidi" w:eastAsia="MS Mincho" w:hAnsiTheme="majorBidi" w:cstheme="majorBidi"/>
                <w:bCs/>
                <w:noProof/>
                <w:snapToGrid w:val="0"/>
                <w:kern w:val="22"/>
                <w:sz w:val="21"/>
                <w:szCs w:val="21"/>
                <w:lang w:val="fr-FR"/>
              </w:rPr>
              <w:t>'amélioration de l'utilisation de tous les types de données importantes, y compris la télédétection et l'IdO, ainsi que la garantie de normes et de partage des données</w:t>
            </w:r>
          </w:p>
        </w:tc>
        <w:tc>
          <w:tcPr>
            <w:tcW w:w="556" w:type="pct"/>
            <w:tcBorders>
              <w:bottom w:val="single" w:sz="4" w:space="0" w:color="auto"/>
            </w:tcBorders>
          </w:tcPr>
          <w:p w14:paraId="55CCB9E4" w14:textId="77777777" w:rsidR="006B112D" w:rsidRPr="00B97567" w:rsidRDefault="006B112D" w:rsidP="001F4589">
            <w:pPr>
              <w:keepNext/>
              <w:jc w:val="center"/>
              <w:rPr>
                <w:rFonts w:asciiTheme="majorBidi" w:eastAsia="MS Mincho" w:hAnsiTheme="majorBidi" w:cstheme="majorBidi"/>
                <w:bCs/>
                <w:noProof/>
                <w:snapToGrid w:val="0"/>
                <w:kern w:val="22"/>
                <w:sz w:val="21"/>
                <w:szCs w:val="21"/>
                <w:lang w:val="fr-FR"/>
              </w:rPr>
            </w:pPr>
          </w:p>
        </w:tc>
        <w:tc>
          <w:tcPr>
            <w:tcW w:w="559" w:type="pct"/>
            <w:tcBorders>
              <w:bottom w:val="single" w:sz="4" w:space="0" w:color="auto"/>
            </w:tcBorders>
            <w:shd w:val="clear" w:color="auto" w:fill="auto"/>
          </w:tcPr>
          <w:p w14:paraId="2A043C71" w14:textId="77777777" w:rsidR="006B112D" w:rsidRPr="00B97567" w:rsidRDefault="006B112D" w:rsidP="001F4589">
            <w:pPr>
              <w:keepNext/>
              <w:jc w:val="left"/>
              <w:rPr>
                <w:rFonts w:asciiTheme="majorBidi" w:eastAsia="MS Mincho" w:hAnsiTheme="majorBidi" w:cstheme="majorBidi"/>
                <w:bCs/>
                <w:noProof/>
                <w:snapToGrid w:val="0"/>
                <w:kern w:val="22"/>
                <w:sz w:val="21"/>
                <w:szCs w:val="21"/>
                <w:lang w:val="fr-FR"/>
              </w:rPr>
            </w:pPr>
          </w:p>
        </w:tc>
      </w:tr>
      <w:tr w:rsidR="00BE29D1" w:rsidRPr="009A459D" w14:paraId="3F8CBFCF" w14:textId="77777777" w:rsidTr="00BF3897">
        <w:tc>
          <w:tcPr>
            <w:tcW w:w="708" w:type="pct"/>
            <w:vMerge w:val="restart"/>
            <w:tcBorders>
              <w:top w:val="single" w:sz="4" w:space="0" w:color="auto"/>
              <w:left w:val="single" w:sz="4" w:space="0" w:color="auto"/>
              <w:bottom w:val="single" w:sz="4" w:space="0" w:color="auto"/>
              <w:right w:val="single" w:sz="4" w:space="0" w:color="auto"/>
            </w:tcBorders>
            <w:shd w:val="clear" w:color="auto" w:fill="auto"/>
          </w:tcPr>
          <w:p w14:paraId="3F7B6117" w14:textId="7D71D3A1" w:rsidR="006B112D" w:rsidRPr="00B97567" w:rsidRDefault="00450A4E" w:rsidP="00482485">
            <w:pPr>
              <w:pStyle w:val="ListParagraph"/>
              <w:keepNext/>
              <w:numPr>
                <w:ilvl w:val="0"/>
                <w:numId w:val="20"/>
              </w:numPr>
              <w:ind w:left="430" w:hanging="430"/>
              <w:jc w:val="left"/>
              <w:rPr>
                <w:rFonts w:ascii="Times New Roman Bold" w:eastAsia="MS Mincho" w:hAnsi="Times New Roman Bold" w:cs="Times New Roman Bold"/>
                <w:b/>
                <w:noProof/>
                <w:snapToGrid w:val="0"/>
                <w:spacing w:val="-12"/>
                <w:kern w:val="22"/>
                <w:sz w:val="21"/>
                <w:szCs w:val="21"/>
                <w:lang w:val="fr-FR"/>
              </w:rPr>
            </w:pPr>
            <w:r w:rsidRPr="00450A4E">
              <w:rPr>
                <w:rFonts w:asciiTheme="majorBidi" w:eastAsia="MS Mincho" w:hAnsiTheme="majorBidi" w:cstheme="majorBidi"/>
                <w:bCs/>
                <w:noProof/>
                <w:snapToGrid w:val="0"/>
                <w:kern w:val="22"/>
                <w:sz w:val="21"/>
                <w:szCs w:val="21"/>
                <w:lang w:val="fr-FR"/>
              </w:rPr>
              <w:t>Faciliter la découverte et la collecte de connaissances</w:t>
            </w:r>
          </w:p>
        </w:tc>
        <w:tc>
          <w:tcPr>
            <w:tcW w:w="3177" w:type="pct"/>
            <w:tcBorders>
              <w:top w:val="single" w:sz="4" w:space="0" w:color="auto"/>
              <w:left w:val="single" w:sz="4" w:space="0" w:color="auto"/>
              <w:bottom w:val="single" w:sz="4" w:space="0" w:color="auto"/>
              <w:right w:val="single" w:sz="4" w:space="0" w:color="auto"/>
            </w:tcBorders>
            <w:shd w:val="clear" w:color="auto" w:fill="auto"/>
          </w:tcPr>
          <w:p w14:paraId="7B488B97" w14:textId="0E2CA900" w:rsidR="006B112D" w:rsidRPr="00B97567" w:rsidRDefault="005C03BF" w:rsidP="001F4589">
            <w:pPr>
              <w:pStyle w:val="ListParagraph"/>
              <w:keepNext/>
              <w:numPr>
                <w:ilvl w:val="0"/>
                <w:numId w:val="21"/>
              </w:numPr>
              <w:spacing w:after="60"/>
              <w:ind w:left="350"/>
              <w:jc w:val="left"/>
              <w:rPr>
                <w:rFonts w:asciiTheme="majorBidi" w:eastAsia="MS Mincho" w:hAnsiTheme="majorBidi" w:cstheme="majorBidi"/>
                <w:bCs/>
                <w:noProof/>
                <w:snapToGrid w:val="0"/>
                <w:kern w:val="22"/>
                <w:sz w:val="21"/>
                <w:szCs w:val="21"/>
                <w:lang w:val="fr-FR"/>
              </w:rPr>
            </w:pPr>
            <w:r w:rsidRPr="00B97567">
              <w:rPr>
                <w:rFonts w:asciiTheme="majorBidi" w:hAnsiTheme="majorBidi" w:cstheme="majorBidi"/>
                <w:kern w:val="22"/>
                <w:sz w:val="21"/>
                <w:szCs w:val="21"/>
                <w:lang w:val="fr-FR"/>
              </w:rPr>
              <w:t xml:space="preserve">Développement ou amélioration d'outils en ligne permettant d'identifier et de </w:t>
            </w:r>
            <w:r w:rsidR="00517467">
              <w:rPr>
                <w:rFonts w:asciiTheme="majorBidi" w:hAnsiTheme="majorBidi" w:cstheme="majorBidi"/>
                <w:kern w:val="22"/>
                <w:sz w:val="21"/>
                <w:szCs w:val="21"/>
                <w:lang w:val="fr-FR"/>
              </w:rPr>
              <w:t xml:space="preserve">recueillir </w:t>
            </w:r>
            <w:r w:rsidRPr="00B97567">
              <w:rPr>
                <w:rFonts w:asciiTheme="majorBidi" w:hAnsiTheme="majorBidi" w:cstheme="majorBidi"/>
                <w:kern w:val="22"/>
                <w:sz w:val="21"/>
                <w:szCs w:val="21"/>
                <w:lang w:val="fr-FR"/>
              </w:rPr>
              <w:t xml:space="preserve">des informations et des connaissances provenant de diverses sources de manière interactive, en temps réel et </w:t>
            </w:r>
            <w:r w:rsidR="00D11052">
              <w:rPr>
                <w:rFonts w:asciiTheme="majorBidi" w:hAnsiTheme="majorBidi" w:cstheme="majorBidi"/>
                <w:kern w:val="22"/>
                <w:sz w:val="21"/>
                <w:szCs w:val="21"/>
                <w:lang w:val="fr-FR"/>
              </w:rPr>
              <w:t>de façon simple à utiliser</w:t>
            </w:r>
            <w:r w:rsidR="008327D5">
              <w:rPr>
                <w:rStyle w:val="FootnoteReference"/>
                <w:rFonts w:asciiTheme="majorBidi" w:hAnsiTheme="majorBidi" w:cstheme="majorBidi"/>
                <w:kern w:val="22"/>
                <w:szCs w:val="21"/>
                <w:lang w:val="fr-FR"/>
              </w:rPr>
              <w:footnoteReference w:id="20"/>
            </w:r>
          </w:p>
        </w:tc>
        <w:tc>
          <w:tcPr>
            <w:tcW w:w="556" w:type="pct"/>
            <w:tcBorders>
              <w:top w:val="single" w:sz="4" w:space="0" w:color="auto"/>
              <w:left w:val="single" w:sz="4" w:space="0" w:color="auto"/>
              <w:bottom w:val="single" w:sz="4" w:space="0" w:color="auto"/>
              <w:right w:val="single" w:sz="4" w:space="0" w:color="auto"/>
            </w:tcBorders>
          </w:tcPr>
          <w:p w14:paraId="292010B3" w14:textId="77777777" w:rsidR="006B112D" w:rsidRPr="00B97567" w:rsidRDefault="006B112D" w:rsidP="001F4589">
            <w:pPr>
              <w:keepNext/>
              <w:jc w:val="center"/>
              <w:rPr>
                <w:rFonts w:asciiTheme="majorBidi" w:eastAsia="MS Mincho" w:hAnsiTheme="majorBidi" w:cstheme="majorBidi"/>
                <w:bCs/>
                <w:noProof/>
                <w:snapToGrid w:val="0"/>
                <w:kern w:val="22"/>
                <w:sz w:val="21"/>
                <w:szCs w:val="21"/>
                <w:lang w:val="fr-FR"/>
              </w:rPr>
            </w:pPr>
          </w:p>
        </w:tc>
        <w:tc>
          <w:tcPr>
            <w:tcW w:w="559" w:type="pct"/>
            <w:tcBorders>
              <w:top w:val="single" w:sz="4" w:space="0" w:color="auto"/>
              <w:left w:val="single" w:sz="4" w:space="0" w:color="auto"/>
              <w:bottom w:val="single" w:sz="4" w:space="0" w:color="auto"/>
              <w:right w:val="single" w:sz="4" w:space="0" w:color="auto"/>
            </w:tcBorders>
            <w:shd w:val="clear" w:color="auto" w:fill="auto"/>
          </w:tcPr>
          <w:p w14:paraId="4E2D6BC8" w14:textId="77777777" w:rsidR="006B112D" w:rsidRPr="00B97567" w:rsidRDefault="006B112D" w:rsidP="001F4589">
            <w:pPr>
              <w:keepNext/>
              <w:jc w:val="left"/>
              <w:rPr>
                <w:rFonts w:asciiTheme="majorBidi" w:eastAsia="MS Mincho" w:hAnsiTheme="majorBidi" w:cstheme="majorBidi"/>
                <w:bCs/>
                <w:noProof/>
                <w:snapToGrid w:val="0"/>
                <w:kern w:val="22"/>
                <w:sz w:val="21"/>
                <w:szCs w:val="21"/>
                <w:lang w:val="fr-FR"/>
              </w:rPr>
            </w:pPr>
          </w:p>
        </w:tc>
      </w:tr>
      <w:tr w:rsidR="00BE29D1" w:rsidRPr="009A459D" w14:paraId="6C9376B5" w14:textId="77777777" w:rsidTr="00BF3897">
        <w:tc>
          <w:tcPr>
            <w:tcW w:w="708" w:type="pct"/>
            <w:vMerge/>
            <w:tcBorders>
              <w:top w:val="single" w:sz="4" w:space="0" w:color="auto"/>
              <w:left w:val="single" w:sz="4" w:space="0" w:color="auto"/>
              <w:bottom w:val="single" w:sz="4" w:space="0" w:color="auto"/>
              <w:right w:val="single" w:sz="4" w:space="0" w:color="auto"/>
            </w:tcBorders>
            <w:shd w:val="clear" w:color="auto" w:fill="auto"/>
          </w:tcPr>
          <w:p w14:paraId="15A72E1C" w14:textId="77777777" w:rsidR="006B112D" w:rsidRPr="00B97567" w:rsidRDefault="006B112D" w:rsidP="001F4589">
            <w:pPr>
              <w:keepNext/>
              <w:jc w:val="center"/>
              <w:rPr>
                <w:rFonts w:ascii="Times New Roman Bold" w:eastAsia="MS Mincho" w:hAnsi="Times New Roman Bold" w:cs="Times New Roman Bold"/>
                <w:b/>
                <w:noProof/>
                <w:snapToGrid w:val="0"/>
                <w:spacing w:val="-12"/>
                <w:kern w:val="22"/>
                <w:sz w:val="21"/>
                <w:szCs w:val="21"/>
                <w:lang w:val="fr-FR"/>
              </w:rPr>
            </w:pPr>
          </w:p>
        </w:tc>
        <w:tc>
          <w:tcPr>
            <w:tcW w:w="3177" w:type="pct"/>
            <w:tcBorders>
              <w:top w:val="single" w:sz="4" w:space="0" w:color="auto"/>
              <w:left w:val="single" w:sz="4" w:space="0" w:color="auto"/>
              <w:bottom w:val="single" w:sz="4" w:space="0" w:color="auto"/>
              <w:right w:val="single" w:sz="4" w:space="0" w:color="auto"/>
            </w:tcBorders>
            <w:shd w:val="clear" w:color="auto" w:fill="auto"/>
          </w:tcPr>
          <w:p w14:paraId="49A0ADB4" w14:textId="2042150D" w:rsidR="006B112D" w:rsidRPr="00B97567" w:rsidRDefault="0027768F" w:rsidP="001F4589">
            <w:pPr>
              <w:pStyle w:val="ListParagraph"/>
              <w:keepNext/>
              <w:numPr>
                <w:ilvl w:val="0"/>
                <w:numId w:val="21"/>
              </w:numPr>
              <w:spacing w:after="60"/>
              <w:ind w:left="350"/>
              <w:jc w:val="left"/>
              <w:rPr>
                <w:rFonts w:asciiTheme="majorBidi" w:eastAsia="MS Mincho" w:hAnsiTheme="majorBidi" w:cstheme="majorBidi"/>
                <w:bCs/>
                <w:noProof/>
                <w:snapToGrid w:val="0"/>
                <w:kern w:val="22"/>
                <w:sz w:val="21"/>
                <w:szCs w:val="21"/>
                <w:lang w:val="fr-FR"/>
              </w:rPr>
            </w:pPr>
            <w:r w:rsidRPr="00B97567">
              <w:rPr>
                <w:rFonts w:asciiTheme="majorBidi" w:eastAsia="MS Mincho" w:hAnsiTheme="majorBidi" w:cstheme="majorBidi"/>
                <w:bCs/>
                <w:noProof/>
                <w:snapToGrid w:val="0"/>
                <w:kern w:val="22"/>
                <w:sz w:val="21"/>
                <w:szCs w:val="21"/>
                <w:lang w:val="fr-FR"/>
              </w:rPr>
              <w:t>Promotion des outils et techniques de découverte des connaissances, y compris l'exploration des données et les outils d'apprentissage automatique, le cas échéant</w:t>
            </w:r>
          </w:p>
        </w:tc>
        <w:tc>
          <w:tcPr>
            <w:tcW w:w="556" w:type="pct"/>
            <w:tcBorders>
              <w:top w:val="single" w:sz="4" w:space="0" w:color="auto"/>
              <w:left w:val="single" w:sz="4" w:space="0" w:color="auto"/>
              <w:bottom w:val="single" w:sz="4" w:space="0" w:color="auto"/>
              <w:right w:val="single" w:sz="4" w:space="0" w:color="auto"/>
            </w:tcBorders>
          </w:tcPr>
          <w:p w14:paraId="3434C1CF" w14:textId="77777777" w:rsidR="006B112D" w:rsidRPr="00B97567" w:rsidRDefault="006B112D" w:rsidP="001F4589">
            <w:pPr>
              <w:keepNext/>
              <w:jc w:val="center"/>
              <w:rPr>
                <w:rFonts w:asciiTheme="majorBidi" w:eastAsia="MS Mincho" w:hAnsiTheme="majorBidi" w:cstheme="majorBidi"/>
                <w:bCs/>
                <w:noProof/>
                <w:snapToGrid w:val="0"/>
                <w:kern w:val="22"/>
                <w:sz w:val="21"/>
                <w:szCs w:val="21"/>
                <w:lang w:val="fr-FR"/>
              </w:rPr>
            </w:pPr>
          </w:p>
        </w:tc>
        <w:tc>
          <w:tcPr>
            <w:tcW w:w="559" w:type="pct"/>
            <w:tcBorders>
              <w:top w:val="single" w:sz="4" w:space="0" w:color="auto"/>
              <w:left w:val="single" w:sz="4" w:space="0" w:color="auto"/>
              <w:bottom w:val="single" w:sz="4" w:space="0" w:color="auto"/>
              <w:right w:val="single" w:sz="4" w:space="0" w:color="auto"/>
            </w:tcBorders>
            <w:shd w:val="clear" w:color="auto" w:fill="auto"/>
          </w:tcPr>
          <w:p w14:paraId="66FBFFDC" w14:textId="77777777" w:rsidR="006B112D" w:rsidRPr="00B97567" w:rsidRDefault="006B112D" w:rsidP="001F4589">
            <w:pPr>
              <w:keepNext/>
              <w:jc w:val="left"/>
              <w:rPr>
                <w:rFonts w:asciiTheme="majorBidi" w:eastAsia="MS Mincho" w:hAnsiTheme="majorBidi" w:cstheme="majorBidi"/>
                <w:bCs/>
                <w:noProof/>
                <w:snapToGrid w:val="0"/>
                <w:kern w:val="22"/>
                <w:sz w:val="21"/>
                <w:szCs w:val="21"/>
                <w:lang w:val="fr-FR"/>
              </w:rPr>
            </w:pPr>
          </w:p>
        </w:tc>
      </w:tr>
      <w:tr w:rsidR="00BE29D1" w:rsidRPr="009A459D" w14:paraId="53D176FD" w14:textId="77777777" w:rsidTr="00BF3897">
        <w:tc>
          <w:tcPr>
            <w:tcW w:w="708" w:type="pct"/>
            <w:vMerge/>
            <w:tcBorders>
              <w:top w:val="single" w:sz="4" w:space="0" w:color="auto"/>
              <w:left w:val="single" w:sz="4" w:space="0" w:color="auto"/>
              <w:bottom w:val="single" w:sz="4" w:space="0" w:color="auto"/>
              <w:right w:val="single" w:sz="4" w:space="0" w:color="auto"/>
            </w:tcBorders>
            <w:shd w:val="clear" w:color="auto" w:fill="auto"/>
          </w:tcPr>
          <w:p w14:paraId="703DEB26" w14:textId="77777777" w:rsidR="006B112D" w:rsidRPr="00B97567" w:rsidRDefault="006B112D" w:rsidP="001F4589">
            <w:pPr>
              <w:keepNext/>
              <w:jc w:val="center"/>
              <w:rPr>
                <w:rFonts w:ascii="Times New Roman Bold" w:eastAsia="MS Mincho" w:hAnsi="Times New Roman Bold" w:cs="Times New Roman Bold"/>
                <w:b/>
                <w:noProof/>
                <w:snapToGrid w:val="0"/>
                <w:spacing w:val="-12"/>
                <w:kern w:val="22"/>
                <w:sz w:val="21"/>
                <w:szCs w:val="21"/>
                <w:lang w:val="fr-FR"/>
              </w:rPr>
            </w:pPr>
          </w:p>
        </w:tc>
        <w:tc>
          <w:tcPr>
            <w:tcW w:w="3177" w:type="pct"/>
            <w:tcBorders>
              <w:top w:val="single" w:sz="4" w:space="0" w:color="auto"/>
              <w:left w:val="single" w:sz="4" w:space="0" w:color="auto"/>
              <w:bottom w:val="single" w:sz="4" w:space="0" w:color="auto"/>
              <w:right w:val="single" w:sz="4" w:space="0" w:color="auto"/>
            </w:tcBorders>
            <w:shd w:val="clear" w:color="auto" w:fill="auto"/>
          </w:tcPr>
          <w:p w14:paraId="1272F224" w14:textId="318690F4" w:rsidR="006B112D" w:rsidRPr="00B97567" w:rsidRDefault="0027768F" w:rsidP="001F4589">
            <w:pPr>
              <w:pStyle w:val="ListParagraph"/>
              <w:keepNext/>
              <w:numPr>
                <w:ilvl w:val="0"/>
                <w:numId w:val="21"/>
              </w:numPr>
              <w:spacing w:after="60"/>
              <w:ind w:left="350"/>
              <w:jc w:val="left"/>
              <w:rPr>
                <w:rFonts w:asciiTheme="majorBidi" w:hAnsiTheme="majorBidi" w:cstheme="majorBidi"/>
                <w:kern w:val="22"/>
                <w:sz w:val="21"/>
                <w:szCs w:val="21"/>
                <w:lang w:val="fr-FR"/>
              </w:rPr>
            </w:pPr>
            <w:r w:rsidRPr="00B97567">
              <w:rPr>
                <w:rFonts w:asciiTheme="majorBidi" w:hAnsiTheme="majorBidi" w:cstheme="majorBidi"/>
                <w:kern w:val="22"/>
                <w:sz w:val="21"/>
                <w:szCs w:val="21"/>
                <w:lang w:val="fr-FR"/>
              </w:rPr>
              <w:t xml:space="preserve">La participation des parties prenantes </w:t>
            </w:r>
            <w:r w:rsidR="000A0B2E">
              <w:rPr>
                <w:rFonts w:asciiTheme="majorBidi" w:hAnsiTheme="majorBidi" w:cstheme="majorBidi"/>
                <w:kern w:val="22"/>
                <w:sz w:val="21"/>
                <w:szCs w:val="21"/>
                <w:lang w:val="fr-FR"/>
              </w:rPr>
              <w:t>pertinentes,</w:t>
            </w:r>
            <w:r w:rsidRPr="00B97567">
              <w:rPr>
                <w:rFonts w:asciiTheme="majorBidi" w:hAnsiTheme="majorBidi" w:cstheme="majorBidi"/>
                <w:kern w:val="22"/>
                <w:sz w:val="21"/>
                <w:szCs w:val="21"/>
                <w:lang w:val="fr-FR"/>
              </w:rPr>
              <w:t xml:space="preserve"> notamment les créateurs, les courtiers et les utilisateurs de connaissances dans les organismes d'exécution, les organisations de conservation, les institutions universitaires et autres aux niveaux national et infranational, à la création et à la collecte de connaissances</w:t>
            </w:r>
          </w:p>
        </w:tc>
        <w:tc>
          <w:tcPr>
            <w:tcW w:w="556" w:type="pct"/>
            <w:tcBorders>
              <w:top w:val="single" w:sz="4" w:space="0" w:color="auto"/>
              <w:left w:val="single" w:sz="4" w:space="0" w:color="auto"/>
              <w:bottom w:val="single" w:sz="4" w:space="0" w:color="auto"/>
              <w:right w:val="single" w:sz="4" w:space="0" w:color="auto"/>
            </w:tcBorders>
          </w:tcPr>
          <w:p w14:paraId="5EC000C1" w14:textId="77777777" w:rsidR="006B112D" w:rsidRPr="00B97567" w:rsidRDefault="006B112D" w:rsidP="001F4589">
            <w:pPr>
              <w:keepNext/>
              <w:jc w:val="center"/>
              <w:rPr>
                <w:rFonts w:asciiTheme="majorBidi" w:eastAsia="MS Mincho" w:hAnsiTheme="majorBidi" w:cstheme="majorBidi"/>
                <w:bCs/>
                <w:noProof/>
                <w:snapToGrid w:val="0"/>
                <w:kern w:val="22"/>
                <w:sz w:val="21"/>
                <w:szCs w:val="21"/>
                <w:lang w:val="fr-FR"/>
              </w:rPr>
            </w:pPr>
          </w:p>
        </w:tc>
        <w:tc>
          <w:tcPr>
            <w:tcW w:w="559" w:type="pct"/>
            <w:tcBorders>
              <w:top w:val="single" w:sz="4" w:space="0" w:color="auto"/>
              <w:left w:val="single" w:sz="4" w:space="0" w:color="auto"/>
              <w:bottom w:val="single" w:sz="4" w:space="0" w:color="auto"/>
              <w:right w:val="single" w:sz="4" w:space="0" w:color="auto"/>
            </w:tcBorders>
            <w:shd w:val="clear" w:color="auto" w:fill="auto"/>
          </w:tcPr>
          <w:p w14:paraId="06E9D65E" w14:textId="77777777" w:rsidR="006B112D" w:rsidRPr="00B97567" w:rsidRDefault="006B112D" w:rsidP="001F4589">
            <w:pPr>
              <w:keepNext/>
              <w:jc w:val="left"/>
              <w:rPr>
                <w:rFonts w:asciiTheme="majorBidi" w:eastAsia="MS Mincho" w:hAnsiTheme="majorBidi" w:cstheme="majorBidi"/>
                <w:bCs/>
                <w:noProof/>
                <w:snapToGrid w:val="0"/>
                <w:kern w:val="22"/>
                <w:sz w:val="21"/>
                <w:szCs w:val="21"/>
                <w:lang w:val="fr-FR"/>
              </w:rPr>
            </w:pPr>
          </w:p>
        </w:tc>
      </w:tr>
      <w:tr w:rsidR="00BE29D1" w:rsidRPr="009A459D" w14:paraId="5C01FEE6" w14:textId="77777777" w:rsidTr="00BF3897">
        <w:tc>
          <w:tcPr>
            <w:tcW w:w="708" w:type="pct"/>
            <w:vMerge/>
            <w:tcBorders>
              <w:top w:val="single" w:sz="4" w:space="0" w:color="auto"/>
              <w:left w:val="single" w:sz="4" w:space="0" w:color="auto"/>
              <w:bottom w:val="single" w:sz="4" w:space="0" w:color="auto"/>
              <w:right w:val="single" w:sz="4" w:space="0" w:color="auto"/>
            </w:tcBorders>
            <w:shd w:val="clear" w:color="auto" w:fill="auto"/>
          </w:tcPr>
          <w:p w14:paraId="25CEB382" w14:textId="77777777" w:rsidR="006B112D" w:rsidRPr="00B97567" w:rsidRDefault="006B112D" w:rsidP="001F4589">
            <w:pPr>
              <w:widowControl w:val="0"/>
              <w:jc w:val="center"/>
              <w:rPr>
                <w:rFonts w:ascii="Times New Roman Bold" w:eastAsia="MS Mincho" w:hAnsi="Times New Roman Bold" w:cs="Times New Roman Bold"/>
                <w:b/>
                <w:noProof/>
                <w:snapToGrid w:val="0"/>
                <w:spacing w:val="-12"/>
                <w:kern w:val="22"/>
                <w:sz w:val="21"/>
                <w:szCs w:val="21"/>
                <w:lang w:val="fr-FR"/>
              </w:rPr>
            </w:pPr>
          </w:p>
        </w:tc>
        <w:tc>
          <w:tcPr>
            <w:tcW w:w="3177" w:type="pct"/>
            <w:tcBorders>
              <w:top w:val="single" w:sz="4" w:space="0" w:color="auto"/>
              <w:left w:val="single" w:sz="4" w:space="0" w:color="auto"/>
              <w:bottom w:val="single" w:sz="4" w:space="0" w:color="auto"/>
              <w:right w:val="single" w:sz="4" w:space="0" w:color="auto"/>
            </w:tcBorders>
            <w:shd w:val="clear" w:color="auto" w:fill="auto"/>
          </w:tcPr>
          <w:p w14:paraId="05C955C7" w14:textId="04FFC763" w:rsidR="006B112D" w:rsidRPr="00B97567" w:rsidRDefault="0027768F" w:rsidP="001F4589">
            <w:pPr>
              <w:pStyle w:val="ListParagraph"/>
              <w:widowControl w:val="0"/>
              <w:numPr>
                <w:ilvl w:val="0"/>
                <w:numId w:val="21"/>
              </w:numPr>
              <w:spacing w:after="60"/>
              <w:ind w:left="346"/>
              <w:jc w:val="left"/>
              <w:rPr>
                <w:kern w:val="22"/>
                <w:sz w:val="21"/>
                <w:szCs w:val="21"/>
                <w:lang w:val="fr-FR"/>
              </w:rPr>
            </w:pPr>
            <w:r w:rsidRPr="00B97567">
              <w:rPr>
                <w:kern w:val="22"/>
                <w:sz w:val="21"/>
                <w:szCs w:val="21"/>
                <w:lang w:val="fr-FR"/>
              </w:rPr>
              <w:t>Identification, collecte et partage, lorsqu'ils sont autorisés, des connaissances traditionnelles des p</w:t>
            </w:r>
            <w:r w:rsidR="00ED64C9">
              <w:rPr>
                <w:kern w:val="22"/>
                <w:sz w:val="21"/>
                <w:szCs w:val="21"/>
                <w:lang w:val="fr-FR"/>
              </w:rPr>
              <w:t>euples</w:t>
            </w:r>
            <w:r w:rsidRPr="00B97567">
              <w:rPr>
                <w:kern w:val="22"/>
                <w:sz w:val="21"/>
                <w:szCs w:val="21"/>
                <w:lang w:val="fr-FR"/>
              </w:rPr>
              <w:t xml:space="preserve"> autochtones et des communautés locales ainsi que des connaissances des femmes, d'une manière appropriée et avec </w:t>
            </w:r>
            <w:r w:rsidR="008327D5">
              <w:rPr>
                <w:kern w:val="22"/>
                <w:sz w:val="21"/>
                <w:szCs w:val="21"/>
                <w:lang w:val="fr-FR"/>
              </w:rPr>
              <w:t xml:space="preserve">une </w:t>
            </w:r>
            <w:r w:rsidRPr="00B97567">
              <w:rPr>
                <w:kern w:val="22"/>
                <w:sz w:val="21"/>
                <w:szCs w:val="21"/>
                <w:lang w:val="fr-FR"/>
              </w:rPr>
              <w:t>mention claire de la source</w:t>
            </w:r>
            <w:r w:rsidR="008327D5">
              <w:rPr>
                <w:rStyle w:val="FootnoteReference"/>
                <w:kern w:val="22"/>
                <w:szCs w:val="21"/>
                <w:lang w:val="fr-FR"/>
              </w:rPr>
              <w:footnoteReference w:id="21"/>
            </w:r>
          </w:p>
        </w:tc>
        <w:tc>
          <w:tcPr>
            <w:tcW w:w="556" w:type="pct"/>
            <w:tcBorders>
              <w:top w:val="single" w:sz="4" w:space="0" w:color="auto"/>
              <w:left w:val="single" w:sz="4" w:space="0" w:color="auto"/>
              <w:bottom w:val="single" w:sz="4" w:space="0" w:color="auto"/>
              <w:right w:val="single" w:sz="4" w:space="0" w:color="auto"/>
            </w:tcBorders>
          </w:tcPr>
          <w:p w14:paraId="17EC54B7" w14:textId="77777777" w:rsidR="006B112D" w:rsidRPr="00B97567" w:rsidRDefault="006B112D" w:rsidP="001F4589">
            <w:pPr>
              <w:widowControl w:val="0"/>
              <w:jc w:val="center"/>
              <w:rPr>
                <w:rFonts w:asciiTheme="majorBidi" w:eastAsia="MS Mincho" w:hAnsiTheme="majorBidi" w:cstheme="majorBidi"/>
                <w:bCs/>
                <w:noProof/>
                <w:snapToGrid w:val="0"/>
                <w:kern w:val="22"/>
                <w:sz w:val="21"/>
                <w:szCs w:val="21"/>
                <w:lang w:val="fr-FR"/>
              </w:rPr>
            </w:pPr>
          </w:p>
        </w:tc>
        <w:tc>
          <w:tcPr>
            <w:tcW w:w="559" w:type="pct"/>
            <w:tcBorders>
              <w:top w:val="single" w:sz="4" w:space="0" w:color="auto"/>
              <w:left w:val="single" w:sz="4" w:space="0" w:color="auto"/>
              <w:bottom w:val="single" w:sz="4" w:space="0" w:color="auto"/>
              <w:right w:val="single" w:sz="4" w:space="0" w:color="auto"/>
            </w:tcBorders>
            <w:shd w:val="clear" w:color="auto" w:fill="auto"/>
          </w:tcPr>
          <w:p w14:paraId="607AA467" w14:textId="77777777" w:rsidR="006B112D" w:rsidRPr="00B97567" w:rsidRDefault="006B112D" w:rsidP="001F4589">
            <w:pPr>
              <w:widowControl w:val="0"/>
              <w:jc w:val="left"/>
              <w:rPr>
                <w:rFonts w:asciiTheme="majorBidi" w:eastAsia="MS Mincho" w:hAnsiTheme="majorBidi" w:cstheme="majorBidi"/>
                <w:bCs/>
                <w:noProof/>
                <w:snapToGrid w:val="0"/>
                <w:kern w:val="22"/>
                <w:sz w:val="21"/>
                <w:szCs w:val="21"/>
                <w:lang w:val="fr-FR"/>
              </w:rPr>
            </w:pPr>
          </w:p>
        </w:tc>
      </w:tr>
      <w:tr w:rsidR="00BE29D1" w:rsidRPr="009A459D" w14:paraId="09C99C1A" w14:textId="77777777" w:rsidTr="00BF3897">
        <w:tc>
          <w:tcPr>
            <w:tcW w:w="708" w:type="pct"/>
            <w:vMerge w:val="restart"/>
            <w:tcBorders>
              <w:top w:val="single" w:sz="4" w:space="0" w:color="auto"/>
            </w:tcBorders>
            <w:shd w:val="clear" w:color="auto" w:fill="auto"/>
          </w:tcPr>
          <w:p w14:paraId="539CA495" w14:textId="1EAD5A95" w:rsidR="006B112D" w:rsidRPr="00B97567" w:rsidRDefault="00450A4E" w:rsidP="00482485">
            <w:pPr>
              <w:pStyle w:val="ListParagraph"/>
              <w:widowControl w:val="0"/>
              <w:numPr>
                <w:ilvl w:val="0"/>
                <w:numId w:val="20"/>
              </w:numPr>
              <w:ind w:left="430" w:hanging="430"/>
              <w:jc w:val="left"/>
              <w:rPr>
                <w:rFonts w:asciiTheme="majorBidi" w:eastAsia="MS Mincho" w:hAnsiTheme="majorBidi" w:cstheme="majorBidi"/>
                <w:bCs/>
                <w:noProof/>
                <w:snapToGrid w:val="0"/>
                <w:kern w:val="22"/>
                <w:sz w:val="21"/>
                <w:szCs w:val="21"/>
                <w:lang w:val="fr-FR"/>
              </w:rPr>
            </w:pPr>
            <w:r w:rsidRPr="00450A4E">
              <w:rPr>
                <w:rFonts w:asciiTheme="majorBidi" w:eastAsia="MS Mincho" w:hAnsiTheme="majorBidi" w:cstheme="majorBidi"/>
                <w:bCs/>
                <w:noProof/>
                <w:snapToGrid w:val="0"/>
                <w:kern w:val="22"/>
                <w:sz w:val="21"/>
                <w:szCs w:val="21"/>
                <w:lang w:val="fr-FR"/>
              </w:rPr>
              <w:lastRenderedPageBreak/>
              <w:t>Améliorer l'organisation et le partage des connaissances</w:t>
            </w:r>
          </w:p>
        </w:tc>
        <w:tc>
          <w:tcPr>
            <w:tcW w:w="3177" w:type="pct"/>
            <w:tcBorders>
              <w:top w:val="single" w:sz="4" w:space="0" w:color="auto"/>
            </w:tcBorders>
          </w:tcPr>
          <w:p w14:paraId="3B62B89A" w14:textId="7B4D4C17" w:rsidR="006B112D" w:rsidRPr="00B97567" w:rsidRDefault="0027768F" w:rsidP="001F4589">
            <w:pPr>
              <w:pStyle w:val="ListParagraph"/>
              <w:widowControl w:val="0"/>
              <w:numPr>
                <w:ilvl w:val="0"/>
                <w:numId w:val="22"/>
              </w:numPr>
              <w:spacing w:after="60"/>
              <w:jc w:val="left"/>
              <w:rPr>
                <w:rFonts w:asciiTheme="majorBidi" w:eastAsia="MS Mincho" w:hAnsiTheme="majorBidi" w:cstheme="majorBidi"/>
                <w:bCs/>
                <w:noProof/>
                <w:snapToGrid w:val="0"/>
                <w:kern w:val="22"/>
                <w:sz w:val="21"/>
                <w:szCs w:val="21"/>
                <w:lang w:val="fr-FR"/>
              </w:rPr>
            </w:pPr>
            <w:r w:rsidRPr="00B97567">
              <w:rPr>
                <w:kern w:val="22"/>
                <w:sz w:val="21"/>
                <w:szCs w:val="21"/>
                <w:lang w:val="fr-FR"/>
              </w:rPr>
              <w:t>Amélioration continue de la qualité des métadonnées, du marquage et de la cartographie des objets de connaissance issus des conventions relatives à la biodiversité par l'intermédiaire d'</w:t>
            </w:r>
            <w:proofErr w:type="spellStart"/>
            <w:r w:rsidRPr="00B97567">
              <w:rPr>
                <w:kern w:val="22"/>
                <w:sz w:val="21"/>
                <w:szCs w:val="21"/>
                <w:lang w:val="fr-FR"/>
              </w:rPr>
              <w:t>InforMEA</w:t>
            </w:r>
            <w:proofErr w:type="spellEnd"/>
            <w:r w:rsidRPr="00B97567">
              <w:rPr>
                <w:kern w:val="22"/>
                <w:sz w:val="21"/>
                <w:szCs w:val="21"/>
                <w:lang w:val="fr-FR"/>
              </w:rPr>
              <w:t xml:space="preserve"> et d'autres sources afin de permettre une plus grande facilité de recherche</w:t>
            </w:r>
          </w:p>
        </w:tc>
        <w:tc>
          <w:tcPr>
            <w:tcW w:w="556" w:type="pct"/>
            <w:tcBorders>
              <w:top w:val="single" w:sz="4" w:space="0" w:color="auto"/>
            </w:tcBorders>
          </w:tcPr>
          <w:p w14:paraId="5550C8EE" w14:textId="77777777" w:rsidR="006B112D" w:rsidRPr="00B97567" w:rsidRDefault="006B112D" w:rsidP="001F4589">
            <w:pPr>
              <w:widowControl w:val="0"/>
              <w:jc w:val="center"/>
              <w:rPr>
                <w:rFonts w:asciiTheme="majorBidi" w:eastAsia="MS Mincho" w:hAnsiTheme="majorBidi" w:cstheme="majorBidi"/>
                <w:bCs/>
                <w:noProof/>
                <w:snapToGrid w:val="0"/>
                <w:kern w:val="22"/>
                <w:sz w:val="21"/>
                <w:szCs w:val="21"/>
                <w:lang w:val="fr-FR"/>
              </w:rPr>
            </w:pPr>
          </w:p>
        </w:tc>
        <w:tc>
          <w:tcPr>
            <w:tcW w:w="559" w:type="pct"/>
            <w:tcBorders>
              <w:top w:val="single" w:sz="4" w:space="0" w:color="auto"/>
            </w:tcBorders>
            <w:shd w:val="clear" w:color="auto" w:fill="auto"/>
          </w:tcPr>
          <w:p w14:paraId="17393C43" w14:textId="77777777" w:rsidR="006B112D" w:rsidRPr="00B97567" w:rsidRDefault="006B112D" w:rsidP="001F4589">
            <w:pPr>
              <w:widowControl w:val="0"/>
              <w:jc w:val="left"/>
              <w:rPr>
                <w:rFonts w:asciiTheme="majorBidi" w:eastAsia="MS Mincho" w:hAnsiTheme="majorBidi" w:cstheme="majorBidi"/>
                <w:bCs/>
                <w:noProof/>
                <w:snapToGrid w:val="0"/>
                <w:kern w:val="22"/>
                <w:sz w:val="21"/>
                <w:szCs w:val="21"/>
                <w:lang w:val="fr-FR"/>
              </w:rPr>
            </w:pPr>
          </w:p>
        </w:tc>
      </w:tr>
      <w:tr w:rsidR="00BE29D1" w:rsidRPr="009A459D" w14:paraId="2CABCCAB" w14:textId="77777777" w:rsidTr="00BE29D1">
        <w:tc>
          <w:tcPr>
            <w:tcW w:w="708" w:type="pct"/>
            <w:vMerge/>
            <w:shd w:val="clear" w:color="auto" w:fill="auto"/>
          </w:tcPr>
          <w:p w14:paraId="1676490C" w14:textId="77777777" w:rsidR="006B112D" w:rsidRPr="00B97567" w:rsidRDefault="006B112D" w:rsidP="001F4589">
            <w:pPr>
              <w:widowControl w:val="0"/>
              <w:rPr>
                <w:rFonts w:asciiTheme="majorBidi" w:eastAsia="MS Mincho" w:hAnsiTheme="majorBidi" w:cstheme="majorBidi"/>
                <w:bCs/>
                <w:noProof/>
                <w:snapToGrid w:val="0"/>
                <w:kern w:val="22"/>
                <w:sz w:val="21"/>
                <w:szCs w:val="21"/>
                <w:lang w:val="fr-FR"/>
              </w:rPr>
            </w:pPr>
          </w:p>
        </w:tc>
        <w:tc>
          <w:tcPr>
            <w:tcW w:w="3177" w:type="pct"/>
          </w:tcPr>
          <w:p w14:paraId="52DCFC4B" w14:textId="641534F5" w:rsidR="006B112D" w:rsidRPr="00B97567" w:rsidRDefault="0027768F" w:rsidP="001F4589">
            <w:pPr>
              <w:pStyle w:val="ListParagraph"/>
              <w:widowControl w:val="0"/>
              <w:numPr>
                <w:ilvl w:val="0"/>
                <w:numId w:val="22"/>
              </w:numPr>
              <w:spacing w:after="60"/>
              <w:jc w:val="left"/>
              <w:rPr>
                <w:rFonts w:asciiTheme="majorBidi" w:eastAsia="MS Mincho" w:hAnsiTheme="majorBidi" w:cstheme="majorBidi"/>
                <w:bCs/>
                <w:noProof/>
                <w:snapToGrid w:val="0"/>
                <w:kern w:val="22"/>
                <w:sz w:val="21"/>
                <w:szCs w:val="21"/>
                <w:lang w:val="fr-FR"/>
              </w:rPr>
            </w:pPr>
            <w:r w:rsidRPr="00B97567">
              <w:rPr>
                <w:kern w:val="22"/>
                <w:sz w:val="21"/>
                <w:szCs w:val="21"/>
                <w:lang w:val="fr-FR"/>
              </w:rPr>
              <w:t>Élaboration, diffusion et promotion de normes pour la qualité des métadonnées et le marquage des ressources d'information et de connaissances sur la biodiversité afin de garantir la qualité et la compatibilité</w:t>
            </w:r>
          </w:p>
        </w:tc>
        <w:tc>
          <w:tcPr>
            <w:tcW w:w="556" w:type="pct"/>
          </w:tcPr>
          <w:p w14:paraId="02C7A629" w14:textId="77777777" w:rsidR="006B112D" w:rsidRPr="00B97567" w:rsidRDefault="006B112D" w:rsidP="001F4589">
            <w:pPr>
              <w:widowControl w:val="0"/>
              <w:jc w:val="center"/>
              <w:rPr>
                <w:rFonts w:asciiTheme="majorBidi" w:eastAsia="MS Mincho" w:hAnsiTheme="majorBidi" w:cstheme="majorBidi"/>
                <w:bCs/>
                <w:noProof/>
                <w:snapToGrid w:val="0"/>
                <w:kern w:val="22"/>
                <w:sz w:val="21"/>
                <w:szCs w:val="21"/>
                <w:lang w:val="fr-FR"/>
              </w:rPr>
            </w:pPr>
          </w:p>
        </w:tc>
        <w:tc>
          <w:tcPr>
            <w:tcW w:w="559" w:type="pct"/>
            <w:shd w:val="clear" w:color="auto" w:fill="auto"/>
          </w:tcPr>
          <w:p w14:paraId="403E2F5D" w14:textId="77777777" w:rsidR="006B112D" w:rsidRPr="00B97567" w:rsidRDefault="006B112D" w:rsidP="001F4589">
            <w:pPr>
              <w:widowControl w:val="0"/>
              <w:jc w:val="left"/>
              <w:rPr>
                <w:rFonts w:asciiTheme="majorBidi" w:eastAsia="MS Mincho" w:hAnsiTheme="majorBidi" w:cstheme="majorBidi"/>
                <w:bCs/>
                <w:noProof/>
                <w:snapToGrid w:val="0"/>
                <w:kern w:val="22"/>
                <w:sz w:val="21"/>
                <w:szCs w:val="21"/>
                <w:lang w:val="fr-FR"/>
              </w:rPr>
            </w:pPr>
          </w:p>
        </w:tc>
      </w:tr>
      <w:tr w:rsidR="00BE29D1" w:rsidRPr="009A459D" w14:paraId="39095057" w14:textId="77777777" w:rsidTr="00BE29D1">
        <w:tc>
          <w:tcPr>
            <w:tcW w:w="708" w:type="pct"/>
            <w:vMerge/>
            <w:shd w:val="clear" w:color="auto" w:fill="auto"/>
          </w:tcPr>
          <w:p w14:paraId="55D78A58" w14:textId="77777777" w:rsidR="006B112D" w:rsidRPr="00B97567" w:rsidRDefault="006B112D" w:rsidP="001F4589">
            <w:pPr>
              <w:widowControl w:val="0"/>
              <w:rPr>
                <w:rFonts w:asciiTheme="majorBidi" w:eastAsia="MS Mincho" w:hAnsiTheme="majorBidi" w:cstheme="majorBidi"/>
                <w:bCs/>
                <w:noProof/>
                <w:snapToGrid w:val="0"/>
                <w:kern w:val="22"/>
                <w:sz w:val="21"/>
                <w:szCs w:val="21"/>
                <w:lang w:val="fr-FR"/>
              </w:rPr>
            </w:pPr>
          </w:p>
        </w:tc>
        <w:tc>
          <w:tcPr>
            <w:tcW w:w="3177" w:type="pct"/>
          </w:tcPr>
          <w:p w14:paraId="48E34416" w14:textId="01461DCC" w:rsidR="006B112D" w:rsidRPr="00B97567" w:rsidRDefault="0027768F" w:rsidP="001F4589">
            <w:pPr>
              <w:pStyle w:val="ListParagraph"/>
              <w:widowControl w:val="0"/>
              <w:numPr>
                <w:ilvl w:val="0"/>
                <w:numId w:val="22"/>
              </w:numPr>
              <w:spacing w:after="60"/>
              <w:jc w:val="left"/>
              <w:rPr>
                <w:rFonts w:asciiTheme="majorBidi" w:eastAsia="MS Mincho" w:hAnsiTheme="majorBidi" w:cstheme="majorBidi"/>
                <w:bCs/>
                <w:noProof/>
                <w:snapToGrid w:val="0"/>
                <w:kern w:val="22"/>
                <w:sz w:val="21"/>
                <w:szCs w:val="21"/>
                <w:lang w:val="fr-FR"/>
              </w:rPr>
            </w:pPr>
            <w:r w:rsidRPr="00B97567">
              <w:rPr>
                <w:rFonts w:asciiTheme="majorBidi" w:eastAsia="MS Mincho" w:hAnsiTheme="majorBidi" w:cstheme="majorBidi"/>
                <w:bCs/>
                <w:noProof/>
                <w:snapToGrid w:val="0"/>
                <w:kern w:val="22"/>
                <w:sz w:val="21"/>
                <w:szCs w:val="21"/>
                <w:lang w:val="fr-FR"/>
              </w:rPr>
              <w:t>Amélioration de l'interopérabilité des systèmes d'information et de connaissance des conventions relatives à la biodiversité et des autres fournisseurs d'informations dans l'ensemble de la communauté de la biodiversité</w:t>
            </w:r>
          </w:p>
        </w:tc>
        <w:tc>
          <w:tcPr>
            <w:tcW w:w="556" w:type="pct"/>
          </w:tcPr>
          <w:p w14:paraId="51B7CBF8" w14:textId="77777777" w:rsidR="006B112D" w:rsidRPr="00B97567" w:rsidRDefault="006B112D" w:rsidP="001F4589">
            <w:pPr>
              <w:widowControl w:val="0"/>
              <w:jc w:val="center"/>
              <w:rPr>
                <w:rFonts w:asciiTheme="majorBidi" w:hAnsiTheme="majorBidi" w:cstheme="majorBidi"/>
                <w:kern w:val="22"/>
                <w:sz w:val="21"/>
                <w:szCs w:val="21"/>
                <w:lang w:val="fr-FR"/>
              </w:rPr>
            </w:pPr>
          </w:p>
        </w:tc>
        <w:tc>
          <w:tcPr>
            <w:tcW w:w="559" w:type="pct"/>
            <w:shd w:val="clear" w:color="auto" w:fill="auto"/>
          </w:tcPr>
          <w:p w14:paraId="1318C9FB" w14:textId="77777777" w:rsidR="006B112D" w:rsidRPr="00B97567" w:rsidRDefault="006B112D" w:rsidP="001F4589">
            <w:pPr>
              <w:widowControl w:val="0"/>
              <w:jc w:val="left"/>
              <w:rPr>
                <w:rFonts w:asciiTheme="majorBidi" w:eastAsia="MS Mincho" w:hAnsiTheme="majorBidi" w:cstheme="majorBidi"/>
                <w:bCs/>
                <w:noProof/>
                <w:snapToGrid w:val="0"/>
                <w:kern w:val="22"/>
                <w:sz w:val="21"/>
                <w:szCs w:val="21"/>
                <w:lang w:val="fr-FR"/>
              </w:rPr>
            </w:pPr>
          </w:p>
        </w:tc>
      </w:tr>
      <w:tr w:rsidR="00BE29D1" w:rsidRPr="009A459D" w14:paraId="1369D01C" w14:textId="77777777" w:rsidTr="00BE29D1">
        <w:tc>
          <w:tcPr>
            <w:tcW w:w="708" w:type="pct"/>
            <w:vMerge/>
            <w:shd w:val="clear" w:color="auto" w:fill="auto"/>
          </w:tcPr>
          <w:p w14:paraId="355BEF40" w14:textId="77777777" w:rsidR="006B112D" w:rsidRPr="00B97567" w:rsidRDefault="006B112D" w:rsidP="001F4589">
            <w:pPr>
              <w:widowControl w:val="0"/>
              <w:rPr>
                <w:rFonts w:asciiTheme="majorBidi" w:eastAsia="MS Mincho" w:hAnsiTheme="majorBidi" w:cstheme="majorBidi"/>
                <w:bCs/>
                <w:noProof/>
                <w:snapToGrid w:val="0"/>
                <w:kern w:val="22"/>
                <w:sz w:val="21"/>
                <w:szCs w:val="21"/>
                <w:lang w:val="fr-FR"/>
              </w:rPr>
            </w:pPr>
          </w:p>
        </w:tc>
        <w:tc>
          <w:tcPr>
            <w:tcW w:w="3177" w:type="pct"/>
          </w:tcPr>
          <w:p w14:paraId="22F63555" w14:textId="486A7871" w:rsidR="006B112D" w:rsidRPr="00B97567" w:rsidRDefault="0027768F" w:rsidP="001F4589">
            <w:pPr>
              <w:pStyle w:val="ListParagraph"/>
              <w:widowControl w:val="0"/>
              <w:numPr>
                <w:ilvl w:val="0"/>
                <w:numId w:val="22"/>
              </w:numPr>
              <w:spacing w:after="60"/>
              <w:jc w:val="left"/>
              <w:rPr>
                <w:rFonts w:asciiTheme="majorBidi" w:hAnsiTheme="majorBidi" w:cstheme="majorBidi"/>
                <w:kern w:val="22"/>
                <w:sz w:val="21"/>
                <w:szCs w:val="21"/>
                <w:lang w:val="fr-FR"/>
              </w:rPr>
            </w:pPr>
            <w:r w:rsidRPr="00B97567">
              <w:rPr>
                <w:rFonts w:asciiTheme="majorBidi" w:hAnsiTheme="majorBidi" w:cstheme="majorBidi"/>
                <w:kern w:val="22"/>
                <w:sz w:val="21"/>
                <w:szCs w:val="21"/>
                <w:lang w:val="fr-FR"/>
              </w:rPr>
              <w:t>Promotion de la diffusion et du développement de modules de formation en bio-informatique et en métadonnées descriptives, en liaison avec les projets et plans de développement des capacités existant</w:t>
            </w:r>
            <w:r w:rsidR="001E1F71">
              <w:rPr>
                <w:rFonts w:asciiTheme="majorBidi" w:hAnsiTheme="majorBidi" w:cstheme="majorBidi"/>
                <w:kern w:val="22"/>
                <w:sz w:val="21"/>
                <w:szCs w:val="21"/>
                <w:lang w:val="fr-FR"/>
              </w:rPr>
              <w:t>e</w:t>
            </w:r>
            <w:r w:rsidRPr="00B97567">
              <w:rPr>
                <w:rFonts w:asciiTheme="majorBidi" w:hAnsiTheme="majorBidi" w:cstheme="majorBidi"/>
                <w:kern w:val="22"/>
                <w:sz w:val="21"/>
                <w:szCs w:val="21"/>
                <w:lang w:val="fr-FR"/>
              </w:rPr>
              <w:t xml:space="preserve">s aux niveaux international, national et infranational, visant à accroître les compétences correspondantes </w:t>
            </w:r>
          </w:p>
        </w:tc>
        <w:tc>
          <w:tcPr>
            <w:tcW w:w="556" w:type="pct"/>
          </w:tcPr>
          <w:p w14:paraId="5A68B181" w14:textId="77777777" w:rsidR="006B112D" w:rsidRPr="00B97567" w:rsidRDefault="006B112D" w:rsidP="001F4589">
            <w:pPr>
              <w:widowControl w:val="0"/>
              <w:jc w:val="center"/>
              <w:rPr>
                <w:rFonts w:asciiTheme="majorBidi" w:hAnsiTheme="majorBidi" w:cstheme="majorBidi"/>
                <w:kern w:val="22"/>
                <w:sz w:val="21"/>
                <w:szCs w:val="21"/>
                <w:lang w:val="fr-FR"/>
              </w:rPr>
            </w:pPr>
          </w:p>
        </w:tc>
        <w:tc>
          <w:tcPr>
            <w:tcW w:w="559" w:type="pct"/>
            <w:shd w:val="clear" w:color="auto" w:fill="auto"/>
          </w:tcPr>
          <w:p w14:paraId="7D6E8178" w14:textId="77777777" w:rsidR="006B112D" w:rsidRPr="00B97567" w:rsidRDefault="006B112D" w:rsidP="001F4589">
            <w:pPr>
              <w:widowControl w:val="0"/>
              <w:jc w:val="left"/>
              <w:rPr>
                <w:rFonts w:asciiTheme="majorBidi" w:hAnsiTheme="majorBidi" w:cstheme="majorBidi"/>
                <w:kern w:val="22"/>
                <w:sz w:val="21"/>
                <w:szCs w:val="21"/>
                <w:lang w:val="fr-FR"/>
              </w:rPr>
            </w:pPr>
          </w:p>
        </w:tc>
      </w:tr>
      <w:tr w:rsidR="00BE29D1" w:rsidRPr="009A459D" w14:paraId="7084DFF4" w14:textId="77777777" w:rsidTr="00BE29D1">
        <w:tc>
          <w:tcPr>
            <w:tcW w:w="708" w:type="pct"/>
            <w:vMerge/>
            <w:shd w:val="clear" w:color="auto" w:fill="auto"/>
          </w:tcPr>
          <w:p w14:paraId="5D616ADB" w14:textId="77777777" w:rsidR="006B112D" w:rsidRPr="00B97567" w:rsidRDefault="006B112D" w:rsidP="001F4589">
            <w:pPr>
              <w:widowControl w:val="0"/>
              <w:rPr>
                <w:rFonts w:asciiTheme="majorBidi" w:eastAsia="MS Mincho" w:hAnsiTheme="majorBidi" w:cstheme="majorBidi"/>
                <w:bCs/>
                <w:noProof/>
                <w:snapToGrid w:val="0"/>
                <w:kern w:val="22"/>
                <w:sz w:val="21"/>
                <w:szCs w:val="21"/>
                <w:lang w:val="fr-FR"/>
              </w:rPr>
            </w:pPr>
          </w:p>
        </w:tc>
        <w:tc>
          <w:tcPr>
            <w:tcW w:w="3177" w:type="pct"/>
          </w:tcPr>
          <w:p w14:paraId="7D4D4599" w14:textId="4FB766DD" w:rsidR="006B112D" w:rsidRPr="00B97567" w:rsidRDefault="0027768F" w:rsidP="001F4589">
            <w:pPr>
              <w:pStyle w:val="ListParagraph"/>
              <w:widowControl w:val="0"/>
              <w:numPr>
                <w:ilvl w:val="0"/>
                <w:numId w:val="22"/>
              </w:numPr>
              <w:spacing w:after="60"/>
              <w:jc w:val="left"/>
              <w:rPr>
                <w:rFonts w:asciiTheme="majorBidi" w:hAnsiTheme="majorBidi" w:cstheme="majorBidi"/>
                <w:kern w:val="22"/>
                <w:sz w:val="21"/>
                <w:szCs w:val="21"/>
                <w:lang w:val="fr-FR"/>
              </w:rPr>
            </w:pPr>
            <w:r w:rsidRPr="00B97567">
              <w:rPr>
                <w:rFonts w:asciiTheme="majorBidi" w:hAnsiTheme="majorBidi" w:cstheme="majorBidi"/>
                <w:kern w:val="22"/>
                <w:sz w:val="21"/>
                <w:szCs w:val="21"/>
                <w:lang w:val="fr-FR"/>
              </w:rPr>
              <w:t>Promotion d'orientations volontaires pour améliorer l'accessibilité aux données, informations et connaissances sur la biodiversité</w:t>
            </w:r>
          </w:p>
        </w:tc>
        <w:tc>
          <w:tcPr>
            <w:tcW w:w="556" w:type="pct"/>
          </w:tcPr>
          <w:p w14:paraId="1873E9F5" w14:textId="77777777" w:rsidR="006B112D" w:rsidRPr="00B97567" w:rsidRDefault="006B112D" w:rsidP="001F4589">
            <w:pPr>
              <w:widowControl w:val="0"/>
              <w:jc w:val="center"/>
              <w:rPr>
                <w:rFonts w:asciiTheme="majorBidi" w:hAnsiTheme="majorBidi" w:cstheme="majorBidi"/>
                <w:kern w:val="22"/>
                <w:sz w:val="21"/>
                <w:szCs w:val="21"/>
                <w:lang w:val="fr-FR"/>
              </w:rPr>
            </w:pPr>
          </w:p>
        </w:tc>
        <w:tc>
          <w:tcPr>
            <w:tcW w:w="559" w:type="pct"/>
            <w:shd w:val="clear" w:color="auto" w:fill="auto"/>
          </w:tcPr>
          <w:p w14:paraId="31E31AB8" w14:textId="77777777" w:rsidR="006B112D" w:rsidRPr="00B97567" w:rsidRDefault="006B112D" w:rsidP="001F4589">
            <w:pPr>
              <w:widowControl w:val="0"/>
              <w:jc w:val="left"/>
              <w:rPr>
                <w:rFonts w:asciiTheme="majorBidi" w:hAnsiTheme="majorBidi" w:cstheme="majorBidi"/>
                <w:kern w:val="22"/>
                <w:sz w:val="21"/>
                <w:szCs w:val="21"/>
                <w:lang w:val="fr-FR"/>
              </w:rPr>
            </w:pPr>
          </w:p>
        </w:tc>
      </w:tr>
      <w:tr w:rsidR="00BE29D1" w:rsidRPr="009A459D" w14:paraId="37EF62A1" w14:textId="77777777" w:rsidTr="00BE29D1">
        <w:tc>
          <w:tcPr>
            <w:tcW w:w="708" w:type="pct"/>
            <w:vMerge/>
            <w:shd w:val="clear" w:color="auto" w:fill="auto"/>
          </w:tcPr>
          <w:p w14:paraId="34908F0C" w14:textId="77777777" w:rsidR="006B112D" w:rsidRPr="00B97567" w:rsidRDefault="006B112D" w:rsidP="001F4589">
            <w:pPr>
              <w:widowControl w:val="0"/>
              <w:rPr>
                <w:rFonts w:asciiTheme="majorBidi" w:eastAsia="MS Mincho" w:hAnsiTheme="majorBidi" w:cstheme="majorBidi"/>
                <w:bCs/>
                <w:noProof/>
                <w:snapToGrid w:val="0"/>
                <w:kern w:val="22"/>
                <w:sz w:val="21"/>
                <w:szCs w:val="21"/>
                <w:lang w:val="fr-FR"/>
              </w:rPr>
            </w:pPr>
          </w:p>
        </w:tc>
        <w:tc>
          <w:tcPr>
            <w:tcW w:w="3177" w:type="pct"/>
          </w:tcPr>
          <w:p w14:paraId="28CC9F7E" w14:textId="325CE7EF" w:rsidR="006B112D" w:rsidRPr="00B97567" w:rsidRDefault="0027768F" w:rsidP="001F4589">
            <w:pPr>
              <w:pStyle w:val="ListParagraph"/>
              <w:widowControl w:val="0"/>
              <w:numPr>
                <w:ilvl w:val="0"/>
                <w:numId w:val="22"/>
              </w:numPr>
              <w:spacing w:after="60"/>
              <w:jc w:val="left"/>
              <w:rPr>
                <w:rFonts w:asciiTheme="majorBidi" w:hAnsiTheme="majorBidi" w:cstheme="majorBidi"/>
                <w:kern w:val="22"/>
                <w:sz w:val="21"/>
                <w:szCs w:val="21"/>
                <w:lang w:val="fr-FR"/>
              </w:rPr>
            </w:pPr>
            <w:r w:rsidRPr="00B97567">
              <w:rPr>
                <w:rFonts w:asciiTheme="majorBidi" w:hAnsiTheme="majorBidi" w:cstheme="majorBidi"/>
                <w:kern w:val="22"/>
                <w:sz w:val="21"/>
                <w:szCs w:val="21"/>
                <w:lang w:val="fr-FR"/>
              </w:rPr>
              <w:t xml:space="preserve">Renforcer la capacité des </w:t>
            </w:r>
            <w:r w:rsidR="000A0B2E">
              <w:rPr>
                <w:rFonts w:asciiTheme="majorBidi" w:hAnsiTheme="majorBidi" w:cstheme="majorBidi"/>
                <w:kern w:val="22"/>
                <w:sz w:val="21"/>
                <w:szCs w:val="21"/>
                <w:lang w:val="fr-FR"/>
              </w:rPr>
              <w:t>G</w:t>
            </w:r>
            <w:r w:rsidRPr="00B97567">
              <w:rPr>
                <w:rFonts w:asciiTheme="majorBidi" w:hAnsiTheme="majorBidi" w:cstheme="majorBidi"/>
                <w:kern w:val="22"/>
                <w:sz w:val="21"/>
                <w:szCs w:val="21"/>
                <w:lang w:val="fr-FR"/>
              </w:rPr>
              <w:t xml:space="preserve">ouvernements </w:t>
            </w:r>
            <w:r w:rsidR="00B31D34">
              <w:rPr>
                <w:rFonts w:asciiTheme="majorBidi" w:hAnsiTheme="majorBidi" w:cstheme="majorBidi"/>
                <w:kern w:val="22"/>
                <w:sz w:val="21"/>
                <w:szCs w:val="21"/>
                <w:lang w:val="fr-FR"/>
              </w:rPr>
              <w:t>afin de</w:t>
            </w:r>
            <w:r w:rsidRPr="00B97567">
              <w:rPr>
                <w:rFonts w:asciiTheme="majorBidi" w:hAnsiTheme="majorBidi" w:cstheme="majorBidi"/>
                <w:kern w:val="22"/>
                <w:sz w:val="21"/>
                <w:szCs w:val="21"/>
                <w:lang w:val="fr-FR"/>
              </w:rPr>
              <w:t xml:space="preserve"> gérer et partager efficacement les informations et les connaissances entre les conventions, notamment en utilisant des outils tels que le Data </w:t>
            </w:r>
            <w:proofErr w:type="spellStart"/>
            <w:r w:rsidRPr="00B97567">
              <w:rPr>
                <w:rFonts w:asciiTheme="majorBidi" w:hAnsiTheme="majorBidi" w:cstheme="majorBidi"/>
                <w:kern w:val="22"/>
                <w:sz w:val="21"/>
                <w:szCs w:val="21"/>
                <w:lang w:val="fr-FR"/>
              </w:rPr>
              <w:t>Reporting</w:t>
            </w:r>
            <w:proofErr w:type="spellEnd"/>
            <w:r w:rsidRPr="00B97567">
              <w:rPr>
                <w:rFonts w:asciiTheme="majorBidi" w:hAnsiTheme="majorBidi" w:cstheme="majorBidi"/>
                <w:kern w:val="22"/>
                <w:sz w:val="21"/>
                <w:szCs w:val="21"/>
                <w:lang w:val="fr-FR"/>
              </w:rPr>
              <w:t xml:space="preserve"> Tool (</w:t>
            </w:r>
            <w:proofErr w:type="spellStart"/>
            <w:r w:rsidRPr="00B97567">
              <w:rPr>
                <w:rFonts w:asciiTheme="majorBidi" w:hAnsiTheme="majorBidi" w:cstheme="majorBidi"/>
                <w:kern w:val="22"/>
                <w:sz w:val="21"/>
                <w:szCs w:val="21"/>
                <w:lang w:val="fr-FR"/>
              </w:rPr>
              <w:t>DaRT</w:t>
            </w:r>
            <w:proofErr w:type="spellEnd"/>
            <w:r w:rsidRPr="00B97567">
              <w:rPr>
                <w:rFonts w:asciiTheme="majorBidi" w:hAnsiTheme="majorBidi" w:cstheme="majorBidi"/>
                <w:kern w:val="22"/>
                <w:sz w:val="21"/>
                <w:szCs w:val="21"/>
                <w:lang w:val="fr-FR"/>
              </w:rPr>
              <w:t>) et en adoptant des approches cohérentes et synergiques</w:t>
            </w:r>
          </w:p>
        </w:tc>
        <w:tc>
          <w:tcPr>
            <w:tcW w:w="556" w:type="pct"/>
          </w:tcPr>
          <w:p w14:paraId="4D0F8056" w14:textId="77777777" w:rsidR="006B112D" w:rsidRPr="00B97567" w:rsidRDefault="006B112D" w:rsidP="001F4589">
            <w:pPr>
              <w:widowControl w:val="0"/>
              <w:jc w:val="center"/>
              <w:rPr>
                <w:rFonts w:asciiTheme="majorBidi" w:hAnsiTheme="majorBidi" w:cstheme="majorBidi"/>
                <w:kern w:val="22"/>
                <w:sz w:val="21"/>
                <w:szCs w:val="21"/>
                <w:lang w:val="fr-FR"/>
              </w:rPr>
            </w:pPr>
          </w:p>
        </w:tc>
        <w:tc>
          <w:tcPr>
            <w:tcW w:w="559" w:type="pct"/>
            <w:shd w:val="clear" w:color="auto" w:fill="auto"/>
          </w:tcPr>
          <w:p w14:paraId="66BB3BBB" w14:textId="77777777" w:rsidR="006B112D" w:rsidRPr="00B97567" w:rsidRDefault="006B112D" w:rsidP="001F4589">
            <w:pPr>
              <w:widowControl w:val="0"/>
              <w:jc w:val="left"/>
              <w:rPr>
                <w:rFonts w:asciiTheme="majorBidi" w:hAnsiTheme="majorBidi" w:cstheme="majorBidi"/>
                <w:kern w:val="22"/>
                <w:sz w:val="21"/>
                <w:szCs w:val="21"/>
                <w:lang w:val="fr-FR"/>
              </w:rPr>
            </w:pPr>
          </w:p>
        </w:tc>
      </w:tr>
      <w:tr w:rsidR="00BE29D1" w:rsidRPr="009A459D" w14:paraId="02BD604E" w14:textId="77777777" w:rsidTr="00BE29D1">
        <w:tc>
          <w:tcPr>
            <w:tcW w:w="708" w:type="pct"/>
            <w:vMerge/>
            <w:shd w:val="clear" w:color="auto" w:fill="auto"/>
          </w:tcPr>
          <w:p w14:paraId="75A79154" w14:textId="77777777" w:rsidR="006B112D" w:rsidRPr="00B97567" w:rsidRDefault="006B112D" w:rsidP="001F4589">
            <w:pPr>
              <w:widowControl w:val="0"/>
              <w:rPr>
                <w:rFonts w:asciiTheme="majorBidi" w:eastAsia="MS Mincho" w:hAnsiTheme="majorBidi" w:cstheme="majorBidi"/>
                <w:bCs/>
                <w:noProof/>
                <w:snapToGrid w:val="0"/>
                <w:kern w:val="22"/>
                <w:sz w:val="21"/>
                <w:szCs w:val="21"/>
                <w:lang w:val="fr-FR"/>
              </w:rPr>
            </w:pPr>
          </w:p>
        </w:tc>
        <w:tc>
          <w:tcPr>
            <w:tcW w:w="3177" w:type="pct"/>
          </w:tcPr>
          <w:p w14:paraId="387F315C" w14:textId="6DE00373" w:rsidR="006B112D" w:rsidRPr="00B97567" w:rsidRDefault="0027768F" w:rsidP="001F4589">
            <w:pPr>
              <w:pStyle w:val="ListParagraph"/>
              <w:widowControl w:val="0"/>
              <w:numPr>
                <w:ilvl w:val="0"/>
                <w:numId w:val="22"/>
              </w:numPr>
              <w:spacing w:after="60"/>
              <w:jc w:val="left"/>
              <w:rPr>
                <w:rFonts w:asciiTheme="majorBidi" w:hAnsiTheme="majorBidi" w:cstheme="majorBidi"/>
                <w:kern w:val="22"/>
                <w:sz w:val="21"/>
                <w:szCs w:val="21"/>
                <w:lang w:val="fr-FR"/>
              </w:rPr>
            </w:pPr>
            <w:r w:rsidRPr="00B97567">
              <w:rPr>
                <w:rFonts w:asciiTheme="majorBidi" w:hAnsiTheme="majorBidi" w:cstheme="majorBidi"/>
                <w:kern w:val="22"/>
                <w:sz w:val="21"/>
                <w:szCs w:val="21"/>
                <w:lang w:val="fr-FR"/>
              </w:rPr>
              <w:t>Mise au point de données d'observation de la biodiversité plus modulables qui permettent à la fois l'agrégation non biaisée des données nationales et la désagrégation des données mondiales en utilisant des normes communes</w:t>
            </w:r>
          </w:p>
        </w:tc>
        <w:tc>
          <w:tcPr>
            <w:tcW w:w="556" w:type="pct"/>
          </w:tcPr>
          <w:p w14:paraId="02957B5B" w14:textId="77777777" w:rsidR="006B112D" w:rsidRPr="00B97567" w:rsidRDefault="006B112D" w:rsidP="001F4589">
            <w:pPr>
              <w:widowControl w:val="0"/>
              <w:jc w:val="center"/>
              <w:rPr>
                <w:rFonts w:asciiTheme="majorBidi" w:hAnsiTheme="majorBidi" w:cstheme="majorBidi"/>
                <w:kern w:val="22"/>
                <w:sz w:val="21"/>
                <w:szCs w:val="21"/>
                <w:lang w:val="fr-FR"/>
              </w:rPr>
            </w:pPr>
          </w:p>
        </w:tc>
        <w:tc>
          <w:tcPr>
            <w:tcW w:w="559" w:type="pct"/>
            <w:shd w:val="clear" w:color="auto" w:fill="auto"/>
          </w:tcPr>
          <w:p w14:paraId="3BA9F8DF" w14:textId="77777777" w:rsidR="006B112D" w:rsidRPr="00B97567" w:rsidRDefault="006B112D" w:rsidP="001F4589">
            <w:pPr>
              <w:widowControl w:val="0"/>
              <w:jc w:val="left"/>
              <w:rPr>
                <w:rFonts w:asciiTheme="majorBidi" w:hAnsiTheme="majorBidi" w:cstheme="majorBidi"/>
                <w:kern w:val="22"/>
                <w:sz w:val="21"/>
                <w:szCs w:val="21"/>
                <w:lang w:val="fr-FR"/>
              </w:rPr>
            </w:pPr>
          </w:p>
        </w:tc>
      </w:tr>
      <w:tr w:rsidR="00BE29D1" w:rsidRPr="009A459D" w14:paraId="20BA4B3D" w14:textId="77777777" w:rsidTr="00BE29D1">
        <w:tc>
          <w:tcPr>
            <w:tcW w:w="708" w:type="pct"/>
            <w:vMerge/>
            <w:shd w:val="clear" w:color="auto" w:fill="auto"/>
          </w:tcPr>
          <w:p w14:paraId="362439EC" w14:textId="77777777" w:rsidR="006B112D" w:rsidRPr="009A459D" w:rsidRDefault="006B112D" w:rsidP="001F4589">
            <w:pPr>
              <w:widowControl w:val="0"/>
              <w:rPr>
                <w:rFonts w:asciiTheme="majorBidi" w:eastAsia="MS Mincho" w:hAnsiTheme="majorBidi" w:cstheme="majorBidi"/>
                <w:bCs/>
                <w:noProof/>
                <w:snapToGrid w:val="0"/>
                <w:kern w:val="22"/>
                <w:sz w:val="21"/>
                <w:szCs w:val="21"/>
                <w:lang w:val="fr-CA"/>
              </w:rPr>
            </w:pPr>
          </w:p>
        </w:tc>
        <w:tc>
          <w:tcPr>
            <w:tcW w:w="3177" w:type="pct"/>
          </w:tcPr>
          <w:p w14:paraId="26CEE54F" w14:textId="3DFC4B61" w:rsidR="006B112D" w:rsidRPr="009A459D" w:rsidRDefault="0027768F" w:rsidP="001F4589">
            <w:pPr>
              <w:pStyle w:val="ListParagraph"/>
              <w:widowControl w:val="0"/>
              <w:numPr>
                <w:ilvl w:val="0"/>
                <w:numId w:val="22"/>
              </w:numPr>
              <w:spacing w:after="60"/>
              <w:jc w:val="left"/>
              <w:rPr>
                <w:rFonts w:asciiTheme="majorBidi" w:eastAsia="MS Mincho" w:hAnsiTheme="majorBidi" w:cstheme="majorBidi"/>
                <w:bCs/>
                <w:noProof/>
                <w:snapToGrid w:val="0"/>
                <w:kern w:val="22"/>
                <w:sz w:val="21"/>
                <w:szCs w:val="21"/>
                <w:lang w:val="fr-CA"/>
              </w:rPr>
            </w:pPr>
            <w:r w:rsidRPr="009A459D">
              <w:rPr>
                <w:rFonts w:asciiTheme="majorBidi" w:eastAsia="MS Mincho" w:hAnsiTheme="majorBidi" w:cstheme="majorBidi"/>
                <w:bCs/>
                <w:noProof/>
                <w:snapToGrid w:val="0"/>
                <w:kern w:val="22"/>
                <w:sz w:val="21"/>
                <w:szCs w:val="21"/>
                <w:lang w:val="fr-CA"/>
              </w:rPr>
              <w:t>Fournir des orientations aux gouvernements et aux acteurs non gouvernementaux sur la manière d'encourager l'engagement des différents acteurs dans la gestion des connaissances, en particulier pour développer une meilleure culture de partage et d'application des connaissances</w:t>
            </w:r>
          </w:p>
        </w:tc>
        <w:tc>
          <w:tcPr>
            <w:tcW w:w="556" w:type="pct"/>
          </w:tcPr>
          <w:p w14:paraId="6A3FD89F" w14:textId="77777777" w:rsidR="006B112D" w:rsidRPr="009A459D" w:rsidRDefault="006B112D" w:rsidP="001F4589">
            <w:pPr>
              <w:widowControl w:val="0"/>
              <w:jc w:val="center"/>
              <w:rPr>
                <w:rFonts w:asciiTheme="majorBidi" w:hAnsiTheme="majorBidi" w:cstheme="majorBidi"/>
                <w:kern w:val="22"/>
                <w:sz w:val="21"/>
                <w:szCs w:val="21"/>
                <w:lang w:val="fr-CA"/>
              </w:rPr>
            </w:pPr>
          </w:p>
        </w:tc>
        <w:tc>
          <w:tcPr>
            <w:tcW w:w="559" w:type="pct"/>
            <w:shd w:val="clear" w:color="auto" w:fill="auto"/>
          </w:tcPr>
          <w:p w14:paraId="2E662C32" w14:textId="77777777" w:rsidR="006B112D" w:rsidRPr="009A459D" w:rsidRDefault="006B112D" w:rsidP="001F4589">
            <w:pPr>
              <w:widowControl w:val="0"/>
              <w:jc w:val="left"/>
              <w:rPr>
                <w:rFonts w:asciiTheme="majorBidi" w:hAnsiTheme="majorBidi" w:cstheme="majorBidi"/>
                <w:kern w:val="22"/>
                <w:sz w:val="21"/>
                <w:szCs w:val="21"/>
                <w:lang w:val="fr-CA"/>
              </w:rPr>
            </w:pPr>
          </w:p>
        </w:tc>
      </w:tr>
      <w:tr w:rsidR="00BE29D1" w:rsidRPr="009A459D" w14:paraId="427DE1E1" w14:textId="77777777" w:rsidTr="00BE29D1">
        <w:tc>
          <w:tcPr>
            <w:tcW w:w="708" w:type="pct"/>
            <w:vMerge w:val="restart"/>
            <w:shd w:val="clear" w:color="auto" w:fill="auto"/>
          </w:tcPr>
          <w:p w14:paraId="25E52B2B" w14:textId="08BD18AA" w:rsidR="006B112D" w:rsidRPr="009A459D" w:rsidRDefault="00450A4E" w:rsidP="00482485">
            <w:pPr>
              <w:pStyle w:val="ListParagraph"/>
              <w:widowControl w:val="0"/>
              <w:numPr>
                <w:ilvl w:val="0"/>
                <w:numId w:val="20"/>
              </w:numPr>
              <w:ind w:left="430" w:hanging="430"/>
              <w:jc w:val="left"/>
              <w:rPr>
                <w:rFonts w:asciiTheme="majorBidi" w:eastAsia="MS Mincho" w:hAnsiTheme="majorBidi" w:cstheme="majorBidi"/>
                <w:bCs/>
                <w:noProof/>
                <w:snapToGrid w:val="0"/>
                <w:kern w:val="22"/>
                <w:sz w:val="21"/>
                <w:szCs w:val="21"/>
                <w:lang w:val="fr-CA"/>
              </w:rPr>
            </w:pPr>
            <w:r w:rsidRPr="009A459D">
              <w:rPr>
                <w:rFonts w:asciiTheme="majorBidi" w:eastAsia="MS Mincho" w:hAnsiTheme="majorBidi" w:cstheme="majorBidi"/>
                <w:bCs/>
                <w:noProof/>
                <w:snapToGrid w:val="0"/>
                <w:kern w:val="22"/>
                <w:sz w:val="21"/>
                <w:szCs w:val="21"/>
                <w:lang w:val="fr-CA"/>
              </w:rPr>
              <w:t>Promouvoir l'utilisation efficace des connaissances</w:t>
            </w:r>
          </w:p>
        </w:tc>
        <w:tc>
          <w:tcPr>
            <w:tcW w:w="3177" w:type="pct"/>
          </w:tcPr>
          <w:p w14:paraId="63B5D973" w14:textId="19829D51" w:rsidR="006B112D" w:rsidRPr="009A459D" w:rsidRDefault="0027768F" w:rsidP="001F4589">
            <w:pPr>
              <w:pStyle w:val="ListParagraph"/>
              <w:widowControl w:val="0"/>
              <w:numPr>
                <w:ilvl w:val="0"/>
                <w:numId w:val="26"/>
              </w:numPr>
              <w:spacing w:after="60"/>
              <w:ind w:left="310"/>
              <w:jc w:val="left"/>
              <w:rPr>
                <w:rFonts w:asciiTheme="majorBidi" w:eastAsia="MS Mincho" w:hAnsiTheme="majorBidi" w:cstheme="majorBidi"/>
                <w:bCs/>
                <w:noProof/>
                <w:snapToGrid w:val="0"/>
                <w:kern w:val="22"/>
                <w:sz w:val="21"/>
                <w:szCs w:val="21"/>
                <w:lang w:val="fr-CA"/>
              </w:rPr>
            </w:pPr>
            <w:r w:rsidRPr="009A459D">
              <w:rPr>
                <w:rFonts w:asciiTheme="majorBidi" w:eastAsia="MS Mincho" w:hAnsiTheme="majorBidi" w:cstheme="majorBidi"/>
                <w:bCs/>
                <w:noProof/>
                <w:snapToGrid w:val="0"/>
                <w:kern w:val="22"/>
                <w:sz w:val="21"/>
                <w:szCs w:val="21"/>
                <w:lang w:val="fr-CA"/>
              </w:rPr>
              <w:t>Élaboration d'une stratégie de gestion du changement, y compris la communication et le marketing, pour accroître l'adoption, l'utilisation et l'application des données, informations et connaissances existantes en matière de biodiversité</w:t>
            </w:r>
          </w:p>
        </w:tc>
        <w:tc>
          <w:tcPr>
            <w:tcW w:w="556" w:type="pct"/>
          </w:tcPr>
          <w:p w14:paraId="5263FFE5" w14:textId="77777777" w:rsidR="006B112D" w:rsidRPr="009A459D" w:rsidRDefault="006B112D" w:rsidP="001F4589">
            <w:pPr>
              <w:widowControl w:val="0"/>
              <w:jc w:val="center"/>
              <w:rPr>
                <w:rFonts w:asciiTheme="majorBidi" w:hAnsiTheme="majorBidi" w:cstheme="majorBidi"/>
                <w:kern w:val="22"/>
                <w:sz w:val="21"/>
                <w:szCs w:val="21"/>
                <w:lang w:val="fr-CA"/>
              </w:rPr>
            </w:pPr>
          </w:p>
        </w:tc>
        <w:tc>
          <w:tcPr>
            <w:tcW w:w="559" w:type="pct"/>
            <w:shd w:val="clear" w:color="auto" w:fill="auto"/>
          </w:tcPr>
          <w:p w14:paraId="615CDC57" w14:textId="77777777" w:rsidR="006B112D" w:rsidRPr="009A459D" w:rsidRDefault="006B112D" w:rsidP="001F4589">
            <w:pPr>
              <w:widowControl w:val="0"/>
              <w:jc w:val="left"/>
              <w:rPr>
                <w:rFonts w:asciiTheme="majorBidi" w:hAnsiTheme="majorBidi" w:cstheme="majorBidi"/>
                <w:kern w:val="22"/>
                <w:sz w:val="21"/>
                <w:szCs w:val="21"/>
                <w:lang w:val="fr-CA"/>
              </w:rPr>
            </w:pPr>
          </w:p>
        </w:tc>
      </w:tr>
      <w:tr w:rsidR="00BE29D1" w:rsidRPr="009A459D" w14:paraId="42336E92" w14:textId="77777777" w:rsidTr="00BE29D1">
        <w:tc>
          <w:tcPr>
            <w:tcW w:w="708" w:type="pct"/>
            <w:vMerge/>
            <w:shd w:val="clear" w:color="auto" w:fill="auto"/>
          </w:tcPr>
          <w:p w14:paraId="724F3A45" w14:textId="77777777" w:rsidR="006B112D" w:rsidRPr="009A459D" w:rsidRDefault="006B112D" w:rsidP="001F4589">
            <w:pPr>
              <w:widowControl w:val="0"/>
              <w:rPr>
                <w:rFonts w:asciiTheme="majorBidi" w:eastAsia="MS Mincho" w:hAnsiTheme="majorBidi" w:cstheme="majorBidi"/>
                <w:bCs/>
                <w:noProof/>
                <w:snapToGrid w:val="0"/>
                <w:kern w:val="22"/>
                <w:sz w:val="21"/>
                <w:szCs w:val="21"/>
                <w:lang w:val="fr-CA"/>
              </w:rPr>
            </w:pPr>
          </w:p>
        </w:tc>
        <w:tc>
          <w:tcPr>
            <w:tcW w:w="3177" w:type="pct"/>
          </w:tcPr>
          <w:p w14:paraId="647B587C" w14:textId="01431731" w:rsidR="006B112D" w:rsidRPr="009A459D" w:rsidRDefault="0027768F" w:rsidP="001F4589">
            <w:pPr>
              <w:pStyle w:val="ListParagraph"/>
              <w:widowControl w:val="0"/>
              <w:numPr>
                <w:ilvl w:val="0"/>
                <w:numId w:val="26"/>
              </w:numPr>
              <w:spacing w:after="60"/>
              <w:ind w:left="310"/>
              <w:jc w:val="left"/>
              <w:rPr>
                <w:rFonts w:asciiTheme="majorBidi" w:eastAsia="MS Mincho" w:hAnsiTheme="majorBidi" w:cstheme="majorBidi"/>
                <w:bCs/>
                <w:noProof/>
                <w:snapToGrid w:val="0"/>
                <w:kern w:val="22"/>
                <w:sz w:val="21"/>
                <w:szCs w:val="21"/>
                <w:lang w:val="fr-CA"/>
              </w:rPr>
            </w:pPr>
            <w:r w:rsidRPr="009A459D">
              <w:rPr>
                <w:rFonts w:asciiTheme="majorBidi" w:eastAsia="MS Mincho" w:hAnsiTheme="majorBidi" w:cstheme="majorBidi"/>
                <w:bCs/>
                <w:noProof/>
                <w:snapToGrid w:val="0"/>
                <w:kern w:val="22"/>
                <w:sz w:val="21"/>
                <w:szCs w:val="21"/>
                <w:lang w:val="fr-CA"/>
              </w:rPr>
              <w:t>Promotion et facilitation du partage d'expériences dans l'utilisation des informations et des connaissances, y compris par le biais de communautés de pratique</w:t>
            </w:r>
          </w:p>
        </w:tc>
        <w:tc>
          <w:tcPr>
            <w:tcW w:w="556" w:type="pct"/>
          </w:tcPr>
          <w:p w14:paraId="6AFE6AC8" w14:textId="77777777" w:rsidR="006B112D" w:rsidRPr="009A459D" w:rsidRDefault="006B112D" w:rsidP="001F4589">
            <w:pPr>
              <w:widowControl w:val="0"/>
              <w:jc w:val="center"/>
              <w:rPr>
                <w:rFonts w:asciiTheme="majorBidi" w:hAnsiTheme="majorBidi" w:cstheme="majorBidi"/>
                <w:kern w:val="22"/>
                <w:sz w:val="21"/>
                <w:szCs w:val="21"/>
                <w:lang w:val="fr-CA"/>
              </w:rPr>
            </w:pPr>
          </w:p>
        </w:tc>
        <w:tc>
          <w:tcPr>
            <w:tcW w:w="559" w:type="pct"/>
            <w:shd w:val="clear" w:color="auto" w:fill="auto"/>
          </w:tcPr>
          <w:p w14:paraId="3D535D6A" w14:textId="77777777" w:rsidR="006B112D" w:rsidRPr="009A459D" w:rsidRDefault="006B112D" w:rsidP="001F4589">
            <w:pPr>
              <w:widowControl w:val="0"/>
              <w:jc w:val="left"/>
              <w:rPr>
                <w:rFonts w:asciiTheme="majorBidi" w:hAnsiTheme="majorBidi" w:cstheme="majorBidi"/>
                <w:kern w:val="22"/>
                <w:sz w:val="21"/>
                <w:szCs w:val="21"/>
                <w:lang w:val="fr-CA"/>
              </w:rPr>
            </w:pPr>
          </w:p>
        </w:tc>
      </w:tr>
      <w:tr w:rsidR="00BE29D1" w:rsidRPr="009A459D" w14:paraId="3F0A50D7" w14:textId="77777777" w:rsidTr="00BE29D1">
        <w:tc>
          <w:tcPr>
            <w:tcW w:w="708" w:type="pct"/>
            <w:vMerge/>
            <w:shd w:val="clear" w:color="auto" w:fill="auto"/>
          </w:tcPr>
          <w:p w14:paraId="4A25A052" w14:textId="77777777" w:rsidR="006B112D" w:rsidRPr="009A459D" w:rsidRDefault="006B112D" w:rsidP="001F4589">
            <w:pPr>
              <w:widowControl w:val="0"/>
              <w:rPr>
                <w:rFonts w:asciiTheme="majorBidi" w:eastAsia="MS Mincho" w:hAnsiTheme="majorBidi" w:cstheme="majorBidi"/>
                <w:bCs/>
                <w:noProof/>
                <w:snapToGrid w:val="0"/>
                <w:kern w:val="22"/>
                <w:sz w:val="21"/>
                <w:szCs w:val="21"/>
                <w:lang w:val="fr-CA"/>
              </w:rPr>
            </w:pPr>
          </w:p>
        </w:tc>
        <w:tc>
          <w:tcPr>
            <w:tcW w:w="3177" w:type="pct"/>
          </w:tcPr>
          <w:p w14:paraId="208435FE" w14:textId="5F97C6FA" w:rsidR="006B112D" w:rsidRPr="009A459D" w:rsidRDefault="0027768F" w:rsidP="001F4589">
            <w:pPr>
              <w:pStyle w:val="ListParagraph"/>
              <w:widowControl w:val="0"/>
              <w:numPr>
                <w:ilvl w:val="0"/>
                <w:numId w:val="26"/>
              </w:numPr>
              <w:spacing w:after="60"/>
              <w:ind w:left="310"/>
              <w:jc w:val="left"/>
              <w:rPr>
                <w:rFonts w:asciiTheme="majorBidi" w:eastAsia="MS Mincho" w:hAnsiTheme="majorBidi" w:cstheme="majorBidi"/>
                <w:bCs/>
                <w:noProof/>
                <w:snapToGrid w:val="0"/>
                <w:kern w:val="22"/>
                <w:sz w:val="21"/>
                <w:szCs w:val="21"/>
                <w:lang w:val="fr-CA"/>
              </w:rPr>
            </w:pPr>
            <w:r w:rsidRPr="009A459D">
              <w:rPr>
                <w:rFonts w:asciiTheme="majorBidi" w:eastAsia="MS Mincho" w:hAnsiTheme="majorBidi" w:cstheme="majorBidi"/>
                <w:bCs/>
                <w:noProof/>
                <w:snapToGrid w:val="0"/>
                <w:kern w:val="22"/>
                <w:sz w:val="21"/>
                <w:szCs w:val="21"/>
                <w:lang w:val="fr-CA"/>
              </w:rPr>
              <w:t>L'engagement d'un plus grand nombre de parties prenantes dans l'utilisation de nouveaux outils de partage des connaissances, y compris les médias sociaux</w:t>
            </w:r>
          </w:p>
        </w:tc>
        <w:tc>
          <w:tcPr>
            <w:tcW w:w="556" w:type="pct"/>
          </w:tcPr>
          <w:p w14:paraId="0B1820B3" w14:textId="77777777" w:rsidR="006B112D" w:rsidRPr="009A459D" w:rsidRDefault="006B112D" w:rsidP="001F4589">
            <w:pPr>
              <w:widowControl w:val="0"/>
              <w:jc w:val="center"/>
              <w:rPr>
                <w:rFonts w:asciiTheme="majorBidi" w:hAnsiTheme="majorBidi" w:cstheme="majorBidi"/>
                <w:kern w:val="22"/>
                <w:sz w:val="21"/>
                <w:szCs w:val="21"/>
                <w:lang w:val="fr-CA"/>
              </w:rPr>
            </w:pPr>
          </w:p>
        </w:tc>
        <w:tc>
          <w:tcPr>
            <w:tcW w:w="559" w:type="pct"/>
            <w:shd w:val="clear" w:color="auto" w:fill="auto"/>
          </w:tcPr>
          <w:p w14:paraId="37AB3B2F" w14:textId="77777777" w:rsidR="006B112D" w:rsidRPr="009A459D" w:rsidRDefault="006B112D" w:rsidP="001F4589">
            <w:pPr>
              <w:widowControl w:val="0"/>
              <w:jc w:val="left"/>
              <w:rPr>
                <w:rFonts w:asciiTheme="majorBidi" w:hAnsiTheme="majorBidi" w:cstheme="majorBidi"/>
                <w:kern w:val="22"/>
                <w:sz w:val="21"/>
                <w:szCs w:val="21"/>
                <w:lang w:val="fr-CA"/>
              </w:rPr>
            </w:pPr>
          </w:p>
        </w:tc>
      </w:tr>
      <w:tr w:rsidR="00BE29D1" w:rsidRPr="009A459D" w14:paraId="2A39A559" w14:textId="77777777" w:rsidTr="00BE29D1">
        <w:tc>
          <w:tcPr>
            <w:tcW w:w="708" w:type="pct"/>
            <w:vMerge/>
            <w:shd w:val="clear" w:color="auto" w:fill="auto"/>
          </w:tcPr>
          <w:p w14:paraId="09CC2EFC" w14:textId="77777777" w:rsidR="006B112D" w:rsidRPr="009A459D" w:rsidRDefault="006B112D" w:rsidP="001F4589">
            <w:pPr>
              <w:widowControl w:val="0"/>
              <w:rPr>
                <w:rFonts w:asciiTheme="majorBidi" w:eastAsia="MS Mincho" w:hAnsiTheme="majorBidi" w:cstheme="majorBidi"/>
                <w:bCs/>
                <w:noProof/>
                <w:snapToGrid w:val="0"/>
                <w:kern w:val="22"/>
                <w:sz w:val="21"/>
                <w:szCs w:val="21"/>
                <w:lang w:val="fr-CA"/>
              </w:rPr>
            </w:pPr>
          </w:p>
        </w:tc>
        <w:tc>
          <w:tcPr>
            <w:tcW w:w="3177" w:type="pct"/>
          </w:tcPr>
          <w:p w14:paraId="79333C14" w14:textId="25DE853E" w:rsidR="006B112D" w:rsidRPr="009A459D" w:rsidRDefault="0027768F" w:rsidP="001F4589">
            <w:pPr>
              <w:pStyle w:val="ListParagraph"/>
              <w:widowControl w:val="0"/>
              <w:numPr>
                <w:ilvl w:val="0"/>
                <w:numId w:val="26"/>
              </w:numPr>
              <w:spacing w:after="60"/>
              <w:ind w:left="310"/>
              <w:jc w:val="left"/>
              <w:rPr>
                <w:rFonts w:asciiTheme="majorBidi" w:eastAsia="MS Mincho" w:hAnsiTheme="majorBidi" w:cstheme="majorBidi"/>
                <w:bCs/>
                <w:noProof/>
                <w:snapToGrid w:val="0"/>
                <w:kern w:val="22"/>
                <w:sz w:val="21"/>
                <w:szCs w:val="21"/>
                <w:lang w:val="fr-CA"/>
              </w:rPr>
            </w:pPr>
            <w:r w:rsidRPr="009A459D">
              <w:rPr>
                <w:rFonts w:asciiTheme="majorBidi" w:eastAsia="MS Mincho" w:hAnsiTheme="majorBidi" w:cstheme="majorBidi"/>
                <w:bCs/>
                <w:noProof/>
                <w:snapToGrid w:val="0"/>
                <w:kern w:val="22"/>
                <w:sz w:val="21"/>
                <w:szCs w:val="21"/>
                <w:lang w:val="fr-CA"/>
              </w:rPr>
              <w:t xml:space="preserve">Création de mécanismes et d'initiatives visant à faciliter le dialogue permanent entre la communauté des chercheurs et </w:t>
            </w:r>
            <w:r w:rsidR="00ED64C9" w:rsidRPr="009A459D">
              <w:rPr>
                <w:rFonts w:asciiTheme="majorBidi" w:eastAsia="MS Mincho" w:hAnsiTheme="majorBidi" w:cstheme="majorBidi"/>
                <w:bCs/>
                <w:noProof/>
                <w:snapToGrid w:val="0"/>
                <w:kern w:val="22"/>
                <w:sz w:val="21"/>
                <w:szCs w:val="21"/>
                <w:lang w:val="fr-CA"/>
              </w:rPr>
              <w:t>d</w:t>
            </w:r>
            <w:r w:rsidRPr="009A459D">
              <w:rPr>
                <w:rFonts w:asciiTheme="majorBidi" w:eastAsia="MS Mincho" w:hAnsiTheme="majorBidi" w:cstheme="majorBidi"/>
                <w:bCs/>
                <w:noProof/>
                <w:snapToGrid w:val="0"/>
                <w:kern w:val="22"/>
                <w:sz w:val="21"/>
                <w:szCs w:val="21"/>
                <w:lang w:val="fr-CA"/>
              </w:rPr>
              <w:t xml:space="preserve">es responsables politiques, </w:t>
            </w:r>
            <w:r w:rsidR="00ED64C9" w:rsidRPr="009A459D">
              <w:rPr>
                <w:rFonts w:asciiTheme="majorBidi" w:eastAsia="MS Mincho" w:hAnsiTheme="majorBidi" w:cstheme="majorBidi"/>
                <w:bCs/>
                <w:noProof/>
                <w:snapToGrid w:val="0"/>
                <w:kern w:val="22"/>
                <w:sz w:val="21"/>
                <w:szCs w:val="21"/>
                <w:lang w:val="fr-CA"/>
              </w:rPr>
              <w:t>d</w:t>
            </w:r>
            <w:r w:rsidRPr="009A459D">
              <w:rPr>
                <w:rFonts w:asciiTheme="majorBidi" w:eastAsia="MS Mincho" w:hAnsiTheme="majorBidi" w:cstheme="majorBidi"/>
                <w:bCs/>
                <w:noProof/>
                <w:snapToGrid w:val="0"/>
                <w:kern w:val="22"/>
                <w:sz w:val="21"/>
                <w:szCs w:val="21"/>
                <w:lang w:val="fr-CA"/>
              </w:rPr>
              <w:t xml:space="preserve">es décideurs et </w:t>
            </w:r>
            <w:r w:rsidR="00ED64C9" w:rsidRPr="009A459D">
              <w:rPr>
                <w:rFonts w:asciiTheme="majorBidi" w:eastAsia="MS Mincho" w:hAnsiTheme="majorBidi" w:cstheme="majorBidi"/>
                <w:bCs/>
                <w:noProof/>
                <w:snapToGrid w:val="0"/>
                <w:kern w:val="22"/>
                <w:sz w:val="21"/>
                <w:szCs w:val="21"/>
                <w:lang w:val="fr-CA"/>
              </w:rPr>
              <w:t>d</w:t>
            </w:r>
            <w:r w:rsidRPr="009A459D">
              <w:rPr>
                <w:rFonts w:asciiTheme="majorBidi" w:eastAsia="MS Mincho" w:hAnsiTheme="majorBidi" w:cstheme="majorBidi"/>
                <w:bCs/>
                <w:noProof/>
                <w:snapToGrid w:val="0"/>
                <w:kern w:val="22"/>
                <w:sz w:val="21"/>
                <w:szCs w:val="21"/>
                <w:lang w:val="fr-CA"/>
              </w:rPr>
              <w:t>es praticiens</w:t>
            </w:r>
          </w:p>
        </w:tc>
        <w:tc>
          <w:tcPr>
            <w:tcW w:w="556" w:type="pct"/>
          </w:tcPr>
          <w:p w14:paraId="3D94D6DC" w14:textId="77777777" w:rsidR="006B112D" w:rsidRPr="009A459D" w:rsidRDefault="006B112D" w:rsidP="001F4589">
            <w:pPr>
              <w:widowControl w:val="0"/>
              <w:jc w:val="center"/>
              <w:rPr>
                <w:rFonts w:asciiTheme="majorBidi" w:hAnsiTheme="majorBidi" w:cstheme="majorBidi"/>
                <w:kern w:val="22"/>
                <w:sz w:val="21"/>
                <w:szCs w:val="21"/>
                <w:lang w:val="fr-CA"/>
              </w:rPr>
            </w:pPr>
          </w:p>
        </w:tc>
        <w:tc>
          <w:tcPr>
            <w:tcW w:w="559" w:type="pct"/>
            <w:shd w:val="clear" w:color="auto" w:fill="auto"/>
          </w:tcPr>
          <w:p w14:paraId="120378B0" w14:textId="77777777" w:rsidR="006B112D" w:rsidRPr="009A459D" w:rsidRDefault="006B112D" w:rsidP="001F4589">
            <w:pPr>
              <w:widowControl w:val="0"/>
              <w:jc w:val="left"/>
              <w:rPr>
                <w:rFonts w:asciiTheme="majorBidi" w:hAnsiTheme="majorBidi" w:cstheme="majorBidi"/>
                <w:kern w:val="22"/>
                <w:sz w:val="21"/>
                <w:szCs w:val="21"/>
                <w:lang w:val="fr-CA"/>
              </w:rPr>
            </w:pPr>
          </w:p>
        </w:tc>
      </w:tr>
      <w:tr w:rsidR="00BE29D1" w:rsidRPr="009A459D" w14:paraId="540B8EE7" w14:textId="77777777" w:rsidTr="00BE29D1">
        <w:tc>
          <w:tcPr>
            <w:tcW w:w="708" w:type="pct"/>
            <w:vMerge/>
            <w:shd w:val="clear" w:color="auto" w:fill="auto"/>
          </w:tcPr>
          <w:p w14:paraId="0088FDA9" w14:textId="77777777" w:rsidR="006B112D" w:rsidRPr="009A459D" w:rsidRDefault="006B112D" w:rsidP="001F4589">
            <w:pPr>
              <w:widowControl w:val="0"/>
              <w:rPr>
                <w:rFonts w:asciiTheme="majorBidi" w:eastAsia="MS Mincho" w:hAnsiTheme="majorBidi" w:cstheme="majorBidi"/>
                <w:bCs/>
                <w:noProof/>
                <w:snapToGrid w:val="0"/>
                <w:kern w:val="22"/>
                <w:sz w:val="21"/>
                <w:szCs w:val="21"/>
                <w:lang w:val="fr-CA"/>
              </w:rPr>
            </w:pPr>
          </w:p>
        </w:tc>
        <w:tc>
          <w:tcPr>
            <w:tcW w:w="3177" w:type="pct"/>
          </w:tcPr>
          <w:p w14:paraId="2277E3F5" w14:textId="20C7DA2C" w:rsidR="006B112D" w:rsidRPr="009A459D" w:rsidRDefault="0027768F" w:rsidP="001F4589">
            <w:pPr>
              <w:pStyle w:val="ListParagraph"/>
              <w:widowControl w:val="0"/>
              <w:numPr>
                <w:ilvl w:val="0"/>
                <w:numId w:val="26"/>
              </w:numPr>
              <w:spacing w:after="60"/>
              <w:ind w:left="310"/>
              <w:jc w:val="left"/>
              <w:rPr>
                <w:rFonts w:asciiTheme="majorBidi" w:eastAsia="MS Mincho" w:hAnsiTheme="majorBidi" w:cstheme="majorBidi"/>
                <w:bCs/>
                <w:noProof/>
                <w:snapToGrid w:val="0"/>
                <w:kern w:val="22"/>
                <w:sz w:val="21"/>
                <w:szCs w:val="21"/>
                <w:lang w:val="fr-CA"/>
              </w:rPr>
            </w:pPr>
            <w:r w:rsidRPr="009A459D">
              <w:rPr>
                <w:rFonts w:asciiTheme="majorBidi" w:eastAsia="MS Mincho" w:hAnsiTheme="majorBidi" w:cstheme="majorBidi"/>
                <w:bCs/>
                <w:noProof/>
                <w:snapToGrid w:val="0"/>
                <w:kern w:val="22"/>
                <w:sz w:val="21"/>
                <w:szCs w:val="21"/>
                <w:lang w:val="fr-CA"/>
              </w:rPr>
              <w:t xml:space="preserve">Établissement de liens entre les réseaux scientifiques et citoyens et les experts en communication pour permettre la traduction des résultats scientifiques en </w:t>
            </w:r>
            <w:r w:rsidR="00ED64C9" w:rsidRPr="009A459D">
              <w:rPr>
                <w:rFonts w:asciiTheme="majorBidi" w:eastAsia="MS Mincho" w:hAnsiTheme="majorBidi" w:cstheme="majorBidi"/>
                <w:bCs/>
                <w:noProof/>
                <w:snapToGrid w:val="0"/>
                <w:kern w:val="22"/>
                <w:sz w:val="21"/>
                <w:szCs w:val="21"/>
                <w:lang w:val="fr-CA"/>
              </w:rPr>
              <w:t>outils de connaissance</w:t>
            </w:r>
            <w:r w:rsidRPr="009A459D">
              <w:rPr>
                <w:rFonts w:asciiTheme="majorBidi" w:eastAsia="MS Mincho" w:hAnsiTheme="majorBidi" w:cstheme="majorBidi"/>
                <w:bCs/>
                <w:noProof/>
                <w:snapToGrid w:val="0"/>
                <w:kern w:val="22"/>
                <w:sz w:val="21"/>
                <w:szCs w:val="21"/>
                <w:lang w:val="fr-CA"/>
              </w:rPr>
              <w:t xml:space="preserve"> </w:t>
            </w:r>
          </w:p>
        </w:tc>
        <w:tc>
          <w:tcPr>
            <w:tcW w:w="556" w:type="pct"/>
          </w:tcPr>
          <w:p w14:paraId="6C71043F" w14:textId="77777777" w:rsidR="006B112D" w:rsidRPr="009A459D" w:rsidRDefault="006B112D" w:rsidP="001F4589">
            <w:pPr>
              <w:widowControl w:val="0"/>
              <w:jc w:val="center"/>
              <w:rPr>
                <w:rFonts w:asciiTheme="majorBidi" w:hAnsiTheme="majorBidi" w:cstheme="majorBidi"/>
                <w:kern w:val="22"/>
                <w:sz w:val="21"/>
                <w:szCs w:val="21"/>
                <w:lang w:val="fr-CA"/>
              </w:rPr>
            </w:pPr>
          </w:p>
        </w:tc>
        <w:tc>
          <w:tcPr>
            <w:tcW w:w="559" w:type="pct"/>
            <w:shd w:val="clear" w:color="auto" w:fill="auto"/>
          </w:tcPr>
          <w:p w14:paraId="46BCCCDA" w14:textId="77777777" w:rsidR="006B112D" w:rsidRPr="009A459D" w:rsidRDefault="006B112D" w:rsidP="001F4589">
            <w:pPr>
              <w:widowControl w:val="0"/>
              <w:jc w:val="left"/>
              <w:rPr>
                <w:rFonts w:asciiTheme="majorBidi" w:eastAsia="MS Mincho" w:hAnsiTheme="majorBidi" w:cstheme="majorBidi"/>
                <w:bCs/>
                <w:noProof/>
                <w:snapToGrid w:val="0"/>
                <w:kern w:val="22"/>
                <w:sz w:val="21"/>
                <w:szCs w:val="21"/>
                <w:lang w:val="fr-CA"/>
              </w:rPr>
            </w:pPr>
          </w:p>
        </w:tc>
      </w:tr>
      <w:tr w:rsidR="00BE29D1" w:rsidRPr="009A459D" w14:paraId="02DB26B9" w14:textId="77777777" w:rsidTr="00BE29D1">
        <w:tc>
          <w:tcPr>
            <w:tcW w:w="708" w:type="pct"/>
            <w:vMerge/>
            <w:shd w:val="clear" w:color="auto" w:fill="auto"/>
          </w:tcPr>
          <w:p w14:paraId="5A76073D" w14:textId="77777777" w:rsidR="006B112D" w:rsidRPr="009A459D" w:rsidRDefault="006B112D" w:rsidP="001F4589">
            <w:pPr>
              <w:widowControl w:val="0"/>
              <w:rPr>
                <w:rFonts w:asciiTheme="majorBidi" w:eastAsia="MS Mincho" w:hAnsiTheme="majorBidi" w:cstheme="majorBidi"/>
                <w:bCs/>
                <w:noProof/>
                <w:snapToGrid w:val="0"/>
                <w:kern w:val="22"/>
                <w:sz w:val="21"/>
                <w:szCs w:val="21"/>
                <w:lang w:val="fr-CA"/>
              </w:rPr>
            </w:pPr>
          </w:p>
        </w:tc>
        <w:tc>
          <w:tcPr>
            <w:tcW w:w="3177" w:type="pct"/>
          </w:tcPr>
          <w:p w14:paraId="7D008865" w14:textId="3FE9E9C4" w:rsidR="006B112D" w:rsidRPr="009A459D" w:rsidRDefault="0027768F" w:rsidP="001F4589">
            <w:pPr>
              <w:pStyle w:val="ListParagraph"/>
              <w:widowControl w:val="0"/>
              <w:numPr>
                <w:ilvl w:val="0"/>
                <w:numId w:val="26"/>
              </w:numPr>
              <w:spacing w:after="60"/>
              <w:ind w:left="310"/>
              <w:jc w:val="left"/>
              <w:rPr>
                <w:rFonts w:asciiTheme="majorBidi" w:eastAsia="MS Mincho" w:hAnsiTheme="majorBidi" w:cstheme="majorBidi"/>
                <w:bCs/>
                <w:noProof/>
                <w:snapToGrid w:val="0"/>
                <w:kern w:val="22"/>
                <w:sz w:val="21"/>
                <w:szCs w:val="21"/>
                <w:lang w:val="fr-CA"/>
              </w:rPr>
            </w:pPr>
            <w:r w:rsidRPr="009A459D">
              <w:rPr>
                <w:rFonts w:asciiTheme="majorBidi" w:eastAsia="MS Mincho" w:hAnsiTheme="majorBidi" w:cstheme="majorBidi"/>
                <w:bCs/>
                <w:noProof/>
                <w:snapToGrid w:val="0"/>
                <w:kern w:val="22"/>
                <w:sz w:val="21"/>
                <w:szCs w:val="21"/>
                <w:lang w:val="fr-CA"/>
              </w:rPr>
              <w:t xml:space="preserve">Promotion et facilitation de l'utilisation des données, des informations et des connaissances sur la biodiversité dans les processus de planification d'autres secteurs et de manière intersectorielle au sein des gouvernements </w:t>
            </w:r>
          </w:p>
        </w:tc>
        <w:tc>
          <w:tcPr>
            <w:tcW w:w="556" w:type="pct"/>
          </w:tcPr>
          <w:p w14:paraId="187D97B6" w14:textId="77777777" w:rsidR="006B112D" w:rsidRPr="009A459D" w:rsidRDefault="006B112D" w:rsidP="001F4589">
            <w:pPr>
              <w:widowControl w:val="0"/>
              <w:jc w:val="center"/>
              <w:rPr>
                <w:rFonts w:asciiTheme="majorBidi" w:hAnsiTheme="majorBidi" w:cstheme="majorBidi"/>
                <w:kern w:val="22"/>
                <w:sz w:val="21"/>
                <w:szCs w:val="21"/>
                <w:lang w:val="fr-CA"/>
              </w:rPr>
            </w:pPr>
          </w:p>
        </w:tc>
        <w:tc>
          <w:tcPr>
            <w:tcW w:w="559" w:type="pct"/>
            <w:shd w:val="clear" w:color="auto" w:fill="auto"/>
          </w:tcPr>
          <w:p w14:paraId="2531CEE6" w14:textId="77777777" w:rsidR="006B112D" w:rsidRPr="009A459D" w:rsidRDefault="006B112D" w:rsidP="001F4589">
            <w:pPr>
              <w:widowControl w:val="0"/>
              <w:jc w:val="left"/>
              <w:rPr>
                <w:rFonts w:asciiTheme="majorBidi" w:hAnsiTheme="majorBidi" w:cstheme="majorBidi"/>
                <w:kern w:val="22"/>
                <w:sz w:val="21"/>
                <w:szCs w:val="21"/>
                <w:lang w:val="fr-CA"/>
              </w:rPr>
            </w:pPr>
          </w:p>
        </w:tc>
      </w:tr>
      <w:tr w:rsidR="00BE29D1" w:rsidRPr="009A459D" w14:paraId="11AC3BCA" w14:textId="77777777" w:rsidTr="00BE29D1">
        <w:trPr>
          <w:trHeight w:val="470"/>
        </w:trPr>
        <w:tc>
          <w:tcPr>
            <w:tcW w:w="708" w:type="pct"/>
            <w:vMerge w:val="restart"/>
            <w:shd w:val="clear" w:color="auto" w:fill="auto"/>
          </w:tcPr>
          <w:p w14:paraId="2C694087" w14:textId="7EA12099" w:rsidR="006B112D" w:rsidRPr="009A459D" w:rsidRDefault="001E1F71" w:rsidP="00482485">
            <w:pPr>
              <w:pStyle w:val="ListParagraph"/>
              <w:widowControl w:val="0"/>
              <w:numPr>
                <w:ilvl w:val="0"/>
                <w:numId w:val="20"/>
              </w:numPr>
              <w:ind w:left="430" w:hanging="430"/>
              <w:jc w:val="left"/>
              <w:rPr>
                <w:rFonts w:asciiTheme="majorBidi" w:eastAsia="MS Mincho" w:hAnsiTheme="majorBidi" w:cstheme="majorBidi"/>
                <w:bCs/>
                <w:noProof/>
                <w:snapToGrid w:val="0"/>
                <w:kern w:val="22"/>
                <w:sz w:val="21"/>
                <w:szCs w:val="21"/>
                <w:lang w:val="fr-CA"/>
              </w:rPr>
            </w:pPr>
            <w:r w:rsidRPr="009A459D">
              <w:rPr>
                <w:rFonts w:asciiTheme="majorBidi" w:eastAsia="MS Mincho" w:hAnsiTheme="majorBidi" w:cstheme="majorBidi"/>
                <w:bCs/>
                <w:noProof/>
                <w:snapToGrid w:val="0"/>
                <w:kern w:val="22"/>
                <w:sz w:val="21"/>
                <w:szCs w:val="21"/>
                <w:lang w:val="fr-CA"/>
              </w:rPr>
              <w:t>Réalisation d'audits et de examens des connaissances</w:t>
            </w:r>
          </w:p>
        </w:tc>
        <w:tc>
          <w:tcPr>
            <w:tcW w:w="3177" w:type="pct"/>
          </w:tcPr>
          <w:p w14:paraId="5CDD5329" w14:textId="24B7AF80" w:rsidR="006B112D" w:rsidRPr="009A459D" w:rsidRDefault="00B97567" w:rsidP="001F4589">
            <w:pPr>
              <w:pStyle w:val="ListParagraph"/>
              <w:widowControl w:val="0"/>
              <w:numPr>
                <w:ilvl w:val="0"/>
                <w:numId w:val="23"/>
              </w:numPr>
              <w:spacing w:after="60"/>
              <w:jc w:val="left"/>
              <w:rPr>
                <w:rFonts w:asciiTheme="majorBidi" w:eastAsia="MS Mincho" w:hAnsiTheme="majorBidi" w:cstheme="majorBidi"/>
                <w:bCs/>
                <w:noProof/>
                <w:snapToGrid w:val="0"/>
                <w:kern w:val="22"/>
                <w:sz w:val="21"/>
                <w:szCs w:val="21"/>
                <w:lang w:val="fr-CA"/>
              </w:rPr>
            </w:pPr>
            <w:r w:rsidRPr="009A459D">
              <w:rPr>
                <w:rFonts w:asciiTheme="majorBidi" w:eastAsia="MS Mincho" w:hAnsiTheme="majorBidi" w:cstheme="majorBidi"/>
                <w:bCs/>
                <w:noProof/>
                <w:snapToGrid w:val="0"/>
                <w:kern w:val="22"/>
                <w:sz w:val="21"/>
                <w:szCs w:val="21"/>
                <w:lang w:val="fr-CA"/>
              </w:rPr>
              <w:t>En réalisant périodiquement des enquêtes sur la gestion des connaissances pour évaluer, entre autres, les types d'informations et de connaissances qu'ils recherchent le plus fréquemment, la facilité d'accès aux informations dont ils ont besoin, les lacunes existantes en matière de connaissances, le niveau de partage des connaissances et les canaux qu'ils préfèrent</w:t>
            </w:r>
          </w:p>
        </w:tc>
        <w:tc>
          <w:tcPr>
            <w:tcW w:w="556" w:type="pct"/>
          </w:tcPr>
          <w:p w14:paraId="31CC2DC1" w14:textId="77777777" w:rsidR="006B112D" w:rsidRPr="009A459D" w:rsidRDefault="006B112D" w:rsidP="001F4589">
            <w:pPr>
              <w:widowControl w:val="0"/>
              <w:jc w:val="center"/>
              <w:rPr>
                <w:rFonts w:asciiTheme="majorBidi" w:eastAsia="MS Mincho" w:hAnsiTheme="majorBidi" w:cstheme="majorBidi"/>
                <w:bCs/>
                <w:noProof/>
                <w:snapToGrid w:val="0"/>
                <w:kern w:val="22"/>
                <w:sz w:val="21"/>
                <w:szCs w:val="21"/>
                <w:lang w:val="fr-CA"/>
              </w:rPr>
            </w:pPr>
          </w:p>
        </w:tc>
        <w:tc>
          <w:tcPr>
            <w:tcW w:w="559" w:type="pct"/>
            <w:shd w:val="clear" w:color="auto" w:fill="auto"/>
          </w:tcPr>
          <w:p w14:paraId="01040123" w14:textId="77777777" w:rsidR="006B112D" w:rsidRPr="009A459D" w:rsidRDefault="006B112D" w:rsidP="001F4589">
            <w:pPr>
              <w:widowControl w:val="0"/>
              <w:jc w:val="left"/>
              <w:rPr>
                <w:rFonts w:asciiTheme="majorBidi" w:eastAsia="MS Mincho" w:hAnsiTheme="majorBidi" w:cstheme="majorBidi"/>
                <w:bCs/>
                <w:noProof/>
                <w:snapToGrid w:val="0"/>
                <w:kern w:val="22"/>
                <w:sz w:val="21"/>
                <w:szCs w:val="21"/>
                <w:lang w:val="fr-CA"/>
              </w:rPr>
            </w:pPr>
          </w:p>
        </w:tc>
      </w:tr>
      <w:tr w:rsidR="00BE29D1" w:rsidRPr="009A459D" w14:paraId="032517AA" w14:textId="77777777" w:rsidTr="00BE29D1">
        <w:trPr>
          <w:trHeight w:val="296"/>
        </w:trPr>
        <w:tc>
          <w:tcPr>
            <w:tcW w:w="708" w:type="pct"/>
            <w:vMerge/>
            <w:shd w:val="clear" w:color="auto" w:fill="auto"/>
          </w:tcPr>
          <w:p w14:paraId="177E5DF9" w14:textId="77777777" w:rsidR="006B112D" w:rsidRPr="009A459D" w:rsidRDefault="006B112D" w:rsidP="001F4589">
            <w:pPr>
              <w:widowControl w:val="0"/>
              <w:rPr>
                <w:rFonts w:asciiTheme="majorBidi" w:eastAsia="MS Mincho" w:hAnsiTheme="majorBidi" w:cstheme="majorBidi"/>
                <w:bCs/>
                <w:noProof/>
                <w:snapToGrid w:val="0"/>
                <w:kern w:val="22"/>
                <w:sz w:val="21"/>
                <w:szCs w:val="21"/>
                <w:lang w:val="fr-CA"/>
              </w:rPr>
            </w:pPr>
          </w:p>
        </w:tc>
        <w:tc>
          <w:tcPr>
            <w:tcW w:w="3177" w:type="pct"/>
          </w:tcPr>
          <w:p w14:paraId="65E7D12A" w14:textId="6195D6B7" w:rsidR="006B112D" w:rsidRPr="009A459D" w:rsidRDefault="00B97567" w:rsidP="001F4589">
            <w:pPr>
              <w:pStyle w:val="ListParagraph"/>
              <w:widowControl w:val="0"/>
              <w:numPr>
                <w:ilvl w:val="0"/>
                <w:numId w:val="23"/>
              </w:numPr>
              <w:spacing w:after="60"/>
              <w:jc w:val="left"/>
              <w:rPr>
                <w:rFonts w:asciiTheme="majorBidi" w:eastAsia="MS Mincho" w:hAnsiTheme="majorBidi" w:cstheme="majorBidi"/>
                <w:bCs/>
                <w:noProof/>
                <w:snapToGrid w:val="0"/>
                <w:kern w:val="22"/>
                <w:sz w:val="21"/>
                <w:szCs w:val="21"/>
                <w:lang w:val="fr-CA"/>
              </w:rPr>
            </w:pPr>
            <w:r w:rsidRPr="009A459D">
              <w:rPr>
                <w:rFonts w:asciiTheme="majorBidi" w:eastAsia="MS Mincho" w:hAnsiTheme="majorBidi" w:cstheme="majorBidi"/>
                <w:bCs/>
                <w:noProof/>
                <w:snapToGrid w:val="0"/>
                <w:kern w:val="22"/>
                <w:sz w:val="21"/>
                <w:szCs w:val="21"/>
                <w:lang w:val="fr-CA"/>
              </w:rPr>
              <w:t>Analyse des principales lacunes en matière de connaissances et identification des options permettant d'y remédier</w:t>
            </w:r>
          </w:p>
        </w:tc>
        <w:tc>
          <w:tcPr>
            <w:tcW w:w="556" w:type="pct"/>
          </w:tcPr>
          <w:p w14:paraId="09502731" w14:textId="77777777" w:rsidR="006B112D" w:rsidRPr="009A459D" w:rsidRDefault="006B112D" w:rsidP="001F4589">
            <w:pPr>
              <w:widowControl w:val="0"/>
              <w:jc w:val="center"/>
              <w:rPr>
                <w:rFonts w:asciiTheme="majorBidi" w:eastAsia="MS Mincho" w:hAnsiTheme="majorBidi" w:cstheme="majorBidi"/>
                <w:bCs/>
                <w:noProof/>
                <w:snapToGrid w:val="0"/>
                <w:kern w:val="22"/>
                <w:sz w:val="21"/>
                <w:szCs w:val="21"/>
                <w:lang w:val="fr-CA"/>
              </w:rPr>
            </w:pPr>
          </w:p>
        </w:tc>
        <w:tc>
          <w:tcPr>
            <w:tcW w:w="559" w:type="pct"/>
            <w:shd w:val="clear" w:color="auto" w:fill="auto"/>
          </w:tcPr>
          <w:p w14:paraId="62FC4662" w14:textId="77777777" w:rsidR="006B112D" w:rsidRPr="009A459D" w:rsidRDefault="006B112D" w:rsidP="001F4589">
            <w:pPr>
              <w:widowControl w:val="0"/>
              <w:jc w:val="left"/>
              <w:rPr>
                <w:rFonts w:asciiTheme="majorBidi" w:eastAsia="MS Mincho" w:hAnsiTheme="majorBidi" w:cstheme="majorBidi"/>
                <w:bCs/>
                <w:noProof/>
                <w:snapToGrid w:val="0"/>
                <w:kern w:val="22"/>
                <w:sz w:val="21"/>
                <w:szCs w:val="21"/>
                <w:lang w:val="fr-CA"/>
              </w:rPr>
            </w:pPr>
          </w:p>
        </w:tc>
      </w:tr>
      <w:tr w:rsidR="00BE29D1" w:rsidRPr="009A459D" w14:paraId="264F62D3" w14:textId="77777777" w:rsidTr="00BE29D1">
        <w:tc>
          <w:tcPr>
            <w:tcW w:w="708" w:type="pct"/>
            <w:vMerge/>
            <w:shd w:val="clear" w:color="auto" w:fill="auto"/>
          </w:tcPr>
          <w:p w14:paraId="4109841D" w14:textId="77777777" w:rsidR="006B112D" w:rsidRPr="009A459D" w:rsidRDefault="006B112D" w:rsidP="001F4589">
            <w:pPr>
              <w:widowControl w:val="0"/>
              <w:rPr>
                <w:rFonts w:asciiTheme="majorBidi" w:eastAsia="MS Mincho" w:hAnsiTheme="majorBidi" w:cstheme="majorBidi"/>
                <w:bCs/>
                <w:noProof/>
                <w:snapToGrid w:val="0"/>
                <w:kern w:val="22"/>
                <w:sz w:val="21"/>
                <w:szCs w:val="21"/>
                <w:lang w:val="fr-CA"/>
              </w:rPr>
            </w:pPr>
          </w:p>
        </w:tc>
        <w:tc>
          <w:tcPr>
            <w:tcW w:w="3177" w:type="pct"/>
          </w:tcPr>
          <w:p w14:paraId="251E1E96" w14:textId="4D5B2706" w:rsidR="006B112D" w:rsidRPr="009A459D" w:rsidRDefault="00B97567" w:rsidP="001F4589">
            <w:pPr>
              <w:pStyle w:val="ListParagraph"/>
              <w:widowControl w:val="0"/>
              <w:numPr>
                <w:ilvl w:val="0"/>
                <w:numId w:val="23"/>
              </w:numPr>
              <w:jc w:val="left"/>
              <w:rPr>
                <w:rFonts w:asciiTheme="majorBidi" w:eastAsia="MS Mincho" w:hAnsiTheme="majorBidi" w:cstheme="majorBidi"/>
                <w:bCs/>
                <w:noProof/>
                <w:snapToGrid w:val="0"/>
                <w:kern w:val="22"/>
                <w:sz w:val="21"/>
                <w:szCs w:val="21"/>
                <w:lang w:val="fr-CA"/>
              </w:rPr>
            </w:pPr>
            <w:r w:rsidRPr="009A459D">
              <w:rPr>
                <w:rFonts w:asciiTheme="majorBidi" w:eastAsia="MS Mincho" w:hAnsiTheme="majorBidi" w:cstheme="majorBidi"/>
                <w:bCs/>
                <w:noProof/>
                <w:snapToGrid w:val="0"/>
                <w:kern w:val="22"/>
                <w:sz w:val="21"/>
                <w:szCs w:val="21"/>
                <w:lang w:val="fr-CA"/>
              </w:rPr>
              <w:t>Examen complet de la composante gestion des connaissances</w:t>
            </w:r>
          </w:p>
        </w:tc>
        <w:tc>
          <w:tcPr>
            <w:tcW w:w="556" w:type="pct"/>
          </w:tcPr>
          <w:p w14:paraId="0F882701" w14:textId="77777777" w:rsidR="006B112D" w:rsidRPr="009A459D" w:rsidRDefault="006B112D" w:rsidP="001F4589">
            <w:pPr>
              <w:widowControl w:val="0"/>
              <w:jc w:val="center"/>
              <w:rPr>
                <w:rFonts w:asciiTheme="majorBidi" w:eastAsia="MS Mincho" w:hAnsiTheme="majorBidi" w:cstheme="majorBidi"/>
                <w:bCs/>
                <w:noProof/>
                <w:snapToGrid w:val="0"/>
                <w:kern w:val="22"/>
                <w:sz w:val="21"/>
                <w:szCs w:val="21"/>
                <w:lang w:val="fr-CA"/>
              </w:rPr>
            </w:pPr>
          </w:p>
        </w:tc>
        <w:tc>
          <w:tcPr>
            <w:tcW w:w="559" w:type="pct"/>
            <w:shd w:val="clear" w:color="auto" w:fill="auto"/>
          </w:tcPr>
          <w:p w14:paraId="754D01EA" w14:textId="77777777" w:rsidR="006B112D" w:rsidRPr="009A459D" w:rsidRDefault="006B112D" w:rsidP="001F4589">
            <w:pPr>
              <w:widowControl w:val="0"/>
              <w:jc w:val="left"/>
              <w:rPr>
                <w:rFonts w:asciiTheme="majorBidi" w:eastAsia="MS Mincho" w:hAnsiTheme="majorBidi" w:cstheme="majorBidi"/>
                <w:bCs/>
                <w:noProof/>
                <w:snapToGrid w:val="0"/>
                <w:kern w:val="22"/>
                <w:sz w:val="21"/>
                <w:szCs w:val="21"/>
                <w:lang w:val="fr-CA"/>
              </w:rPr>
            </w:pPr>
          </w:p>
        </w:tc>
      </w:tr>
    </w:tbl>
    <w:p w14:paraId="0BDAC29E" w14:textId="77777777" w:rsidR="00BF3897" w:rsidRDefault="00BF3897" w:rsidP="001F4589">
      <w:pPr>
        <w:keepNext/>
        <w:widowControl w:val="0"/>
        <w:tabs>
          <w:tab w:val="left" w:pos="6500"/>
          <w:tab w:val="center" w:pos="7069"/>
        </w:tabs>
        <w:spacing w:after="120"/>
        <w:jc w:val="center"/>
        <w:rPr>
          <w:rFonts w:asciiTheme="majorBidi" w:hAnsiTheme="majorBidi" w:cstheme="majorBidi"/>
          <w:i/>
          <w:iCs/>
          <w:kern w:val="22"/>
          <w:lang w:val="fr-CA"/>
        </w:rPr>
      </w:pPr>
    </w:p>
    <w:p w14:paraId="5D0DF3C3" w14:textId="32EB66FD" w:rsidR="006B112D" w:rsidRPr="009A459D" w:rsidRDefault="006B112D" w:rsidP="001F4589">
      <w:pPr>
        <w:keepNext/>
        <w:widowControl w:val="0"/>
        <w:tabs>
          <w:tab w:val="left" w:pos="6500"/>
          <w:tab w:val="center" w:pos="7069"/>
        </w:tabs>
        <w:spacing w:after="120"/>
        <w:jc w:val="center"/>
        <w:rPr>
          <w:rFonts w:asciiTheme="majorBidi" w:hAnsiTheme="majorBidi" w:cstheme="majorBidi"/>
          <w:i/>
          <w:iCs/>
          <w:kern w:val="22"/>
          <w:lang w:val="fr-CA"/>
        </w:rPr>
      </w:pPr>
      <w:r w:rsidRPr="009A459D">
        <w:rPr>
          <w:rFonts w:asciiTheme="majorBidi" w:hAnsiTheme="majorBidi" w:cstheme="majorBidi"/>
          <w:i/>
          <w:iCs/>
          <w:kern w:val="22"/>
          <w:lang w:val="fr-CA"/>
        </w:rPr>
        <w:t>A</w:t>
      </w:r>
      <w:r w:rsidR="007C5B1A" w:rsidRPr="009A459D">
        <w:rPr>
          <w:rFonts w:asciiTheme="majorBidi" w:hAnsiTheme="majorBidi" w:cstheme="majorBidi"/>
          <w:i/>
          <w:iCs/>
          <w:kern w:val="22"/>
          <w:lang w:val="fr-CA"/>
        </w:rPr>
        <w:t>nnex</w:t>
      </w:r>
      <w:r w:rsidR="00E94CFF" w:rsidRPr="009A459D">
        <w:rPr>
          <w:rFonts w:asciiTheme="majorBidi" w:hAnsiTheme="majorBidi" w:cstheme="majorBidi"/>
          <w:i/>
          <w:iCs/>
          <w:kern w:val="22"/>
          <w:lang w:val="fr-CA"/>
        </w:rPr>
        <w:t>e</w:t>
      </w:r>
      <w:r w:rsidRPr="009A459D">
        <w:rPr>
          <w:rFonts w:asciiTheme="majorBidi" w:hAnsiTheme="majorBidi" w:cstheme="majorBidi"/>
          <w:i/>
          <w:iCs/>
          <w:kern w:val="22"/>
          <w:lang w:val="fr-CA"/>
        </w:rPr>
        <w:t xml:space="preserve"> </w:t>
      </w:r>
      <w:r w:rsidR="007C5B1A" w:rsidRPr="009A459D">
        <w:rPr>
          <w:rFonts w:asciiTheme="majorBidi" w:hAnsiTheme="majorBidi" w:cstheme="majorBidi"/>
          <w:i/>
          <w:iCs/>
          <w:kern w:val="22"/>
          <w:lang w:val="fr-CA"/>
        </w:rPr>
        <w:t>II</w:t>
      </w:r>
    </w:p>
    <w:p w14:paraId="621172E6" w14:textId="1C1AB8EC" w:rsidR="006B112D" w:rsidRPr="009A459D" w:rsidRDefault="00845256" w:rsidP="001F4589">
      <w:pPr>
        <w:keepNext/>
        <w:widowControl w:val="0"/>
        <w:spacing w:before="120" w:after="120"/>
        <w:jc w:val="center"/>
        <w:rPr>
          <w:rFonts w:asciiTheme="majorBidi" w:hAnsiTheme="majorBidi" w:cstheme="majorBidi"/>
          <w:b/>
          <w:bCs/>
          <w:kern w:val="22"/>
          <w:lang w:val="fr-CA"/>
        </w:rPr>
      </w:pPr>
      <w:r w:rsidRPr="009A459D">
        <w:rPr>
          <w:rFonts w:asciiTheme="majorBidi" w:hAnsiTheme="majorBidi" w:cstheme="majorBidi"/>
          <w:b/>
          <w:bCs/>
          <w:kern w:val="22"/>
          <w:lang w:val="fr-CA"/>
        </w:rPr>
        <w:t>ACTIONS STRATÉGIQUES VISANT À FACILITER LA MISE EN ŒUVRE DE LA COMPOSANTE GESTION DES CONNAISSANCES</w:t>
      </w:r>
    </w:p>
    <w:tbl>
      <w:tblPr>
        <w:tblpPr w:leftFromText="180" w:rightFromText="180" w:vertAnchor="text" w:tblpX="-550" w:tblpY="1"/>
        <w:tblOverlap w:val="never"/>
        <w:tblW w:w="51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9019"/>
        <w:gridCol w:w="1621"/>
        <w:gridCol w:w="1635"/>
      </w:tblGrid>
      <w:tr w:rsidR="00BE29D1" w:rsidRPr="001F4589" w14:paraId="45079273" w14:textId="77777777" w:rsidTr="001F4589">
        <w:tc>
          <w:tcPr>
            <w:tcW w:w="819" w:type="pct"/>
            <w:tcBorders>
              <w:bottom w:val="nil"/>
            </w:tcBorders>
            <w:shd w:val="clear" w:color="auto" w:fill="auto"/>
            <w:vAlign w:val="center"/>
          </w:tcPr>
          <w:p w14:paraId="5271C296" w14:textId="23E77062" w:rsidR="006B112D" w:rsidRPr="001F4589" w:rsidRDefault="006108F3" w:rsidP="00482485">
            <w:pPr>
              <w:widowControl w:val="0"/>
              <w:spacing w:before="60" w:after="60"/>
              <w:jc w:val="center"/>
              <w:rPr>
                <w:rFonts w:ascii="Times New Roman Bold" w:eastAsia="MS Mincho" w:hAnsi="Times New Roman Bold" w:cs="Times New Roman Bold"/>
                <w:b/>
                <w:noProof/>
                <w:snapToGrid w:val="0"/>
                <w:spacing w:val="-12"/>
                <w:kern w:val="22"/>
                <w:sz w:val="21"/>
                <w:szCs w:val="21"/>
              </w:rPr>
            </w:pPr>
            <w:r w:rsidRPr="006108F3">
              <w:rPr>
                <w:rFonts w:ascii="Times New Roman Bold" w:eastAsia="MS Mincho" w:hAnsi="Times New Roman Bold" w:cs="Times New Roman Bold"/>
                <w:b/>
                <w:noProof/>
                <w:snapToGrid w:val="0"/>
                <w:spacing w:val="-12"/>
                <w:kern w:val="22"/>
                <w:sz w:val="21"/>
                <w:szCs w:val="21"/>
              </w:rPr>
              <w:t>Domaine stratégique</w:t>
            </w:r>
          </w:p>
        </w:tc>
        <w:tc>
          <w:tcPr>
            <w:tcW w:w="3072" w:type="pct"/>
            <w:tcBorders>
              <w:bottom w:val="nil"/>
            </w:tcBorders>
            <w:shd w:val="clear" w:color="auto" w:fill="auto"/>
            <w:vAlign w:val="center"/>
          </w:tcPr>
          <w:p w14:paraId="7142D6F2" w14:textId="09F64E74" w:rsidR="006B112D" w:rsidRPr="001F4589" w:rsidRDefault="006108F3" w:rsidP="001F4589">
            <w:pPr>
              <w:widowControl w:val="0"/>
              <w:spacing w:before="60" w:after="60"/>
              <w:jc w:val="center"/>
              <w:rPr>
                <w:rFonts w:eastAsia="MS Mincho"/>
                <w:b/>
                <w:noProof/>
                <w:snapToGrid w:val="0"/>
                <w:kern w:val="22"/>
                <w:sz w:val="21"/>
                <w:szCs w:val="21"/>
              </w:rPr>
            </w:pPr>
            <w:r>
              <w:rPr>
                <w:rFonts w:eastAsia="MS Mincho"/>
                <w:b/>
                <w:noProof/>
                <w:snapToGrid w:val="0"/>
                <w:kern w:val="22"/>
                <w:sz w:val="21"/>
                <w:szCs w:val="21"/>
              </w:rPr>
              <w:t xml:space="preserve">Action stratégique </w:t>
            </w:r>
          </w:p>
        </w:tc>
        <w:tc>
          <w:tcPr>
            <w:tcW w:w="552" w:type="pct"/>
            <w:tcBorders>
              <w:bottom w:val="nil"/>
            </w:tcBorders>
          </w:tcPr>
          <w:p w14:paraId="2C3CF5AE" w14:textId="76188361" w:rsidR="006B112D" w:rsidRPr="001F4589" w:rsidRDefault="006108F3" w:rsidP="001F4589">
            <w:pPr>
              <w:widowControl w:val="0"/>
              <w:spacing w:before="60" w:after="60"/>
              <w:jc w:val="center"/>
              <w:rPr>
                <w:rFonts w:eastAsia="MS Mincho"/>
                <w:b/>
                <w:noProof/>
                <w:snapToGrid w:val="0"/>
                <w:kern w:val="22"/>
                <w:sz w:val="21"/>
                <w:szCs w:val="21"/>
              </w:rPr>
            </w:pPr>
            <w:r>
              <w:rPr>
                <w:rFonts w:eastAsia="MS Mincho"/>
                <w:b/>
                <w:noProof/>
                <w:snapToGrid w:val="0"/>
                <w:kern w:val="22"/>
                <w:sz w:val="21"/>
                <w:szCs w:val="21"/>
              </w:rPr>
              <w:t>Calendrier</w:t>
            </w:r>
          </w:p>
        </w:tc>
        <w:tc>
          <w:tcPr>
            <w:tcW w:w="557" w:type="pct"/>
            <w:tcBorders>
              <w:bottom w:val="nil"/>
            </w:tcBorders>
            <w:shd w:val="clear" w:color="auto" w:fill="auto"/>
            <w:vAlign w:val="center"/>
          </w:tcPr>
          <w:p w14:paraId="39A9E01D" w14:textId="04E3FBAB" w:rsidR="006B112D" w:rsidRPr="001F4589" w:rsidRDefault="006B112D" w:rsidP="001F4589">
            <w:pPr>
              <w:widowControl w:val="0"/>
              <w:spacing w:before="60" w:after="60"/>
              <w:jc w:val="center"/>
              <w:rPr>
                <w:rFonts w:eastAsia="MS Mincho"/>
                <w:b/>
                <w:noProof/>
                <w:snapToGrid w:val="0"/>
                <w:kern w:val="22"/>
                <w:sz w:val="21"/>
                <w:szCs w:val="21"/>
              </w:rPr>
            </w:pPr>
            <w:r w:rsidRPr="001F4589">
              <w:rPr>
                <w:rFonts w:eastAsia="MS Mincho"/>
                <w:b/>
                <w:noProof/>
                <w:snapToGrid w:val="0"/>
                <w:kern w:val="22"/>
                <w:sz w:val="21"/>
                <w:szCs w:val="21"/>
              </w:rPr>
              <w:t>Contrib</w:t>
            </w:r>
            <w:r w:rsidR="006108F3">
              <w:rPr>
                <w:rFonts w:eastAsia="MS Mincho"/>
                <w:b/>
                <w:noProof/>
                <w:snapToGrid w:val="0"/>
                <w:kern w:val="22"/>
                <w:sz w:val="21"/>
                <w:szCs w:val="21"/>
              </w:rPr>
              <w:t xml:space="preserve">uteurs </w:t>
            </w:r>
          </w:p>
        </w:tc>
      </w:tr>
      <w:tr w:rsidR="009A459D" w:rsidRPr="009A459D" w14:paraId="7A833AC8" w14:textId="77777777" w:rsidTr="001F4589">
        <w:tc>
          <w:tcPr>
            <w:tcW w:w="819" w:type="pct"/>
            <w:vMerge w:val="restart"/>
            <w:shd w:val="clear" w:color="auto" w:fill="auto"/>
          </w:tcPr>
          <w:p w14:paraId="4E8A1E6B" w14:textId="061DF0BF" w:rsidR="009A459D" w:rsidRPr="009A459D" w:rsidRDefault="009A459D" w:rsidP="00482485">
            <w:pPr>
              <w:pStyle w:val="ListParagraph"/>
              <w:widowControl w:val="0"/>
              <w:numPr>
                <w:ilvl w:val="0"/>
                <w:numId w:val="25"/>
              </w:numPr>
              <w:ind w:left="250" w:hanging="270"/>
              <w:jc w:val="left"/>
              <w:rPr>
                <w:rFonts w:ascii="Times New Roman Bold" w:eastAsia="MS Mincho" w:hAnsi="Times New Roman Bold" w:cs="Times New Roman Bold"/>
                <w:b/>
                <w:noProof/>
                <w:snapToGrid w:val="0"/>
                <w:spacing w:val="-12"/>
                <w:kern w:val="22"/>
                <w:sz w:val="21"/>
                <w:szCs w:val="21"/>
                <w:lang w:val="fr-CA"/>
              </w:rPr>
            </w:pPr>
            <w:r w:rsidRPr="009A459D">
              <w:rPr>
                <w:rFonts w:asciiTheme="majorBidi" w:eastAsia="MS Mincho" w:hAnsiTheme="majorBidi" w:cstheme="majorBidi"/>
                <w:bCs/>
                <w:noProof/>
                <w:snapToGrid w:val="0"/>
                <w:kern w:val="22"/>
                <w:sz w:val="21"/>
                <w:szCs w:val="21"/>
                <w:lang w:val="fr-CA"/>
              </w:rPr>
              <w:t>Renforcement des capacités en matière de gestion des données, des informations et des connaissances</w:t>
            </w:r>
          </w:p>
        </w:tc>
        <w:tc>
          <w:tcPr>
            <w:tcW w:w="3072" w:type="pct"/>
            <w:tcBorders>
              <w:bottom w:val="nil"/>
            </w:tcBorders>
            <w:shd w:val="clear" w:color="auto" w:fill="auto"/>
          </w:tcPr>
          <w:p w14:paraId="23BDC424" w14:textId="007A6B39" w:rsidR="009A459D" w:rsidRPr="00B97567" w:rsidRDefault="009A459D" w:rsidP="001F4589">
            <w:pPr>
              <w:pStyle w:val="ListParagraph"/>
              <w:widowControl w:val="0"/>
              <w:numPr>
                <w:ilvl w:val="0"/>
                <w:numId w:val="24"/>
              </w:numPr>
              <w:spacing w:after="60"/>
              <w:jc w:val="left"/>
              <w:rPr>
                <w:rFonts w:eastAsia="MS Mincho"/>
                <w:b/>
                <w:noProof/>
                <w:snapToGrid w:val="0"/>
                <w:kern w:val="22"/>
                <w:sz w:val="21"/>
                <w:szCs w:val="21"/>
                <w:lang w:val="fr-FR"/>
              </w:rPr>
            </w:pPr>
            <w:r w:rsidRPr="00B97567">
              <w:rPr>
                <w:rFonts w:asciiTheme="majorBidi" w:hAnsiTheme="majorBidi" w:cstheme="majorBidi"/>
                <w:kern w:val="22"/>
                <w:sz w:val="21"/>
                <w:szCs w:val="21"/>
                <w:lang w:val="fr-FR"/>
              </w:rPr>
              <w:t>Renforcer la capacité des institutions compétentes en matière de bio-informatique, d'information et de gestion des connaissances, notamment par l'éducation, la formation et le tutorat d'experts et de jeunes scientifiques</w:t>
            </w:r>
          </w:p>
        </w:tc>
        <w:tc>
          <w:tcPr>
            <w:tcW w:w="552" w:type="pct"/>
            <w:tcBorders>
              <w:bottom w:val="nil"/>
            </w:tcBorders>
          </w:tcPr>
          <w:p w14:paraId="421A67AE" w14:textId="77777777" w:rsidR="009A459D" w:rsidRPr="009A459D" w:rsidRDefault="009A459D" w:rsidP="001F4589">
            <w:pPr>
              <w:widowControl w:val="0"/>
              <w:rPr>
                <w:rFonts w:eastAsia="MS Mincho"/>
                <w:bCs/>
                <w:noProof/>
                <w:snapToGrid w:val="0"/>
                <w:kern w:val="22"/>
                <w:sz w:val="21"/>
                <w:szCs w:val="21"/>
                <w:lang w:val="fr-CA"/>
              </w:rPr>
            </w:pPr>
          </w:p>
        </w:tc>
        <w:tc>
          <w:tcPr>
            <w:tcW w:w="557" w:type="pct"/>
            <w:tcBorders>
              <w:bottom w:val="nil"/>
            </w:tcBorders>
            <w:shd w:val="clear" w:color="auto" w:fill="auto"/>
          </w:tcPr>
          <w:p w14:paraId="0A084672" w14:textId="77777777" w:rsidR="009A459D" w:rsidRPr="009A459D" w:rsidRDefault="009A459D" w:rsidP="001F4589">
            <w:pPr>
              <w:widowControl w:val="0"/>
              <w:jc w:val="left"/>
              <w:rPr>
                <w:rFonts w:eastAsia="MS Mincho"/>
                <w:bCs/>
                <w:noProof/>
                <w:snapToGrid w:val="0"/>
                <w:kern w:val="22"/>
                <w:sz w:val="21"/>
                <w:szCs w:val="21"/>
                <w:lang w:val="fr-CA"/>
              </w:rPr>
            </w:pPr>
          </w:p>
        </w:tc>
      </w:tr>
      <w:tr w:rsidR="009A459D" w:rsidRPr="009A459D" w14:paraId="137B6DA0" w14:textId="77777777" w:rsidTr="001F4589">
        <w:tc>
          <w:tcPr>
            <w:tcW w:w="819" w:type="pct"/>
            <w:vMerge/>
            <w:shd w:val="clear" w:color="auto" w:fill="auto"/>
          </w:tcPr>
          <w:p w14:paraId="177313C7" w14:textId="77777777" w:rsidR="009A459D" w:rsidRPr="009A459D" w:rsidRDefault="009A459D" w:rsidP="001F4589">
            <w:pPr>
              <w:widowControl w:val="0"/>
              <w:jc w:val="center"/>
              <w:rPr>
                <w:rFonts w:ascii="Times New Roman Bold" w:eastAsia="MS Mincho" w:hAnsi="Times New Roman Bold" w:cs="Times New Roman Bold"/>
                <w:b/>
                <w:noProof/>
                <w:snapToGrid w:val="0"/>
                <w:spacing w:val="-12"/>
                <w:kern w:val="22"/>
                <w:sz w:val="21"/>
                <w:szCs w:val="21"/>
                <w:lang w:val="fr-CA"/>
              </w:rPr>
            </w:pPr>
          </w:p>
        </w:tc>
        <w:tc>
          <w:tcPr>
            <w:tcW w:w="3072" w:type="pct"/>
            <w:tcBorders>
              <w:bottom w:val="nil"/>
            </w:tcBorders>
            <w:shd w:val="clear" w:color="auto" w:fill="auto"/>
          </w:tcPr>
          <w:p w14:paraId="34CA7C5B" w14:textId="41704F98" w:rsidR="009A459D" w:rsidRPr="00B97567" w:rsidRDefault="009A459D" w:rsidP="001F4589">
            <w:pPr>
              <w:pStyle w:val="ListParagraph"/>
              <w:widowControl w:val="0"/>
              <w:numPr>
                <w:ilvl w:val="0"/>
                <w:numId w:val="24"/>
              </w:numPr>
              <w:spacing w:after="60"/>
              <w:jc w:val="left"/>
              <w:rPr>
                <w:rFonts w:eastAsia="MS Mincho"/>
                <w:b/>
                <w:noProof/>
                <w:snapToGrid w:val="0"/>
                <w:kern w:val="22"/>
                <w:sz w:val="21"/>
                <w:szCs w:val="21"/>
                <w:lang w:val="fr-FR"/>
              </w:rPr>
            </w:pPr>
            <w:r w:rsidRPr="00B97567">
              <w:rPr>
                <w:rFonts w:asciiTheme="majorBidi" w:eastAsia="MS Mincho" w:hAnsiTheme="majorBidi" w:cstheme="majorBidi"/>
                <w:bCs/>
                <w:noProof/>
                <w:snapToGrid w:val="0"/>
                <w:kern w:val="22"/>
                <w:sz w:val="21"/>
                <w:szCs w:val="21"/>
                <w:lang w:val="fr-FR"/>
              </w:rPr>
              <w:t xml:space="preserve">Aider les gouvernements à mettre en place des politiques et des lois habilitantes, des arrangements institutionnels et des mesures d'incitation pour la gestion des connaissances </w:t>
            </w:r>
          </w:p>
        </w:tc>
        <w:tc>
          <w:tcPr>
            <w:tcW w:w="552" w:type="pct"/>
            <w:tcBorders>
              <w:bottom w:val="nil"/>
            </w:tcBorders>
          </w:tcPr>
          <w:p w14:paraId="57117856" w14:textId="77777777" w:rsidR="009A459D" w:rsidRPr="009A459D" w:rsidRDefault="009A459D" w:rsidP="001F4589">
            <w:pPr>
              <w:widowControl w:val="0"/>
              <w:rPr>
                <w:rFonts w:asciiTheme="majorBidi" w:eastAsia="MS Mincho" w:hAnsiTheme="majorBidi" w:cstheme="majorBidi"/>
                <w:bCs/>
                <w:noProof/>
                <w:snapToGrid w:val="0"/>
                <w:kern w:val="22"/>
                <w:sz w:val="21"/>
                <w:szCs w:val="21"/>
                <w:lang w:val="fr-CA"/>
              </w:rPr>
            </w:pPr>
          </w:p>
        </w:tc>
        <w:tc>
          <w:tcPr>
            <w:tcW w:w="557" w:type="pct"/>
            <w:tcBorders>
              <w:bottom w:val="nil"/>
            </w:tcBorders>
            <w:shd w:val="clear" w:color="auto" w:fill="auto"/>
          </w:tcPr>
          <w:p w14:paraId="54426DCE" w14:textId="77777777" w:rsidR="009A459D" w:rsidRPr="009A459D" w:rsidRDefault="009A459D" w:rsidP="001F4589">
            <w:pPr>
              <w:widowControl w:val="0"/>
              <w:jc w:val="left"/>
              <w:rPr>
                <w:rFonts w:eastAsia="MS Mincho"/>
                <w:b/>
                <w:noProof/>
                <w:snapToGrid w:val="0"/>
                <w:kern w:val="22"/>
                <w:sz w:val="21"/>
                <w:szCs w:val="21"/>
                <w:lang w:val="fr-CA"/>
              </w:rPr>
            </w:pPr>
          </w:p>
        </w:tc>
      </w:tr>
      <w:tr w:rsidR="009A459D" w:rsidRPr="009A459D" w14:paraId="65D05660" w14:textId="77777777" w:rsidTr="001F4589">
        <w:tc>
          <w:tcPr>
            <w:tcW w:w="819" w:type="pct"/>
            <w:vMerge/>
            <w:shd w:val="clear" w:color="auto" w:fill="auto"/>
          </w:tcPr>
          <w:p w14:paraId="01295B49" w14:textId="77777777" w:rsidR="009A459D" w:rsidRPr="009A459D" w:rsidRDefault="009A459D" w:rsidP="001F4589">
            <w:pPr>
              <w:widowControl w:val="0"/>
              <w:jc w:val="center"/>
              <w:rPr>
                <w:rFonts w:ascii="Times New Roman Bold" w:eastAsia="MS Mincho" w:hAnsi="Times New Roman Bold" w:cs="Times New Roman Bold"/>
                <w:b/>
                <w:noProof/>
                <w:snapToGrid w:val="0"/>
                <w:spacing w:val="-12"/>
                <w:kern w:val="22"/>
                <w:sz w:val="21"/>
                <w:szCs w:val="21"/>
                <w:lang w:val="fr-CA"/>
              </w:rPr>
            </w:pPr>
          </w:p>
        </w:tc>
        <w:tc>
          <w:tcPr>
            <w:tcW w:w="3072" w:type="pct"/>
            <w:tcBorders>
              <w:bottom w:val="nil"/>
            </w:tcBorders>
            <w:shd w:val="clear" w:color="auto" w:fill="auto"/>
          </w:tcPr>
          <w:p w14:paraId="2A9FAFED" w14:textId="5F3EFCB5" w:rsidR="009A459D" w:rsidRPr="00B97567" w:rsidRDefault="009A459D" w:rsidP="001F4589">
            <w:pPr>
              <w:pStyle w:val="ListParagraph"/>
              <w:widowControl w:val="0"/>
              <w:numPr>
                <w:ilvl w:val="0"/>
                <w:numId w:val="24"/>
              </w:numPr>
              <w:spacing w:after="60"/>
              <w:jc w:val="left"/>
              <w:rPr>
                <w:rFonts w:eastAsia="MS Mincho"/>
                <w:b/>
                <w:noProof/>
                <w:snapToGrid w:val="0"/>
                <w:kern w:val="22"/>
                <w:sz w:val="21"/>
                <w:szCs w:val="21"/>
                <w:lang w:val="fr-FR"/>
              </w:rPr>
            </w:pPr>
            <w:r w:rsidRPr="00B97567">
              <w:rPr>
                <w:rFonts w:asciiTheme="majorBidi" w:eastAsia="MS Mincho" w:hAnsiTheme="majorBidi" w:cstheme="majorBidi"/>
                <w:bCs/>
                <w:noProof/>
                <w:snapToGrid w:val="0"/>
                <w:kern w:val="22"/>
                <w:sz w:val="21"/>
                <w:szCs w:val="21"/>
                <w:lang w:val="fr-FR"/>
              </w:rPr>
              <w:t xml:space="preserve">Fournir des informations et des orientations sur la gestion des connaissances et le développement des bases de données nationales, et partager l'expérience en matière d'accès aux données et d'utilisation de celles-ci </w:t>
            </w:r>
          </w:p>
        </w:tc>
        <w:tc>
          <w:tcPr>
            <w:tcW w:w="552" w:type="pct"/>
            <w:tcBorders>
              <w:bottom w:val="nil"/>
            </w:tcBorders>
          </w:tcPr>
          <w:p w14:paraId="4B2CD79D" w14:textId="77777777" w:rsidR="009A459D" w:rsidRPr="009A459D" w:rsidRDefault="009A459D" w:rsidP="001F4589">
            <w:pPr>
              <w:widowControl w:val="0"/>
              <w:rPr>
                <w:rFonts w:asciiTheme="majorBidi" w:eastAsia="MS Mincho" w:hAnsiTheme="majorBidi" w:cstheme="majorBidi"/>
                <w:bCs/>
                <w:noProof/>
                <w:snapToGrid w:val="0"/>
                <w:kern w:val="22"/>
                <w:sz w:val="21"/>
                <w:szCs w:val="21"/>
                <w:lang w:val="fr-CA"/>
              </w:rPr>
            </w:pPr>
          </w:p>
        </w:tc>
        <w:tc>
          <w:tcPr>
            <w:tcW w:w="557" w:type="pct"/>
            <w:tcBorders>
              <w:bottom w:val="nil"/>
            </w:tcBorders>
            <w:shd w:val="clear" w:color="auto" w:fill="auto"/>
          </w:tcPr>
          <w:p w14:paraId="12587013" w14:textId="77777777" w:rsidR="009A459D" w:rsidRPr="009A459D" w:rsidRDefault="009A459D" w:rsidP="001F4589">
            <w:pPr>
              <w:widowControl w:val="0"/>
              <w:jc w:val="left"/>
              <w:rPr>
                <w:rFonts w:eastAsia="MS Mincho"/>
                <w:b/>
                <w:noProof/>
                <w:snapToGrid w:val="0"/>
                <w:kern w:val="22"/>
                <w:sz w:val="21"/>
                <w:szCs w:val="21"/>
                <w:lang w:val="fr-CA"/>
              </w:rPr>
            </w:pPr>
          </w:p>
        </w:tc>
      </w:tr>
      <w:tr w:rsidR="009A459D" w:rsidRPr="009A459D" w14:paraId="5908A736" w14:textId="77777777" w:rsidTr="001F4589">
        <w:tc>
          <w:tcPr>
            <w:tcW w:w="819" w:type="pct"/>
            <w:vMerge/>
            <w:shd w:val="clear" w:color="auto" w:fill="auto"/>
          </w:tcPr>
          <w:p w14:paraId="048E9A0A" w14:textId="77777777" w:rsidR="009A459D" w:rsidRPr="009A459D" w:rsidRDefault="009A459D" w:rsidP="001F4589">
            <w:pPr>
              <w:widowControl w:val="0"/>
              <w:jc w:val="center"/>
              <w:rPr>
                <w:rFonts w:ascii="Times New Roman Bold" w:eastAsia="MS Mincho" w:hAnsi="Times New Roman Bold" w:cs="Times New Roman Bold"/>
                <w:b/>
                <w:noProof/>
                <w:snapToGrid w:val="0"/>
                <w:spacing w:val="-12"/>
                <w:kern w:val="22"/>
                <w:sz w:val="21"/>
                <w:szCs w:val="21"/>
                <w:lang w:val="fr-CA"/>
              </w:rPr>
            </w:pPr>
          </w:p>
        </w:tc>
        <w:tc>
          <w:tcPr>
            <w:tcW w:w="3072" w:type="pct"/>
            <w:tcBorders>
              <w:bottom w:val="nil"/>
            </w:tcBorders>
            <w:shd w:val="clear" w:color="auto" w:fill="auto"/>
          </w:tcPr>
          <w:p w14:paraId="6DB81A17" w14:textId="591408C3" w:rsidR="009A459D" w:rsidRPr="00B97567" w:rsidRDefault="009A459D" w:rsidP="001F4589">
            <w:pPr>
              <w:pStyle w:val="ListParagraph"/>
              <w:widowControl w:val="0"/>
              <w:numPr>
                <w:ilvl w:val="0"/>
                <w:numId w:val="24"/>
              </w:numPr>
              <w:spacing w:after="60"/>
              <w:jc w:val="left"/>
              <w:rPr>
                <w:rFonts w:asciiTheme="majorBidi" w:eastAsia="MS Mincho" w:hAnsiTheme="majorBidi" w:cstheme="majorBidi"/>
                <w:bCs/>
                <w:noProof/>
                <w:snapToGrid w:val="0"/>
                <w:kern w:val="22"/>
                <w:sz w:val="21"/>
                <w:szCs w:val="21"/>
                <w:lang w:val="fr-FR"/>
              </w:rPr>
            </w:pPr>
            <w:r w:rsidRPr="00B97567">
              <w:rPr>
                <w:rFonts w:asciiTheme="majorBidi" w:eastAsia="MS Mincho" w:hAnsiTheme="majorBidi" w:cstheme="majorBidi"/>
                <w:bCs/>
                <w:noProof/>
                <w:snapToGrid w:val="0"/>
                <w:kern w:val="22"/>
                <w:sz w:val="21"/>
                <w:szCs w:val="21"/>
                <w:lang w:val="fr-FR"/>
              </w:rPr>
              <w:t xml:space="preserve">Aider les gouvernements et, conformément à la législation nationale, les parties prenantes </w:t>
            </w:r>
            <w:r>
              <w:rPr>
                <w:rFonts w:asciiTheme="majorBidi" w:eastAsia="MS Mincho" w:hAnsiTheme="majorBidi" w:cstheme="majorBidi"/>
                <w:bCs/>
                <w:noProof/>
                <w:snapToGrid w:val="0"/>
                <w:kern w:val="22"/>
                <w:sz w:val="21"/>
                <w:szCs w:val="21"/>
                <w:lang w:val="fr-FR"/>
              </w:rPr>
              <w:t>pertinentes</w:t>
            </w:r>
            <w:r w:rsidRPr="00B97567">
              <w:rPr>
                <w:rFonts w:asciiTheme="majorBidi" w:eastAsia="MS Mincho" w:hAnsiTheme="majorBidi" w:cstheme="majorBidi"/>
                <w:bCs/>
                <w:noProof/>
                <w:snapToGrid w:val="0"/>
                <w:kern w:val="22"/>
                <w:sz w:val="21"/>
                <w:szCs w:val="21"/>
                <w:lang w:val="fr-FR"/>
              </w:rPr>
              <w:t>, à accéder aux sources de connaissances existantes</w:t>
            </w:r>
          </w:p>
        </w:tc>
        <w:tc>
          <w:tcPr>
            <w:tcW w:w="552" w:type="pct"/>
            <w:tcBorders>
              <w:bottom w:val="nil"/>
            </w:tcBorders>
          </w:tcPr>
          <w:p w14:paraId="4ACDE7DB" w14:textId="77777777" w:rsidR="009A459D" w:rsidRPr="009A459D" w:rsidRDefault="009A459D" w:rsidP="001F4589">
            <w:pPr>
              <w:widowControl w:val="0"/>
              <w:rPr>
                <w:rFonts w:asciiTheme="majorBidi" w:eastAsia="MS Mincho" w:hAnsiTheme="majorBidi" w:cstheme="majorBidi"/>
                <w:bCs/>
                <w:noProof/>
                <w:snapToGrid w:val="0"/>
                <w:kern w:val="22"/>
                <w:sz w:val="21"/>
                <w:szCs w:val="21"/>
                <w:lang w:val="fr-CA"/>
              </w:rPr>
            </w:pPr>
          </w:p>
        </w:tc>
        <w:tc>
          <w:tcPr>
            <w:tcW w:w="557" w:type="pct"/>
            <w:tcBorders>
              <w:bottom w:val="nil"/>
            </w:tcBorders>
            <w:shd w:val="clear" w:color="auto" w:fill="auto"/>
          </w:tcPr>
          <w:p w14:paraId="58448E01" w14:textId="77777777" w:rsidR="009A459D" w:rsidRPr="009A459D" w:rsidRDefault="009A459D" w:rsidP="001F4589">
            <w:pPr>
              <w:widowControl w:val="0"/>
              <w:jc w:val="left"/>
              <w:rPr>
                <w:rFonts w:asciiTheme="majorBidi" w:eastAsia="MS Mincho" w:hAnsiTheme="majorBidi" w:cstheme="majorBidi"/>
                <w:bCs/>
                <w:noProof/>
                <w:snapToGrid w:val="0"/>
                <w:kern w:val="22"/>
                <w:sz w:val="21"/>
                <w:szCs w:val="21"/>
                <w:lang w:val="fr-CA"/>
              </w:rPr>
            </w:pPr>
          </w:p>
        </w:tc>
      </w:tr>
      <w:tr w:rsidR="009A459D" w:rsidRPr="009A459D" w14:paraId="16A566DB" w14:textId="77777777" w:rsidTr="001F4589">
        <w:tc>
          <w:tcPr>
            <w:tcW w:w="819" w:type="pct"/>
            <w:vMerge/>
            <w:shd w:val="clear" w:color="auto" w:fill="auto"/>
          </w:tcPr>
          <w:p w14:paraId="3C039D35" w14:textId="77777777" w:rsidR="009A459D" w:rsidRPr="009A459D" w:rsidRDefault="009A459D" w:rsidP="001F4589">
            <w:pPr>
              <w:widowControl w:val="0"/>
              <w:jc w:val="center"/>
              <w:rPr>
                <w:rFonts w:ascii="Times New Roman Bold" w:eastAsia="MS Mincho" w:hAnsi="Times New Roman Bold" w:cs="Times New Roman Bold"/>
                <w:b/>
                <w:noProof/>
                <w:snapToGrid w:val="0"/>
                <w:spacing w:val="-12"/>
                <w:kern w:val="22"/>
                <w:sz w:val="21"/>
                <w:szCs w:val="21"/>
                <w:lang w:val="fr-CA"/>
              </w:rPr>
            </w:pPr>
          </w:p>
        </w:tc>
        <w:tc>
          <w:tcPr>
            <w:tcW w:w="3072" w:type="pct"/>
            <w:tcBorders>
              <w:bottom w:val="nil"/>
            </w:tcBorders>
            <w:shd w:val="clear" w:color="auto" w:fill="auto"/>
          </w:tcPr>
          <w:p w14:paraId="71B2C4E1" w14:textId="379B5068" w:rsidR="009A459D" w:rsidRPr="00B97567" w:rsidRDefault="009A459D" w:rsidP="001F4589">
            <w:pPr>
              <w:pStyle w:val="ListParagraph"/>
              <w:widowControl w:val="0"/>
              <w:numPr>
                <w:ilvl w:val="0"/>
                <w:numId w:val="24"/>
              </w:numPr>
              <w:spacing w:after="60"/>
              <w:jc w:val="left"/>
              <w:rPr>
                <w:rFonts w:asciiTheme="majorBidi" w:eastAsia="MS Mincho" w:hAnsiTheme="majorBidi" w:cstheme="majorBidi"/>
                <w:bCs/>
                <w:noProof/>
                <w:snapToGrid w:val="0"/>
                <w:kern w:val="22"/>
                <w:sz w:val="21"/>
                <w:szCs w:val="21"/>
                <w:lang w:val="fr-FR"/>
              </w:rPr>
            </w:pPr>
            <w:r w:rsidRPr="00B97567">
              <w:rPr>
                <w:rFonts w:asciiTheme="majorBidi" w:eastAsia="MS Mincho" w:hAnsiTheme="majorBidi" w:cstheme="majorBidi"/>
                <w:bCs/>
                <w:noProof/>
                <w:snapToGrid w:val="0"/>
                <w:kern w:val="22"/>
                <w:sz w:val="21"/>
                <w:szCs w:val="21"/>
                <w:lang w:val="fr-FR"/>
              </w:rPr>
              <w:t>Entreprendre une analyse des lacunes dans les outils et les approches de gestion des informations et des connaissances existant</w:t>
            </w:r>
            <w:r>
              <w:rPr>
                <w:rFonts w:asciiTheme="majorBidi" w:eastAsia="MS Mincho" w:hAnsiTheme="majorBidi" w:cstheme="majorBidi"/>
                <w:bCs/>
                <w:noProof/>
                <w:snapToGrid w:val="0"/>
                <w:kern w:val="22"/>
                <w:sz w:val="21"/>
                <w:szCs w:val="21"/>
                <w:lang w:val="fr-FR"/>
              </w:rPr>
              <w:t>e</w:t>
            </w:r>
            <w:r w:rsidRPr="00B97567">
              <w:rPr>
                <w:rFonts w:asciiTheme="majorBidi" w:eastAsia="MS Mincho" w:hAnsiTheme="majorBidi" w:cstheme="majorBidi"/>
                <w:bCs/>
                <w:noProof/>
                <w:snapToGrid w:val="0"/>
                <w:kern w:val="22"/>
                <w:sz w:val="21"/>
                <w:szCs w:val="21"/>
                <w:lang w:val="fr-FR"/>
              </w:rPr>
              <w:t xml:space="preserve">s qui soutiennent les efforts de gestion de la biodiversité </w:t>
            </w:r>
          </w:p>
        </w:tc>
        <w:tc>
          <w:tcPr>
            <w:tcW w:w="552" w:type="pct"/>
            <w:tcBorders>
              <w:bottom w:val="nil"/>
            </w:tcBorders>
          </w:tcPr>
          <w:p w14:paraId="7237E8A4" w14:textId="77777777" w:rsidR="009A459D" w:rsidRPr="009A459D" w:rsidRDefault="009A459D" w:rsidP="001F4589">
            <w:pPr>
              <w:widowControl w:val="0"/>
              <w:rPr>
                <w:rFonts w:asciiTheme="majorBidi" w:eastAsia="MS Mincho" w:hAnsiTheme="majorBidi" w:cstheme="majorBidi"/>
                <w:bCs/>
                <w:noProof/>
                <w:snapToGrid w:val="0"/>
                <w:kern w:val="22"/>
                <w:sz w:val="21"/>
                <w:szCs w:val="21"/>
                <w:lang w:val="fr-CA"/>
              </w:rPr>
            </w:pPr>
          </w:p>
        </w:tc>
        <w:tc>
          <w:tcPr>
            <w:tcW w:w="557" w:type="pct"/>
            <w:tcBorders>
              <w:bottom w:val="nil"/>
            </w:tcBorders>
            <w:shd w:val="clear" w:color="auto" w:fill="auto"/>
          </w:tcPr>
          <w:p w14:paraId="65E4D3FC" w14:textId="77777777" w:rsidR="009A459D" w:rsidRPr="009A459D" w:rsidRDefault="009A459D" w:rsidP="001F4589">
            <w:pPr>
              <w:widowControl w:val="0"/>
              <w:jc w:val="left"/>
              <w:rPr>
                <w:rFonts w:asciiTheme="majorBidi" w:eastAsia="MS Mincho" w:hAnsiTheme="majorBidi" w:cstheme="majorBidi"/>
                <w:bCs/>
                <w:noProof/>
                <w:snapToGrid w:val="0"/>
                <w:kern w:val="22"/>
                <w:sz w:val="21"/>
                <w:szCs w:val="21"/>
                <w:lang w:val="fr-CA"/>
              </w:rPr>
            </w:pPr>
          </w:p>
        </w:tc>
      </w:tr>
      <w:tr w:rsidR="009A459D" w:rsidRPr="009A459D" w14:paraId="689F319E" w14:textId="77777777" w:rsidTr="001F4589">
        <w:tc>
          <w:tcPr>
            <w:tcW w:w="819" w:type="pct"/>
            <w:vMerge/>
            <w:shd w:val="clear" w:color="auto" w:fill="auto"/>
          </w:tcPr>
          <w:p w14:paraId="6267A025" w14:textId="77777777" w:rsidR="009A459D" w:rsidRPr="009A459D" w:rsidRDefault="009A459D" w:rsidP="00482485">
            <w:pPr>
              <w:widowControl w:val="0"/>
              <w:jc w:val="center"/>
              <w:rPr>
                <w:rFonts w:ascii="Times New Roman Bold" w:eastAsia="MS Mincho" w:hAnsi="Times New Roman Bold" w:cs="Times New Roman Bold"/>
                <w:b/>
                <w:noProof/>
                <w:snapToGrid w:val="0"/>
                <w:spacing w:val="-12"/>
                <w:kern w:val="22"/>
                <w:sz w:val="21"/>
                <w:szCs w:val="21"/>
                <w:lang w:val="fr-CA"/>
              </w:rPr>
            </w:pPr>
          </w:p>
        </w:tc>
        <w:tc>
          <w:tcPr>
            <w:tcW w:w="3072" w:type="pct"/>
            <w:tcBorders>
              <w:bottom w:val="nil"/>
            </w:tcBorders>
            <w:shd w:val="clear" w:color="auto" w:fill="auto"/>
          </w:tcPr>
          <w:p w14:paraId="3C779B4F" w14:textId="75FED7DE" w:rsidR="009A459D" w:rsidRPr="00B97567" w:rsidRDefault="009A459D" w:rsidP="001F4589">
            <w:pPr>
              <w:pStyle w:val="ListParagraph"/>
              <w:widowControl w:val="0"/>
              <w:numPr>
                <w:ilvl w:val="0"/>
                <w:numId w:val="24"/>
              </w:numPr>
              <w:spacing w:after="60"/>
              <w:jc w:val="left"/>
              <w:rPr>
                <w:rFonts w:asciiTheme="majorBidi" w:eastAsia="MS Mincho" w:hAnsiTheme="majorBidi" w:cstheme="majorBidi"/>
                <w:bCs/>
                <w:noProof/>
                <w:snapToGrid w:val="0"/>
                <w:kern w:val="22"/>
                <w:sz w:val="21"/>
                <w:szCs w:val="21"/>
                <w:lang w:val="fr-FR"/>
              </w:rPr>
            </w:pPr>
            <w:r w:rsidRPr="00B97567">
              <w:rPr>
                <w:rFonts w:asciiTheme="majorBidi" w:eastAsia="MS Mincho" w:hAnsiTheme="majorBidi" w:cstheme="majorBidi"/>
                <w:bCs/>
                <w:noProof/>
                <w:snapToGrid w:val="0"/>
                <w:kern w:val="22"/>
                <w:sz w:val="21"/>
                <w:szCs w:val="21"/>
                <w:lang w:val="fr-FR"/>
              </w:rPr>
              <w:t>Entreprendre une analyse des lacunes en matière de compétences et de besoins nationaux en matière de gestion des connaissances, y compris le renforcement des capacités de gestion des connaissances dans le cadre de la mise en œuvre des stratégies et plans d'action nationaux en faveur de la biodiversité, le cas échéant</w:t>
            </w:r>
          </w:p>
        </w:tc>
        <w:tc>
          <w:tcPr>
            <w:tcW w:w="552" w:type="pct"/>
            <w:tcBorders>
              <w:bottom w:val="nil"/>
            </w:tcBorders>
          </w:tcPr>
          <w:p w14:paraId="538E06CE" w14:textId="77777777" w:rsidR="009A459D" w:rsidRPr="009A459D" w:rsidRDefault="009A459D" w:rsidP="001F4589">
            <w:pPr>
              <w:widowControl w:val="0"/>
              <w:rPr>
                <w:rFonts w:asciiTheme="majorBidi" w:eastAsia="MS Mincho" w:hAnsiTheme="majorBidi" w:cstheme="majorBidi"/>
                <w:bCs/>
                <w:noProof/>
                <w:snapToGrid w:val="0"/>
                <w:kern w:val="22"/>
                <w:sz w:val="21"/>
                <w:szCs w:val="21"/>
                <w:lang w:val="fr-CA"/>
              </w:rPr>
            </w:pPr>
          </w:p>
        </w:tc>
        <w:tc>
          <w:tcPr>
            <w:tcW w:w="557" w:type="pct"/>
            <w:tcBorders>
              <w:bottom w:val="nil"/>
            </w:tcBorders>
            <w:shd w:val="clear" w:color="auto" w:fill="auto"/>
          </w:tcPr>
          <w:p w14:paraId="0AA7F643" w14:textId="77777777" w:rsidR="009A459D" w:rsidRPr="009A459D" w:rsidRDefault="009A459D" w:rsidP="001F4589">
            <w:pPr>
              <w:widowControl w:val="0"/>
              <w:jc w:val="left"/>
              <w:rPr>
                <w:rFonts w:asciiTheme="majorBidi" w:eastAsia="MS Mincho" w:hAnsiTheme="majorBidi" w:cstheme="majorBidi"/>
                <w:bCs/>
                <w:noProof/>
                <w:snapToGrid w:val="0"/>
                <w:kern w:val="22"/>
                <w:sz w:val="21"/>
                <w:szCs w:val="21"/>
                <w:lang w:val="fr-CA"/>
              </w:rPr>
            </w:pPr>
          </w:p>
        </w:tc>
      </w:tr>
      <w:tr w:rsidR="00BE29D1" w:rsidRPr="009A459D" w14:paraId="56623F44" w14:textId="77777777" w:rsidTr="001F4589">
        <w:tc>
          <w:tcPr>
            <w:tcW w:w="819" w:type="pct"/>
            <w:vMerge w:val="restart"/>
            <w:shd w:val="clear" w:color="auto" w:fill="auto"/>
          </w:tcPr>
          <w:p w14:paraId="3E3F6CF7" w14:textId="12E38CDD" w:rsidR="006B112D" w:rsidRPr="009A459D" w:rsidRDefault="001E1F71" w:rsidP="00482485">
            <w:pPr>
              <w:pStyle w:val="ListParagraph"/>
              <w:widowControl w:val="0"/>
              <w:numPr>
                <w:ilvl w:val="0"/>
                <w:numId w:val="25"/>
              </w:numPr>
              <w:ind w:left="250" w:hanging="270"/>
              <w:jc w:val="left"/>
              <w:rPr>
                <w:rFonts w:asciiTheme="majorBidi" w:eastAsia="MS Mincho" w:hAnsiTheme="majorBidi" w:cstheme="majorBidi"/>
                <w:bCs/>
                <w:noProof/>
                <w:snapToGrid w:val="0"/>
                <w:kern w:val="22"/>
                <w:sz w:val="21"/>
                <w:szCs w:val="21"/>
                <w:lang w:val="fr-CA"/>
              </w:rPr>
            </w:pPr>
            <w:r w:rsidRPr="009A459D">
              <w:rPr>
                <w:rFonts w:asciiTheme="majorBidi" w:eastAsia="MS Mincho" w:hAnsiTheme="majorBidi" w:cstheme="majorBidi"/>
                <w:bCs/>
                <w:noProof/>
                <w:snapToGrid w:val="0"/>
                <w:kern w:val="22"/>
                <w:sz w:val="21"/>
                <w:szCs w:val="21"/>
                <w:lang w:val="fr-CA"/>
              </w:rPr>
              <w:t>Développement de réseaux et de partenariats</w:t>
            </w:r>
          </w:p>
        </w:tc>
        <w:tc>
          <w:tcPr>
            <w:tcW w:w="3072" w:type="pct"/>
          </w:tcPr>
          <w:p w14:paraId="22440F28" w14:textId="303383FB" w:rsidR="006B112D" w:rsidRPr="00B97567" w:rsidRDefault="00B97567" w:rsidP="001F4589">
            <w:pPr>
              <w:pStyle w:val="ListParagraph"/>
              <w:widowControl w:val="0"/>
              <w:numPr>
                <w:ilvl w:val="0"/>
                <w:numId w:val="17"/>
              </w:numPr>
              <w:spacing w:after="60"/>
              <w:jc w:val="left"/>
              <w:rPr>
                <w:rFonts w:asciiTheme="majorBidi" w:eastAsia="MS Mincho" w:hAnsiTheme="majorBidi" w:cstheme="majorBidi"/>
                <w:bCs/>
                <w:noProof/>
                <w:snapToGrid w:val="0"/>
                <w:kern w:val="22"/>
                <w:sz w:val="21"/>
                <w:szCs w:val="21"/>
                <w:lang w:val="fr-FR"/>
              </w:rPr>
            </w:pPr>
            <w:r w:rsidRPr="00B97567">
              <w:rPr>
                <w:rFonts w:asciiTheme="majorBidi" w:hAnsiTheme="majorBidi" w:cstheme="majorBidi"/>
                <w:kern w:val="22"/>
                <w:sz w:val="21"/>
                <w:szCs w:val="21"/>
                <w:lang w:val="fr-FR"/>
              </w:rPr>
              <w:t>Catalyser et renforcer les réseaux internationaux et régionaux de gestion des données, des informations et des connaissances relatives à la biodiversité</w:t>
            </w:r>
          </w:p>
        </w:tc>
        <w:tc>
          <w:tcPr>
            <w:tcW w:w="552" w:type="pct"/>
          </w:tcPr>
          <w:p w14:paraId="280639B0" w14:textId="77777777" w:rsidR="006B112D" w:rsidRPr="009A459D" w:rsidRDefault="006B112D" w:rsidP="001F4589">
            <w:pPr>
              <w:widowControl w:val="0"/>
              <w:rPr>
                <w:rFonts w:asciiTheme="majorBidi" w:eastAsia="MS Mincho" w:hAnsiTheme="majorBidi" w:cstheme="majorBidi"/>
                <w:bCs/>
                <w:noProof/>
                <w:snapToGrid w:val="0"/>
                <w:kern w:val="22"/>
                <w:sz w:val="21"/>
                <w:szCs w:val="21"/>
                <w:lang w:val="fr-CA"/>
              </w:rPr>
            </w:pPr>
          </w:p>
        </w:tc>
        <w:tc>
          <w:tcPr>
            <w:tcW w:w="557" w:type="pct"/>
            <w:shd w:val="clear" w:color="auto" w:fill="auto"/>
          </w:tcPr>
          <w:p w14:paraId="11DFEBB5" w14:textId="77777777" w:rsidR="006B112D" w:rsidRPr="009A459D" w:rsidRDefault="006B112D" w:rsidP="001F4589">
            <w:pPr>
              <w:widowControl w:val="0"/>
              <w:jc w:val="left"/>
              <w:rPr>
                <w:rFonts w:asciiTheme="majorBidi" w:eastAsia="MS Mincho" w:hAnsiTheme="majorBidi" w:cstheme="majorBidi"/>
                <w:bCs/>
                <w:noProof/>
                <w:snapToGrid w:val="0"/>
                <w:kern w:val="22"/>
                <w:sz w:val="21"/>
                <w:szCs w:val="21"/>
                <w:lang w:val="fr-CA"/>
              </w:rPr>
            </w:pPr>
          </w:p>
        </w:tc>
      </w:tr>
      <w:tr w:rsidR="00BE29D1" w:rsidRPr="009A459D" w14:paraId="47C34359" w14:textId="77777777" w:rsidTr="001F4589">
        <w:tc>
          <w:tcPr>
            <w:tcW w:w="819" w:type="pct"/>
            <w:vMerge/>
            <w:shd w:val="clear" w:color="auto" w:fill="auto"/>
          </w:tcPr>
          <w:p w14:paraId="1221FC9B" w14:textId="77777777" w:rsidR="006B112D" w:rsidRPr="009A459D" w:rsidRDefault="006B112D" w:rsidP="001F4589">
            <w:pPr>
              <w:widowControl w:val="0"/>
              <w:rPr>
                <w:rFonts w:asciiTheme="majorBidi" w:eastAsia="MS Mincho" w:hAnsiTheme="majorBidi" w:cstheme="majorBidi"/>
                <w:bCs/>
                <w:noProof/>
                <w:snapToGrid w:val="0"/>
                <w:kern w:val="22"/>
                <w:sz w:val="21"/>
                <w:szCs w:val="21"/>
                <w:lang w:val="fr-CA"/>
              </w:rPr>
            </w:pPr>
          </w:p>
        </w:tc>
        <w:tc>
          <w:tcPr>
            <w:tcW w:w="3072" w:type="pct"/>
          </w:tcPr>
          <w:p w14:paraId="3CE4852D" w14:textId="01207F82" w:rsidR="006B112D" w:rsidRPr="00B97567" w:rsidRDefault="00B97567" w:rsidP="001F4589">
            <w:pPr>
              <w:pStyle w:val="ListParagraph"/>
              <w:widowControl w:val="0"/>
              <w:numPr>
                <w:ilvl w:val="0"/>
                <w:numId w:val="17"/>
              </w:numPr>
              <w:spacing w:after="60"/>
              <w:jc w:val="left"/>
              <w:rPr>
                <w:rFonts w:asciiTheme="majorBidi" w:eastAsia="MS Mincho" w:hAnsiTheme="majorBidi" w:cstheme="majorBidi"/>
                <w:bCs/>
                <w:noProof/>
                <w:snapToGrid w:val="0"/>
                <w:kern w:val="22"/>
                <w:sz w:val="21"/>
                <w:szCs w:val="21"/>
                <w:lang w:val="fr-FR"/>
              </w:rPr>
            </w:pPr>
            <w:r w:rsidRPr="00B97567">
              <w:rPr>
                <w:rFonts w:asciiTheme="majorBidi" w:hAnsiTheme="majorBidi" w:cstheme="majorBidi"/>
                <w:kern w:val="22"/>
                <w:sz w:val="21"/>
                <w:szCs w:val="21"/>
                <w:lang w:val="fr-FR"/>
              </w:rPr>
              <w:t xml:space="preserve">Promouvoir la collaboration en matière de partage des données, des informations et des </w:t>
            </w:r>
            <w:r w:rsidRPr="00B97567">
              <w:rPr>
                <w:rFonts w:asciiTheme="majorBidi" w:hAnsiTheme="majorBidi" w:cstheme="majorBidi"/>
                <w:kern w:val="22"/>
                <w:sz w:val="21"/>
                <w:szCs w:val="21"/>
                <w:lang w:val="fr-FR"/>
              </w:rPr>
              <w:lastRenderedPageBreak/>
              <w:t>connaissances sur la biodiversité, notamment en renforçant l'harmonisation et l'interopérabilité entre les initiatives pertinentes en matière de systèmes d'information</w:t>
            </w:r>
          </w:p>
        </w:tc>
        <w:tc>
          <w:tcPr>
            <w:tcW w:w="552" w:type="pct"/>
          </w:tcPr>
          <w:p w14:paraId="25D5D209" w14:textId="77777777" w:rsidR="006B112D" w:rsidRPr="009A459D" w:rsidRDefault="006B112D" w:rsidP="001F4589">
            <w:pPr>
              <w:widowControl w:val="0"/>
              <w:rPr>
                <w:rFonts w:asciiTheme="majorBidi" w:eastAsia="MS Mincho" w:hAnsiTheme="majorBidi" w:cstheme="majorBidi"/>
                <w:bCs/>
                <w:noProof/>
                <w:snapToGrid w:val="0"/>
                <w:kern w:val="22"/>
                <w:sz w:val="21"/>
                <w:szCs w:val="21"/>
                <w:lang w:val="fr-CA"/>
              </w:rPr>
            </w:pPr>
          </w:p>
        </w:tc>
        <w:tc>
          <w:tcPr>
            <w:tcW w:w="557" w:type="pct"/>
            <w:shd w:val="clear" w:color="auto" w:fill="auto"/>
          </w:tcPr>
          <w:p w14:paraId="16E77013" w14:textId="77777777" w:rsidR="006B112D" w:rsidRPr="009A459D" w:rsidRDefault="006B112D" w:rsidP="001F4589">
            <w:pPr>
              <w:widowControl w:val="0"/>
              <w:jc w:val="left"/>
              <w:rPr>
                <w:rFonts w:asciiTheme="majorBidi" w:eastAsia="MS Mincho" w:hAnsiTheme="majorBidi" w:cstheme="majorBidi"/>
                <w:bCs/>
                <w:noProof/>
                <w:snapToGrid w:val="0"/>
                <w:kern w:val="22"/>
                <w:sz w:val="21"/>
                <w:szCs w:val="21"/>
                <w:lang w:val="fr-CA"/>
              </w:rPr>
            </w:pPr>
          </w:p>
        </w:tc>
      </w:tr>
      <w:tr w:rsidR="00BE29D1" w:rsidRPr="009A459D" w14:paraId="2586651B" w14:textId="77777777" w:rsidTr="001F4589">
        <w:tc>
          <w:tcPr>
            <w:tcW w:w="819" w:type="pct"/>
            <w:vMerge/>
            <w:shd w:val="clear" w:color="auto" w:fill="auto"/>
          </w:tcPr>
          <w:p w14:paraId="28FB7AE2" w14:textId="77777777" w:rsidR="006B112D" w:rsidRPr="009A459D" w:rsidRDefault="006B112D" w:rsidP="001F4589">
            <w:pPr>
              <w:widowControl w:val="0"/>
              <w:rPr>
                <w:rFonts w:asciiTheme="majorBidi" w:eastAsia="MS Mincho" w:hAnsiTheme="majorBidi" w:cstheme="majorBidi"/>
                <w:bCs/>
                <w:noProof/>
                <w:snapToGrid w:val="0"/>
                <w:kern w:val="22"/>
                <w:sz w:val="21"/>
                <w:szCs w:val="21"/>
                <w:lang w:val="fr-CA"/>
              </w:rPr>
            </w:pPr>
          </w:p>
        </w:tc>
        <w:tc>
          <w:tcPr>
            <w:tcW w:w="3072" w:type="pct"/>
          </w:tcPr>
          <w:p w14:paraId="52A609DD" w14:textId="18FBF9CD" w:rsidR="006B112D" w:rsidRPr="00B97567" w:rsidRDefault="00B97567" w:rsidP="001F4589">
            <w:pPr>
              <w:pStyle w:val="ListParagraph"/>
              <w:widowControl w:val="0"/>
              <w:numPr>
                <w:ilvl w:val="0"/>
                <w:numId w:val="17"/>
              </w:numPr>
              <w:spacing w:after="60"/>
              <w:jc w:val="left"/>
              <w:rPr>
                <w:rFonts w:asciiTheme="majorBidi" w:eastAsia="MS Mincho" w:hAnsiTheme="majorBidi" w:cstheme="majorBidi"/>
                <w:bCs/>
                <w:noProof/>
                <w:snapToGrid w:val="0"/>
                <w:kern w:val="22"/>
                <w:sz w:val="21"/>
                <w:szCs w:val="21"/>
                <w:lang w:val="fr-FR"/>
              </w:rPr>
            </w:pPr>
            <w:r w:rsidRPr="00B97567">
              <w:rPr>
                <w:rFonts w:asciiTheme="majorBidi" w:hAnsiTheme="majorBidi" w:cstheme="majorBidi"/>
                <w:kern w:val="22"/>
                <w:sz w:val="21"/>
                <w:szCs w:val="21"/>
                <w:lang w:val="fr-FR"/>
              </w:rPr>
              <w:t>Renforcer la surveillance de la biodiversité par une coopération visant à améliorer l'acquisition, la fourniture et l'utilisation des données d'observation de la Terre et des services connexes</w:t>
            </w:r>
          </w:p>
        </w:tc>
        <w:tc>
          <w:tcPr>
            <w:tcW w:w="552" w:type="pct"/>
          </w:tcPr>
          <w:p w14:paraId="46D5545A" w14:textId="77777777" w:rsidR="006B112D" w:rsidRPr="009A459D" w:rsidRDefault="006B112D" w:rsidP="001F4589">
            <w:pPr>
              <w:widowControl w:val="0"/>
              <w:rPr>
                <w:rFonts w:asciiTheme="majorBidi" w:hAnsiTheme="majorBidi" w:cstheme="majorBidi"/>
                <w:kern w:val="22"/>
                <w:sz w:val="21"/>
                <w:szCs w:val="21"/>
                <w:lang w:val="fr-CA"/>
              </w:rPr>
            </w:pPr>
          </w:p>
        </w:tc>
        <w:tc>
          <w:tcPr>
            <w:tcW w:w="557" w:type="pct"/>
            <w:shd w:val="clear" w:color="auto" w:fill="auto"/>
          </w:tcPr>
          <w:p w14:paraId="0111DE36" w14:textId="77777777" w:rsidR="006B112D" w:rsidRPr="009A459D" w:rsidRDefault="006B112D" w:rsidP="001F4589">
            <w:pPr>
              <w:widowControl w:val="0"/>
              <w:jc w:val="left"/>
              <w:rPr>
                <w:rFonts w:asciiTheme="majorBidi" w:eastAsia="MS Mincho" w:hAnsiTheme="majorBidi" w:cstheme="majorBidi"/>
                <w:bCs/>
                <w:noProof/>
                <w:snapToGrid w:val="0"/>
                <w:kern w:val="22"/>
                <w:sz w:val="21"/>
                <w:szCs w:val="21"/>
                <w:lang w:val="fr-CA"/>
              </w:rPr>
            </w:pPr>
          </w:p>
        </w:tc>
      </w:tr>
      <w:tr w:rsidR="00BE29D1" w:rsidRPr="009A459D" w14:paraId="4689FE41" w14:textId="77777777" w:rsidTr="001F4589">
        <w:tc>
          <w:tcPr>
            <w:tcW w:w="819" w:type="pct"/>
            <w:vMerge/>
            <w:shd w:val="clear" w:color="auto" w:fill="auto"/>
          </w:tcPr>
          <w:p w14:paraId="2FE18C16" w14:textId="77777777" w:rsidR="006B112D" w:rsidRPr="009A459D" w:rsidRDefault="006B112D" w:rsidP="001F4589">
            <w:pPr>
              <w:widowControl w:val="0"/>
              <w:rPr>
                <w:rFonts w:asciiTheme="majorBidi" w:eastAsia="MS Mincho" w:hAnsiTheme="majorBidi" w:cstheme="majorBidi"/>
                <w:bCs/>
                <w:noProof/>
                <w:snapToGrid w:val="0"/>
                <w:kern w:val="22"/>
                <w:sz w:val="21"/>
                <w:szCs w:val="21"/>
                <w:lang w:val="fr-CA"/>
              </w:rPr>
            </w:pPr>
          </w:p>
        </w:tc>
        <w:tc>
          <w:tcPr>
            <w:tcW w:w="3072" w:type="pct"/>
          </w:tcPr>
          <w:p w14:paraId="7AC7EDB6" w14:textId="3F7C3922" w:rsidR="006B112D" w:rsidRPr="00B97567" w:rsidRDefault="00B97567" w:rsidP="001F4589">
            <w:pPr>
              <w:pStyle w:val="ListParagraph"/>
              <w:widowControl w:val="0"/>
              <w:numPr>
                <w:ilvl w:val="0"/>
                <w:numId w:val="17"/>
              </w:numPr>
              <w:spacing w:after="60"/>
              <w:jc w:val="left"/>
              <w:rPr>
                <w:rFonts w:asciiTheme="majorBidi" w:hAnsiTheme="majorBidi" w:cstheme="majorBidi"/>
                <w:kern w:val="22"/>
                <w:sz w:val="21"/>
                <w:szCs w:val="21"/>
                <w:lang w:val="fr-FR"/>
              </w:rPr>
            </w:pPr>
            <w:r w:rsidRPr="00B97567">
              <w:rPr>
                <w:rFonts w:asciiTheme="majorBidi" w:hAnsiTheme="majorBidi" w:cstheme="majorBidi"/>
                <w:kern w:val="22"/>
                <w:sz w:val="21"/>
                <w:szCs w:val="21"/>
                <w:lang w:val="fr-FR"/>
              </w:rPr>
              <w:t>Identifier, faire connaître, relier et renforcer les centres d'expertise, les communautés de pratique et les autres sources de connaissances</w:t>
            </w:r>
          </w:p>
        </w:tc>
        <w:tc>
          <w:tcPr>
            <w:tcW w:w="552" w:type="pct"/>
          </w:tcPr>
          <w:p w14:paraId="62F74CC6" w14:textId="77777777" w:rsidR="006B112D" w:rsidRPr="009A459D" w:rsidRDefault="006B112D" w:rsidP="001F4589">
            <w:pPr>
              <w:widowControl w:val="0"/>
              <w:rPr>
                <w:rFonts w:asciiTheme="majorBidi" w:hAnsiTheme="majorBidi" w:cstheme="majorBidi"/>
                <w:kern w:val="22"/>
                <w:sz w:val="21"/>
                <w:szCs w:val="21"/>
                <w:lang w:val="fr-CA"/>
              </w:rPr>
            </w:pPr>
          </w:p>
        </w:tc>
        <w:tc>
          <w:tcPr>
            <w:tcW w:w="557" w:type="pct"/>
            <w:shd w:val="clear" w:color="auto" w:fill="auto"/>
          </w:tcPr>
          <w:p w14:paraId="44492E82" w14:textId="77777777" w:rsidR="006B112D" w:rsidRPr="009A459D" w:rsidRDefault="006B112D" w:rsidP="001F4589">
            <w:pPr>
              <w:widowControl w:val="0"/>
              <w:jc w:val="left"/>
              <w:rPr>
                <w:rFonts w:asciiTheme="majorBidi" w:hAnsiTheme="majorBidi" w:cstheme="majorBidi"/>
                <w:kern w:val="22"/>
                <w:sz w:val="21"/>
                <w:szCs w:val="21"/>
                <w:lang w:val="fr-CA"/>
              </w:rPr>
            </w:pPr>
          </w:p>
        </w:tc>
      </w:tr>
      <w:tr w:rsidR="00BE29D1" w:rsidRPr="009A459D" w14:paraId="0587FEBF" w14:textId="77777777" w:rsidTr="001F4589">
        <w:tc>
          <w:tcPr>
            <w:tcW w:w="819" w:type="pct"/>
            <w:vMerge/>
            <w:shd w:val="clear" w:color="auto" w:fill="auto"/>
          </w:tcPr>
          <w:p w14:paraId="36EBD2F7" w14:textId="77777777" w:rsidR="006B112D" w:rsidRPr="009A459D" w:rsidRDefault="006B112D" w:rsidP="001F4589">
            <w:pPr>
              <w:widowControl w:val="0"/>
              <w:rPr>
                <w:rFonts w:asciiTheme="majorBidi" w:eastAsia="MS Mincho" w:hAnsiTheme="majorBidi" w:cstheme="majorBidi"/>
                <w:bCs/>
                <w:noProof/>
                <w:snapToGrid w:val="0"/>
                <w:kern w:val="22"/>
                <w:sz w:val="21"/>
                <w:szCs w:val="21"/>
                <w:lang w:val="fr-CA"/>
              </w:rPr>
            </w:pPr>
          </w:p>
        </w:tc>
        <w:tc>
          <w:tcPr>
            <w:tcW w:w="3072" w:type="pct"/>
          </w:tcPr>
          <w:p w14:paraId="10090EEC" w14:textId="3EA9BBFA" w:rsidR="006B112D" w:rsidRPr="00B97567" w:rsidRDefault="00B97567" w:rsidP="001F4589">
            <w:pPr>
              <w:pStyle w:val="ListParagraph"/>
              <w:widowControl w:val="0"/>
              <w:numPr>
                <w:ilvl w:val="0"/>
                <w:numId w:val="17"/>
              </w:numPr>
              <w:spacing w:after="60"/>
              <w:jc w:val="left"/>
              <w:rPr>
                <w:rFonts w:asciiTheme="majorBidi" w:eastAsia="MS Mincho" w:hAnsiTheme="majorBidi" w:cstheme="majorBidi"/>
                <w:bCs/>
                <w:noProof/>
                <w:snapToGrid w:val="0"/>
                <w:kern w:val="22"/>
                <w:sz w:val="21"/>
                <w:szCs w:val="21"/>
                <w:lang w:val="fr-FR"/>
              </w:rPr>
            </w:pPr>
            <w:r w:rsidRPr="00B97567">
              <w:rPr>
                <w:rFonts w:asciiTheme="majorBidi" w:hAnsiTheme="majorBidi" w:cstheme="majorBidi"/>
                <w:kern w:val="22"/>
                <w:sz w:val="21"/>
                <w:szCs w:val="21"/>
                <w:lang w:val="fr-FR"/>
              </w:rPr>
              <w:t xml:space="preserve">Renforcer la sensibilisation et la collaboration entre les principales parties prenantes - universités, peuples autochtones et communautés locales, gouvernements infranationaux et institutions </w:t>
            </w:r>
            <w:r w:rsidR="009811B0">
              <w:rPr>
                <w:rFonts w:asciiTheme="majorBidi" w:hAnsiTheme="majorBidi" w:cstheme="majorBidi"/>
                <w:kern w:val="22"/>
                <w:sz w:val="21"/>
                <w:szCs w:val="21"/>
                <w:lang w:val="fr-FR"/>
              </w:rPr>
              <w:t>G</w:t>
            </w:r>
            <w:r w:rsidRPr="00B97567">
              <w:rPr>
                <w:rFonts w:asciiTheme="majorBidi" w:hAnsiTheme="majorBidi" w:cstheme="majorBidi"/>
                <w:kern w:val="22"/>
                <w:sz w:val="21"/>
                <w:szCs w:val="21"/>
                <w:lang w:val="fr-FR"/>
              </w:rPr>
              <w:t>ouvernementales nationales</w:t>
            </w:r>
          </w:p>
        </w:tc>
        <w:tc>
          <w:tcPr>
            <w:tcW w:w="552" w:type="pct"/>
          </w:tcPr>
          <w:p w14:paraId="468E2842" w14:textId="77777777" w:rsidR="006B112D" w:rsidRPr="009A459D" w:rsidRDefault="006B112D" w:rsidP="001F4589">
            <w:pPr>
              <w:widowControl w:val="0"/>
              <w:rPr>
                <w:rFonts w:asciiTheme="majorBidi" w:hAnsiTheme="majorBidi" w:cstheme="majorBidi"/>
                <w:kern w:val="22"/>
                <w:sz w:val="21"/>
                <w:szCs w:val="21"/>
                <w:lang w:val="fr-CA"/>
              </w:rPr>
            </w:pPr>
          </w:p>
        </w:tc>
        <w:tc>
          <w:tcPr>
            <w:tcW w:w="557" w:type="pct"/>
            <w:shd w:val="clear" w:color="auto" w:fill="auto"/>
          </w:tcPr>
          <w:p w14:paraId="56AB527A" w14:textId="77777777" w:rsidR="006B112D" w:rsidRPr="009A459D" w:rsidRDefault="006B112D" w:rsidP="001F4589">
            <w:pPr>
              <w:widowControl w:val="0"/>
              <w:jc w:val="left"/>
              <w:rPr>
                <w:rFonts w:asciiTheme="majorBidi" w:hAnsiTheme="majorBidi" w:cstheme="majorBidi"/>
                <w:kern w:val="22"/>
                <w:sz w:val="21"/>
                <w:szCs w:val="21"/>
                <w:lang w:val="fr-CA"/>
              </w:rPr>
            </w:pPr>
          </w:p>
        </w:tc>
      </w:tr>
      <w:tr w:rsidR="00BE29D1" w:rsidRPr="009A459D" w14:paraId="5D8E83C2" w14:textId="77777777" w:rsidTr="001F4589">
        <w:tc>
          <w:tcPr>
            <w:tcW w:w="819" w:type="pct"/>
            <w:vMerge w:val="restart"/>
            <w:shd w:val="clear" w:color="auto" w:fill="auto"/>
          </w:tcPr>
          <w:p w14:paraId="4D44927E" w14:textId="23CC1A3D" w:rsidR="006B112D" w:rsidRPr="009A459D" w:rsidRDefault="001E1F71" w:rsidP="00482485">
            <w:pPr>
              <w:pStyle w:val="ListParagraph"/>
              <w:widowControl w:val="0"/>
              <w:numPr>
                <w:ilvl w:val="0"/>
                <w:numId w:val="25"/>
              </w:numPr>
              <w:ind w:left="250" w:hanging="270"/>
              <w:jc w:val="left"/>
              <w:rPr>
                <w:rFonts w:asciiTheme="majorBidi" w:eastAsia="MS Mincho" w:hAnsiTheme="majorBidi" w:cstheme="majorBidi"/>
                <w:bCs/>
                <w:noProof/>
                <w:snapToGrid w:val="0"/>
                <w:kern w:val="22"/>
                <w:sz w:val="21"/>
                <w:szCs w:val="21"/>
                <w:lang w:val="fr-CA"/>
              </w:rPr>
            </w:pPr>
            <w:r w:rsidRPr="009A459D">
              <w:rPr>
                <w:rFonts w:asciiTheme="majorBidi" w:eastAsia="MS Mincho" w:hAnsiTheme="majorBidi" w:cstheme="majorBidi"/>
                <w:bCs/>
                <w:noProof/>
                <w:snapToGrid w:val="0"/>
                <w:kern w:val="22"/>
                <w:sz w:val="21"/>
                <w:szCs w:val="21"/>
                <w:lang w:val="fr-CA"/>
              </w:rPr>
              <w:t>Identification et promotion des meilleures pratiques et des ressources</w:t>
            </w:r>
          </w:p>
        </w:tc>
        <w:tc>
          <w:tcPr>
            <w:tcW w:w="3072" w:type="pct"/>
          </w:tcPr>
          <w:p w14:paraId="5AB4D2F3" w14:textId="2EF18069" w:rsidR="006B112D" w:rsidRPr="00B97567" w:rsidRDefault="00B97567" w:rsidP="001F4589">
            <w:pPr>
              <w:pStyle w:val="ListParagraph"/>
              <w:widowControl w:val="0"/>
              <w:numPr>
                <w:ilvl w:val="0"/>
                <w:numId w:val="18"/>
              </w:numPr>
              <w:spacing w:after="60"/>
              <w:jc w:val="left"/>
              <w:rPr>
                <w:rFonts w:asciiTheme="majorBidi" w:eastAsia="MS Mincho" w:hAnsiTheme="majorBidi" w:cstheme="majorBidi"/>
                <w:bCs/>
                <w:noProof/>
                <w:snapToGrid w:val="0"/>
                <w:kern w:val="22"/>
                <w:sz w:val="21"/>
                <w:szCs w:val="21"/>
                <w:lang w:val="fr-FR"/>
              </w:rPr>
            </w:pPr>
            <w:r w:rsidRPr="00B97567">
              <w:rPr>
                <w:rFonts w:asciiTheme="majorBidi" w:eastAsia="MS Mincho" w:hAnsiTheme="majorBidi" w:cstheme="majorBidi"/>
                <w:bCs/>
                <w:noProof/>
                <w:snapToGrid w:val="0"/>
                <w:kern w:val="22"/>
                <w:sz w:val="21"/>
                <w:szCs w:val="21"/>
                <w:lang w:val="fr-FR"/>
              </w:rPr>
              <w:t xml:space="preserve">Faciliter le partage des informations pertinentes, des réussites et des meilleures pratiques en matière de gestion de l'information et des connaissances </w:t>
            </w:r>
          </w:p>
        </w:tc>
        <w:tc>
          <w:tcPr>
            <w:tcW w:w="552" w:type="pct"/>
          </w:tcPr>
          <w:p w14:paraId="660D92AF" w14:textId="77777777" w:rsidR="006B112D" w:rsidRPr="009A459D" w:rsidRDefault="006B112D" w:rsidP="001F4589">
            <w:pPr>
              <w:widowControl w:val="0"/>
              <w:rPr>
                <w:rFonts w:asciiTheme="majorBidi" w:eastAsia="MS Mincho" w:hAnsiTheme="majorBidi" w:cstheme="majorBidi"/>
                <w:bCs/>
                <w:noProof/>
                <w:snapToGrid w:val="0"/>
                <w:kern w:val="22"/>
                <w:sz w:val="21"/>
                <w:szCs w:val="21"/>
                <w:lang w:val="fr-CA"/>
              </w:rPr>
            </w:pPr>
          </w:p>
        </w:tc>
        <w:tc>
          <w:tcPr>
            <w:tcW w:w="557" w:type="pct"/>
            <w:shd w:val="clear" w:color="auto" w:fill="auto"/>
          </w:tcPr>
          <w:p w14:paraId="31C13EAF" w14:textId="77777777" w:rsidR="006B112D" w:rsidRPr="009A459D" w:rsidRDefault="006B112D" w:rsidP="001F4589">
            <w:pPr>
              <w:widowControl w:val="0"/>
              <w:jc w:val="left"/>
              <w:rPr>
                <w:rFonts w:asciiTheme="majorBidi" w:eastAsia="MS Mincho" w:hAnsiTheme="majorBidi" w:cstheme="majorBidi"/>
                <w:bCs/>
                <w:noProof/>
                <w:snapToGrid w:val="0"/>
                <w:kern w:val="22"/>
                <w:sz w:val="21"/>
                <w:szCs w:val="21"/>
                <w:lang w:val="fr-CA"/>
              </w:rPr>
            </w:pPr>
          </w:p>
        </w:tc>
      </w:tr>
      <w:tr w:rsidR="00BE29D1" w:rsidRPr="009A459D" w14:paraId="27A44C2E" w14:textId="77777777" w:rsidTr="001F4589">
        <w:tc>
          <w:tcPr>
            <w:tcW w:w="819" w:type="pct"/>
            <w:vMerge/>
            <w:tcBorders>
              <w:bottom w:val="nil"/>
            </w:tcBorders>
            <w:shd w:val="clear" w:color="auto" w:fill="auto"/>
          </w:tcPr>
          <w:p w14:paraId="3F618E8E" w14:textId="77777777" w:rsidR="006B112D" w:rsidRPr="009A459D" w:rsidRDefault="006B112D" w:rsidP="001F4589">
            <w:pPr>
              <w:widowControl w:val="0"/>
              <w:rPr>
                <w:rFonts w:asciiTheme="majorBidi" w:eastAsia="MS Mincho" w:hAnsiTheme="majorBidi" w:cstheme="majorBidi"/>
                <w:bCs/>
                <w:noProof/>
                <w:snapToGrid w:val="0"/>
                <w:kern w:val="22"/>
                <w:sz w:val="21"/>
                <w:szCs w:val="21"/>
                <w:lang w:val="fr-CA"/>
              </w:rPr>
            </w:pPr>
          </w:p>
        </w:tc>
        <w:tc>
          <w:tcPr>
            <w:tcW w:w="3072" w:type="pct"/>
          </w:tcPr>
          <w:p w14:paraId="1CA6B8B4" w14:textId="047A090C" w:rsidR="006B112D" w:rsidRPr="00B97567" w:rsidRDefault="00B97567" w:rsidP="001F4589">
            <w:pPr>
              <w:pStyle w:val="ListParagraph"/>
              <w:widowControl w:val="0"/>
              <w:numPr>
                <w:ilvl w:val="0"/>
                <w:numId w:val="18"/>
              </w:numPr>
              <w:spacing w:after="60"/>
              <w:jc w:val="left"/>
              <w:rPr>
                <w:rFonts w:asciiTheme="majorBidi" w:eastAsia="MS Mincho" w:hAnsiTheme="majorBidi" w:cstheme="majorBidi"/>
                <w:bCs/>
                <w:noProof/>
                <w:snapToGrid w:val="0"/>
                <w:kern w:val="22"/>
                <w:sz w:val="21"/>
                <w:szCs w:val="21"/>
                <w:lang w:val="fr-FR"/>
              </w:rPr>
            </w:pPr>
            <w:r w:rsidRPr="00B97567">
              <w:rPr>
                <w:rFonts w:asciiTheme="majorBidi" w:eastAsia="MS Mincho" w:hAnsiTheme="majorBidi" w:cstheme="majorBidi"/>
                <w:bCs/>
                <w:noProof/>
                <w:snapToGrid w:val="0"/>
                <w:kern w:val="22"/>
                <w:sz w:val="21"/>
                <w:szCs w:val="21"/>
                <w:lang w:val="fr-FR"/>
              </w:rPr>
              <w:t xml:space="preserve">Identifier, cartographier et faire connaître les données, informations et sources de connaissances pertinentes existantes en matière de biodiversité </w:t>
            </w:r>
          </w:p>
        </w:tc>
        <w:tc>
          <w:tcPr>
            <w:tcW w:w="552" w:type="pct"/>
          </w:tcPr>
          <w:p w14:paraId="43088012" w14:textId="77777777" w:rsidR="006B112D" w:rsidRPr="009A459D" w:rsidRDefault="006B112D" w:rsidP="001F4589">
            <w:pPr>
              <w:widowControl w:val="0"/>
              <w:rPr>
                <w:rFonts w:asciiTheme="majorBidi" w:eastAsia="MS Mincho" w:hAnsiTheme="majorBidi" w:cstheme="majorBidi"/>
                <w:bCs/>
                <w:noProof/>
                <w:snapToGrid w:val="0"/>
                <w:kern w:val="22"/>
                <w:sz w:val="21"/>
                <w:szCs w:val="21"/>
                <w:lang w:val="fr-CA"/>
              </w:rPr>
            </w:pPr>
          </w:p>
        </w:tc>
        <w:tc>
          <w:tcPr>
            <w:tcW w:w="557" w:type="pct"/>
            <w:shd w:val="clear" w:color="auto" w:fill="auto"/>
          </w:tcPr>
          <w:p w14:paraId="38261299" w14:textId="77777777" w:rsidR="006B112D" w:rsidRPr="009A459D" w:rsidRDefault="006B112D" w:rsidP="001F4589">
            <w:pPr>
              <w:widowControl w:val="0"/>
              <w:jc w:val="left"/>
              <w:rPr>
                <w:rFonts w:asciiTheme="majorBidi" w:eastAsia="MS Mincho" w:hAnsiTheme="majorBidi" w:cstheme="majorBidi"/>
                <w:bCs/>
                <w:noProof/>
                <w:snapToGrid w:val="0"/>
                <w:kern w:val="22"/>
                <w:sz w:val="21"/>
                <w:szCs w:val="21"/>
                <w:lang w:val="fr-CA"/>
              </w:rPr>
            </w:pPr>
          </w:p>
        </w:tc>
      </w:tr>
      <w:tr w:rsidR="00BE29D1" w:rsidRPr="009A459D" w14:paraId="33BE1A48" w14:textId="77777777" w:rsidTr="001F4589">
        <w:tc>
          <w:tcPr>
            <w:tcW w:w="819" w:type="pct"/>
            <w:tcBorders>
              <w:top w:val="nil"/>
              <w:bottom w:val="nil"/>
            </w:tcBorders>
            <w:shd w:val="clear" w:color="auto" w:fill="auto"/>
          </w:tcPr>
          <w:p w14:paraId="650B36F5" w14:textId="77777777" w:rsidR="006B112D" w:rsidRPr="009A459D" w:rsidRDefault="006B112D" w:rsidP="00482485">
            <w:pPr>
              <w:widowControl w:val="0"/>
              <w:rPr>
                <w:rFonts w:asciiTheme="majorBidi" w:eastAsia="MS Mincho" w:hAnsiTheme="majorBidi" w:cstheme="majorBidi"/>
                <w:bCs/>
                <w:noProof/>
                <w:snapToGrid w:val="0"/>
                <w:kern w:val="22"/>
                <w:sz w:val="21"/>
                <w:szCs w:val="21"/>
                <w:lang w:val="fr-CA"/>
              </w:rPr>
            </w:pPr>
          </w:p>
        </w:tc>
        <w:tc>
          <w:tcPr>
            <w:tcW w:w="3072" w:type="pct"/>
          </w:tcPr>
          <w:p w14:paraId="7A484252" w14:textId="5BB00B73" w:rsidR="006B112D" w:rsidRPr="00B97567" w:rsidRDefault="00B97567" w:rsidP="001F4589">
            <w:pPr>
              <w:pStyle w:val="ListParagraph"/>
              <w:widowControl w:val="0"/>
              <w:numPr>
                <w:ilvl w:val="0"/>
                <w:numId w:val="18"/>
              </w:numPr>
              <w:jc w:val="left"/>
              <w:rPr>
                <w:rFonts w:asciiTheme="majorBidi" w:eastAsia="MS Mincho" w:hAnsiTheme="majorBidi" w:cstheme="majorBidi"/>
                <w:bCs/>
                <w:noProof/>
                <w:snapToGrid w:val="0"/>
                <w:kern w:val="22"/>
                <w:sz w:val="21"/>
                <w:szCs w:val="21"/>
                <w:lang w:val="fr-FR"/>
              </w:rPr>
            </w:pPr>
            <w:r w:rsidRPr="00B97567">
              <w:rPr>
                <w:rFonts w:asciiTheme="majorBidi" w:eastAsia="MS Mincho" w:hAnsiTheme="majorBidi" w:cstheme="majorBidi"/>
                <w:bCs/>
                <w:noProof/>
                <w:snapToGrid w:val="0"/>
                <w:kern w:val="22"/>
                <w:sz w:val="21"/>
                <w:szCs w:val="21"/>
                <w:lang w:val="fr-FR"/>
              </w:rPr>
              <w:t xml:space="preserve">Identifier, promouvoir et faciliter la mise en œuvre et la mise à l'échelle d'outils innovants de gestion des connaissances </w:t>
            </w:r>
          </w:p>
        </w:tc>
        <w:tc>
          <w:tcPr>
            <w:tcW w:w="552" w:type="pct"/>
          </w:tcPr>
          <w:p w14:paraId="41254484" w14:textId="77777777" w:rsidR="006B112D" w:rsidRPr="009A459D" w:rsidRDefault="006B112D" w:rsidP="001F4589">
            <w:pPr>
              <w:widowControl w:val="0"/>
              <w:rPr>
                <w:rFonts w:asciiTheme="majorBidi" w:eastAsia="MS Mincho" w:hAnsiTheme="majorBidi" w:cstheme="majorBidi"/>
                <w:bCs/>
                <w:noProof/>
                <w:snapToGrid w:val="0"/>
                <w:kern w:val="22"/>
                <w:sz w:val="21"/>
                <w:szCs w:val="21"/>
                <w:lang w:val="fr-CA"/>
              </w:rPr>
            </w:pPr>
          </w:p>
        </w:tc>
        <w:tc>
          <w:tcPr>
            <w:tcW w:w="557" w:type="pct"/>
            <w:shd w:val="clear" w:color="auto" w:fill="auto"/>
          </w:tcPr>
          <w:p w14:paraId="4DC25830" w14:textId="77777777" w:rsidR="006B112D" w:rsidRPr="009A459D" w:rsidRDefault="006B112D" w:rsidP="001F4589">
            <w:pPr>
              <w:widowControl w:val="0"/>
              <w:jc w:val="left"/>
              <w:rPr>
                <w:rFonts w:asciiTheme="majorBidi" w:eastAsia="MS Mincho" w:hAnsiTheme="majorBidi" w:cstheme="majorBidi"/>
                <w:bCs/>
                <w:noProof/>
                <w:snapToGrid w:val="0"/>
                <w:kern w:val="22"/>
                <w:sz w:val="21"/>
                <w:szCs w:val="21"/>
                <w:lang w:val="fr-CA"/>
              </w:rPr>
            </w:pPr>
          </w:p>
        </w:tc>
      </w:tr>
      <w:tr w:rsidR="00BE29D1" w:rsidRPr="009A459D" w14:paraId="62915E03" w14:textId="77777777" w:rsidTr="001F4589">
        <w:tc>
          <w:tcPr>
            <w:tcW w:w="819" w:type="pct"/>
            <w:tcBorders>
              <w:top w:val="nil"/>
            </w:tcBorders>
            <w:shd w:val="clear" w:color="auto" w:fill="auto"/>
          </w:tcPr>
          <w:p w14:paraId="1F0304C4" w14:textId="77777777" w:rsidR="006B112D" w:rsidRPr="009A459D" w:rsidRDefault="006B112D" w:rsidP="00482485">
            <w:pPr>
              <w:widowControl w:val="0"/>
              <w:rPr>
                <w:rFonts w:asciiTheme="majorBidi" w:eastAsia="MS Mincho" w:hAnsiTheme="majorBidi" w:cstheme="majorBidi"/>
                <w:bCs/>
                <w:noProof/>
                <w:snapToGrid w:val="0"/>
                <w:kern w:val="22"/>
                <w:sz w:val="21"/>
                <w:szCs w:val="21"/>
                <w:lang w:val="fr-CA"/>
              </w:rPr>
            </w:pPr>
          </w:p>
        </w:tc>
        <w:tc>
          <w:tcPr>
            <w:tcW w:w="3072" w:type="pct"/>
          </w:tcPr>
          <w:p w14:paraId="51DA870E" w14:textId="35460CAB" w:rsidR="006B112D" w:rsidRPr="00B97567" w:rsidRDefault="00B97567" w:rsidP="001F4589">
            <w:pPr>
              <w:pStyle w:val="ListParagraph"/>
              <w:widowControl w:val="0"/>
              <w:numPr>
                <w:ilvl w:val="0"/>
                <w:numId w:val="18"/>
              </w:numPr>
              <w:jc w:val="left"/>
              <w:rPr>
                <w:rFonts w:asciiTheme="majorBidi" w:eastAsia="MS Mincho" w:hAnsiTheme="majorBidi" w:cstheme="majorBidi"/>
                <w:bCs/>
                <w:noProof/>
                <w:snapToGrid w:val="0"/>
                <w:kern w:val="22"/>
                <w:sz w:val="21"/>
                <w:szCs w:val="21"/>
                <w:lang w:val="fr-FR"/>
              </w:rPr>
            </w:pPr>
            <w:r w:rsidRPr="00B97567">
              <w:rPr>
                <w:rFonts w:asciiTheme="majorBidi" w:eastAsia="MS Mincho" w:hAnsiTheme="majorBidi" w:cstheme="majorBidi"/>
                <w:bCs/>
                <w:noProof/>
                <w:snapToGrid w:val="0"/>
                <w:kern w:val="22"/>
                <w:sz w:val="21"/>
                <w:szCs w:val="21"/>
                <w:lang w:val="fr-FR"/>
              </w:rPr>
              <w:t xml:space="preserve">Promouvoir l'utilisation d'études de cas pertinentes sur la gestion de l'information </w:t>
            </w:r>
          </w:p>
        </w:tc>
        <w:tc>
          <w:tcPr>
            <w:tcW w:w="552" w:type="pct"/>
          </w:tcPr>
          <w:p w14:paraId="477BF23C" w14:textId="77777777" w:rsidR="006B112D" w:rsidRPr="009A459D" w:rsidRDefault="006B112D" w:rsidP="001F4589">
            <w:pPr>
              <w:widowControl w:val="0"/>
              <w:rPr>
                <w:rFonts w:asciiTheme="majorBidi" w:eastAsia="MS Mincho" w:hAnsiTheme="majorBidi" w:cstheme="majorBidi"/>
                <w:bCs/>
                <w:noProof/>
                <w:snapToGrid w:val="0"/>
                <w:kern w:val="22"/>
                <w:sz w:val="21"/>
                <w:szCs w:val="21"/>
                <w:lang w:val="fr-CA"/>
              </w:rPr>
            </w:pPr>
          </w:p>
        </w:tc>
        <w:tc>
          <w:tcPr>
            <w:tcW w:w="557" w:type="pct"/>
            <w:shd w:val="clear" w:color="auto" w:fill="auto"/>
          </w:tcPr>
          <w:p w14:paraId="7908D2F1" w14:textId="77777777" w:rsidR="006B112D" w:rsidRPr="009A459D" w:rsidRDefault="006B112D" w:rsidP="001F4589">
            <w:pPr>
              <w:widowControl w:val="0"/>
              <w:jc w:val="left"/>
              <w:rPr>
                <w:rFonts w:asciiTheme="majorBidi" w:eastAsia="MS Mincho" w:hAnsiTheme="majorBidi" w:cstheme="majorBidi"/>
                <w:bCs/>
                <w:noProof/>
                <w:snapToGrid w:val="0"/>
                <w:kern w:val="22"/>
                <w:sz w:val="21"/>
                <w:szCs w:val="21"/>
                <w:lang w:val="fr-CA"/>
              </w:rPr>
            </w:pPr>
          </w:p>
        </w:tc>
      </w:tr>
    </w:tbl>
    <w:p w14:paraId="61567BEC" w14:textId="77777777" w:rsidR="008D35A6" w:rsidRPr="006023C7" w:rsidRDefault="008D35A6" w:rsidP="008D35A6">
      <w:pPr>
        <w:pStyle w:val="CBD-Para"/>
        <w:keepLines w:val="0"/>
        <w:numPr>
          <w:ilvl w:val="0"/>
          <w:numId w:val="0"/>
        </w:numPr>
        <w:spacing w:before="0" w:after="0"/>
        <w:jc w:val="center"/>
        <w:rPr>
          <w:kern w:val="22"/>
          <w:lang w:val="en-GB"/>
        </w:rPr>
      </w:pPr>
      <w:r w:rsidRPr="006023C7">
        <w:rPr>
          <w:kern w:val="22"/>
          <w:lang w:val="en-GB"/>
        </w:rPr>
        <w:t>__________</w:t>
      </w:r>
    </w:p>
    <w:p w14:paraId="28FB5681" w14:textId="6892C32D" w:rsidR="00B3369F" w:rsidRPr="001F4589" w:rsidRDefault="00B3369F" w:rsidP="008D35A6">
      <w:pPr>
        <w:pStyle w:val="CBD-Para"/>
        <w:keepLines w:val="0"/>
        <w:numPr>
          <w:ilvl w:val="0"/>
          <w:numId w:val="0"/>
        </w:numPr>
        <w:spacing w:before="0" w:after="0"/>
        <w:jc w:val="center"/>
        <w:rPr>
          <w:kern w:val="22"/>
          <w:lang w:val="en-GB"/>
        </w:rPr>
      </w:pPr>
    </w:p>
    <w:sectPr w:rsidR="00B3369F" w:rsidRPr="001F4589" w:rsidSect="001F4589">
      <w:pgSz w:w="15840" w:h="12240" w:orient="landscape"/>
      <w:pgMar w:top="1389" w:right="567" w:bottom="1389" w:left="1134" w:header="56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059B0" w14:textId="77777777" w:rsidR="00E231B8" w:rsidRDefault="00E231B8" w:rsidP="00CF1848">
      <w:r>
        <w:separator/>
      </w:r>
    </w:p>
  </w:endnote>
  <w:endnote w:type="continuationSeparator" w:id="0">
    <w:p w14:paraId="72C3F66E" w14:textId="77777777" w:rsidR="00E231B8" w:rsidRDefault="00E231B8"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2B862" w14:textId="77777777" w:rsidR="00E231B8" w:rsidRDefault="00E231B8" w:rsidP="00CF1848">
      <w:r>
        <w:separator/>
      </w:r>
    </w:p>
  </w:footnote>
  <w:footnote w:type="continuationSeparator" w:id="0">
    <w:p w14:paraId="36CE1BAC" w14:textId="77777777" w:rsidR="00E231B8" w:rsidRDefault="00E231B8" w:rsidP="00CF1848">
      <w:r>
        <w:continuationSeparator/>
      </w:r>
    </w:p>
  </w:footnote>
  <w:footnote w:id="1">
    <w:p w14:paraId="3BC4B8E5" w14:textId="77777777" w:rsidR="007B78FD" w:rsidRPr="009A459D" w:rsidRDefault="007B78FD" w:rsidP="00AC4770">
      <w:pPr>
        <w:pStyle w:val="FootnoteText"/>
        <w:suppressLineNumbers/>
        <w:suppressAutoHyphens/>
        <w:ind w:firstLine="0"/>
        <w:jc w:val="left"/>
        <w:rPr>
          <w:kern w:val="18"/>
          <w:szCs w:val="18"/>
          <w:lang w:val="fr-CA"/>
        </w:rPr>
      </w:pPr>
      <w:r w:rsidRPr="009A459D">
        <w:rPr>
          <w:rStyle w:val="FootnoteReference"/>
          <w:kern w:val="18"/>
          <w:sz w:val="18"/>
          <w:szCs w:val="18"/>
          <w:vertAlign w:val="baseline"/>
          <w:lang w:val="fr-CA"/>
        </w:rPr>
        <w:t>*</w:t>
      </w:r>
      <w:r w:rsidRPr="009A459D">
        <w:rPr>
          <w:kern w:val="18"/>
          <w:szCs w:val="18"/>
          <w:lang w:val="fr-CA"/>
        </w:rPr>
        <w:t xml:space="preserve"> CBD/SBI/3/1.</w:t>
      </w:r>
    </w:p>
  </w:footnote>
  <w:footnote w:id="2">
    <w:p w14:paraId="289B680C" w14:textId="59302BF4" w:rsidR="00FE3FE5" w:rsidRPr="00FE3FE5" w:rsidRDefault="00FE3FE5" w:rsidP="00FE3FE5">
      <w:pPr>
        <w:pStyle w:val="FootnoteText"/>
        <w:ind w:firstLine="0"/>
        <w:rPr>
          <w:lang w:val="fr-FR"/>
        </w:rPr>
      </w:pPr>
      <w:r>
        <w:rPr>
          <w:rStyle w:val="FootnoteReference"/>
        </w:rPr>
        <w:footnoteRef/>
      </w:r>
      <w:r w:rsidRPr="009A459D">
        <w:rPr>
          <w:lang w:val="fr-CA"/>
        </w:rPr>
        <w:t xml:space="preserve"> </w:t>
      </w:r>
      <w:r w:rsidR="003B381E">
        <w:rPr>
          <w:lang w:val="fr-FR"/>
        </w:rPr>
        <w:t>Les exemples sont les</w:t>
      </w:r>
      <w:r w:rsidRPr="00FE3FE5">
        <w:rPr>
          <w:lang w:val="fr-FR"/>
        </w:rPr>
        <w:t xml:space="preserve"> Articles 17 et 18 de la </w:t>
      </w:r>
      <w:r w:rsidR="00233939">
        <w:rPr>
          <w:lang w:val="fr-FR"/>
        </w:rPr>
        <w:t>C</w:t>
      </w:r>
      <w:r w:rsidRPr="00FE3FE5">
        <w:rPr>
          <w:lang w:val="fr-FR"/>
        </w:rPr>
        <w:t xml:space="preserve">onvention sur la diversité biologique, </w:t>
      </w:r>
      <w:r w:rsidR="003B381E">
        <w:rPr>
          <w:lang w:val="fr-FR"/>
        </w:rPr>
        <w:t>l’A</w:t>
      </w:r>
      <w:r w:rsidRPr="00FE3FE5">
        <w:rPr>
          <w:lang w:val="fr-FR"/>
        </w:rPr>
        <w:t xml:space="preserve">rticle 20 du </w:t>
      </w:r>
      <w:r w:rsidR="00233939">
        <w:rPr>
          <w:lang w:val="fr-FR"/>
        </w:rPr>
        <w:t>P</w:t>
      </w:r>
      <w:r w:rsidRPr="00FE3FE5">
        <w:rPr>
          <w:lang w:val="fr-FR"/>
        </w:rPr>
        <w:t>rotocole de Cart</w:t>
      </w:r>
      <w:r w:rsidR="00233939">
        <w:rPr>
          <w:lang w:val="fr-FR"/>
        </w:rPr>
        <w:t>agena</w:t>
      </w:r>
      <w:r w:rsidRPr="00FE3FE5">
        <w:rPr>
          <w:lang w:val="fr-FR"/>
        </w:rPr>
        <w:t xml:space="preserve"> sur la </w:t>
      </w:r>
      <w:r w:rsidR="00233939">
        <w:rPr>
          <w:lang w:val="fr-FR"/>
        </w:rPr>
        <w:t>prévention des risques biotechnologiques,</w:t>
      </w:r>
      <w:r w:rsidRPr="00FE3FE5">
        <w:rPr>
          <w:lang w:val="fr-FR"/>
        </w:rPr>
        <w:t xml:space="preserve"> </w:t>
      </w:r>
      <w:r w:rsidR="003B381E">
        <w:rPr>
          <w:lang w:val="fr-FR"/>
        </w:rPr>
        <w:t>l’A</w:t>
      </w:r>
      <w:r w:rsidRPr="00FE3FE5">
        <w:rPr>
          <w:lang w:val="fr-FR"/>
        </w:rPr>
        <w:t xml:space="preserve">rticle 14 du </w:t>
      </w:r>
      <w:r w:rsidR="00233939">
        <w:rPr>
          <w:lang w:val="fr-FR"/>
        </w:rPr>
        <w:t>P</w:t>
      </w:r>
      <w:r w:rsidRPr="00FE3FE5">
        <w:rPr>
          <w:lang w:val="fr-FR"/>
        </w:rPr>
        <w:t xml:space="preserve">rotocole de Nagoya, </w:t>
      </w:r>
      <w:r w:rsidR="003B381E">
        <w:rPr>
          <w:lang w:val="fr-FR"/>
        </w:rPr>
        <w:t>les A</w:t>
      </w:r>
      <w:r w:rsidRPr="00FE3FE5">
        <w:rPr>
          <w:lang w:val="fr-FR"/>
        </w:rPr>
        <w:t xml:space="preserve">rticles VI et VIII de la </w:t>
      </w:r>
      <w:r w:rsidR="00233939">
        <w:rPr>
          <w:lang w:val="fr-FR"/>
        </w:rPr>
        <w:t>C</w:t>
      </w:r>
      <w:r w:rsidRPr="00FE3FE5">
        <w:rPr>
          <w:lang w:val="fr-FR"/>
        </w:rPr>
        <w:t>onvention sur le commerce international des espèces de faune et de flore sauvages menacées d'extinction</w:t>
      </w:r>
      <w:r w:rsidRPr="009A459D">
        <w:rPr>
          <w:lang w:val="fr-CA"/>
        </w:rPr>
        <w:t xml:space="preserve">, </w:t>
      </w:r>
      <w:r w:rsidR="003B381E" w:rsidRPr="009A459D">
        <w:rPr>
          <w:lang w:val="fr-CA"/>
        </w:rPr>
        <w:t xml:space="preserve">les </w:t>
      </w:r>
      <w:r w:rsidR="003B381E">
        <w:rPr>
          <w:lang w:val="fr-FR"/>
        </w:rPr>
        <w:t>A</w:t>
      </w:r>
      <w:r w:rsidRPr="00FE3FE5">
        <w:rPr>
          <w:lang w:val="fr-FR"/>
        </w:rPr>
        <w:t xml:space="preserve">rticles 3 et 6 de la </w:t>
      </w:r>
      <w:r w:rsidR="00233939">
        <w:rPr>
          <w:lang w:val="fr-FR"/>
        </w:rPr>
        <w:t>C</w:t>
      </w:r>
      <w:r w:rsidRPr="00FE3FE5">
        <w:rPr>
          <w:lang w:val="fr-FR"/>
        </w:rPr>
        <w:t>onvention de Ramsar</w:t>
      </w:r>
      <w:r w:rsidR="003B381E">
        <w:rPr>
          <w:lang w:val="fr-FR"/>
        </w:rPr>
        <w:t xml:space="preserve"> et l’A</w:t>
      </w:r>
      <w:r w:rsidRPr="00FE3FE5">
        <w:rPr>
          <w:lang w:val="fr-FR"/>
        </w:rPr>
        <w:t xml:space="preserve">rticle V de la </w:t>
      </w:r>
      <w:r w:rsidR="00233939">
        <w:rPr>
          <w:lang w:val="fr-FR"/>
        </w:rPr>
        <w:t>C</w:t>
      </w:r>
      <w:r w:rsidRPr="00FE3FE5">
        <w:rPr>
          <w:lang w:val="fr-FR"/>
        </w:rPr>
        <w:t>onvention sur l</w:t>
      </w:r>
      <w:r w:rsidR="00233939">
        <w:rPr>
          <w:lang w:val="fr-FR"/>
        </w:rPr>
        <w:t xml:space="preserve">a conservation des </w:t>
      </w:r>
      <w:r w:rsidRPr="00FE3FE5">
        <w:rPr>
          <w:lang w:val="fr-FR"/>
        </w:rPr>
        <w:t>espèces migratrices</w:t>
      </w:r>
      <w:r w:rsidR="003B381E">
        <w:rPr>
          <w:lang w:val="fr-FR"/>
        </w:rPr>
        <w:t xml:space="preserve">. </w:t>
      </w:r>
    </w:p>
  </w:footnote>
  <w:footnote w:id="3">
    <w:p w14:paraId="188E9A9B" w14:textId="1B9D723C" w:rsidR="00FE3FE5" w:rsidRPr="00FE3FE5" w:rsidRDefault="00FE3FE5" w:rsidP="00FE3FE5">
      <w:pPr>
        <w:pStyle w:val="FootnoteText"/>
        <w:ind w:firstLine="0"/>
        <w:rPr>
          <w:lang w:val="fr-FR"/>
        </w:rPr>
      </w:pPr>
      <w:r>
        <w:rPr>
          <w:rStyle w:val="FootnoteReference"/>
        </w:rPr>
        <w:footnoteRef/>
      </w:r>
      <w:r w:rsidRPr="009A459D">
        <w:rPr>
          <w:lang w:val="fr-CA"/>
        </w:rPr>
        <w:t xml:space="preserve"> </w:t>
      </w:r>
      <w:r w:rsidRPr="00FE3FE5">
        <w:rPr>
          <w:lang w:val="fr-FR"/>
        </w:rPr>
        <w:t>Décision X/2.</w:t>
      </w:r>
      <w:r w:rsidRPr="009A459D">
        <w:rPr>
          <w:lang w:val="fr-CA"/>
        </w:rPr>
        <w:t xml:space="preserve">  </w:t>
      </w:r>
    </w:p>
  </w:footnote>
  <w:footnote w:id="4">
    <w:p w14:paraId="7E5F7F29" w14:textId="340CACF3" w:rsidR="007B78FD" w:rsidRPr="009A459D" w:rsidRDefault="007B78FD" w:rsidP="006435AA">
      <w:pPr>
        <w:pStyle w:val="FootnoteText"/>
        <w:ind w:firstLine="0"/>
        <w:rPr>
          <w:lang w:val="fr-CA"/>
        </w:rPr>
      </w:pPr>
      <w:r w:rsidRPr="001F4589">
        <w:rPr>
          <w:rStyle w:val="FootnoteReference"/>
          <w:kern w:val="18"/>
        </w:rPr>
        <w:footnoteRef/>
      </w:r>
      <w:r w:rsidRPr="009A459D">
        <w:rPr>
          <w:kern w:val="18"/>
          <w:lang w:val="fr-CA"/>
        </w:rPr>
        <w:t xml:space="preserve"> </w:t>
      </w:r>
      <w:r w:rsidR="00233939" w:rsidRPr="009A459D">
        <w:rPr>
          <w:kern w:val="18"/>
          <w:lang w:val="fr-CA"/>
        </w:rPr>
        <w:t>https://www.cbd.int/gbo/</w:t>
      </w:r>
    </w:p>
  </w:footnote>
  <w:footnote w:id="5">
    <w:p w14:paraId="3140EF59" w14:textId="2DBD398B" w:rsidR="007B78FD" w:rsidRPr="009A459D" w:rsidRDefault="007B78FD" w:rsidP="00740DC1">
      <w:pPr>
        <w:pStyle w:val="FootnoteText"/>
        <w:ind w:firstLine="0"/>
        <w:rPr>
          <w:lang w:val="en-US"/>
        </w:rPr>
      </w:pPr>
      <w:r>
        <w:rPr>
          <w:rStyle w:val="FootnoteReference"/>
        </w:rPr>
        <w:footnoteRef/>
      </w:r>
      <w:r w:rsidRPr="009A459D">
        <w:rPr>
          <w:lang w:val="en-US"/>
        </w:rPr>
        <w:t xml:space="preserve"> </w:t>
      </w:r>
      <w:proofErr w:type="spellStart"/>
      <w:r w:rsidR="003B381E" w:rsidRPr="009A459D">
        <w:rPr>
          <w:lang w:val="en-US"/>
        </w:rPr>
        <w:t>Voir</w:t>
      </w:r>
      <w:proofErr w:type="spellEnd"/>
      <w:r w:rsidR="003B381E" w:rsidRPr="009A459D">
        <w:rPr>
          <w:lang w:val="en-US"/>
        </w:rPr>
        <w:t xml:space="preserve"> le document « </w:t>
      </w:r>
      <w:hyperlink r:id="rId1" w:history="1">
        <w:r w:rsidR="003B381E" w:rsidRPr="009A459D">
          <w:rPr>
            <w:rStyle w:val="Hyperlink"/>
            <w:lang w:val="en-US"/>
          </w:rPr>
          <w:t>Effective use of knowledge in developing the post-2020 global biodiversity framework (CBD/SVI/2/INF/33) </w:t>
        </w:r>
      </w:hyperlink>
      <w:r w:rsidR="003B381E" w:rsidRPr="009A459D">
        <w:rPr>
          <w:lang w:val="en-US"/>
        </w:rPr>
        <w:t xml:space="preserve">» </w:t>
      </w:r>
    </w:p>
  </w:footnote>
  <w:footnote w:id="6">
    <w:p w14:paraId="66D8CB06" w14:textId="69A24D13" w:rsidR="00FE3FE5" w:rsidRPr="009A459D" w:rsidRDefault="00FE3FE5" w:rsidP="00FE3FE5">
      <w:pPr>
        <w:pStyle w:val="FootnoteText"/>
        <w:ind w:firstLine="0"/>
        <w:rPr>
          <w:lang w:val="en-US"/>
        </w:rPr>
      </w:pPr>
      <w:r>
        <w:rPr>
          <w:rStyle w:val="FootnoteReference"/>
        </w:rPr>
        <w:footnoteRef/>
      </w:r>
      <w:r>
        <w:t xml:space="preserve"> </w:t>
      </w:r>
      <w:r w:rsidRPr="009A459D">
        <w:rPr>
          <w:lang w:val="en-US"/>
        </w:rPr>
        <w:t>Source</w:t>
      </w:r>
      <w:r w:rsidR="00C47E09" w:rsidRPr="009A459D">
        <w:rPr>
          <w:lang w:val="en-US"/>
        </w:rPr>
        <w:t xml:space="preserve"> </w:t>
      </w:r>
      <w:r w:rsidRPr="009A459D">
        <w:rPr>
          <w:lang w:val="en-US"/>
        </w:rPr>
        <w:t>: Rowley, J. 2007</w:t>
      </w:r>
      <w:r w:rsidRPr="003102B2">
        <w:rPr>
          <w:lang w:val="en-US"/>
        </w:rPr>
        <w:t>. “</w:t>
      </w:r>
      <w:hyperlink r:id="rId2" w:history="1">
        <w:r w:rsidRPr="001A7966">
          <w:rPr>
            <w:rStyle w:val="Hyperlink"/>
            <w:lang w:val="en-US"/>
          </w:rPr>
          <w:t>The Wisdom Hierarchy: Representations of the DIKW Hierarchy</w:t>
        </w:r>
      </w:hyperlink>
      <w:r w:rsidRPr="003102B2">
        <w:rPr>
          <w:lang w:val="en-US"/>
        </w:rPr>
        <w:t>.”</w:t>
      </w:r>
    </w:p>
  </w:footnote>
  <w:footnote w:id="7">
    <w:p w14:paraId="60070CC5" w14:textId="7307C2CB" w:rsidR="00FE3FE5" w:rsidRPr="00C56620" w:rsidRDefault="00FE3FE5" w:rsidP="00C56620">
      <w:pPr>
        <w:pStyle w:val="FootnoteText"/>
        <w:ind w:firstLine="0"/>
        <w:jc w:val="left"/>
      </w:pPr>
      <w:r>
        <w:rPr>
          <w:rStyle w:val="FootnoteReference"/>
        </w:rPr>
        <w:footnoteRef/>
      </w:r>
      <w:r>
        <w:t xml:space="preserve"> </w:t>
      </w:r>
      <w:hyperlink r:id="rId3" w:history="1">
        <w:r w:rsidR="00C56620" w:rsidRPr="0086666F">
          <w:rPr>
            <w:rStyle w:val="Hyperlink"/>
          </w:rPr>
          <w:t>https://www.cbd.int/chm/</w:t>
        </w:r>
      </w:hyperlink>
      <w:r w:rsidR="00C56620">
        <w:t xml:space="preserve"> ; </w:t>
      </w:r>
      <w:hyperlink r:id="rId4" w:history="1">
        <w:r w:rsidR="00C56620" w:rsidRPr="0086666F">
          <w:rPr>
            <w:rStyle w:val="Hyperlink"/>
          </w:rPr>
          <w:t>http://bch.cbd.int</w:t>
        </w:r>
      </w:hyperlink>
      <w:r w:rsidR="00C56620">
        <w:t xml:space="preserve"> ; </w:t>
      </w:r>
      <w:hyperlink r:id="rId5" w:history="1">
        <w:r w:rsidR="00C56620" w:rsidRPr="0086666F">
          <w:rPr>
            <w:rStyle w:val="Hyperlink"/>
          </w:rPr>
          <w:t>https://absch.cbd.int/fr/</w:t>
        </w:r>
      </w:hyperlink>
      <w:r w:rsidR="00C56620">
        <w:t xml:space="preserve"> ; </w:t>
      </w:r>
      <w:hyperlink r:id="rId6" w:history="1">
        <w:r w:rsidR="00C56620" w:rsidRPr="0086666F">
          <w:rPr>
            <w:rStyle w:val="Hyperlink"/>
          </w:rPr>
          <w:t>https://rsis.ramsar.org/fr?language=fr</w:t>
        </w:r>
      </w:hyperlink>
      <w:r w:rsidR="00C56620">
        <w:t xml:space="preserve"> ; </w:t>
      </w:r>
      <w:hyperlink r:id="rId7" w:history="1">
        <w:r w:rsidR="00C56620" w:rsidRPr="0086666F">
          <w:rPr>
            <w:rStyle w:val="Hyperlink"/>
          </w:rPr>
          <w:t>https://trade.cites.org/fr/cites_trade</w:t>
        </w:r>
      </w:hyperlink>
      <w:r w:rsidR="00C56620">
        <w:t xml:space="preserve">  </w:t>
      </w:r>
    </w:p>
  </w:footnote>
  <w:footnote w:id="8">
    <w:p w14:paraId="41646A4A" w14:textId="75E06613" w:rsidR="00FE3FE5" w:rsidRPr="009A459D" w:rsidRDefault="00FE3FE5" w:rsidP="00FE3FE5">
      <w:pPr>
        <w:pStyle w:val="FootnoteText"/>
        <w:ind w:firstLine="0"/>
      </w:pPr>
      <w:r>
        <w:rPr>
          <w:rStyle w:val="FootnoteReference"/>
        </w:rPr>
        <w:footnoteRef/>
      </w:r>
      <w:r>
        <w:t xml:space="preserve"> </w:t>
      </w:r>
      <w:hyperlink r:id="rId8" w:history="1">
        <w:r w:rsidR="00C56620" w:rsidRPr="0086666F">
          <w:rPr>
            <w:rStyle w:val="Hyperlink"/>
          </w:rPr>
          <w:t>https://www.informea.org/fr</w:t>
        </w:r>
      </w:hyperlink>
      <w:r w:rsidR="00C56620">
        <w:t xml:space="preserve"> </w:t>
      </w:r>
    </w:p>
  </w:footnote>
  <w:footnote w:id="9">
    <w:p w14:paraId="4B7B526D" w14:textId="35389142" w:rsidR="00FE3FE5" w:rsidRPr="009A459D" w:rsidRDefault="00FE3FE5" w:rsidP="00FE3FE5">
      <w:pPr>
        <w:pStyle w:val="FootnoteText"/>
        <w:ind w:firstLine="0"/>
      </w:pPr>
      <w:r>
        <w:rPr>
          <w:rStyle w:val="FootnoteReference"/>
        </w:rPr>
        <w:footnoteRef/>
      </w:r>
      <w:r>
        <w:t xml:space="preserve"> </w:t>
      </w:r>
      <w:r w:rsidR="00C56620" w:rsidRPr="00C56620">
        <w:t>https://www.iucnredlist.org/fr/assessment/sis</w:t>
      </w:r>
    </w:p>
  </w:footnote>
  <w:footnote w:id="10">
    <w:p w14:paraId="64E37389" w14:textId="404F0E0E" w:rsidR="00FE3FE5" w:rsidRPr="00FE3FE5" w:rsidRDefault="00FE3FE5" w:rsidP="00C56620">
      <w:pPr>
        <w:pStyle w:val="FootnoteText"/>
        <w:tabs>
          <w:tab w:val="left" w:pos="2007"/>
        </w:tabs>
        <w:ind w:firstLine="0"/>
        <w:rPr>
          <w:lang w:val="fr-FR"/>
        </w:rPr>
      </w:pPr>
      <w:r>
        <w:rPr>
          <w:rStyle w:val="FootnoteReference"/>
        </w:rPr>
        <w:footnoteRef/>
      </w:r>
      <w:r w:rsidRPr="009A459D">
        <w:rPr>
          <w:lang w:val="fr-CA"/>
        </w:rPr>
        <w:t xml:space="preserve"> </w:t>
      </w:r>
      <w:r w:rsidR="00C56620" w:rsidRPr="009A459D">
        <w:rPr>
          <w:lang w:val="fr-CA"/>
        </w:rPr>
        <w:t>https://www.unbiodiversitylab.org</w:t>
      </w:r>
    </w:p>
  </w:footnote>
  <w:footnote w:id="11">
    <w:p w14:paraId="7E28B364" w14:textId="3FCC220B" w:rsidR="00FE3FE5" w:rsidRPr="00FE3FE5" w:rsidRDefault="00FE3FE5" w:rsidP="00FE3FE5">
      <w:pPr>
        <w:pStyle w:val="FootnoteText"/>
        <w:ind w:firstLine="0"/>
        <w:rPr>
          <w:lang w:val="fr-FR"/>
        </w:rPr>
      </w:pPr>
      <w:r>
        <w:rPr>
          <w:rStyle w:val="FootnoteReference"/>
        </w:rPr>
        <w:footnoteRef/>
      </w:r>
      <w:r w:rsidRPr="009A459D">
        <w:rPr>
          <w:lang w:val="fr-CA"/>
        </w:rPr>
        <w:t xml:space="preserve"> </w:t>
      </w:r>
      <w:hyperlink r:id="rId9" w:history="1">
        <w:r w:rsidR="00C56620" w:rsidRPr="009A459D">
          <w:rPr>
            <w:rStyle w:val="Hyperlink"/>
            <w:lang w:val="fr-CA"/>
          </w:rPr>
          <w:t>https://www.protectedplanet.net/en</w:t>
        </w:r>
      </w:hyperlink>
      <w:r w:rsidR="00C56620" w:rsidRPr="009A459D">
        <w:rPr>
          <w:lang w:val="fr-CA"/>
        </w:rPr>
        <w:t xml:space="preserve"> ; </w:t>
      </w:r>
      <w:hyperlink r:id="rId10" w:history="1">
        <w:r w:rsidR="00C56620" w:rsidRPr="009A459D">
          <w:rPr>
            <w:rStyle w:val="Hyperlink"/>
            <w:lang w:val="fr-CA"/>
          </w:rPr>
          <w:t>https://pame.protectedplanet.net</w:t>
        </w:r>
      </w:hyperlink>
      <w:r w:rsidR="00C56620" w:rsidRPr="009A459D">
        <w:rPr>
          <w:lang w:val="fr-CA"/>
        </w:rPr>
        <w:t xml:space="preserve"> </w:t>
      </w:r>
      <w:r w:rsidR="001F79C6" w:rsidRPr="009A459D">
        <w:rPr>
          <w:lang w:val="fr-CA"/>
        </w:rPr>
        <w:t>et</w:t>
      </w:r>
      <w:r w:rsidR="00C56620" w:rsidRPr="009A459D">
        <w:rPr>
          <w:lang w:val="fr-CA"/>
        </w:rPr>
        <w:t xml:space="preserve"> </w:t>
      </w:r>
      <w:hyperlink r:id="rId11" w:history="1">
        <w:r w:rsidR="00C56620" w:rsidRPr="009A459D">
          <w:rPr>
            <w:rStyle w:val="Hyperlink"/>
            <w:lang w:val="fr-CA"/>
          </w:rPr>
          <w:t>https://www.iccaregistry.org/?locale=fr</w:t>
        </w:r>
      </w:hyperlink>
      <w:r w:rsidR="00C56620" w:rsidRPr="009A459D">
        <w:rPr>
          <w:lang w:val="fr-CA"/>
        </w:rPr>
        <w:t xml:space="preserve"> </w:t>
      </w:r>
    </w:p>
  </w:footnote>
  <w:footnote w:id="12">
    <w:p w14:paraId="16D6F591" w14:textId="350D3098" w:rsidR="00FE3FE5" w:rsidRPr="00C56620" w:rsidRDefault="00FE3FE5" w:rsidP="00FE3FE5">
      <w:pPr>
        <w:pStyle w:val="FootnoteText"/>
        <w:ind w:firstLine="0"/>
        <w:rPr>
          <w:lang w:val="fr-FR"/>
        </w:rPr>
      </w:pPr>
      <w:r>
        <w:rPr>
          <w:rStyle w:val="FootnoteReference"/>
        </w:rPr>
        <w:footnoteRef/>
      </w:r>
      <w:r w:rsidRPr="009A459D">
        <w:rPr>
          <w:lang w:val="fr-CA"/>
        </w:rPr>
        <w:t xml:space="preserve"> </w:t>
      </w:r>
      <w:r w:rsidR="00C56620" w:rsidRPr="00C85C64">
        <w:rPr>
          <w:lang w:val="fr-FR"/>
        </w:rPr>
        <w:t xml:space="preserve">Ces sources et d'autres sont identifiées dans le </w:t>
      </w:r>
      <w:r w:rsidR="00C85C64">
        <w:rPr>
          <w:lang w:val="fr-FR"/>
        </w:rPr>
        <w:t>« </w:t>
      </w:r>
      <w:r w:rsidR="00C56620" w:rsidRPr="009A459D">
        <w:rPr>
          <w:lang w:val="fr-CA"/>
        </w:rPr>
        <w:t xml:space="preserve">Compendium of guidance on key global </w:t>
      </w:r>
      <w:proofErr w:type="spellStart"/>
      <w:r w:rsidR="00C56620" w:rsidRPr="009A459D">
        <w:rPr>
          <w:lang w:val="fr-CA"/>
        </w:rPr>
        <w:t>databases</w:t>
      </w:r>
      <w:proofErr w:type="spellEnd"/>
      <w:r w:rsidR="00C56620" w:rsidRPr="009A459D">
        <w:rPr>
          <w:lang w:val="fr-CA"/>
        </w:rPr>
        <w:t xml:space="preserve"> </w:t>
      </w:r>
      <w:proofErr w:type="spellStart"/>
      <w:r w:rsidR="00C56620" w:rsidRPr="009A459D">
        <w:rPr>
          <w:lang w:val="fr-CA"/>
        </w:rPr>
        <w:t>related</w:t>
      </w:r>
      <w:proofErr w:type="spellEnd"/>
      <w:r w:rsidR="00C56620" w:rsidRPr="009A459D">
        <w:rPr>
          <w:lang w:val="fr-CA"/>
        </w:rPr>
        <w:t xml:space="preserve"> to </w:t>
      </w:r>
      <w:proofErr w:type="spellStart"/>
      <w:r w:rsidR="00C56620" w:rsidRPr="009A459D">
        <w:rPr>
          <w:lang w:val="fr-CA"/>
        </w:rPr>
        <w:t>biodiversity-related</w:t>
      </w:r>
      <w:proofErr w:type="spellEnd"/>
      <w:r w:rsidR="00C56620" w:rsidRPr="009A459D">
        <w:rPr>
          <w:lang w:val="fr-CA"/>
        </w:rPr>
        <w:t xml:space="preserve"> conventions</w:t>
      </w:r>
      <w:r w:rsidR="00C85C64">
        <w:rPr>
          <w:lang w:val="fr-FR"/>
        </w:rPr>
        <w:t xml:space="preserve"> » </w:t>
      </w:r>
      <w:r w:rsidR="00C56620" w:rsidRPr="00C85C64">
        <w:rPr>
          <w:lang w:val="fr-FR"/>
        </w:rPr>
        <w:t xml:space="preserve">développé par le PNUE-WCMC, disponible à </w:t>
      </w:r>
      <w:r w:rsidR="00FB1490">
        <w:rPr>
          <w:lang w:val="fr-FR"/>
        </w:rPr>
        <w:t>l’</w:t>
      </w:r>
      <w:r w:rsidR="00C56620" w:rsidRPr="00C85C64">
        <w:rPr>
          <w:lang w:val="fr-FR"/>
        </w:rPr>
        <w:t xml:space="preserve">adresse suivante : </w:t>
      </w:r>
      <w:hyperlink r:id="rId12" w:history="1">
        <w:r w:rsidR="00C56620" w:rsidRPr="00C85C64">
          <w:rPr>
            <w:rStyle w:val="Hyperlink"/>
            <w:lang w:val="fr-FR"/>
          </w:rPr>
          <w:t>https://www.unep-wcmc.org/resources-and-data/biodiversitysynergies</w:t>
        </w:r>
      </w:hyperlink>
      <w:r w:rsidR="00C56620" w:rsidRPr="00C85C64">
        <w:rPr>
          <w:rStyle w:val="Hyperlink"/>
          <w:u w:val="none"/>
          <w:lang w:val="fr-FR"/>
        </w:rPr>
        <w:t>.</w:t>
      </w:r>
      <w:r w:rsidR="00C56620" w:rsidRPr="009A459D">
        <w:rPr>
          <w:rStyle w:val="Hyperlink"/>
          <w:u w:val="none"/>
          <w:lang w:val="fr-CA"/>
        </w:rPr>
        <w:t xml:space="preserve"> </w:t>
      </w:r>
    </w:p>
  </w:footnote>
  <w:footnote w:id="13">
    <w:p w14:paraId="7B1BFEEF" w14:textId="3E415D41" w:rsidR="00FE3FE5" w:rsidRPr="00FE3FE5" w:rsidRDefault="00FE3FE5" w:rsidP="00FE3FE5">
      <w:pPr>
        <w:pStyle w:val="FootnoteText"/>
        <w:ind w:firstLine="0"/>
        <w:rPr>
          <w:lang w:val="fr-FR"/>
        </w:rPr>
      </w:pPr>
      <w:r>
        <w:rPr>
          <w:rStyle w:val="FootnoteReference"/>
        </w:rPr>
        <w:footnoteRef/>
      </w:r>
      <w:r w:rsidRPr="009A459D">
        <w:rPr>
          <w:lang w:val="fr-CA"/>
        </w:rPr>
        <w:t xml:space="preserve"> </w:t>
      </w:r>
      <w:r w:rsidR="00233939" w:rsidRPr="00233939">
        <w:rPr>
          <w:lang w:val="fr-FR"/>
        </w:rPr>
        <w:t>Ces technologies pourraient inclure des systèmes de gestion de contenu web, des systèmes de gestion de documents et d'enregistrements électroniques, des outils de collaboration, des moteurs de recherche, des outils de classification, des portails, ainsi que des bibliothèques et des centres d'information.</w:t>
      </w:r>
    </w:p>
  </w:footnote>
  <w:footnote w:id="14">
    <w:p w14:paraId="62CE98DB" w14:textId="516E9950" w:rsidR="00447F2D" w:rsidRPr="001F79C6" w:rsidRDefault="00447F2D" w:rsidP="00447F2D">
      <w:pPr>
        <w:pStyle w:val="FootnoteText"/>
        <w:ind w:firstLine="0"/>
        <w:rPr>
          <w:lang w:val="fr-FR"/>
        </w:rPr>
      </w:pPr>
      <w:r>
        <w:rPr>
          <w:rStyle w:val="FootnoteReference"/>
        </w:rPr>
        <w:footnoteRef/>
      </w:r>
      <w:r w:rsidRPr="009A459D">
        <w:rPr>
          <w:lang w:val="fr-CA"/>
        </w:rPr>
        <w:t xml:space="preserve"> </w:t>
      </w:r>
      <w:r w:rsidR="001F79C6" w:rsidRPr="001F79C6">
        <w:rPr>
          <w:lang w:val="fr-FR"/>
        </w:rPr>
        <w:t>Certains de ces efforts sont décrits dans la décision IPBES-7/1.</w:t>
      </w:r>
    </w:p>
  </w:footnote>
  <w:footnote w:id="15">
    <w:p w14:paraId="17C85EE4" w14:textId="44C43D58" w:rsidR="00447F2D" w:rsidRPr="00447F2D" w:rsidRDefault="00447F2D" w:rsidP="00447F2D">
      <w:pPr>
        <w:pStyle w:val="FootnoteText"/>
        <w:ind w:firstLine="0"/>
        <w:rPr>
          <w:lang w:val="fr-FR"/>
        </w:rPr>
      </w:pPr>
      <w:r w:rsidRPr="001F79C6">
        <w:rPr>
          <w:rStyle w:val="FootnoteReference"/>
          <w:lang w:val="fr-FR"/>
        </w:rPr>
        <w:footnoteRef/>
      </w:r>
      <w:r w:rsidRPr="001F79C6">
        <w:rPr>
          <w:lang w:val="fr-FR"/>
        </w:rPr>
        <w:t xml:space="preserve"> </w:t>
      </w:r>
      <w:r w:rsidR="001F79C6" w:rsidRPr="001F79C6">
        <w:rPr>
          <w:lang w:val="fr-FR"/>
        </w:rPr>
        <w:t>La découverte et la collecte de connaissances impliquent la recherche, la localisation, l'identification et l'acquisition de données, d'informations et de connaissances.</w:t>
      </w:r>
    </w:p>
  </w:footnote>
  <w:footnote w:id="16">
    <w:p w14:paraId="1EC734AA" w14:textId="70160637" w:rsidR="0084357B" w:rsidRPr="0084357B" w:rsidRDefault="0084357B" w:rsidP="0084357B">
      <w:pPr>
        <w:pStyle w:val="FootnoteText"/>
        <w:ind w:firstLine="0"/>
        <w:rPr>
          <w:lang w:val="fr-FR"/>
        </w:rPr>
      </w:pPr>
      <w:r>
        <w:rPr>
          <w:rStyle w:val="FootnoteReference"/>
        </w:rPr>
        <w:footnoteRef/>
      </w:r>
      <w:r w:rsidRPr="009A459D">
        <w:rPr>
          <w:lang w:val="fr-CA"/>
        </w:rPr>
        <w:t xml:space="preserve"> </w:t>
      </w:r>
      <w:r w:rsidR="00F07DBD" w:rsidRPr="009A459D">
        <w:rPr>
          <w:lang w:val="fr-CA"/>
        </w:rPr>
        <w:t>Voir</w:t>
      </w:r>
      <w:r w:rsidR="00B02CBC" w:rsidRPr="009A459D">
        <w:rPr>
          <w:lang w:val="fr-CA"/>
        </w:rPr>
        <w:t xml:space="preserve"> CBD/SBI/3/7/Add.2 </w:t>
      </w:r>
      <w:r w:rsidR="00B02CBC" w:rsidRPr="00FB1490">
        <w:rPr>
          <w:lang w:val="fr-FR"/>
        </w:rPr>
        <w:t>(</w:t>
      </w:r>
      <w:r w:rsidR="00F07DBD">
        <w:rPr>
          <w:lang w:val="fr-FR"/>
        </w:rPr>
        <w:t>A</w:t>
      </w:r>
      <w:proofErr w:type="spellStart"/>
      <w:r w:rsidR="00B02CBC" w:rsidRPr="009A459D">
        <w:rPr>
          <w:lang w:val="fr-CA"/>
        </w:rPr>
        <w:t>nnexe</w:t>
      </w:r>
      <w:proofErr w:type="spellEnd"/>
      <w:r w:rsidR="00B02CBC" w:rsidRPr="009A459D">
        <w:rPr>
          <w:lang w:val="fr-CA"/>
        </w:rPr>
        <w:t xml:space="preserve"> II)</w:t>
      </w:r>
    </w:p>
  </w:footnote>
  <w:footnote w:id="17">
    <w:p w14:paraId="0E811C0A" w14:textId="4D79373B" w:rsidR="0084357B" w:rsidRPr="0084357B" w:rsidRDefault="0084357B" w:rsidP="0084357B">
      <w:pPr>
        <w:pStyle w:val="FootnoteText"/>
        <w:ind w:firstLine="0"/>
        <w:rPr>
          <w:lang w:val="fr-FR"/>
        </w:rPr>
      </w:pPr>
      <w:r>
        <w:rPr>
          <w:rStyle w:val="FootnoteReference"/>
        </w:rPr>
        <w:footnoteRef/>
      </w:r>
      <w:r w:rsidRPr="009A459D">
        <w:rPr>
          <w:lang w:val="fr-CA"/>
        </w:rPr>
        <w:t xml:space="preserve"> </w:t>
      </w:r>
      <w:hyperlink r:id="rId13" w:history="1">
        <w:r w:rsidR="00B02CBC" w:rsidRPr="009A459D">
          <w:rPr>
            <w:rStyle w:val="Hyperlink"/>
            <w:lang w:val="fr-CA"/>
          </w:rPr>
          <w:t>https://fr.allianceforbio.org</w:t>
        </w:r>
      </w:hyperlink>
      <w:r w:rsidR="00B02CBC" w:rsidRPr="009A459D">
        <w:rPr>
          <w:lang w:val="fr-CA"/>
        </w:rPr>
        <w:t xml:space="preserve"> </w:t>
      </w:r>
    </w:p>
  </w:footnote>
  <w:footnote w:id="18">
    <w:p w14:paraId="25B33085" w14:textId="0E1E018A" w:rsidR="008327D5" w:rsidRPr="00B02CBC" w:rsidRDefault="008327D5" w:rsidP="008327D5">
      <w:pPr>
        <w:pStyle w:val="FootnoteText"/>
        <w:ind w:firstLine="0"/>
        <w:rPr>
          <w:lang w:val="fr-FR"/>
        </w:rPr>
      </w:pPr>
      <w:r>
        <w:rPr>
          <w:rStyle w:val="FootnoteReference"/>
        </w:rPr>
        <w:footnoteRef/>
      </w:r>
      <w:r w:rsidRPr="009A459D">
        <w:rPr>
          <w:lang w:val="fr-CA"/>
        </w:rPr>
        <w:t xml:space="preserve"> </w:t>
      </w:r>
      <w:r w:rsidR="00B02CBC" w:rsidRPr="00B02CBC">
        <w:rPr>
          <w:lang w:val="fr-FR"/>
        </w:rPr>
        <w:t xml:space="preserve">Le calendrier des différentes actions stratégiques sera complété après les débats de la troisième réunion de l’Organe subsidiaire chargé de l’application. </w:t>
      </w:r>
    </w:p>
  </w:footnote>
  <w:footnote w:id="19">
    <w:p w14:paraId="7CF2DE79" w14:textId="703966A4" w:rsidR="008327D5" w:rsidRPr="00B02CBC" w:rsidRDefault="008327D5" w:rsidP="008327D5">
      <w:pPr>
        <w:pStyle w:val="FootnoteText"/>
        <w:ind w:firstLine="0"/>
        <w:rPr>
          <w:lang w:val="fr-FR"/>
        </w:rPr>
      </w:pPr>
      <w:r w:rsidRPr="00B02CBC">
        <w:rPr>
          <w:rStyle w:val="FootnoteReference"/>
          <w:lang w:val="fr-FR"/>
        </w:rPr>
        <w:footnoteRef/>
      </w:r>
      <w:r w:rsidRPr="00B02CBC">
        <w:rPr>
          <w:lang w:val="fr-FR"/>
        </w:rPr>
        <w:t xml:space="preserve"> </w:t>
      </w:r>
      <w:r w:rsidR="00B02CBC" w:rsidRPr="00B02CBC">
        <w:rPr>
          <w:lang w:val="fr-FR"/>
        </w:rPr>
        <w:t>Cette colonne sera remplie après la troisième réunion de l'Organe subsidiaire chargé de l’application et à la suite de manifestations d’intérêt volontaires de la part d'organisations partenaires pertinentes pour contribuer aux actions stratégiques convenues.</w:t>
      </w:r>
    </w:p>
  </w:footnote>
  <w:footnote w:id="20">
    <w:p w14:paraId="115CC70F" w14:textId="4013D76F" w:rsidR="008327D5" w:rsidRPr="008327D5" w:rsidRDefault="008327D5" w:rsidP="008327D5">
      <w:pPr>
        <w:pStyle w:val="FootnoteText"/>
        <w:ind w:firstLine="0"/>
        <w:rPr>
          <w:lang w:val="fr-FR"/>
        </w:rPr>
      </w:pPr>
      <w:r w:rsidRPr="00B02CBC">
        <w:rPr>
          <w:rStyle w:val="FootnoteReference"/>
          <w:lang w:val="fr-FR"/>
        </w:rPr>
        <w:footnoteRef/>
      </w:r>
      <w:r w:rsidRPr="00B02CBC">
        <w:rPr>
          <w:lang w:val="fr-FR"/>
        </w:rPr>
        <w:t xml:space="preserve"> </w:t>
      </w:r>
      <w:r w:rsidR="00B02CBC" w:rsidRPr="00B02CBC">
        <w:rPr>
          <w:lang w:val="fr-FR"/>
        </w:rPr>
        <w:t xml:space="preserve"> Il peut s'agir d'outils identifiés dans les recueils du </w:t>
      </w:r>
      <w:hyperlink r:id="rId14" w:history="1">
        <w:r w:rsidR="00B02CBC" w:rsidRPr="00B02CBC">
          <w:rPr>
            <w:rStyle w:val="Hyperlink"/>
            <w:lang w:val="fr-FR"/>
          </w:rPr>
          <w:t>PNUE-WCMC</w:t>
        </w:r>
      </w:hyperlink>
      <w:r w:rsidR="00B02CBC" w:rsidRPr="00B02CBC">
        <w:rPr>
          <w:lang w:val="fr-FR"/>
        </w:rPr>
        <w:t>.</w:t>
      </w:r>
    </w:p>
  </w:footnote>
  <w:footnote w:id="21">
    <w:p w14:paraId="6390CE98" w14:textId="48258B6B" w:rsidR="008327D5" w:rsidRPr="00B02CBC" w:rsidRDefault="008327D5" w:rsidP="008327D5">
      <w:pPr>
        <w:pStyle w:val="FootnoteText"/>
        <w:ind w:firstLine="0"/>
        <w:rPr>
          <w:lang w:val="fr-FR"/>
        </w:rPr>
      </w:pPr>
      <w:r>
        <w:rPr>
          <w:rStyle w:val="FootnoteReference"/>
        </w:rPr>
        <w:footnoteRef/>
      </w:r>
      <w:r w:rsidRPr="009A459D">
        <w:rPr>
          <w:lang w:val="fr-CA"/>
        </w:rPr>
        <w:t xml:space="preserve"> </w:t>
      </w:r>
      <w:r w:rsidR="00B02CBC" w:rsidRPr="00B02CBC">
        <w:rPr>
          <w:lang w:val="fr-FR"/>
        </w:rPr>
        <w:t>Le Groupe de travail à composition non limitée sur l'article 8(j) et les dispositions connexes, et le groupe de travail IPBES sur les savoirs loca</w:t>
      </w:r>
      <w:bookmarkStart w:id="7" w:name="_GoBack"/>
      <w:bookmarkEnd w:id="7"/>
      <w:r w:rsidR="00B02CBC" w:rsidRPr="00B02CBC">
        <w:rPr>
          <w:lang w:val="fr-FR"/>
        </w:rPr>
        <w:t>ux et autochtones pourraient jouer un rôle à cet égard.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93381937"/>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709701DC" w14:textId="50088E66" w:rsidR="007B78FD" w:rsidRPr="00AC4770" w:rsidRDefault="007B78FD" w:rsidP="00AC4770">
        <w:pPr>
          <w:pStyle w:val="Header"/>
          <w:keepLines/>
          <w:suppressLineNumbers/>
          <w:suppressAutoHyphens/>
          <w:jc w:val="left"/>
          <w:rPr>
            <w:noProof/>
            <w:kern w:val="22"/>
          </w:rPr>
        </w:pPr>
        <w:r>
          <w:rPr>
            <w:noProof/>
            <w:kern w:val="22"/>
          </w:rPr>
          <w:t>CBD/SBI/3/8/Add.1</w:t>
        </w:r>
      </w:p>
    </w:sdtContent>
  </w:sdt>
  <w:p w14:paraId="50968D8A" w14:textId="1C22A280" w:rsidR="007B78FD" w:rsidRPr="00AC4770" w:rsidRDefault="007B78FD" w:rsidP="001F4589">
    <w:pPr>
      <w:pStyle w:val="Header"/>
      <w:keepLines/>
      <w:suppressLineNumbers/>
      <w:suppressAutoHyphens/>
      <w:spacing w:after="240"/>
      <w:jc w:val="left"/>
      <w:rPr>
        <w:noProof/>
      </w:rPr>
    </w:pPr>
    <w:r w:rsidRPr="00AC4770">
      <w:rPr>
        <w:noProof/>
        <w:kern w:val="22"/>
      </w:rPr>
      <w:t xml:space="preserve">Page </w:t>
    </w:r>
    <w:r w:rsidRPr="00AC4770">
      <w:rPr>
        <w:noProof/>
        <w:kern w:val="22"/>
      </w:rPr>
      <w:fldChar w:fldCharType="begin"/>
    </w:r>
    <w:r w:rsidRPr="00AC4770">
      <w:rPr>
        <w:noProof/>
        <w:kern w:val="22"/>
      </w:rPr>
      <w:instrText xml:space="preserve"> PAGE   \* MERGEFORMAT </w:instrText>
    </w:r>
    <w:r w:rsidRPr="00AC4770">
      <w:rPr>
        <w:noProof/>
        <w:kern w:val="22"/>
      </w:rPr>
      <w:fldChar w:fldCharType="separate"/>
    </w:r>
    <w:r w:rsidRPr="00AC4770">
      <w:rPr>
        <w:noProof/>
        <w:kern w:val="22"/>
      </w:rPr>
      <w:t>2</w:t>
    </w:r>
    <w:r w:rsidRPr="00AC4770">
      <w:rPr>
        <w:noProof/>
        <w:kern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alias w:val="Subject"/>
      <w:tag w:val=""/>
      <w:id w:val="115748941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0E8D527C" w14:textId="3B1AD9B3" w:rsidR="007B78FD" w:rsidRDefault="007B78FD" w:rsidP="00AC4770">
        <w:pPr>
          <w:pStyle w:val="Header"/>
          <w:keepLines/>
          <w:suppressLineNumbers/>
          <w:tabs>
            <w:tab w:val="clear" w:pos="4320"/>
            <w:tab w:val="clear" w:pos="8640"/>
          </w:tabs>
          <w:suppressAutoHyphens/>
          <w:jc w:val="right"/>
          <w:rPr>
            <w:noProof/>
          </w:rPr>
        </w:pPr>
        <w:r>
          <w:rPr>
            <w:noProof/>
          </w:rPr>
          <w:t>CBD/SBI/3/8/Add.1</w:t>
        </w:r>
      </w:p>
    </w:sdtContent>
  </w:sdt>
  <w:p w14:paraId="0D0BF511" w14:textId="04638FB7" w:rsidR="007B78FD" w:rsidRDefault="007B78FD" w:rsidP="001F4589">
    <w:pPr>
      <w:pStyle w:val="Header"/>
      <w:keepLines/>
      <w:suppressLineNumbers/>
      <w:tabs>
        <w:tab w:val="clear" w:pos="4320"/>
        <w:tab w:val="clear" w:pos="8640"/>
      </w:tabs>
      <w:suppressAutoHyphens/>
      <w:spacing w:after="240"/>
      <w:jc w:val="right"/>
      <w:rPr>
        <w:noProof/>
      </w:rPr>
    </w:pPr>
    <w:r>
      <w:rPr>
        <w:noProof/>
      </w:rPr>
      <w:t xml:space="preserve">Page </w:t>
    </w:r>
    <w:r>
      <w:rPr>
        <w:noProof/>
      </w:rPr>
      <w:fldChar w:fldCharType="begin"/>
    </w:r>
    <w:r>
      <w:rPr>
        <w:noProof/>
      </w:rPr>
      <w:instrText xml:space="preserve"> PAGE   \* MERGEFORMAT </w:instrText>
    </w:r>
    <w:r>
      <w:rPr>
        <w:noProof/>
      </w:rPr>
      <w:fldChar w:fldCharType="separate"/>
    </w:r>
    <w:r>
      <w:rPr>
        <w:noProof/>
      </w:rPr>
      <w:t>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2781"/>
    <w:multiLevelType w:val="hybridMultilevel"/>
    <w:tmpl w:val="398E6B50"/>
    <w:lvl w:ilvl="0" w:tplc="4BFC5A32">
      <w:start w:val="1"/>
      <w:numFmt w:val="lowerLetter"/>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E76277"/>
    <w:multiLevelType w:val="hybridMultilevel"/>
    <w:tmpl w:val="57E2E98C"/>
    <w:lvl w:ilvl="0" w:tplc="DF42636C">
      <w:start w:val="1"/>
      <w:numFmt w:val="lowerLetter"/>
      <w:lvlText w:val="(%1)"/>
      <w:lvlJc w:val="left"/>
      <w:pPr>
        <w:tabs>
          <w:tab w:val="num" w:pos="1080"/>
        </w:tabs>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D6323"/>
    <w:multiLevelType w:val="hybridMultilevel"/>
    <w:tmpl w:val="398E6B50"/>
    <w:lvl w:ilvl="0" w:tplc="4BFC5A32">
      <w:start w:val="1"/>
      <w:numFmt w:val="lowerLetter"/>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F364BF"/>
    <w:multiLevelType w:val="multilevel"/>
    <w:tmpl w:val="9C68E1E2"/>
    <w:numStyleLink w:val="AnnexLettering"/>
  </w:abstractNum>
  <w:abstractNum w:abstractNumId="4" w15:restartNumberingAfterBreak="0">
    <w:nsid w:val="075E4159"/>
    <w:multiLevelType w:val="multilevel"/>
    <w:tmpl w:val="9C68E1E2"/>
    <w:styleLink w:val="AnnexLettering"/>
    <w:lvl w:ilvl="0">
      <w:start w:val="1"/>
      <w:numFmt w:val="decimal"/>
      <w:pStyle w:val="Annex-H2"/>
      <w:lvlText w:val="ANNEX %1: "/>
      <w:lvlJc w:val="left"/>
      <w:pPr>
        <w:ind w:left="720" w:hanging="360"/>
      </w:pPr>
      <w:rPr>
        <w:rFonts w:ascii="Times New Roman" w:hAnsi="Times New Roman" w:cs="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5CA2175"/>
    <w:multiLevelType w:val="hybridMultilevel"/>
    <w:tmpl w:val="E0107A06"/>
    <w:lvl w:ilvl="0" w:tplc="450C6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A66668"/>
    <w:multiLevelType w:val="hybridMultilevel"/>
    <w:tmpl w:val="F0C662E0"/>
    <w:lvl w:ilvl="0" w:tplc="450C6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F04485"/>
    <w:multiLevelType w:val="hybridMultilevel"/>
    <w:tmpl w:val="A55C2B4A"/>
    <w:lvl w:ilvl="0" w:tplc="450C63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161261"/>
    <w:multiLevelType w:val="hybridMultilevel"/>
    <w:tmpl w:val="AF9C74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30420184"/>
    <w:multiLevelType w:val="hybridMultilevel"/>
    <w:tmpl w:val="7BF25866"/>
    <w:lvl w:ilvl="0" w:tplc="ABA44A26">
      <w:start w:val="1"/>
      <w:numFmt w:val="upperLetter"/>
      <w:lvlText w:val="%1."/>
      <w:lvlJc w:val="left"/>
      <w:pPr>
        <w:ind w:left="720" w:hanging="360"/>
      </w:pPr>
      <w:rPr>
        <w:rFonts w:ascii="Times New Roman" w:hAnsi="Times New Roman" w:cs="Times New Roman"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1857FA2"/>
    <w:multiLevelType w:val="hybridMultilevel"/>
    <w:tmpl w:val="651417DA"/>
    <w:lvl w:ilvl="0" w:tplc="450C63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6F5F92"/>
    <w:multiLevelType w:val="hybridMultilevel"/>
    <w:tmpl w:val="65D057E0"/>
    <w:lvl w:ilvl="0" w:tplc="A64C2B50">
      <w:start w:val="1"/>
      <w:numFmt w:val="decimal"/>
      <w:lvlText w:val="%1."/>
      <w:lvlJc w:val="left"/>
      <w:pPr>
        <w:tabs>
          <w:tab w:val="num" w:pos="720"/>
        </w:tabs>
        <w:ind w:left="0" w:firstLine="0"/>
      </w:pPr>
    </w:lvl>
    <w:lvl w:ilvl="1" w:tplc="7422AAFE">
      <w:start w:val="1"/>
      <w:numFmt w:val="lowerLetter"/>
      <w:lvlText w:val="(%2)"/>
      <w:lvlJc w:val="left"/>
      <w:pPr>
        <w:tabs>
          <w:tab w:val="num" w:pos="1080"/>
        </w:tabs>
        <w:ind w:left="1080" w:hanging="360"/>
      </w:pPr>
      <w:rPr>
        <w:rFonts w:hint="default"/>
      </w:rPr>
    </w:lvl>
    <w:lvl w:ilvl="2" w:tplc="E3E6A1D4">
      <w:start w:val="1"/>
      <w:numFmt w:val="lowerRoman"/>
      <w:lvlText w:val="(%3)"/>
      <w:lvlJc w:val="righ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15:restartNumberingAfterBreak="0">
    <w:nsid w:val="3CA410CD"/>
    <w:multiLevelType w:val="hybridMultilevel"/>
    <w:tmpl w:val="F774B88A"/>
    <w:lvl w:ilvl="0" w:tplc="E0FCDF18">
      <w:start w:val="1"/>
      <w:numFmt w:val="decimal"/>
      <w:pStyle w:val="CBD-Para"/>
      <w:lvlText w:val="%1."/>
      <w:lvlJc w:val="left"/>
      <w:pPr>
        <w:tabs>
          <w:tab w:val="num" w:pos="720"/>
        </w:tabs>
        <w:ind w:left="0" w:firstLine="0"/>
      </w:pPr>
      <w:rPr>
        <w:rFonts w:hint="default"/>
        <w:b w:val="0"/>
        <w:bCs w:val="0"/>
        <w:i w:val="0"/>
      </w:rPr>
    </w:lvl>
    <w:lvl w:ilvl="1" w:tplc="DF42636C">
      <w:start w:val="1"/>
      <w:numFmt w:val="lowerLetter"/>
      <w:pStyle w:val="CBD-Para-a"/>
      <w:lvlText w:val="(%2)"/>
      <w:lvlJc w:val="left"/>
      <w:pPr>
        <w:tabs>
          <w:tab w:val="num" w:pos="1080"/>
        </w:tabs>
        <w:ind w:left="1080" w:hanging="360"/>
      </w:pPr>
      <w:rPr>
        <w:rFonts w:hint="default"/>
      </w:rPr>
    </w:lvl>
    <w:lvl w:ilvl="2" w:tplc="07B06256">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CFE2506"/>
    <w:multiLevelType w:val="hybridMultilevel"/>
    <w:tmpl w:val="2C8C626E"/>
    <w:lvl w:ilvl="0" w:tplc="2FB0BEE8">
      <w:start w:val="1"/>
      <w:numFmt w:val="upperLetter"/>
      <w:lvlText w:val="%1."/>
      <w:lvlJc w:val="left"/>
      <w:pPr>
        <w:ind w:left="1530" w:hanging="360"/>
      </w:pPr>
      <w:rPr>
        <w:rFonts w:ascii="Times New Roman" w:hAnsi="Times New Roman" w:cs="Times New Roman"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F746AC0"/>
    <w:multiLevelType w:val="hybridMultilevel"/>
    <w:tmpl w:val="BFA482FC"/>
    <w:lvl w:ilvl="0" w:tplc="450C6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6245FA1"/>
    <w:multiLevelType w:val="multilevel"/>
    <w:tmpl w:val="C8E6C24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B8007AB"/>
    <w:multiLevelType w:val="hybridMultilevel"/>
    <w:tmpl w:val="BE822306"/>
    <w:lvl w:ilvl="0" w:tplc="0EEE2E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585284"/>
    <w:multiLevelType w:val="hybridMultilevel"/>
    <w:tmpl w:val="B660202E"/>
    <w:lvl w:ilvl="0" w:tplc="450C6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F34D29"/>
    <w:multiLevelType w:val="hybridMultilevel"/>
    <w:tmpl w:val="12C68366"/>
    <w:lvl w:ilvl="0" w:tplc="6B6C6A22">
      <w:start w:val="1"/>
      <w:numFmt w:val="upperLetter"/>
      <w:lvlText w:val="%1."/>
      <w:lvlJc w:val="left"/>
      <w:pPr>
        <w:ind w:left="720" w:hanging="360"/>
      </w:pPr>
      <w:rPr>
        <w:rFonts w:ascii="Times New Roman" w:hAnsi="Times New Roman"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BC6CDC"/>
    <w:multiLevelType w:val="hybridMultilevel"/>
    <w:tmpl w:val="D996D3B4"/>
    <w:lvl w:ilvl="0" w:tplc="776CFC40">
      <w:start w:val="1"/>
      <w:numFmt w:val="upperLetter"/>
      <w:lvlText w:val="%1."/>
      <w:lvlJc w:val="left"/>
      <w:pPr>
        <w:ind w:left="720" w:hanging="360"/>
      </w:pPr>
      <w:rPr>
        <w:rFonts w:asciiTheme="majorBidi" w:hAnsiTheme="majorBidi" w:cstheme="maj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0F557D"/>
    <w:multiLevelType w:val="hybridMultilevel"/>
    <w:tmpl w:val="A9D622AE"/>
    <w:lvl w:ilvl="0" w:tplc="6FD4A456">
      <w:start w:val="1"/>
      <w:numFmt w:val="lowerLetter"/>
      <w:lvlText w:val="(%1)"/>
      <w:lvlJc w:val="left"/>
      <w:pPr>
        <w:tabs>
          <w:tab w:val="num" w:pos="1080"/>
        </w:tabs>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6"/>
  </w:num>
  <w:num w:numId="3">
    <w:abstractNumId w:val="15"/>
  </w:num>
  <w:num w:numId="4">
    <w:abstractNumId w:val="22"/>
  </w:num>
  <w:num w:numId="5">
    <w:abstractNumId w:val="20"/>
  </w:num>
  <w:num w:numId="6">
    <w:abstractNumId w:val="10"/>
  </w:num>
  <w:num w:numId="7">
    <w:abstractNumId w:val="10"/>
    <w:lvlOverride w:ilvl="0">
      <w:startOverride w:val="1"/>
    </w:lvlOverride>
  </w:num>
  <w:num w:numId="8">
    <w:abstractNumId w:val="4"/>
  </w:num>
  <w:num w:numId="9">
    <w:abstractNumId w:val="3"/>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3"/>
  </w:num>
  <w:num w:numId="13">
    <w:abstractNumId w:val="12"/>
  </w:num>
  <w:num w:numId="14">
    <w:abstractNumId w:val="1"/>
  </w:num>
  <w:num w:numId="15">
    <w:abstractNumId w:val="19"/>
  </w:num>
  <w:num w:numId="16">
    <w:abstractNumId w:val="25"/>
  </w:num>
  <w:num w:numId="17">
    <w:abstractNumId w:val="5"/>
  </w:num>
  <w:num w:numId="18">
    <w:abstractNumId w:val="17"/>
  </w:num>
  <w:num w:numId="19">
    <w:abstractNumId w:val="0"/>
  </w:num>
  <w:num w:numId="20">
    <w:abstractNumId w:val="24"/>
  </w:num>
  <w:num w:numId="21">
    <w:abstractNumId w:val="7"/>
  </w:num>
  <w:num w:numId="22">
    <w:abstractNumId w:val="21"/>
  </w:num>
  <w:num w:numId="23">
    <w:abstractNumId w:val="6"/>
  </w:num>
  <w:num w:numId="24">
    <w:abstractNumId w:val="2"/>
  </w:num>
  <w:num w:numId="25">
    <w:abstractNumId w:val="23"/>
  </w:num>
  <w:num w:numId="26">
    <w:abstractNumId w:val="11"/>
  </w:num>
  <w:num w:numId="27">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4B5"/>
    <w:rsid w:val="00005467"/>
    <w:rsid w:val="00006218"/>
    <w:rsid w:val="0000649A"/>
    <w:rsid w:val="00006E65"/>
    <w:rsid w:val="00007B48"/>
    <w:rsid w:val="00010EA3"/>
    <w:rsid w:val="0001224D"/>
    <w:rsid w:val="00015F71"/>
    <w:rsid w:val="00016583"/>
    <w:rsid w:val="000167F4"/>
    <w:rsid w:val="000203D5"/>
    <w:rsid w:val="000228DB"/>
    <w:rsid w:val="00026F7B"/>
    <w:rsid w:val="00035A5A"/>
    <w:rsid w:val="0003641E"/>
    <w:rsid w:val="00036635"/>
    <w:rsid w:val="0003695D"/>
    <w:rsid w:val="0003720B"/>
    <w:rsid w:val="00041B66"/>
    <w:rsid w:val="00043418"/>
    <w:rsid w:val="00043C53"/>
    <w:rsid w:val="000444EB"/>
    <w:rsid w:val="00051E42"/>
    <w:rsid w:val="000520B7"/>
    <w:rsid w:val="000538F4"/>
    <w:rsid w:val="00053DBE"/>
    <w:rsid w:val="000546B2"/>
    <w:rsid w:val="000605E9"/>
    <w:rsid w:val="000715AB"/>
    <w:rsid w:val="00072DF2"/>
    <w:rsid w:val="00073083"/>
    <w:rsid w:val="000739DE"/>
    <w:rsid w:val="0007735E"/>
    <w:rsid w:val="000819EF"/>
    <w:rsid w:val="000829DD"/>
    <w:rsid w:val="00083B1D"/>
    <w:rsid w:val="00085AB4"/>
    <w:rsid w:val="000862A2"/>
    <w:rsid w:val="000871B5"/>
    <w:rsid w:val="000871C0"/>
    <w:rsid w:val="0009044A"/>
    <w:rsid w:val="00091456"/>
    <w:rsid w:val="00092C1F"/>
    <w:rsid w:val="00092E7D"/>
    <w:rsid w:val="000941A1"/>
    <w:rsid w:val="00095274"/>
    <w:rsid w:val="000959C9"/>
    <w:rsid w:val="000A02F7"/>
    <w:rsid w:val="000A0B2E"/>
    <w:rsid w:val="000A1E61"/>
    <w:rsid w:val="000A27F4"/>
    <w:rsid w:val="000A35A2"/>
    <w:rsid w:val="000A72C7"/>
    <w:rsid w:val="000B2DF5"/>
    <w:rsid w:val="000B398E"/>
    <w:rsid w:val="000B7BAD"/>
    <w:rsid w:val="000C2181"/>
    <w:rsid w:val="000C24CF"/>
    <w:rsid w:val="000C2855"/>
    <w:rsid w:val="000C4BD2"/>
    <w:rsid w:val="000C4FF7"/>
    <w:rsid w:val="000C56EF"/>
    <w:rsid w:val="000C5BCA"/>
    <w:rsid w:val="000C5C4A"/>
    <w:rsid w:val="000C6B94"/>
    <w:rsid w:val="000C7649"/>
    <w:rsid w:val="000D006F"/>
    <w:rsid w:val="000D0511"/>
    <w:rsid w:val="000D1127"/>
    <w:rsid w:val="000D4E4C"/>
    <w:rsid w:val="000D58D5"/>
    <w:rsid w:val="000D62B5"/>
    <w:rsid w:val="000E07E0"/>
    <w:rsid w:val="000E673A"/>
    <w:rsid w:val="000F0939"/>
    <w:rsid w:val="000F0F7F"/>
    <w:rsid w:val="000F4B88"/>
    <w:rsid w:val="000F5204"/>
    <w:rsid w:val="000F65D5"/>
    <w:rsid w:val="000F74F5"/>
    <w:rsid w:val="000F7749"/>
    <w:rsid w:val="0010052F"/>
    <w:rsid w:val="00101A1A"/>
    <w:rsid w:val="00101D5F"/>
    <w:rsid w:val="001022DD"/>
    <w:rsid w:val="001024D6"/>
    <w:rsid w:val="00105372"/>
    <w:rsid w:val="001058D1"/>
    <w:rsid w:val="00107E3C"/>
    <w:rsid w:val="00110F2C"/>
    <w:rsid w:val="0011321E"/>
    <w:rsid w:val="00114BB7"/>
    <w:rsid w:val="00122E04"/>
    <w:rsid w:val="0012470B"/>
    <w:rsid w:val="00126717"/>
    <w:rsid w:val="0013060B"/>
    <w:rsid w:val="00130771"/>
    <w:rsid w:val="00130DDA"/>
    <w:rsid w:val="00130EA2"/>
    <w:rsid w:val="00131C30"/>
    <w:rsid w:val="00131E7A"/>
    <w:rsid w:val="00132445"/>
    <w:rsid w:val="0013396D"/>
    <w:rsid w:val="00136C7B"/>
    <w:rsid w:val="00140180"/>
    <w:rsid w:val="001403D9"/>
    <w:rsid w:val="001425DE"/>
    <w:rsid w:val="001429B7"/>
    <w:rsid w:val="00142C49"/>
    <w:rsid w:val="0014587B"/>
    <w:rsid w:val="00146ADC"/>
    <w:rsid w:val="00147769"/>
    <w:rsid w:val="00147D4B"/>
    <w:rsid w:val="00150E38"/>
    <w:rsid w:val="001516FC"/>
    <w:rsid w:val="00152F57"/>
    <w:rsid w:val="00153BBB"/>
    <w:rsid w:val="001565F0"/>
    <w:rsid w:val="00164CDA"/>
    <w:rsid w:val="00172AF6"/>
    <w:rsid w:val="00175A6D"/>
    <w:rsid w:val="0017684D"/>
    <w:rsid w:val="00176CEE"/>
    <w:rsid w:val="001855DE"/>
    <w:rsid w:val="0018757A"/>
    <w:rsid w:val="00192FFF"/>
    <w:rsid w:val="00195B55"/>
    <w:rsid w:val="001A2EE9"/>
    <w:rsid w:val="001A5071"/>
    <w:rsid w:val="001A7B4D"/>
    <w:rsid w:val="001B01E5"/>
    <w:rsid w:val="001B370C"/>
    <w:rsid w:val="001B54A3"/>
    <w:rsid w:val="001C017A"/>
    <w:rsid w:val="001C5448"/>
    <w:rsid w:val="001C5AD6"/>
    <w:rsid w:val="001C7F0C"/>
    <w:rsid w:val="001D0954"/>
    <w:rsid w:val="001D2F66"/>
    <w:rsid w:val="001D464B"/>
    <w:rsid w:val="001E1F71"/>
    <w:rsid w:val="001E2411"/>
    <w:rsid w:val="001E31FB"/>
    <w:rsid w:val="001E3221"/>
    <w:rsid w:val="001E3483"/>
    <w:rsid w:val="001E3DC5"/>
    <w:rsid w:val="001E52DE"/>
    <w:rsid w:val="001F0E17"/>
    <w:rsid w:val="001F4589"/>
    <w:rsid w:val="001F79C6"/>
    <w:rsid w:val="00200A18"/>
    <w:rsid w:val="00200E29"/>
    <w:rsid w:val="00203AD0"/>
    <w:rsid w:val="00205950"/>
    <w:rsid w:val="00207CA8"/>
    <w:rsid w:val="00210F27"/>
    <w:rsid w:val="00213C38"/>
    <w:rsid w:val="00213DF3"/>
    <w:rsid w:val="0021415C"/>
    <w:rsid w:val="002172B1"/>
    <w:rsid w:val="002206E9"/>
    <w:rsid w:val="0022142E"/>
    <w:rsid w:val="00221459"/>
    <w:rsid w:val="0022157D"/>
    <w:rsid w:val="0022217D"/>
    <w:rsid w:val="002232DD"/>
    <w:rsid w:val="002236CC"/>
    <w:rsid w:val="002243DF"/>
    <w:rsid w:val="002252D3"/>
    <w:rsid w:val="00225D2C"/>
    <w:rsid w:val="002270F4"/>
    <w:rsid w:val="00233939"/>
    <w:rsid w:val="00235171"/>
    <w:rsid w:val="002408D2"/>
    <w:rsid w:val="00246C91"/>
    <w:rsid w:val="002501B3"/>
    <w:rsid w:val="00252F9D"/>
    <w:rsid w:val="00254A53"/>
    <w:rsid w:val="002563A8"/>
    <w:rsid w:val="00262C6F"/>
    <w:rsid w:val="0026403C"/>
    <w:rsid w:val="00274AF0"/>
    <w:rsid w:val="0027768F"/>
    <w:rsid w:val="00280067"/>
    <w:rsid w:val="00291C4F"/>
    <w:rsid w:val="00292964"/>
    <w:rsid w:val="00294E35"/>
    <w:rsid w:val="002970F0"/>
    <w:rsid w:val="002A0FE6"/>
    <w:rsid w:val="002A2096"/>
    <w:rsid w:val="002A2550"/>
    <w:rsid w:val="002A41E8"/>
    <w:rsid w:val="002A4B31"/>
    <w:rsid w:val="002A6C3C"/>
    <w:rsid w:val="002A7EDC"/>
    <w:rsid w:val="002B4802"/>
    <w:rsid w:val="002B4909"/>
    <w:rsid w:val="002B4D5A"/>
    <w:rsid w:val="002B61E7"/>
    <w:rsid w:val="002B6870"/>
    <w:rsid w:val="002C33A8"/>
    <w:rsid w:val="002C6686"/>
    <w:rsid w:val="002D13E5"/>
    <w:rsid w:val="002D216E"/>
    <w:rsid w:val="002D58E2"/>
    <w:rsid w:val="002D6A99"/>
    <w:rsid w:val="002D7092"/>
    <w:rsid w:val="002D755D"/>
    <w:rsid w:val="002E091F"/>
    <w:rsid w:val="002E44EF"/>
    <w:rsid w:val="002E45F0"/>
    <w:rsid w:val="002E61E9"/>
    <w:rsid w:val="002F3827"/>
    <w:rsid w:val="002F4A2A"/>
    <w:rsid w:val="002F56F7"/>
    <w:rsid w:val="002F5C4B"/>
    <w:rsid w:val="002F6923"/>
    <w:rsid w:val="00300490"/>
    <w:rsid w:val="003067B7"/>
    <w:rsid w:val="00311425"/>
    <w:rsid w:val="003121B6"/>
    <w:rsid w:val="00313CBF"/>
    <w:rsid w:val="00314EF6"/>
    <w:rsid w:val="00315177"/>
    <w:rsid w:val="00317363"/>
    <w:rsid w:val="00324E56"/>
    <w:rsid w:val="0032627B"/>
    <w:rsid w:val="00327580"/>
    <w:rsid w:val="00330D13"/>
    <w:rsid w:val="00331431"/>
    <w:rsid w:val="00332298"/>
    <w:rsid w:val="0033234D"/>
    <w:rsid w:val="003345D3"/>
    <w:rsid w:val="0033470C"/>
    <w:rsid w:val="00335258"/>
    <w:rsid w:val="00337DE4"/>
    <w:rsid w:val="00341457"/>
    <w:rsid w:val="00344A87"/>
    <w:rsid w:val="00352E41"/>
    <w:rsid w:val="00353BBD"/>
    <w:rsid w:val="00354102"/>
    <w:rsid w:val="003600F4"/>
    <w:rsid w:val="003605B3"/>
    <w:rsid w:val="00360DB6"/>
    <w:rsid w:val="00362840"/>
    <w:rsid w:val="00362909"/>
    <w:rsid w:val="00362E93"/>
    <w:rsid w:val="003640C1"/>
    <w:rsid w:val="00366916"/>
    <w:rsid w:val="00370F8E"/>
    <w:rsid w:val="00372F74"/>
    <w:rsid w:val="00373E70"/>
    <w:rsid w:val="00375343"/>
    <w:rsid w:val="00383BE1"/>
    <w:rsid w:val="003850F1"/>
    <w:rsid w:val="00386096"/>
    <w:rsid w:val="00386832"/>
    <w:rsid w:val="00391766"/>
    <w:rsid w:val="003A12CE"/>
    <w:rsid w:val="003A319E"/>
    <w:rsid w:val="003A6A9B"/>
    <w:rsid w:val="003B1507"/>
    <w:rsid w:val="003B153A"/>
    <w:rsid w:val="003B381E"/>
    <w:rsid w:val="003B515E"/>
    <w:rsid w:val="003B68F4"/>
    <w:rsid w:val="003B7376"/>
    <w:rsid w:val="003C02D3"/>
    <w:rsid w:val="003C4322"/>
    <w:rsid w:val="003C67F7"/>
    <w:rsid w:val="003C72C7"/>
    <w:rsid w:val="003D12C7"/>
    <w:rsid w:val="003D1E80"/>
    <w:rsid w:val="003D2913"/>
    <w:rsid w:val="003D3241"/>
    <w:rsid w:val="003D5240"/>
    <w:rsid w:val="003D5B4F"/>
    <w:rsid w:val="003D6680"/>
    <w:rsid w:val="003D72C5"/>
    <w:rsid w:val="003E0962"/>
    <w:rsid w:val="003E2DBE"/>
    <w:rsid w:val="003E6223"/>
    <w:rsid w:val="003E6CD8"/>
    <w:rsid w:val="003F400E"/>
    <w:rsid w:val="003F46AE"/>
    <w:rsid w:val="003F7224"/>
    <w:rsid w:val="0040036B"/>
    <w:rsid w:val="004009B1"/>
    <w:rsid w:val="00406AC0"/>
    <w:rsid w:val="0040743A"/>
    <w:rsid w:val="00413D40"/>
    <w:rsid w:val="00422499"/>
    <w:rsid w:val="00422EC0"/>
    <w:rsid w:val="004244B4"/>
    <w:rsid w:val="00424837"/>
    <w:rsid w:val="00426A01"/>
    <w:rsid w:val="00427D21"/>
    <w:rsid w:val="004320EF"/>
    <w:rsid w:val="004336B7"/>
    <w:rsid w:val="00433843"/>
    <w:rsid w:val="00435AB7"/>
    <w:rsid w:val="00437E85"/>
    <w:rsid w:val="00440EA0"/>
    <w:rsid w:val="00441E81"/>
    <w:rsid w:val="0044280C"/>
    <w:rsid w:val="00444488"/>
    <w:rsid w:val="0044522A"/>
    <w:rsid w:val="004466F8"/>
    <w:rsid w:val="00447BF1"/>
    <w:rsid w:val="00447CE4"/>
    <w:rsid w:val="00447F2D"/>
    <w:rsid w:val="00450A4E"/>
    <w:rsid w:val="00451283"/>
    <w:rsid w:val="00453909"/>
    <w:rsid w:val="00453FB8"/>
    <w:rsid w:val="004541D6"/>
    <w:rsid w:val="00456269"/>
    <w:rsid w:val="004571B8"/>
    <w:rsid w:val="0046106A"/>
    <w:rsid w:val="00462858"/>
    <w:rsid w:val="00462B75"/>
    <w:rsid w:val="00463216"/>
    <w:rsid w:val="00463687"/>
    <w:rsid w:val="004644C2"/>
    <w:rsid w:val="004669BA"/>
    <w:rsid w:val="00467F9C"/>
    <w:rsid w:val="00471765"/>
    <w:rsid w:val="00473274"/>
    <w:rsid w:val="00475FA3"/>
    <w:rsid w:val="00476DCA"/>
    <w:rsid w:val="00480D5D"/>
    <w:rsid w:val="00482485"/>
    <w:rsid w:val="0048590B"/>
    <w:rsid w:val="00490FF6"/>
    <w:rsid w:val="0049112E"/>
    <w:rsid w:val="00493D7F"/>
    <w:rsid w:val="0049449A"/>
    <w:rsid w:val="0049490B"/>
    <w:rsid w:val="004952A1"/>
    <w:rsid w:val="004957EF"/>
    <w:rsid w:val="0049602C"/>
    <w:rsid w:val="004976FB"/>
    <w:rsid w:val="004977DF"/>
    <w:rsid w:val="004A02FA"/>
    <w:rsid w:val="004A1266"/>
    <w:rsid w:val="004A4814"/>
    <w:rsid w:val="004A4AC5"/>
    <w:rsid w:val="004A4D7A"/>
    <w:rsid w:val="004A664B"/>
    <w:rsid w:val="004A72DA"/>
    <w:rsid w:val="004B35C3"/>
    <w:rsid w:val="004B4679"/>
    <w:rsid w:val="004C171C"/>
    <w:rsid w:val="004C42FD"/>
    <w:rsid w:val="004C52EC"/>
    <w:rsid w:val="004C58E1"/>
    <w:rsid w:val="004C660D"/>
    <w:rsid w:val="004D04F9"/>
    <w:rsid w:val="004D13FC"/>
    <w:rsid w:val="004D1CB3"/>
    <w:rsid w:val="004D4EA1"/>
    <w:rsid w:val="004E4AFB"/>
    <w:rsid w:val="004E5083"/>
    <w:rsid w:val="004E772F"/>
    <w:rsid w:val="004F00C8"/>
    <w:rsid w:val="004F18CC"/>
    <w:rsid w:val="004F2C9E"/>
    <w:rsid w:val="004F4425"/>
    <w:rsid w:val="004F6845"/>
    <w:rsid w:val="00500A87"/>
    <w:rsid w:val="0050177F"/>
    <w:rsid w:val="005021FE"/>
    <w:rsid w:val="00502656"/>
    <w:rsid w:val="00502988"/>
    <w:rsid w:val="005036BF"/>
    <w:rsid w:val="005077E0"/>
    <w:rsid w:val="005146D4"/>
    <w:rsid w:val="00515BBE"/>
    <w:rsid w:val="00515C8D"/>
    <w:rsid w:val="005170FB"/>
    <w:rsid w:val="00517467"/>
    <w:rsid w:val="00520A72"/>
    <w:rsid w:val="00524EF3"/>
    <w:rsid w:val="00530D16"/>
    <w:rsid w:val="00532EC0"/>
    <w:rsid w:val="005337DF"/>
    <w:rsid w:val="005343D0"/>
    <w:rsid w:val="00534681"/>
    <w:rsid w:val="00534747"/>
    <w:rsid w:val="00534DD9"/>
    <w:rsid w:val="00535924"/>
    <w:rsid w:val="005360BA"/>
    <w:rsid w:val="00537445"/>
    <w:rsid w:val="005375A4"/>
    <w:rsid w:val="00537F21"/>
    <w:rsid w:val="00540E1A"/>
    <w:rsid w:val="00543E67"/>
    <w:rsid w:val="00547457"/>
    <w:rsid w:val="0055252D"/>
    <w:rsid w:val="00552ABB"/>
    <w:rsid w:val="0055555C"/>
    <w:rsid w:val="00556072"/>
    <w:rsid w:val="00560906"/>
    <w:rsid w:val="00560E58"/>
    <w:rsid w:val="005617AF"/>
    <w:rsid w:val="00570E55"/>
    <w:rsid w:val="00571DAF"/>
    <w:rsid w:val="00572C1F"/>
    <w:rsid w:val="005779E3"/>
    <w:rsid w:val="0058074E"/>
    <w:rsid w:val="0058170D"/>
    <w:rsid w:val="005819DB"/>
    <w:rsid w:val="00585F8E"/>
    <w:rsid w:val="00587F5D"/>
    <w:rsid w:val="00595DA4"/>
    <w:rsid w:val="005A0310"/>
    <w:rsid w:val="005A097F"/>
    <w:rsid w:val="005A3534"/>
    <w:rsid w:val="005A6910"/>
    <w:rsid w:val="005B2105"/>
    <w:rsid w:val="005B2A5B"/>
    <w:rsid w:val="005B484C"/>
    <w:rsid w:val="005B58E8"/>
    <w:rsid w:val="005B7036"/>
    <w:rsid w:val="005B753C"/>
    <w:rsid w:val="005C03BF"/>
    <w:rsid w:val="005C0B09"/>
    <w:rsid w:val="005C1C28"/>
    <w:rsid w:val="005C1F0C"/>
    <w:rsid w:val="005C49AC"/>
    <w:rsid w:val="005C64E8"/>
    <w:rsid w:val="005C7022"/>
    <w:rsid w:val="005C7693"/>
    <w:rsid w:val="005D1439"/>
    <w:rsid w:val="005D2FCF"/>
    <w:rsid w:val="005D7D24"/>
    <w:rsid w:val="005E1139"/>
    <w:rsid w:val="005E1574"/>
    <w:rsid w:val="005E15FB"/>
    <w:rsid w:val="005E20BD"/>
    <w:rsid w:val="005E356C"/>
    <w:rsid w:val="005E55C2"/>
    <w:rsid w:val="005E7A71"/>
    <w:rsid w:val="005F0518"/>
    <w:rsid w:val="005F0A33"/>
    <w:rsid w:val="005F157A"/>
    <w:rsid w:val="005F18A1"/>
    <w:rsid w:val="005F19B9"/>
    <w:rsid w:val="005F2238"/>
    <w:rsid w:val="005F2A31"/>
    <w:rsid w:val="00603152"/>
    <w:rsid w:val="0060330F"/>
    <w:rsid w:val="00603E45"/>
    <w:rsid w:val="00604DC6"/>
    <w:rsid w:val="00606FB1"/>
    <w:rsid w:val="00607368"/>
    <w:rsid w:val="006108F3"/>
    <w:rsid w:val="006122BA"/>
    <w:rsid w:val="006164D8"/>
    <w:rsid w:val="006173AA"/>
    <w:rsid w:val="00617998"/>
    <w:rsid w:val="00620669"/>
    <w:rsid w:val="00620A77"/>
    <w:rsid w:val="00621167"/>
    <w:rsid w:val="0062177A"/>
    <w:rsid w:val="00621976"/>
    <w:rsid w:val="00621AD3"/>
    <w:rsid w:val="00626DFC"/>
    <w:rsid w:val="006270CA"/>
    <w:rsid w:val="00634F45"/>
    <w:rsid w:val="006361A3"/>
    <w:rsid w:val="00636E9B"/>
    <w:rsid w:val="00637294"/>
    <w:rsid w:val="006374C7"/>
    <w:rsid w:val="0064018B"/>
    <w:rsid w:val="00640376"/>
    <w:rsid w:val="00641A4F"/>
    <w:rsid w:val="0064270B"/>
    <w:rsid w:val="00642D2A"/>
    <w:rsid w:val="006435AA"/>
    <w:rsid w:val="006470A1"/>
    <w:rsid w:val="0064793F"/>
    <w:rsid w:val="00650954"/>
    <w:rsid w:val="00650CFD"/>
    <w:rsid w:val="006524AA"/>
    <w:rsid w:val="00653751"/>
    <w:rsid w:val="006543B0"/>
    <w:rsid w:val="006547B7"/>
    <w:rsid w:val="00656250"/>
    <w:rsid w:val="00661EB3"/>
    <w:rsid w:val="00663634"/>
    <w:rsid w:val="006649E1"/>
    <w:rsid w:val="0066698A"/>
    <w:rsid w:val="00667204"/>
    <w:rsid w:val="0067287C"/>
    <w:rsid w:val="006742E9"/>
    <w:rsid w:val="00674444"/>
    <w:rsid w:val="00674F2D"/>
    <w:rsid w:val="00676E32"/>
    <w:rsid w:val="00677024"/>
    <w:rsid w:val="00677219"/>
    <w:rsid w:val="00677933"/>
    <w:rsid w:val="00677FA1"/>
    <w:rsid w:val="00682573"/>
    <w:rsid w:val="00687B66"/>
    <w:rsid w:val="0069012E"/>
    <w:rsid w:val="006930D8"/>
    <w:rsid w:val="006947E5"/>
    <w:rsid w:val="00694CD2"/>
    <w:rsid w:val="006A1D78"/>
    <w:rsid w:val="006A3F9C"/>
    <w:rsid w:val="006A432B"/>
    <w:rsid w:val="006A7231"/>
    <w:rsid w:val="006B112D"/>
    <w:rsid w:val="006B1732"/>
    <w:rsid w:val="006B2290"/>
    <w:rsid w:val="006B343B"/>
    <w:rsid w:val="006B3E31"/>
    <w:rsid w:val="006B539E"/>
    <w:rsid w:val="006B59D8"/>
    <w:rsid w:val="006B63DC"/>
    <w:rsid w:val="006B7F67"/>
    <w:rsid w:val="006C2074"/>
    <w:rsid w:val="006C295E"/>
    <w:rsid w:val="006C4B6F"/>
    <w:rsid w:val="006C6278"/>
    <w:rsid w:val="006C7689"/>
    <w:rsid w:val="006D0106"/>
    <w:rsid w:val="006D2724"/>
    <w:rsid w:val="006D4403"/>
    <w:rsid w:val="006D45FE"/>
    <w:rsid w:val="006D4A4F"/>
    <w:rsid w:val="006E460A"/>
    <w:rsid w:val="006E48AD"/>
    <w:rsid w:val="006E5912"/>
    <w:rsid w:val="006E5E85"/>
    <w:rsid w:val="006F42AC"/>
    <w:rsid w:val="006F6E30"/>
    <w:rsid w:val="00702231"/>
    <w:rsid w:val="0070368A"/>
    <w:rsid w:val="00703DF8"/>
    <w:rsid w:val="007047A8"/>
    <w:rsid w:val="007056E3"/>
    <w:rsid w:val="0070584A"/>
    <w:rsid w:val="007061C3"/>
    <w:rsid w:val="0070716E"/>
    <w:rsid w:val="00710798"/>
    <w:rsid w:val="007149F5"/>
    <w:rsid w:val="00716E19"/>
    <w:rsid w:val="00717D88"/>
    <w:rsid w:val="00721CFB"/>
    <w:rsid w:val="00724526"/>
    <w:rsid w:val="00724E6E"/>
    <w:rsid w:val="007251A8"/>
    <w:rsid w:val="007256EA"/>
    <w:rsid w:val="00725AD9"/>
    <w:rsid w:val="00726FC2"/>
    <w:rsid w:val="00733FE3"/>
    <w:rsid w:val="00740DC1"/>
    <w:rsid w:val="0074468A"/>
    <w:rsid w:val="007451A2"/>
    <w:rsid w:val="00745470"/>
    <w:rsid w:val="007461FF"/>
    <w:rsid w:val="0074760E"/>
    <w:rsid w:val="00751025"/>
    <w:rsid w:val="007514A0"/>
    <w:rsid w:val="0075490E"/>
    <w:rsid w:val="00754FEF"/>
    <w:rsid w:val="00755C62"/>
    <w:rsid w:val="007623FF"/>
    <w:rsid w:val="007651B6"/>
    <w:rsid w:val="00773AF4"/>
    <w:rsid w:val="00781E97"/>
    <w:rsid w:val="007825C0"/>
    <w:rsid w:val="00783F02"/>
    <w:rsid w:val="007841E0"/>
    <w:rsid w:val="00787E4B"/>
    <w:rsid w:val="007918CB"/>
    <w:rsid w:val="00791F44"/>
    <w:rsid w:val="007937A6"/>
    <w:rsid w:val="0079419D"/>
    <w:rsid w:val="007942D3"/>
    <w:rsid w:val="00797AA5"/>
    <w:rsid w:val="00797F05"/>
    <w:rsid w:val="007A262B"/>
    <w:rsid w:val="007A26ED"/>
    <w:rsid w:val="007A2B73"/>
    <w:rsid w:val="007A2DAB"/>
    <w:rsid w:val="007A2F98"/>
    <w:rsid w:val="007A311C"/>
    <w:rsid w:val="007A767B"/>
    <w:rsid w:val="007A7F17"/>
    <w:rsid w:val="007A7F2E"/>
    <w:rsid w:val="007A7F67"/>
    <w:rsid w:val="007B1542"/>
    <w:rsid w:val="007B1B69"/>
    <w:rsid w:val="007B36E0"/>
    <w:rsid w:val="007B3E7A"/>
    <w:rsid w:val="007B5621"/>
    <w:rsid w:val="007B6699"/>
    <w:rsid w:val="007B6C09"/>
    <w:rsid w:val="007B78FD"/>
    <w:rsid w:val="007B7B56"/>
    <w:rsid w:val="007C0966"/>
    <w:rsid w:val="007C0DD6"/>
    <w:rsid w:val="007C4BE5"/>
    <w:rsid w:val="007C5B1A"/>
    <w:rsid w:val="007C6FBE"/>
    <w:rsid w:val="007C76CE"/>
    <w:rsid w:val="007D4781"/>
    <w:rsid w:val="007D4E59"/>
    <w:rsid w:val="007D6F0B"/>
    <w:rsid w:val="007E09DA"/>
    <w:rsid w:val="007E25BC"/>
    <w:rsid w:val="007E6400"/>
    <w:rsid w:val="007E6BDA"/>
    <w:rsid w:val="007F0A07"/>
    <w:rsid w:val="007F1B0D"/>
    <w:rsid w:val="007F238A"/>
    <w:rsid w:val="007F2B09"/>
    <w:rsid w:val="007F4665"/>
    <w:rsid w:val="00801B64"/>
    <w:rsid w:val="0080274D"/>
    <w:rsid w:val="00803459"/>
    <w:rsid w:val="0080630F"/>
    <w:rsid w:val="00812A02"/>
    <w:rsid w:val="00812CD2"/>
    <w:rsid w:val="008157E2"/>
    <w:rsid w:val="008168E9"/>
    <w:rsid w:val="008178B6"/>
    <w:rsid w:val="008202C1"/>
    <w:rsid w:val="00821C11"/>
    <w:rsid w:val="00821D3B"/>
    <w:rsid w:val="00823AD8"/>
    <w:rsid w:val="00825B57"/>
    <w:rsid w:val="00825E63"/>
    <w:rsid w:val="00827A8E"/>
    <w:rsid w:val="00827E09"/>
    <w:rsid w:val="00830014"/>
    <w:rsid w:val="00830BD3"/>
    <w:rsid w:val="00831FE8"/>
    <w:rsid w:val="008327D5"/>
    <w:rsid w:val="0084357B"/>
    <w:rsid w:val="00845256"/>
    <w:rsid w:val="00850ADB"/>
    <w:rsid w:val="008538DA"/>
    <w:rsid w:val="008574B8"/>
    <w:rsid w:val="0086068F"/>
    <w:rsid w:val="00861CB6"/>
    <w:rsid w:val="00863662"/>
    <w:rsid w:val="00865B74"/>
    <w:rsid w:val="0086678D"/>
    <w:rsid w:val="00866DF3"/>
    <w:rsid w:val="00870BAA"/>
    <w:rsid w:val="00874B20"/>
    <w:rsid w:val="0087659D"/>
    <w:rsid w:val="0087730F"/>
    <w:rsid w:val="0088088D"/>
    <w:rsid w:val="00883B80"/>
    <w:rsid w:val="00883EB5"/>
    <w:rsid w:val="00884E5D"/>
    <w:rsid w:val="00887122"/>
    <w:rsid w:val="0089183B"/>
    <w:rsid w:val="008930CF"/>
    <w:rsid w:val="008932C0"/>
    <w:rsid w:val="008A1F0C"/>
    <w:rsid w:val="008A6E5A"/>
    <w:rsid w:val="008A6EEC"/>
    <w:rsid w:val="008A7080"/>
    <w:rsid w:val="008B14CF"/>
    <w:rsid w:val="008B3654"/>
    <w:rsid w:val="008B5806"/>
    <w:rsid w:val="008B7C21"/>
    <w:rsid w:val="008C005D"/>
    <w:rsid w:val="008C1E17"/>
    <w:rsid w:val="008C451E"/>
    <w:rsid w:val="008C715B"/>
    <w:rsid w:val="008C7FF5"/>
    <w:rsid w:val="008D28EC"/>
    <w:rsid w:val="008D35A6"/>
    <w:rsid w:val="008D419B"/>
    <w:rsid w:val="008D544C"/>
    <w:rsid w:val="008E45A4"/>
    <w:rsid w:val="008E69F7"/>
    <w:rsid w:val="008F066C"/>
    <w:rsid w:val="008F07B1"/>
    <w:rsid w:val="008F112F"/>
    <w:rsid w:val="008F33E9"/>
    <w:rsid w:val="008F4690"/>
    <w:rsid w:val="008F603D"/>
    <w:rsid w:val="009007DF"/>
    <w:rsid w:val="009025E5"/>
    <w:rsid w:val="009033BD"/>
    <w:rsid w:val="00905BF9"/>
    <w:rsid w:val="00906B7C"/>
    <w:rsid w:val="00910BD8"/>
    <w:rsid w:val="00912620"/>
    <w:rsid w:val="009141D4"/>
    <w:rsid w:val="0091433E"/>
    <w:rsid w:val="009161B3"/>
    <w:rsid w:val="00920FDC"/>
    <w:rsid w:val="00921F9D"/>
    <w:rsid w:val="0092357E"/>
    <w:rsid w:val="0092424F"/>
    <w:rsid w:val="009247DC"/>
    <w:rsid w:val="00926285"/>
    <w:rsid w:val="00927647"/>
    <w:rsid w:val="00930BA1"/>
    <w:rsid w:val="0093169E"/>
    <w:rsid w:val="00932BA7"/>
    <w:rsid w:val="009331E9"/>
    <w:rsid w:val="0093553A"/>
    <w:rsid w:val="0094053F"/>
    <w:rsid w:val="00940ECE"/>
    <w:rsid w:val="009422F9"/>
    <w:rsid w:val="009425CE"/>
    <w:rsid w:val="00943701"/>
    <w:rsid w:val="009458DA"/>
    <w:rsid w:val="009505C9"/>
    <w:rsid w:val="009519D0"/>
    <w:rsid w:val="0095476D"/>
    <w:rsid w:val="0095500B"/>
    <w:rsid w:val="0095541C"/>
    <w:rsid w:val="009557ED"/>
    <w:rsid w:val="00960B56"/>
    <w:rsid w:val="00960FF4"/>
    <w:rsid w:val="00964A8F"/>
    <w:rsid w:val="009712AB"/>
    <w:rsid w:val="00971DA8"/>
    <w:rsid w:val="009735A3"/>
    <w:rsid w:val="00973EAF"/>
    <w:rsid w:val="00976B58"/>
    <w:rsid w:val="00977A4D"/>
    <w:rsid w:val="00980639"/>
    <w:rsid w:val="009811B0"/>
    <w:rsid w:val="00982B78"/>
    <w:rsid w:val="00984BA4"/>
    <w:rsid w:val="0098571D"/>
    <w:rsid w:val="00991895"/>
    <w:rsid w:val="009A1A8F"/>
    <w:rsid w:val="009A2A94"/>
    <w:rsid w:val="009A459D"/>
    <w:rsid w:val="009A4E27"/>
    <w:rsid w:val="009A6964"/>
    <w:rsid w:val="009A6FAF"/>
    <w:rsid w:val="009B3C3E"/>
    <w:rsid w:val="009B44A4"/>
    <w:rsid w:val="009B7751"/>
    <w:rsid w:val="009C0F18"/>
    <w:rsid w:val="009D0252"/>
    <w:rsid w:val="009D04A3"/>
    <w:rsid w:val="009D0D15"/>
    <w:rsid w:val="009D118A"/>
    <w:rsid w:val="009D22A4"/>
    <w:rsid w:val="009D49B2"/>
    <w:rsid w:val="009D6B5A"/>
    <w:rsid w:val="009E0C2A"/>
    <w:rsid w:val="009E6306"/>
    <w:rsid w:val="009E7593"/>
    <w:rsid w:val="009F0179"/>
    <w:rsid w:val="009F34BA"/>
    <w:rsid w:val="009F372E"/>
    <w:rsid w:val="009F4A24"/>
    <w:rsid w:val="009F4A39"/>
    <w:rsid w:val="009F5178"/>
    <w:rsid w:val="00A007C6"/>
    <w:rsid w:val="00A02836"/>
    <w:rsid w:val="00A103E9"/>
    <w:rsid w:val="00A110D6"/>
    <w:rsid w:val="00A11AC7"/>
    <w:rsid w:val="00A12B71"/>
    <w:rsid w:val="00A15DD2"/>
    <w:rsid w:val="00A22545"/>
    <w:rsid w:val="00A22787"/>
    <w:rsid w:val="00A23C82"/>
    <w:rsid w:val="00A24516"/>
    <w:rsid w:val="00A25045"/>
    <w:rsid w:val="00A2673D"/>
    <w:rsid w:val="00A34197"/>
    <w:rsid w:val="00A35CF3"/>
    <w:rsid w:val="00A36FB1"/>
    <w:rsid w:val="00A43465"/>
    <w:rsid w:val="00A44A33"/>
    <w:rsid w:val="00A45310"/>
    <w:rsid w:val="00A465AA"/>
    <w:rsid w:val="00A47AD2"/>
    <w:rsid w:val="00A5448F"/>
    <w:rsid w:val="00A560B5"/>
    <w:rsid w:val="00A56BD6"/>
    <w:rsid w:val="00A63FF6"/>
    <w:rsid w:val="00A65127"/>
    <w:rsid w:val="00A66461"/>
    <w:rsid w:val="00A6754D"/>
    <w:rsid w:val="00A67E62"/>
    <w:rsid w:val="00A717EB"/>
    <w:rsid w:val="00A73A28"/>
    <w:rsid w:val="00A74153"/>
    <w:rsid w:val="00A7418D"/>
    <w:rsid w:val="00A76617"/>
    <w:rsid w:val="00A8150F"/>
    <w:rsid w:val="00A82793"/>
    <w:rsid w:val="00A83B8E"/>
    <w:rsid w:val="00A8608A"/>
    <w:rsid w:val="00A87995"/>
    <w:rsid w:val="00A94D5D"/>
    <w:rsid w:val="00A976E4"/>
    <w:rsid w:val="00A97FE6"/>
    <w:rsid w:val="00AA39AA"/>
    <w:rsid w:val="00AA4996"/>
    <w:rsid w:val="00AB085D"/>
    <w:rsid w:val="00AB25E8"/>
    <w:rsid w:val="00AC3904"/>
    <w:rsid w:val="00AC401C"/>
    <w:rsid w:val="00AC4770"/>
    <w:rsid w:val="00AD2B7E"/>
    <w:rsid w:val="00AD3901"/>
    <w:rsid w:val="00AD42EB"/>
    <w:rsid w:val="00AE29E4"/>
    <w:rsid w:val="00AE45F5"/>
    <w:rsid w:val="00AE5359"/>
    <w:rsid w:val="00AE5580"/>
    <w:rsid w:val="00AF12EF"/>
    <w:rsid w:val="00AF2AE6"/>
    <w:rsid w:val="00AF3211"/>
    <w:rsid w:val="00AF7EEF"/>
    <w:rsid w:val="00B006CC"/>
    <w:rsid w:val="00B02CBC"/>
    <w:rsid w:val="00B04293"/>
    <w:rsid w:val="00B0520C"/>
    <w:rsid w:val="00B057BD"/>
    <w:rsid w:val="00B11917"/>
    <w:rsid w:val="00B13028"/>
    <w:rsid w:val="00B1347B"/>
    <w:rsid w:val="00B13D66"/>
    <w:rsid w:val="00B15DC4"/>
    <w:rsid w:val="00B220C5"/>
    <w:rsid w:val="00B22509"/>
    <w:rsid w:val="00B22BDC"/>
    <w:rsid w:val="00B240FE"/>
    <w:rsid w:val="00B30DB9"/>
    <w:rsid w:val="00B31D34"/>
    <w:rsid w:val="00B32D0B"/>
    <w:rsid w:val="00B3369F"/>
    <w:rsid w:val="00B349DD"/>
    <w:rsid w:val="00B36F4D"/>
    <w:rsid w:val="00B41355"/>
    <w:rsid w:val="00B41877"/>
    <w:rsid w:val="00B422F5"/>
    <w:rsid w:val="00B4300B"/>
    <w:rsid w:val="00B431A2"/>
    <w:rsid w:val="00B52D51"/>
    <w:rsid w:val="00B550BF"/>
    <w:rsid w:val="00B57931"/>
    <w:rsid w:val="00B57A25"/>
    <w:rsid w:val="00B617ED"/>
    <w:rsid w:val="00B63CC7"/>
    <w:rsid w:val="00B7017A"/>
    <w:rsid w:val="00B709D7"/>
    <w:rsid w:val="00B70AE7"/>
    <w:rsid w:val="00B71D5E"/>
    <w:rsid w:val="00B72A24"/>
    <w:rsid w:val="00B7317B"/>
    <w:rsid w:val="00B7408B"/>
    <w:rsid w:val="00B75CD0"/>
    <w:rsid w:val="00B75DE8"/>
    <w:rsid w:val="00B77710"/>
    <w:rsid w:val="00B80EE0"/>
    <w:rsid w:val="00B81CB7"/>
    <w:rsid w:val="00B81D6C"/>
    <w:rsid w:val="00B82054"/>
    <w:rsid w:val="00B852E4"/>
    <w:rsid w:val="00B86D46"/>
    <w:rsid w:val="00B87AD2"/>
    <w:rsid w:val="00B91A58"/>
    <w:rsid w:val="00B9399F"/>
    <w:rsid w:val="00B9598F"/>
    <w:rsid w:val="00B9613F"/>
    <w:rsid w:val="00B97567"/>
    <w:rsid w:val="00BA22DD"/>
    <w:rsid w:val="00BA2D0B"/>
    <w:rsid w:val="00BA5A0B"/>
    <w:rsid w:val="00BA769C"/>
    <w:rsid w:val="00BB0192"/>
    <w:rsid w:val="00BB0D75"/>
    <w:rsid w:val="00BB1044"/>
    <w:rsid w:val="00BB609C"/>
    <w:rsid w:val="00BB6FB3"/>
    <w:rsid w:val="00BC22A4"/>
    <w:rsid w:val="00BC2404"/>
    <w:rsid w:val="00BC3074"/>
    <w:rsid w:val="00BC3BCF"/>
    <w:rsid w:val="00BC42CA"/>
    <w:rsid w:val="00BC4EF5"/>
    <w:rsid w:val="00BC7EA3"/>
    <w:rsid w:val="00BD3613"/>
    <w:rsid w:val="00BD4E6F"/>
    <w:rsid w:val="00BD4EC2"/>
    <w:rsid w:val="00BD5FC5"/>
    <w:rsid w:val="00BD70F5"/>
    <w:rsid w:val="00BD744D"/>
    <w:rsid w:val="00BD7F4F"/>
    <w:rsid w:val="00BE1FE4"/>
    <w:rsid w:val="00BE29D1"/>
    <w:rsid w:val="00BE5763"/>
    <w:rsid w:val="00BE6852"/>
    <w:rsid w:val="00BF2685"/>
    <w:rsid w:val="00BF3897"/>
    <w:rsid w:val="00BF64A6"/>
    <w:rsid w:val="00BF6A40"/>
    <w:rsid w:val="00BF7E62"/>
    <w:rsid w:val="00C00C5A"/>
    <w:rsid w:val="00C076F0"/>
    <w:rsid w:val="00C07F5E"/>
    <w:rsid w:val="00C14E54"/>
    <w:rsid w:val="00C15AA2"/>
    <w:rsid w:val="00C2059B"/>
    <w:rsid w:val="00C20FE3"/>
    <w:rsid w:val="00C22511"/>
    <w:rsid w:val="00C229BA"/>
    <w:rsid w:val="00C276A8"/>
    <w:rsid w:val="00C314EE"/>
    <w:rsid w:val="00C339D3"/>
    <w:rsid w:val="00C34BA4"/>
    <w:rsid w:val="00C35B99"/>
    <w:rsid w:val="00C40265"/>
    <w:rsid w:val="00C41776"/>
    <w:rsid w:val="00C442FB"/>
    <w:rsid w:val="00C47E09"/>
    <w:rsid w:val="00C50E7E"/>
    <w:rsid w:val="00C52B4C"/>
    <w:rsid w:val="00C546E7"/>
    <w:rsid w:val="00C556E9"/>
    <w:rsid w:val="00C56620"/>
    <w:rsid w:val="00C57F77"/>
    <w:rsid w:val="00C6250D"/>
    <w:rsid w:val="00C6350E"/>
    <w:rsid w:val="00C63C4F"/>
    <w:rsid w:val="00C63D4E"/>
    <w:rsid w:val="00C6476D"/>
    <w:rsid w:val="00C654E8"/>
    <w:rsid w:val="00C658C9"/>
    <w:rsid w:val="00C72489"/>
    <w:rsid w:val="00C7340D"/>
    <w:rsid w:val="00C73871"/>
    <w:rsid w:val="00C74173"/>
    <w:rsid w:val="00C74A70"/>
    <w:rsid w:val="00C751CC"/>
    <w:rsid w:val="00C7545A"/>
    <w:rsid w:val="00C76A25"/>
    <w:rsid w:val="00C812D6"/>
    <w:rsid w:val="00C8222D"/>
    <w:rsid w:val="00C8519F"/>
    <w:rsid w:val="00C85C64"/>
    <w:rsid w:val="00C9161D"/>
    <w:rsid w:val="00C919C1"/>
    <w:rsid w:val="00C94683"/>
    <w:rsid w:val="00C94B5C"/>
    <w:rsid w:val="00C97423"/>
    <w:rsid w:val="00CA048E"/>
    <w:rsid w:val="00CA295A"/>
    <w:rsid w:val="00CA345B"/>
    <w:rsid w:val="00CB4CB9"/>
    <w:rsid w:val="00CB5D7A"/>
    <w:rsid w:val="00CC05D0"/>
    <w:rsid w:val="00CC19ED"/>
    <w:rsid w:val="00CC534C"/>
    <w:rsid w:val="00CC64F7"/>
    <w:rsid w:val="00CD1ADB"/>
    <w:rsid w:val="00CD7CF9"/>
    <w:rsid w:val="00CE1EDF"/>
    <w:rsid w:val="00CE3457"/>
    <w:rsid w:val="00CF0ADE"/>
    <w:rsid w:val="00CF0B8F"/>
    <w:rsid w:val="00CF1848"/>
    <w:rsid w:val="00CF3687"/>
    <w:rsid w:val="00CF4C1E"/>
    <w:rsid w:val="00CF4EDE"/>
    <w:rsid w:val="00CF576E"/>
    <w:rsid w:val="00CF603A"/>
    <w:rsid w:val="00CF6296"/>
    <w:rsid w:val="00CF782F"/>
    <w:rsid w:val="00D00C0E"/>
    <w:rsid w:val="00D03ACD"/>
    <w:rsid w:val="00D064B3"/>
    <w:rsid w:val="00D10C43"/>
    <w:rsid w:val="00D11052"/>
    <w:rsid w:val="00D12044"/>
    <w:rsid w:val="00D13FCF"/>
    <w:rsid w:val="00D14A54"/>
    <w:rsid w:val="00D16C0D"/>
    <w:rsid w:val="00D275D6"/>
    <w:rsid w:val="00D3094B"/>
    <w:rsid w:val="00D30A53"/>
    <w:rsid w:val="00D33FB5"/>
    <w:rsid w:val="00D36849"/>
    <w:rsid w:val="00D378C1"/>
    <w:rsid w:val="00D40661"/>
    <w:rsid w:val="00D40753"/>
    <w:rsid w:val="00D407C0"/>
    <w:rsid w:val="00D42CCB"/>
    <w:rsid w:val="00D43195"/>
    <w:rsid w:val="00D47DAB"/>
    <w:rsid w:val="00D5024B"/>
    <w:rsid w:val="00D509EA"/>
    <w:rsid w:val="00D53AE9"/>
    <w:rsid w:val="00D53FDA"/>
    <w:rsid w:val="00D54220"/>
    <w:rsid w:val="00D554AB"/>
    <w:rsid w:val="00D56BA9"/>
    <w:rsid w:val="00D56E03"/>
    <w:rsid w:val="00D57DEB"/>
    <w:rsid w:val="00D57E84"/>
    <w:rsid w:val="00D65389"/>
    <w:rsid w:val="00D679F5"/>
    <w:rsid w:val="00D73151"/>
    <w:rsid w:val="00D76A18"/>
    <w:rsid w:val="00D775F8"/>
    <w:rsid w:val="00D8139C"/>
    <w:rsid w:val="00D81A77"/>
    <w:rsid w:val="00D82A57"/>
    <w:rsid w:val="00D85978"/>
    <w:rsid w:val="00D90691"/>
    <w:rsid w:val="00DA0DD1"/>
    <w:rsid w:val="00DA3167"/>
    <w:rsid w:val="00DA6F94"/>
    <w:rsid w:val="00DA7E07"/>
    <w:rsid w:val="00DB103B"/>
    <w:rsid w:val="00DB2AC2"/>
    <w:rsid w:val="00DB432B"/>
    <w:rsid w:val="00DB44F2"/>
    <w:rsid w:val="00DB530F"/>
    <w:rsid w:val="00DB6E30"/>
    <w:rsid w:val="00DB7681"/>
    <w:rsid w:val="00DB7B0A"/>
    <w:rsid w:val="00DC15E7"/>
    <w:rsid w:val="00DC267C"/>
    <w:rsid w:val="00DD0AD0"/>
    <w:rsid w:val="00DD118C"/>
    <w:rsid w:val="00DD299A"/>
    <w:rsid w:val="00DD35FF"/>
    <w:rsid w:val="00DD3FAA"/>
    <w:rsid w:val="00DD542E"/>
    <w:rsid w:val="00DE18E4"/>
    <w:rsid w:val="00DE27DD"/>
    <w:rsid w:val="00DE421D"/>
    <w:rsid w:val="00DE6A9A"/>
    <w:rsid w:val="00DE6B9E"/>
    <w:rsid w:val="00DF07EB"/>
    <w:rsid w:val="00DF570D"/>
    <w:rsid w:val="00DF7CF6"/>
    <w:rsid w:val="00E019AD"/>
    <w:rsid w:val="00E02201"/>
    <w:rsid w:val="00E0357C"/>
    <w:rsid w:val="00E04A9A"/>
    <w:rsid w:val="00E04DE1"/>
    <w:rsid w:val="00E04E92"/>
    <w:rsid w:val="00E0671B"/>
    <w:rsid w:val="00E07211"/>
    <w:rsid w:val="00E072B3"/>
    <w:rsid w:val="00E078D8"/>
    <w:rsid w:val="00E114A5"/>
    <w:rsid w:val="00E12A33"/>
    <w:rsid w:val="00E1470E"/>
    <w:rsid w:val="00E14DFB"/>
    <w:rsid w:val="00E151F2"/>
    <w:rsid w:val="00E21D43"/>
    <w:rsid w:val="00E226D1"/>
    <w:rsid w:val="00E231B8"/>
    <w:rsid w:val="00E309AD"/>
    <w:rsid w:val="00E31A39"/>
    <w:rsid w:val="00E31D33"/>
    <w:rsid w:val="00E31FB5"/>
    <w:rsid w:val="00E32CAD"/>
    <w:rsid w:val="00E33365"/>
    <w:rsid w:val="00E36AF4"/>
    <w:rsid w:val="00E40D58"/>
    <w:rsid w:val="00E50476"/>
    <w:rsid w:val="00E50E25"/>
    <w:rsid w:val="00E51686"/>
    <w:rsid w:val="00E52970"/>
    <w:rsid w:val="00E5305A"/>
    <w:rsid w:val="00E569DD"/>
    <w:rsid w:val="00E60A62"/>
    <w:rsid w:val="00E61BC3"/>
    <w:rsid w:val="00E634F5"/>
    <w:rsid w:val="00E63943"/>
    <w:rsid w:val="00E66235"/>
    <w:rsid w:val="00E67096"/>
    <w:rsid w:val="00E67790"/>
    <w:rsid w:val="00E70D37"/>
    <w:rsid w:val="00E71AB9"/>
    <w:rsid w:val="00E726F0"/>
    <w:rsid w:val="00E74773"/>
    <w:rsid w:val="00E75B37"/>
    <w:rsid w:val="00E77561"/>
    <w:rsid w:val="00E815AC"/>
    <w:rsid w:val="00E81ABE"/>
    <w:rsid w:val="00E83C24"/>
    <w:rsid w:val="00E85E26"/>
    <w:rsid w:val="00E86318"/>
    <w:rsid w:val="00E86693"/>
    <w:rsid w:val="00E9318D"/>
    <w:rsid w:val="00E93DE6"/>
    <w:rsid w:val="00E94CFF"/>
    <w:rsid w:val="00EA5055"/>
    <w:rsid w:val="00EA7B71"/>
    <w:rsid w:val="00EB0538"/>
    <w:rsid w:val="00EB0963"/>
    <w:rsid w:val="00EB36FE"/>
    <w:rsid w:val="00EB378D"/>
    <w:rsid w:val="00EB5FF0"/>
    <w:rsid w:val="00EB69BE"/>
    <w:rsid w:val="00EC04C1"/>
    <w:rsid w:val="00EC0503"/>
    <w:rsid w:val="00EC209B"/>
    <w:rsid w:val="00EC231C"/>
    <w:rsid w:val="00EC4105"/>
    <w:rsid w:val="00EC4D7F"/>
    <w:rsid w:val="00EC523D"/>
    <w:rsid w:val="00EC5D18"/>
    <w:rsid w:val="00EC6A1A"/>
    <w:rsid w:val="00EC7581"/>
    <w:rsid w:val="00EC7DC2"/>
    <w:rsid w:val="00ED0568"/>
    <w:rsid w:val="00ED12A4"/>
    <w:rsid w:val="00ED3443"/>
    <w:rsid w:val="00ED54AB"/>
    <w:rsid w:val="00ED64C9"/>
    <w:rsid w:val="00EE06FE"/>
    <w:rsid w:val="00EE0EB5"/>
    <w:rsid w:val="00EE2ADB"/>
    <w:rsid w:val="00EE42CB"/>
    <w:rsid w:val="00EF1C6B"/>
    <w:rsid w:val="00EF5CCA"/>
    <w:rsid w:val="00EF78AC"/>
    <w:rsid w:val="00F02F9F"/>
    <w:rsid w:val="00F035C1"/>
    <w:rsid w:val="00F055C5"/>
    <w:rsid w:val="00F06DA7"/>
    <w:rsid w:val="00F06E66"/>
    <w:rsid w:val="00F07928"/>
    <w:rsid w:val="00F07DBD"/>
    <w:rsid w:val="00F111BA"/>
    <w:rsid w:val="00F13B32"/>
    <w:rsid w:val="00F1725E"/>
    <w:rsid w:val="00F17ED9"/>
    <w:rsid w:val="00F23BFD"/>
    <w:rsid w:val="00F254E7"/>
    <w:rsid w:val="00F255B2"/>
    <w:rsid w:val="00F267CD"/>
    <w:rsid w:val="00F342F7"/>
    <w:rsid w:val="00F368B9"/>
    <w:rsid w:val="00F379E3"/>
    <w:rsid w:val="00F433D0"/>
    <w:rsid w:val="00F44F8B"/>
    <w:rsid w:val="00F45484"/>
    <w:rsid w:val="00F45F63"/>
    <w:rsid w:val="00F463D9"/>
    <w:rsid w:val="00F5224D"/>
    <w:rsid w:val="00F54AB8"/>
    <w:rsid w:val="00F54B6C"/>
    <w:rsid w:val="00F55C2E"/>
    <w:rsid w:val="00F570D1"/>
    <w:rsid w:val="00F571A2"/>
    <w:rsid w:val="00F57A56"/>
    <w:rsid w:val="00F606C1"/>
    <w:rsid w:val="00F60C99"/>
    <w:rsid w:val="00F61CA5"/>
    <w:rsid w:val="00F64256"/>
    <w:rsid w:val="00F64564"/>
    <w:rsid w:val="00F65509"/>
    <w:rsid w:val="00F657AB"/>
    <w:rsid w:val="00F73A70"/>
    <w:rsid w:val="00F7420D"/>
    <w:rsid w:val="00F74929"/>
    <w:rsid w:val="00F77D8C"/>
    <w:rsid w:val="00F8047B"/>
    <w:rsid w:val="00F81B4E"/>
    <w:rsid w:val="00F83795"/>
    <w:rsid w:val="00F8639E"/>
    <w:rsid w:val="00F9193E"/>
    <w:rsid w:val="00F938D0"/>
    <w:rsid w:val="00F94774"/>
    <w:rsid w:val="00F95814"/>
    <w:rsid w:val="00F95977"/>
    <w:rsid w:val="00F96840"/>
    <w:rsid w:val="00FA1890"/>
    <w:rsid w:val="00FA2718"/>
    <w:rsid w:val="00FA3F6E"/>
    <w:rsid w:val="00FA5280"/>
    <w:rsid w:val="00FA5508"/>
    <w:rsid w:val="00FA7853"/>
    <w:rsid w:val="00FB0041"/>
    <w:rsid w:val="00FB1490"/>
    <w:rsid w:val="00FB2FE7"/>
    <w:rsid w:val="00FB6044"/>
    <w:rsid w:val="00FC08D4"/>
    <w:rsid w:val="00FC236C"/>
    <w:rsid w:val="00FC4DF4"/>
    <w:rsid w:val="00FC50E4"/>
    <w:rsid w:val="00FC53DB"/>
    <w:rsid w:val="00FD25F1"/>
    <w:rsid w:val="00FD28C0"/>
    <w:rsid w:val="00FD4FD3"/>
    <w:rsid w:val="00FD5894"/>
    <w:rsid w:val="00FD5B7D"/>
    <w:rsid w:val="00FD64BD"/>
    <w:rsid w:val="00FD7618"/>
    <w:rsid w:val="00FE0E0C"/>
    <w:rsid w:val="00FE18B4"/>
    <w:rsid w:val="00FE3FE5"/>
    <w:rsid w:val="00FE4B2F"/>
    <w:rsid w:val="00FE4FAB"/>
    <w:rsid w:val="00FE5837"/>
    <w:rsid w:val="00FE7E1C"/>
    <w:rsid w:val="00FE7F6A"/>
    <w:rsid w:val="00FF048D"/>
    <w:rsid w:val="00FF1767"/>
    <w:rsid w:val="00FF1CB5"/>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7DE932C"/>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uiPriority w:val="9"/>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uiPriority w:val="9"/>
    <w:qFormat/>
    <w:rsid w:val="007E09DA"/>
    <w:pPr>
      <w:keepNext/>
      <w:tabs>
        <w:tab w:val="left" w:pos="567"/>
      </w:tabs>
      <w:spacing w:before="120" w:after="120"/>
      <w:jc w:val="center"/>
      <w:outlineLvl w:val="2"/>
    </w:pPr>
    <w:rPr>
      <w:i/>
      <w:iCs/>
    </w:rPr>
  </w:style>
  <w:style w:type="paragraph" w:styleId="Heading4">
    <w:name w:val="heading 4"/>
    <w:basedOn w:val="Normal"/>
    <w:link w:val="Heading4Char"/>
    <w:uiPriority w:val="9"/>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uiPriority w:val="9"/>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uiPriority w:val="9"/>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uiPriority w:val="9"/>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rsid w:val="007E09DA"/>
    <w:pPr>
      <w:spacing w:after="120" w:line="240" w:lineRule="exact"/>
    </w:pPr>
  </w:style>
  <w:style w:type="character" w:customStyle="1" w:styleId="CommentTextChar">
    <w:name w:val="Comment Text Char"/>
    <w:basedOn w:val="DefaultParagraphFont"/>
    <w:link w:val="CommentText"/>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uiPriority w:val="99"/>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uiPriority w:val="99"/>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uiPriority w:val="9"/>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uiPriority w:val="9"/>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uiPriority w:val="9"/>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uiPriority w:val="9"/>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uiPriority w:val="9"/>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7E09DA"/>
    <w:pPr>
      <w:ind w:left="720" w:hanging="720"/>
    </w:pPr>
    <w:rPr>
      <w:caps/>
    </w:rPr>
  </w:style>
  <w:style w:type="paragraph" w:styleId="TOC2">
    <w:name w:val="toc 2"/>
    <w:basedOn w:val="Normal"/>
    <w:next w:val="Normal"/>
    <w:autoRedefine/>
    <w:uiPriority w:val="39"/>
    <w:rsid w:val="007E09DA"/>
    <w:pPr>
      <w:tabs>
        <w:tab w:val="right" w:leader="dot" w:pos="9356"/>
      </w:tabs>
      <w:ind w:left="1440" w:hanging="720"/>
    </w:pPr>
    <w:rPr>
      <w:noProof/>
      <w:szCs w:val="22"/>
    </w:rPr>
  </w:style>
  <w:style w:type="paragraph" w:styleId="TOC3">
    <w:name w:val="toc 3"/>
    <w:basedOn w:val="Normal"/>
    <w:next w:val="Normal"/>
    <w:autoRedefine/>
    <w:uiPriority w:val="39"/>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UnresolvedMention1">
    <w:name w:val="Unresolved Mention1"/>
    <w:basedOn w:val="DefaultParagraphFont"/>
    <w:uiPriority w:val="99"/>
    <w:semiHidden/>
    <w:unhideWhenUsed/>
    <w:rsid w:val="00964A8F"/>
    <w:rPr>
      <w:color w:val="808080"/>
      <w:shd w:val="clear" w:color="auto" w:fill="E6E6E6"/>
    </w:rPr>
  </w:style>
  <w:style w:type="paragraph" w:styleId="Revision">
    <w:name w:val="Revision"/>
    <w:hidden/>
    <w:uiPriority w:val="99"/>
    <w:semiHidden/>
    <w:rsid w:val="00964A8F"/>
    <w:pPr>
      <w:jc w:val="both"/>
    </w:pPr>
    <w:rPr>
      <w:rFonts w:ascii="Times New Roman" w:eastAsia="Times New Roman" w:hAnsi="Times New Roman" w:cs="Times New Roman"/>
      <w:sz w:val="22"/>
      <w:szCs w:val="22"/>
      <w:lang w:val="en-GB" w:eastAsia="en-CA"/>
    </w:rPr>
  </w:style>
  <w:style w:type="character" w:customStyle="1" w:styleId="ListParagraphChar">
    <w:name w:val="List Paragraph Char"/>
    <w:basedOn w:val="DefaultParagraphFont"/>
    <w:link w:val="ListParagraph"/>
    <w:uiPriority w:val="34"/>
    <w:qFormat/>
    <w:locked/>
    <w:rsid w:val="00964A8F"/>
    <w:rPr>
      <w:rFonts w:ascii="Times New Roman" w:eastAsia="Times New Roman" w:hAnsi="Times New Roman" w:cs="Times New Roman"/>
      <w:sz w:val="22"/>
      <w:lang w:val="en-GB"/>
    </w:rPr>
  </w:style>
  <w:style w:type="paragraph" w:customStyle="1" w:styleId="Default">
    <w:name w:val="Default"/>
    <w:rsid w:val="00964A8F"/>
    <w:pPr>
      <w:autoSpaceDE w:val="0"/>
      <w:autoSpaceDN w:val="0"/>
      <w:adjustRightInd w:val="0"/>
      <w:jc w:val="both"/>
    </w:pPr>
    <w:rPr>
      <w:rFonts w:ascii="Times New Roman" w:eastAsia="Times New Roman" w:hAnsi="Times New Roman" w:cs="Times New Roman"/>
      <w:color w:val="000000"/>
      <w:sz w:val="22"/>
      <w:szCs w:val="22"/>
      <w:lang w:val="en-CA" w:eastAsia="en-CA"/>
    </w:rPr>
  </w:style>
  <w:style w:type="character" w:customStyle="1" w:styleId="UnresolvedMention2">
    <w:name w:val="Unresolved Mention2"/>
    <w:basedOn w:val="DefaultParagraphFont"/>
    <w:uiPriority w:val="99"/>
    <w:semiHidden/>
    <w:unhideWhenUsed/>
    <w:rsid w:val="00964A8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64A8F"/>
    <w:pPr>
      <w:spacing w:after="0" w:line="240" w:lineRule="auto"/>
    </w:pPr>
    <w:rPr>
      <w:b/>
      <w:bCs/>
      <w:sz w:val="20"/>
      <w:szCs w:val="20"/>
      <w:lang w:eastAsia="en-CA"/>
    </w:rPr>
  </w:style>
  <w:style w:type="character" w:customStyle="1" w:styleId="CommentSubjectChar">
    <w:name w:val="Comment Subject Char"/>
    <w:basedOn w:val="CommentTextChar"/>
    <w:link w:val="CommentSubject"/>
    <w:uiPriority w:val="99"/>
    <w:semiHidden/>
    <w:rsid w:val="00964A8F"/>
    <w:rPr>
      <w:rFonts w:ascii="Times New Roman" w:eastAsia="Times New Roman" w:hAnsi="Times New Roman" w:cs="Times New Roman"/>
      <w:b/>
      <w:bCs/>
      <w:sz w:val="20"/>
      <w:szCs w:val="20"/>
      <w:lang w:val="en-GB" w:eastAsia="en-CA"/>
    </w:rPr>
  </w:style>
  <w:style w:type="character" w:customStyle="1" w:styleId="UnresolvedMention3">
    <w:name w:val="Unresolved Mention3"/>
    <w:basedOn w:val="DefaultParagraphFont"/>
    <w:uiPriority w:val="99"/>
    <w:semiHidden/>
    <w:unhideWhenUsed/>
    <w:rsid w:val="00964A8F"/>
    <w:rPr>
      <w:color w:val="605E5C"/>
      <w:shd w:val="clear" w:color="auto" w:fill="E1DFDD"/>
    </w:rPr>
  </w:style>
  <w:style w:type="character" w:customStyle="1" w:styleId="UnresolvedMention4">
    <w:name w:val="Unresolved Mention4"/>
    <w:basedOn w:val="DefaultParagraphFont"/>
    <w:uiPriority w:val="99"/>
    <w:semiHidden/>
    <w:unhideWhenUsed/>
    <w:rsid w:val="00964A8F"/>
    <w:rPr>
      <w:color w:val="605E5C"/>
      <w:shd w:val="clear" w:color="auto" w:fill="E1DFDD"/>
    </w:rPr>
  </w:style>
  <w:style w:type="character" w:styleId="Strong">
    <w:name w:val="Strong"/>
    <w:basedOn w:val="DefaultParagraphFont"/>
    <w:uiPriority w:val="22"/>
    <w:qFormat/>
    <w:rsid w:val="00964A8F"/>
    <w:rPr>
      <w:b/>
      <w:bCs/>
    </w:rPr>
  </w:style>
  <w:style w:type="paragraph" w:styleId="NormalWeb">
    <w:name w:val="Normal (Web)"/>
    <w:basedOn w:val="Normal"/>
    <w:uiPriority w:val="99"/>
    <w:unhideWhenUsed/>
    <w:rsid w:val="00964A8F"/>
    <w:pPr>
      <w:spacing w:before="100" w:beforeAutospacing="1" w:after="100" w:afterAutospacing="1"/>
      <w:jc w:val="left"/>
    </w:pPr>
    <w:rPr>
      <w:sz w:val="24"/>
      <w:szCs w:val="22"/>
      <w:lang w:val="en-CA" w:eastAsia="en-CA"/>
    </w:rPr>
  </w:style>
  <w:style w:type="table" w:customStyle="1" w:styleId="3">
    <w:name w:val="3"/>
    <w:basedOn w:val="TableNormal"/>
    <w:rsid w:val="00964A8F"/>
    <w:pPr>
      <w:jc w:val="both"/>
    </w:pPr>
    <w:rPr>
      <w:rFonts w:ascii="Times New Roman" w:eastAsia="Times New Roman" w:hAnsi="Times New Roman" w:cs="Times New Roman"/>
      <w:sz w:val="22"/>
      <w:szCs w:val="22"/>
      <w:lang w:val="en-GB" w:eastAsia="en-CA"/>
    </w:rPr>
    <w:tblPr>
      <w:tblStyleRowBandSize w:val="1"/>
      <w:tblStyleColBandSize w:val="1"/>
    </w:tblPr>
  </w:style>
  <w:style w:type="table" w:customStyle="1" w:styleId="2">
    <w:name w:val="2"/>
    <w:basedOn w:val="TableNormal"/>
    <w:rsid w:val="00964A8F"/>
    <w:pPr>
      <w:jc w:val="both"/>
    </w:pPr>
    <w:rPr>
      <w:rFonts w:ascii="Times New Roman" w:eastAsia="Times New Roman" w:hAnsi="Times New Roman" w:cs="Times New Roman"/>
      <w:sz w:val="22"/>
      <w:szCs w:val="22"/>
      <w:lang w:val="en-GB" w:eastAsia="en-CA"/>
    </w:rPr>
    <w:tblPr>
      <w:tblStyleRowBandSize w:val="1"/>
      <w:tblStyleColBandSize w:val="1"/>
      <w:tblCellMar>
        <w:top w:w="100" w:type="dxa"/>
        <w:left w:w="100" w:type="dxa"/>
        <w:bottom w:w="100" w:type="dxa"/>
        <w:right w:w="100" w:type="dxa"/>
      </w:tblCellMar>
    </w:tblPr>
  </w:style>
  <w:style w:type="table" w:customStyle="1" w:styleId="1">
    <w:name w:val="1"/>
    <w:basedOn w:val="TableNormal"/>
    <w:rsid w:val="00964A8F"/>
    <w:pPr>
      <w:jc w:val="both"/>
    </w:pPr>
    <w:rPr>
      <w:rFonts w:ascii="Times New Roman" w:eastAsia="Times New Roman" w:hAnsi="Times New Roman" w:cs="Times New Roman"/>
      <w:sz w:val="22"/>
      <w:szCs w:val="22"/>
      <w:lang w:val="en-GB" w:eastAsia="en-CA"/>
    </w:rPr>
    <w:tblPr>
      <w:tblStyleRowBandSize w:val="1"/>
      <w:tblStyleColBandSize w:val="1"/>
      <w:tblCellMar>
        <w:top w:w="100" w:type="dxa"/>
        <w:left w:w="100" w:type="dxa"/>
        <w:bottom w:w="100" w:type="dxa"/>
        <w:right w:w="100" w:type="dxa"/>
      </w:tblCellMar>
    </w:tblPr>
  </w:style>
  <w:style w:type="paragraph" w:customStyle="1" w:styleId="Normal1">
    <w:name w:val="Normal1"/>
    <w:rsid w:val="00964A8F"/>
    <w:pPr>
      <w:widowControl w:val="0"/>
      <w:spacing w:line="276" w:lineRule="auto"/>
    </w:pPr>
    <w:rPr>
      <w:rFonts w:ascii="Arial" w:eastAsia="Arial" w:hAnsi="Arial" w:cs="Arial"/>
      <w:color w:val="000000"/>
      <w:sz w:val="22"/>
      <w:szCs w:val="20"/>
      <w:lang w:val="en-CA"/>
    </w:rPr>
  </w:style>
  <w:style w:type="table" w:styleId="PlainTable2">
    <w:name w:val="Plain Table 2"/>
    <w:basedOn w:val="TableNormal"/>
    <w:uiPriority w:val="42"/>
    <w:rsid w:val="00964A8F"/>
    <w:pPr>
      <w:jc w:val="both"/>
    </w:pPr>
    <w:rPr>
      <w:rFonts w:ascii="Times New Roman" w:eastAsia="Times New Roman" w:hAnsi="Times New Roman" w:cs="Times New Roman"/>
      <w:sz w:val="22"/>
      <w:szCs w:val="22"/>
      <w:lang w:val="en-GB" w:eastAsia="en-C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64A8F"/>
    <w:pPr>
      <w:jc w:val="both"/>
    </w:pPr>
    <w:rPr>
      <w:rFonts w:ascii="Times New Roman" w:eastAsia="Times New Roman" w:hAnsi="Times New Roman" w:cs="Times New Roman"/>
      <w:sz w:val="22"/>
      <w:szCs w:val="22"/>
      <w:lang w:val="en-GB" w:eastAsia="en-C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Spacing">
    <w:name w:val="No Spacing"/>
    <w:uiPriority w:val="1"/>
    <w:qFormat/>
    <w:rsid w:val="00964A8F"/>
    <w:pPr>
      <w:jc w:val="both"/>
    </w:pPr>
    <w:rPr>
      <w:rFonts w:ascii="Times New Roman" w:eastAsia="Times New Roman" w:hAnsi="Times New Roman" w:cs="Times New Roman"/>
      <w:sz w:val="22"/>
      <w:szCs w:val="22"/>
      <w:lang w:val="en-GB" w:eastAsia="en-CA"/>
    </w:rPr>
  </w:style>
  <w:style w:type="character" w:styleId="UnresolvedMention">
    <w:name w:val="Unresolved Mention"/>
    <w:basedOn w:val="DefaultParagraphFont"/>
    <w:uiPriority w:val="99"/>
    <w:semiHidden/>
    <w:unhideWhenUsed/>
    <w:rsid w:val="00964A8F"/>
    <w:rPr>
      <w:color w:val="605E5C"/>
      <w:shd w:val="clear" w:color="auto" w:fill="E1DFDD"/>
    </w:rPr>
  </w:style>
  <w:style w:type="table" w:styleId="ListTable4-Accent5">
    <w:name w:val="List Table 4 Accent 5"/>
    <w:basedOn w:val="TableNormal"/>
    <w:uiPriority w:val="49"/>
    <w:rsid w:val="00964A8F"/>
    <w:rPr>
      <w:rFonts w:eastAsiaTheme="minorHAnsi"/>
      <w:sz w:val="22"/>
      <w:szCs w:val="22"/>
      <w:lang w:val="en-GB"/>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ansinterligne1">
    <w:name w:val="Sans interligne1"/>
    <w:uiPriority w:val="1"/>
    <w:qFormat/>
    <w:rsid w:val="00964A8F"/>
    <w:rPr>
      <w:rFonts w:ascii="Calibri" w:eastAsia="Calibri" w:hAnsi="Calibri" w:cs="Times New Roman"/>
      <w:sz w:val="22"/>
      <w:lang w:val="en-GB" w:eastAsia="en-GB"/>
    </w:rPr>
  </w:style>
  <w:style w:type="table" w:styleId="MediumShading2-Accent2">
    <w:name w:val="Medium Shading 2 Accent 2"/>
    <w:basedOn w:val="TableNormal"/>
    <w:uiPriority w:val="64"/>
    <w:rsid w:val="00964A8F"/>
    <w:rPr>
      <w:rFonts w:eastAsiaTheme="minorHAnsi"/>
      <w:sz w:val="22"/>
      <w:szCs w:val="22"/>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dTable5Dark-Accent1">
    <w:name w:val="Grid Table 5 Dark Accent 1"/>
    <w:basedOn w:val="TableNormal"/>
    <w:uiPriority w:val="50"/>
    <w:rsid w:val="00964A8F"/>
    <w:pPr>
      <w:jc w:val="both"/>
    </w:pPr>
    <w:rPr>
      <w:rFonts w:ascii="Times New Roman" w:eastAsia="Times New Roman" w:hAnsi="Times New Roman" w:cs="Times New Roman"/>
      <w:sz w:val="22"/>
      <w:szCs w:val="22"/>
      <w:lang w:val="en-GB" w:eastAsia="en-C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Annex-H2">
    <w:name w:val="Annex - H2"/>
    <w:basedOn w:val="Heading2"/>
    <w:next w:val="BodyText"/>
    <w:qFormat/>
    <w:rsid w:val="00964A8F"/>
    <w:pPr>
      <w:keepNext w:val="0"/>
      <w:numPr>
        <w:numId w:val="9"/>
      </w:numPr>
      <w:tabs>
        <w:tab w:val="clear" w:pos="720"/>
      </w:tabs>
      <w:suppressAutoHyphens/>
      <w:spacing w:before="0" w:after="0"/>
      <w:ind w:left="714" w:hanging="357"/>
      <w:contextualSpacing/>
    </w:pPr>
    <w:rPr>
      <w:bCs w:val="0"/>
      <w:caps/>
      <w:color w:val="000000"/>
      <w:kern w:val="22"/>
      <w:szCs w:val="22"/>
      <w:lang w:eastAsia="en-CA"/>
    </w:rPr>
  </w:style>
  <w:style w:type="numbering" w:customStyle="1" w:styleId="AnnexLettering">
    <w:name w:val="Annex Lettering"/>
    <w:uiPriority w:val="99"/>
    <w:rsid w:val="00964A8F"/>
    <w:pPr>
      <w:numPr>
        <w:numId w:val="8"/>
      </w:numPr>
    </w:pPr>
  </w:style>
  <w:style w:type="character" w:customStyle="1" w:styleId="StyleFootnoteReferencenumberFootnoteReferenceSuperscript-EF">
    <w:name w:val="Style Footnote ReferencenumberFootnote Reference Superscript-E F..."/>
    <w:basedOn w:val="FootnoteReference"/>
    <w:rsid w:val="00964A8F"/>
    <w:rPr>
      <w:kern w:val="22"/>
      <w:sz w:val="18"/>
      <w:u w:val="none"/>
      <w:vertAlign w:val="superscript"/>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BC2404"/>
    <w:pPr>
      <w:spacing w:after="160" w:line="240" w:lineRule="exact"/>
    </w:pPr>
    <w:rPr>
      <w:rFonts w:asciiTheme="minorHAnsi" w:eastAsiaTheme="minorEastAsia" w:hAnsiTheme="minorHAnsi" w:cstheme="minorBidi"/>
      <w:vertAlign w:val="superscript"/>
      <w:lang w:val="fr-CA"/>
    </w:rPr>
  </w:style>
  <w:style w:type="paragraph" w:customStyle="1" w:styleId="CBD-Para">
    <w:name w:val="CBD-Para"/>
    <w:basedOn w:val="Normal"/>
    <w:link w:val="CBD-ParaCharChar"/>
    <w:rsid w:val="00292964"/>
    <w:pPr>
      <w:keepLines/>
      <w:numPr>
        <w:numId w:val="12"/>
      </w:numPr>
      <w:spacing w:before="120" w:after="120"/>
    </w:pPr>
    <w:rPr>
      <w:szCs w:val="22"/>
      <w:lang w:val="en-US"/>
    </w:rPr>
  </w:style>
  <w:style w:type="character" w:customStyle="1" w:styleId="CBD-ParaCharChar">
    <w:name w:val="CBD-Para Char Char"/>
    <w:link w:val="CBD-Para"/>
    <w:rsid w:val="00292964"/>
    <w:rPr>
      <w:rFonts w:ascii="Times New Roman" w:eastAsia="Times New Roman" w:hAnsi="Times New Roman" w:cs="Times New Roman"/>
      <w:sz w:val="22"/>
      <w:szCs w:val="22"/>
      <w:lang w:val="en-US"/>
    </w:rPr>
  </w:style>
  <w:style w:type="paragraph" w:customStyle="1" w:styleId="CBD-Para-a">
    <w:name w:val="CBD-Para-a"/>
    <w:basedOn w:val="CBD-Para"/>
    <w:rsid w:val="00292964"/>
    <w:pPr>
      <w:numPr>
        <w:ilvl w:val="1"/>
      </w:numPr>
      <w:tabs>
        <w:tab w:val="clear" w:pos="1080"/>
        <w:tab w:val="num" w:pos="360"/>
      </w:tabs>
      <w:spacing w:before="60" w:after="60"/>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260635">
      <w:bodyDiv w:val="1"/>
      <w:marLeft w:val="0"/>
      <w:marRight w:val="0"/>
      <w:marTop w:val="0"/>
      <w:marBottom w:val="0"/>
      <w:divBdr>
        <w:top w:val="none" w:sz="0" w:space="0" w:color="auto"/>
        <w:left w:val="none" w:sz="0" w:space="0" w:color="auto"/>
        <w:bottom w:val="none" w:sz="0" w:space="0" w:color="auto"/>
        <w:right w:val="none" w:sz="0" w:space="0" w:color="auto"/>
      </w:divBdr>
    </w:div>
    <w:div w:id="545921232">
      <w:bodyDiv w:val="1"/>
      <w:marLeft w:val="0"/>
      <w:marRight w:val="0"/>
      <w:marTop w:val="0"/>
      <w:marBottom w:val="0"/>
      <w:divBdr>
        <w:top w:val="none" w:sz="0" w:space="0" w:color="auto"/>
        <w:left w:val="none" w:sz="0" w:space="0" w:color="auto"/>
        <w:bottom w:val="none" w:sz="0" w:space="0" w:color="auto"/>
        <w:right w:val="none" w:sz="0" w:space="0" w:color="auto"/>
      </w:divBdr>
    </w:div>
    <w:div w:id="674069118">
      <w:bodyDiv w:val="1"/>
      <w:marLeft w:val="0"/>
      <w:marRight w:val="0"/>
      <w:marTop w:val="0"/>
      <w:marBottom w:val="0"/>
      <w:divBdr>
        <w:top w:val="none" w:sz="0" w:space="0" w:color="auto"/>
        <w:left w:val="none" w:sz="0" w:space="0" w:color="auto"/>
        <w:bottom w:val="none" w:sz="0" w:space="0" w:color="auto"/>
        <w:right w:val="none" w:sz="0" w:space="0" w:color="auto"/>
      </w:divBdr>
    </w:div>
    <w:div w:id="850993956">
      <w:bodyDiv w:val="1"/>
      <w:marLeft w:val="0"/>
      <w:marRight w:val="0"/>
      <w:marTop w:val="0"/>
      <w:marBottom w:val="0"/>
      <w:divBdr>
        <w:top w:val="none" w:sz="0" w:space="0" w:color="auto"/>
        <w:left w:val="none" w:sz="0" w:space="0" w:color="auto"/>
        <w:bottom w:val="none" w:sz="0" w:space="0" w:color="auto"/>
        <w:right w:val="none" w:sz="0" w:space="0" w:color="auto"/>
      </w:divBdr>
    </w:div>
    <w:div w:id="1253316393">
      <w:bodyDiv w:val="1"/>
      <w:marLeft w:val="0"/>
      <w:marRight w:val="0"/>
      <w:marTop w:val="0"/>
      <w:marBottom w:val="0"/>
      <w:divBdr>
        <w:top w:val="none" w:sz="0" w:space="0" w:color="auto"/>
        <w:left w:val="none" w:sz="0" w:space="0" w:color="auto"/>
        <w:bottom w:val="none" w:sz="0" w:space="0" w:color="auto"/>
        <w:right w:val="none" w:sz="0" w:space="0" w:color="auto"/>
      </w:divBdr>
    </w:div>
    <w:div w:id="1412584338">
      <w:bodyDiv w:val="1"/>
      <w:marLeft w:val="0"/>
      <w:marRight w:val="0"/>
      <w:marTop w:val="0"/>
      <w:marBottom w:val="0"/>
      <w:divBdr>
        <w:top w:val="none" w:sz="0" w:space="0" w:color="auto"/>
        <w:left w:val="none" w:sz="0" w:space="0" w:color="auto"/>
        <w:bottom w:val="none" w:sz="0" w:space="0" w:color="auto"/>
        <w:right w:val="none" w:sz="0" w:space="0" w:color="auto"/>
      </w:divBdr>
    </w:div>
    <w:div w:id="1697611485">
      <w:bodyDiv w:val="1"/>
      <w:marLeft w:val="0"/>
      <w:marRight w:val="0"/>
      <w:marTop w:val="0"/>
      <w:marBottom w:val="0"/>
      <w:divBdr>
        <w:top w:val="none" w:sz="0" w:space="0" w:color="auto"/>
        <w:left w:val="none" w:sz="0" w:space="0" w:color="auto"/>
        <w:bottom w:val="none" w:sz="0" w:space="0" w:color="auto"/>
        <w:right w:val="none" w:sz="0" w:space="0" w:color="auto"/>
      </w:divBdr>
    </w:div>
    <w:div w:id="1763531583">
      <w:bodyDiv w:val="1"/>
      <w:marLeft w:val="0"/>
      <w:marRight w:val="0"/>
      <w:marTop w:val="0"/>
      <w:marBottom w:val="0"/>
      <w:divBdr>
        <w:top w:val="none" w:sz="0" w:space="0" w:color="auto"/>
        <w:left w:val="none" w:sz="0" w:space="0" w:color="auto"/>
        <w:bottom w:val="none" w:sz="0" w:space="0" w:color="auto"/>
        <w:right w:val="none" w:sz="0" w:space="0" w:color="auto"/>
      </w:divBdr>
    </w:div>
    <w:div w:id="1922569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decisions/cop-13/cop-13-dec-24-fr.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academic.oup.com/jas/article/97/5/1921/5382308"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bd.int/doc/decisions/cop-14/cop-14-dec-25-fr.pdf"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www.cbd.int/doc/decisions/cop-14/cop-14-dec-24-fr.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informea.org/fr" TargetMode="External"/><Relationship Id="rId13" Type="http://schemas.openxmlformats.org/officeDocument/2006/relationships/hyperlink" Target="https://fr.allianceforbio.org" TargetMode="External"/><Relationship Id="rId3" Type="http://schemas.openxmlformats.org/officeDocument/2006/relationships/hyperlink" Target="https://www.cbd.int/chm/" TargetMode="External"/><Relationship Id="rId7" Type="http://schemas.openxmlformats.org/officeDocument/2006/relationships/hyperlink" Target="https://trade.cites.org/fr/cites_trade" TargetMode="External"/><Relationship Id="rId12" Type="http://schemas.openxmlformats.org/officeDocument/2006/relationships/hyperlink" Target="https://www.unep-wcmc.org/resources-and-data/biodiversitysynergies" TargetMode="External"/><Relationship Id="rId2" Type="http://schemas.openxmlformats.org/officeDocument/2006/relationships/hyperlink" Target="http://www-public.imtbs-tsp.eu/~gibson/Teaching/Teaching-ReadingMaterial/Rowley06.pdf" TargetMode="External"/><Relationship Id="rId1" Type="http://schemas.openxmlformats.org/officeDocument/2006/relationships/hyperlink" Target="https://www.cbd.int/doc/c/5ec1/d94f/60fb5937bc06b92013ec09dd/sbi-02-inf-33-en.pdf" TargetMode="External"/><Relationship Id="rId6" Type="http://schemas.openxmlformats.org/officeDocument/2006/relationships/hyperlink" Target="https://rsis.ramsar.org/fr?language=fr" TargetMode="External"/><Relationship Id="rId11" Type="http://schemas.openxmlformats.org/officeDocument/2006/relationships/hyperlink" Target="https://www.iccaregistry.org/?locale=fr" TargetMode="External"/><Relationship Id="rId5" Type="http://schemas.openxmlformats.org/officeDocument/2006/relationships/hyperlink" Target="https://absch.cbd.int/fr/" TargetMode="External"/><Relationship Id="rId10" Type="http://schemas.openxmlformats.org/officeDocument/2006/relationships/hyperlink" Target="https://pame.protectedplanet.net" TargetMode="External"/><Relationship Id="rId4" Type="http://schemas.openxmlformats.org/officeDocument/2006/relationships/hyperlink" Target="http://bch.cbd.int" TargetMode="External"/><Relationship Id="rId9" Type="http://schemas.openxmlformats.org/officeDocument/2006/relationships/hyperlink" Target="https://www.protectedplanet.net/en" TargetMode="External"/><Relationship Id="rId14" Type="http://schemas.openxmlformats.org/officeDocument/2006/relationships/hyperlink" Target="https://www.unep-wcmc.org/resources-and-data/biodiversitysynergi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BEB20ED685304A1C91A992BF91A9937D"/>
        <w:category>
          <w:name w:val="General"/>
          <w:gallery w:val="placeholder"/>
        </w:category>
        <w:types>
          <w:type w:val="bbPlcHdr"/>
        </w:types>
        <w:behaviors>
          <w:behavior w:val="content"/>
        </w:behaviors>
        <w:guid w:val="{D810AD31-C83B-4CA0-AD30-FA99814E1DE6}"/>
      </w:docPartPr>
      <w:docPartBody>
        <w:p w:rsidR="00D34167" w:rsidRDefault="00C21165" w:rsidP="00C21165">
          <w:pPr>
            <w:pStyle w:val="BEB20ED685304A1C91A992BF91A9937D"/>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14948"/>
    <w:rsid w:val="000D0297"/>
    <w:rsid w:val="000F5BAC"/>
    <w:rsid w:val="00117631"/>
    <w:rsid w:val="001B6F83"/>
    <w:rsid w:val="001D1A1F"/>
    <w:rsid w:val="002012A3"/>
    <w:rsid w:val="0029542F"/>
    <w:rsid w:val="002F0CFC"/>
    <w:rsid w:val="0030091C"/>
    <w:rsid w:val="00303991"/>
    <w:rsid w:val="00397CA9"/>
    <w:rsid w:val="003A69E4"/>
    <w:rsid w:val="004D5E28"/>
    <w:rsid w:val="00500A2B"/>
    <w:rsid w:val="00570E1E"/>
    <w:rsid w:val="0058288D"/>
    <w:rsid w:val="005D1605"/>
    <w:rsid w:val="005E174F"/>
    <w:rsid w:val="005E1873"/>
    <w:rsid w:val="005F4529"/>
    <w:rsid w:val="00616617"/>
    <w:rsid w:val="006801B3"/>
    <w:rsid w:val="006E7EB0"/>
    <w:rsid w:val="006F619D"/>
    <w:rsid w:val="007634AC"/>
    <w:rsid w:val="00802567"/>
    <w:rsid w:val="00807F12"/>
    <w:rsid w:val="00810A55"/>
    <w:rsid w:val="0083766C"/>
    <w:rsid w:val="0086239A"/>
    <w:rsid w:val="00865C77"/>
    <w:rsid w:val="008A7BD9"/>
    <w:rsid w:val="008C6619"/>
    <w:rsid w:val="008D420E"/>
    <w:rsid w:val="00901513"/>
    <w:rsid w:val="00911AAE"/>
    <w:rsid w:val="00950AEC"/>
    <w:rsid w:val="0098642F"/>
    <w:rsid w:val="00A8033D"/>
    <w:rsid w:val="00A856A1"/>
    <w:rsid w:val="00AA6880"/>
    <w:rsid w:val="00AA7B1C"/>
    <w:rsid w:val="00AE1C04"/>
    <w:rsid w:val="00C02070"/>
    <w:rsid w:val="00C21165"/>
    <w:rsid w:val="00C259AE"/>
    <w:rsid w:val="00C80416"/>
    <w:rsid w:val="00C960D0"/>
    <w:rsid w:val="00CC7142"/>
    <w:rsid w:val="00D22BEF"/>
    <w:rsid w:val="00D34167"/>
    <w:rsid w:val="00DD035D"/>
    <w:rsid w:val="00E25D43"/>
    <w:rsid w:val="00E4791A"/>
    <w:rsid w:val="00F243B6"/>
    <w:rsid w:val="00F3578B"/>
    <w:rsid w:val="00FA14C1"/>
    <w:rsid w:val="00FA56CC"/>
    <w:rsid w:val="00FC1C29"/>
    <w:rsid w:val="00FC26E3"/>
    <w:rsid w:val="00FE64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9AE"/>
    <w:rPr>
      <w:color w:val="808080"/>
    </w:rPr>
  </w:style>
  <w:style w:type="paragraph" w:customStyle="1" w:styleId="BEB20ED685304A1C91A992BF91A9937D">
    <w:name w:val="BEB20ED685304A1C91A992BF91A9937D"/>
    <w:rsid w:val="00C21165"/>
    <w:pPr>
      <w:spacing w:after="160" w:line="259" w:lineRule="auto"/>
    </w:pPr>
    <w:rPr>
      <w:lang w:val="en-CA" w:eastAsia="en-CA"/>
    </w:rPr>
  </w:style>
  <w:style w:type="paragraph" w:customStyle="1" w:styleId="A41714726B8D42959C6E06286E7BF05B">
    <w:name w:val="A41714726B8D42959C6E06286E7BF05B"/>
    <w:rsid w:val="00C259AE"/>
    <w:pPr>
      <w:spacing w:after="160" w:line="259" w:lineRule="auto"/>
    </w:pPr>
    <w:rPr>
      <w:lang w:eastAsia="zh-CN"/>
    </w:rPr>
  </w:style>
  <w:style w:type="paragraph" w:customStyle="1" w:styleId="B768ECD2292342A2BA57D0D6A1853017">
    <w:name w:val="B768ECD2292342A2BA57D0D6A1853017"/>
    <w:rsid w:val="00C259AE"/>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2018-12-12T00:00:00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64670B-CECA-4D06-B73C-CCAF212488F7}">
  <ds:schemaRefs>
    <ds:schemaRef ds:uri="http://schemas.microsoft.com/sharepoint/v3/contenttype/forms"/>
  </ds:schemaRefs>
</ds:datastoreItem>
</file>

<file path=customXml/itemProps3.xml><?xml version="1.0" encoding="utf-8"?>
<ds:datastoreItem xmlns:ds="http://schemas.openxmlformats.org/officeDocument/2006/customXml" ds:itemID="{D9613BCE-3A36-44EE-97E4-4BD1367F74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C055CD-4737-47BF-A85C-D59FF3F3B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8B0CC3-20DD-48C5-9D24-D3B56A5B0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Pages>14</Pages>
  <Words>6618</Words>
  <Characters>37725</Characters>
  <Application>Microsoft Office Word</Application>
  <DocSecurity>0</DocSecurity>
  <Lines>314</Lines>
  <Paragraphs>88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OUTIL DE GESTION DES CONNAISSANCES POUR LE CADRE MONDIAL DE LA BIODIVERSITÉ POUR L’APRÈS-2020</vt:lpstr>
      <vt:lpstr>KNOWLEDGE MANAGEMENT COMPONENT of the post-2020 global biodiversity framework</vt:lpstr>
    </vt:vector>
  </TitlesOfParts>
  <Company>SCBD</Company>
  <LinksUpToDate>false</LinksUpToDate>
  <CharactersWithSpaces>44255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OUTIL DE GESTION DES CONNAISSANCES POUR LE CADRE MONDIAL DE LA BIODIVERSITÉ POUR L’APRÈS-2020</dc:title>
  <dc:subject>CBD/SBI/3/8/Add.1</dc:subject>
  <dc:creator>Secretariat of the Convention on Biological Diversity</dc:creator>
  <cp:keywords>Subsidiary Body on Implementation, third meeting, Convention on Biological Diversity</cp:keywords>
  <cp:lastModifiedBy>Xue He Yan</cp:lastModifiedBy>
  <cp:revision>98</cp:revision>
  <dcterms:created xsi:type="dcterms:W3CDTF">2020-10-09T18:01:00Z</dcterms:created>
  <dcterms:modified xsi:type="dcterms:W3CDTF">2020-10-24T13:29:00Z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