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F2F44" w14:paraId="7B9D8340" w14:textId="77777777" w:rsidTr="00396CED">
        <w:trPr>
          <w:trHeight w:val="709"/>
        </w:trPr>
        <w:tc>
          <w:tcPr>
            <w:tcW w:w="976" w:type="dxa"/>
            <w:tcBorders>
              <w:bottom w:val="single" w:sz="12" w:space="0" w:color="auto"/>
            </w:tcBorders>
          </w:tcPr>
          <w:p w14:paraId="4214913C" w14:textId="77777777" w:rsidR="00DF2F44" w:rsidRDefault="00DF2F44" w:rsidP="00396CED">
            <w:r>
              <w:rPr>
                <w:noProof/>
                <w:lang w:val="en-US"/>
              </w:rPr>
              <w:drawing>
                <wp:inline distT="0" distB="0" distL="0" distR="0" wp14:anchorId="1A2E5812" wp14:editId="7EF5666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A14749A" w14:textId="77777777" w:rsidR="00DF2F44" w:rsidRDefault="00DF2F44" w:rsidP="00396CED">
            <w:r>
              <w:rPr>
                <w:noProof/>
                <w:lang w:val="en-US"/>
              </w:rPr>
              <w:drawing>
                <wp:inline distT="0" distB="0" distL="0" distR="0" wp14:anchorId="276682A4" wp14:editId="22AEA5E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DCA0E8F" w14:textId="77777777" w:rsidR="00DF2F44" w:rsidRPr="00C9161D" w:rsidRDefault="00DF2F44" w:rsidP="00396CED">
            <w:pPr>
              <w:jc w:val="right"/>
              <w:rPr>
                <w:rFonts w:ascii="Arial" w:hAnsi="Arial" w:cs="Arial"/>
                <w:b/>
                <w:sz w:val="32"/>
                <w:szCs w:val="32"/>
              </w:rPr>
            </w:pPr>
            <w:r w:rsidRPr="00C9161D">
              <w:rPr>
                <w:rFonts w:ascii="Arial" w:hAnsi="Arial" w:cs="Arial"/>
                <w:b/>
                <w:sz w:val="32"/>
                <w:szCs w:val="32"/>
              </w:rPr>
              <w:t>CBD</w:t>
            </w:r>
          </w:p>
        </w:tc>
      </w:tr>
      <w:tr w:rsidR="00DF2F44" w14:paraId="2F34DDD1" w14:textId="77777777" w:rsidTr="00396CED">
        <w:tc>
          <w:tcPr>
            <w:tcW w:w="6117" w:type="dxa"/>
            <w:gridSpan w:val="2"/>
            <w:tcBorders>
              <w:top w:val="single" w:sz="12" w:space="0" w:color="auto"/>
              <w:bottom w:val="single" w:sz="36" w:space="0" w:color="auto"/>
            </w:tcBorders>
            <w:vAlign w:val="center"/>
          </w:tcPr>
          <w:p w14:paraId="64C11F77" w14:textId="77777777" w:rsidR="00DF2F44" w:rsidRDefault="00DF2F44" w:rsidP="00396CED">
            <w:r>
              <w:rPr>
                <w:noProof/>
                <w:lang w:val="en-US"/>
              </w:rPr>
              <w:drawing>
                <wp:inline distT="0" distB="0" distL="0" distR="0" wp14:anchorId="21200822" wp14:editId="64E4B91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FE103C0" w14:textId="77777777" w:rsidR="00DF2F44" w:rsidRPr="00C9161D" w:rsidRDefault="00DF2F44" w:rsidP="00396CED">
            <w:pPr>
              <w:ind w:left="1215"/>
              <w:rPr>
                <w:szCs w:val="22"/>
              </w:rPr>
            </w:pPr>
            <w:r w:rsidRPr="00C9161D">
              <w:rPr>
                <w:szCs w:val="22"/>
              </w:rPr>
              <w:t>Distr.</w:t>
            </w:r>
          </w:p>
          <w:p w14:paraId="5659CFB0" w14:textId="100F6D71" w:rsidR="00DF2F44" w:rsidRPr="00C9161D" w:rsidRDefault="00BA55BC" w:rsidP="00396CED">
            <w:pPr>
              <w:ind w:left="1215"/>
              <w:rPr>
                <w:szCs w:val="22"/>
              </w:rPr>
            </w:pPr>
            <w:sdt>
              <w:sdtPr>
                <w:rPr>
                  <w:caps/>
                  <w:szCs w:val="22"/>
                </w:rPr>
                <w:alias w:val="Status"/>
                <w:tag w:val=""/>
                <w:id w:val="307985777"/>
                <w:placeholder>
                  <w:docPart w:val="992C3793358AE749922BCD46EE488E4D"/>
                </w:placeholder>
                <w:dataBinding w:prefixMappings="xmlns:ns0='http://purl.org/dc/elements/1.1/' xmlns:ns1='http://schemas.openxmlformats.org/package/2006/metadata/core-properties' " w:xpath="/ns1:coreProperties[1]/ns1:contentStatus[1]" w:storeItemID="{6C3C8BC8-F283-45AE-878A-BAB7291924A1}"/>
                <w:text/>
              </w:sdtPr>
              <w:sdtEndPr/>
              <w:sdtContent>
                <w:r w:rsidR="00DF2F44">
                  <w:rPr>
                    <w:caps/>
                    <w:szCs w:val="22"/>
                  </w:rPr>
                  <w:t>Limited</w:t>
                </w:r>
              </w:sdtContent>
            </w:sdt>
          </w:p>
          <w:p w14:paraId="4E818534" w14:textId="77777777" w:rsidR="00DF2F44" w:rsidRPr="00C9161D" w:rsidRDefault="00DF2F44" w:rsidP="00396CED">
            <w:pPr>
              <w:ind w:left="1215"/>
              <w:rPr>
                <w:szCs w:val="22"/>
              </w:rPr>
            </w:pPr>
          </w:p>
          <w:p w14:paraId="59DFF5CE" w14:textId="3CB3FF78" w:rsidR="00DF2F44" w:rsidRPr="00C9161D" w:rsidRDefault="00BA55BC" w:rsidP="00396CED">
            <w:pPr>
              <w:ind w:left="1215"/>
              <w:rPr>
                <w:szCs w:val="22"/>
              </w:rPr>
            </w:pPr>
            <w:sdt>
              <w:sdtPr>
                <w:rPr>
                  <w:lang w:val="en-US"/>
                </w:rPr>
                <w:alias w:val="Subject"/>
                <w:tag w:val=""/>
                <w:id w:val="2137136483"/>
                <w:placeholder>
                  <w:docPart w:val="197A9AA66BD0A340AAE2C76EA45A9517"/>
                </w:placeholder>
                <w:dataBinding w:prefixMappings="xmlns:ns0='http://purl.org/dc/elements/1.1/' xmlns:ns1='http://schemas.openxmlformats.org/package/2006/metadata/core-properties' " w:xpath="/ns1:coreProperties[1]/ns0:subject[1]" w:storeItemID="{6C3C8BC8-F283-45AE-878A-BAB7291924A1}"/>
                <w:text/>
              </w:sdtPr>
              <w:sdtEndPr/>
              <w:sdtContent>
                <w:r w:rsidR="00C22B97">
                  <w:rPr>
                    <w:lang w:val="en-US"/>
                  </w:rPr>
                  <w:t>CBD/NP-MOP/3/</w:t>
                </w:r>
                <w:r w:rsidR="00DF2F44">
                  <w:rPr>
                    <w:lang w:val="en-US"/>
                  </w:rPr>
                  <w:t>L.</w:t>
                </w:r>
                <w:r w:rsidR="00C22B97">
                  <w:rPr>
                    <w:lang w:val="en-US"/>
                  </w:rPr>
                  <w:t>4</w:t>
                </w:r>
              </w:sdtContent>
            </w:sdt>
          </w:p>
          <w:p w14:paraId="7FE5B879" w14:textId="5F142BC1" w:rsidR="00DF2F44" w:rsidRPr="00C9161D" w:rsidRDefault="00DF2F44" w:rsidP="00396CED">
            <w:pPr>
              <w:ind w:left="1215"/>
              <w:rPr>
                <w:szCs w:val="22"/>
              </w:rPr>
            </w:pPr>
            <w:r>
              <w:rPr>
                <w:szCs w:val="22"/>
                <w:lang w:val="en-US"/>
              </w:rPr>
              <w:t>22 November 2018</w:t>
            </w:r>
          </w:p>
          <w:p w14:paraId="2AE2F597" w14:textId="77777777" w:rsidR="00DF2F44" w:rsidRPr="00C9161D" w:rsidRDefault="00DF2F44" w:rsidP="00396CED">
            <w:pPr>
              <w:ind w:left="1215"/>
              <w:rPr>
                <w:szCs w:val="22"/>
              </w:rPr>
            </w:pPr>
          </w:p>
          <w:p w14:paraId="5FF4709A" w14:textId="77777777" w:rsidR="00DF2F44" w:rsidRPr="00C9161D" w:rsidRDefault="00DF2F44" w:rsidP="00396CED">
            <w:pPr>
              <w:ind w:left="1215"/>
              <w:rPr>
                <w:szCs w:val="22"/>
              </w:rPr>
            </w:pPr>
            <w:r>
              <w:rPr>
                <w:szCs w:val="22"/>
              </w:rPr>
              <w:t xml:space="preserve">ORIGINAL: </w:t>
            </w:r>
            <w:r w:rsidRPr="00C9161D">
              <w:rPr>
                <w:szCs w:val="22"/>
              </w:rPr>
              <w:t>ENGLISH</w:t>
            </w:r>
          </w:p>
          <w:p w14:paraId="3F90C07A" w14:textId="77777777" w:rsidR="00DF2F44" w:rsidRDefault="00DF2F44" w:rsidP="00396CED"/>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6E401D74"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736AF28A" w:rsidR="00C9161D" w:rsidRPr="00C9161D" w:rsidRDefault="00A41B97" w:rsidP="00C9161D">
      <w:r>
        <w:t>Agenda item 12</w:t>
      </w:r>
    </w:p>
    <w:p w14:paraId="70A9BE08" w14:textId="374E6550" w:rsidR="00C9161D" w:rsidRDefault="00BA55BC"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4433C2">
            <w:rPr>
              <w:rStyle w:val="Heading2Char"/>
            </w:rPr>
            <w:t xml:space="preserve">MEASURES </w:t>
          </w:r>
          <w:r w:rsidR="00A41B97">
            <w:rPr>
              <w:rStyle w:val="Heading2Char"/>
            </w:rPr>
            <w:t>TO RAISE AWARENESS OF THE IMPORTANCE OF GENETIC RESOURCES AND ASSOCIATED TRADITIONAL KNOWLEDGE (ARTICLE 21</w:t>
          </w:r>
          <w:r w:rsidR="004433C2">
            <w:rPr>
              <w:rStyle w:val="Heading2Char"/>
            </w:rPr>
            <w:t>)</w:t>
          </w:r>
        </w:sdtContent>
      </w:sdt>
      <w:r w:rsidR="004433C2" w:rsidRPr="00105372">
        <w:rPr>
          <w:b/>
        </w:rPr>
        <w:t xml:space="preserve"> </w:t>
      </w:r>
    </w:p>
    <w:p w14:paraId="49DCC038" w14:textId="26D59814" w:rsidR="005654DB" w:rsidRPr="00A41B97" w:rsidRDefault="00405146" w:rsidP="00A41B97">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E91DCF">
        <w:rPr>
          <w:b/>
          <w:szCs w:val="22"/>
          <w:lang w:val="en-CA"/>
        </w:rPr>
        <w:t>I</w:t>
      </w:r>
    </w:p>
    <w:p w14:paraId="270941C5" w14:textId="77777777" w:rsidR="00687F77" w:rsidRDefault="00687F77" w:rsidP="00687F77">
      <w:pPr>
        <w:pStyle w:val="Para1"/>
        <w:numPr>
          <w:ilvl w:val="0"/>
          <w:numId w:val="0"/>
        </w:numPr>
        <w:shd w:val="clear" w:color="auto" w:fill="FFFFFF" w:themeFill="background1"/>
        <w:tabs>
          <w:tab w:val="left" w:pos="720"/>
        </w:tabs>
        <w:ind w:left="720"/>
        <w:rPr>
          <w:i/>
          <w:kern w:val="22"/>
          <w:szCs w:val="22"/>
        </w:rPr>
      </w:pPr>
      <w:r>
        <w:rPr>
          <w:i/>
          <w:kern w:val="22"/>
          <w:szCs w:val="22"/>
        </w:rPr>
        <w:t>The Conference of the Parties serving as the meeting of the Parties to the Nagoya Protocol</w:t>
      </w:r>
    </w:p>
    <w:p w14:paraId="292CF810" w14:textId="175BF79A" w:rsidR="00687F77" w:rsidRDefault="00687F77" w:rsidP="00687F77">
      <w:pPr>
        <w:pStyle w:val="Para1"/>
        <w:shd w:val="clear" w:color="auto" w:fill="FFFFFF" w:themeFill="background1"/>
        <w:tabs>
          <w:tab w:val="left" w:pos="720"/>
        </w:tabs>
        <w:ind w:firstLine="720"/>
        <w:rPr>
          <w:kern w:val="22"/>
          <w:szCs w:val="22"/>
        </w:rPr>
      </w:pPr>
      <w:r>
        <w:rPr>
          <w:i/>
          <w:kern w:val="22"/>
          <w:szCs w:val="22"/>
        </w:rPr>
        <w:t xml:space="preserve">Takes note </w:t>
      </w:r>
      <w:r>
        <w:rPr>
          <w:kern w:val="22"/>
          <w:szCs w:val="22"/>
        </w:rPr>
        <w:t>of</w:t>
      </w:r>
      <w:r>
        <w:rPr>
          <w:i/>
          <w:kern w:val="22"/>
          <w:szCs w:val="22"/>
        </w:rPr>
        <w:t xml:space="preserve"> </w:t>
      </w:r>
      <w:r>
        <w:rPr>
          <w:kern w:val="22"/>
          <w:szCs w:val="22"/>
        </w:rPr>
        <w:t>progress made in the implementation of the awareness-raising strategy for the Nagoya Protocol on Access and Benefit-sharing;</w:t>
      </w:r>
      <w:r w:rsidRPr="00A27419">
        <w:rPr>
          <w:rStyle w:val="FootnoteReference"/>
          <w:rFonts w:eastAsiaTheme="majorEastAsia"/>
          <w:kern w:val="22"/>
          <w:szCs w:val="22"/>
        </w:rPr>
        <w:footnoteReference w:id="1"/>
      </w:r>
    </w:p>
    <w:p w14:paraId="3D353AF4" w14:textId="2AED4F66" w:rsidR="00687F77" w:rsidRDefault="00687F77" w:rsidP="00687F77">
      <w:pPr>
        <w:pStyle w:val="Para1"/>
        <w:shd w:val="clear" w:color="auto" w:fill="FFFFFF" w:themeFill="background1"/>
        <w:tabs>
          <w:tab w:val="left" w:pos="720"/>
        </w:tabs>
        <w:ind w:firstLine="720"/>
        <w:rPr>
          <w:kern w:val="22"/>
          <w:szCs w:val="22"/>
        </w:rPr>
      </w:pPr>
      <w:r>
        <w:rPr>
          <w:i/>
          <w:kern w:val="22"/>
          <w:szCs w:val="22"/>
        </w:rPr>
        <w:t>Welcomes</w:t>
      </w:r>
      <w:r>
        <w:rPr>
          <w:kern w:val="22"/>
          <w:szCs w:val="22"/>
        </w:rPr>
        <w:t xml:space="preserve"> the awareness-raising toolkit for access and benefit-sharing developed by the Secretariat with a view to supporting the implementation of the awareness-raising strategy;</w:t>
      </w:r>
    </w:p>
    <w:p w14:paraId="3E2384DF" w14:textId="75B4B3CA" w:rsidR="00687F77" w:rsidRDefault="009B0F53" w:rsidP="00687F77">
      <w:pPr>
        <w:pStyle w:val="Para1"/>
        <w:shd w:val="clear" w:color="auto" w:fill="FFFFFF" w:themeFill="background1"/>
        <w:tabs>
          <w:tab w:val="left" w:pos="720"/>
        </w:tabs>
        <w:ind w:firstLine="720"/>
        <w:rPr>
          <w:kern w:val="22"/>
          <w:szCs w:val="22"/>
        </w:rPr>
      </w:pPr>
      <w:r>
        <w:rPr>
          <w:i/>
          <w:kern w:val="22"/>
          <w:szCs w:val="22"/>
        </w:rPr>
        <w:t>Encourages</w:t>
      </w:r>
      <w:r>
        <w:rPr>
          <w:kern w:val="22"/>
          <w:szCs w:val="22"/>
        </w:rPr>
        <w:t xml:space="preserve"> </w:t>
      </w:r>
      <w:r w:rsidR="00687F77">
        <w:rPr>
          <w:kern w:val="22"/>
          <w:szCs w:val="22"/>
        </w:rPr>
        <w:t>Parties, non-Parties, relevant organizations and other actors to utilize the access and benefit-sharing awareness</w:t>
      </w:r>
      <w:r w:rsidR="00687F77">
        <w:rPr>
          <w:kern w:val="22"/>
          <w:szCs w:val="22"/>
        </w:rPr>
        <w:noBreakHyphen/>
        <w:t>raising toolkit developed by the Secretariat as part of their awareness-raising and capacity</w:t>
      </w:r>
      <w:r w:rsidR="00687F77">
        <w:rPr>
          <w:kern w:val="22"/>
          <w:szCs w:val="22"/>
        </w:rPr>
        <w:noBreakHyphen/>
        <w:t>building activities and to provide feedback on its use to the Secretariat;</w:t>
      </w:r>
    </w:p>
    <w:p w14:paraId="73AD3DDE" w14:textId="469F628C" w:rsidR="00687F77" w:rsidRDefault="00687F77" w:rsidP="00687F77">
      <w:pPr>
        <w:pStyle w:val="Para1"/>
        <w:shd w:val="clear" w:color="auto" w:fill="FFFFFF" w:themeFill="background1"/>
        <w:tabs>
          <w:tab w:val="left" w:pos="720"/>
        </w:tabs>
        <w:ind w:firstLine="720"/>
        <w:rPr>
          <w:kern w:val="22"/>
          <w:szCs w:val="22"/>
        </w:rPr>
      </w:pPr>
      <w:r>
        <w:rPr>
          <w:i/>
          <w:kern w:val="22"/>
          <w:szCs w:val="22"/>
        </w:rPr>
        <w:t xml:space="preserve">Also </w:t>
      </w:r>
      <w:r w:rsidR="009B0F53">
        <w:rPr>
          <w:i/>
          <w:kern w:val="22"/>
          <w:szCs w:val="22"/>
        </w:rPr>
        <w:t>encourages</w:t>
      </w:r>
      <w:r w:rsidR="009B0F53">
        <w:rPr>
          <w:kern w:val="22"/>
          <w:szCs w:val="22"/>
        </w:rPr>
        <w:t xml:space="preserve"> </w:t>
      </w:r>
      <w:r>
        <w:rPr>
          <w:kern w:val="22"/>
          <w:szCs w:val="22"/>
        </w:rPr>
        <w:t>Parties, non-Parties, relevant organizations and other actors to continue to implement awareness-raising activities and to make available information on awareness-raising strategies and resources through the Access and Benefit-sharing Clearing-House;</w:t>
      </w:r>
    </w:p>
    <w:p w14:paraId="582B6C34" w14:textId="3A2BD9B9" w:rsidR="00687F77" w:rsidRDefault="00687F77" w:rsidP="00687F77">
      <w:pPr>
        <w:pStyle w:val="Para1"/>
        <w:shd w:val="clear" w:color="auto" w:fill="FFFFFF" w:themeFill="background1"/>
        <w:tabs>
          <w:tab w:val="left" w:pos="720"/>
        </w:tabs>
        <w:ind w:firstLine="720"/>
        <w:rPr>
          <w:kern w:val="22"/>
          <w:szCs w:val="22"/>
        </w:rPr>
      </w:pPr>
      <w:r>
        <w:rPr>
          <w:i/>
          <w:kern w:val="22"/>
          <w:szCs w:val="22"/>
        </w:rPr>
        <w:t>Requests</w:t>
      </w:r>
      <w:r>
        <w:rPr>
          <w:kern w:val="22"/>
          <w:szCs w:val="22"/>
        </w:rPr>
        <w:t xml:space="preserve"> the Executive Secretary to continue supporting the implementation of the awareness-raising strategy</w:t>
      </w:r>
      <w:r w:rsidR="00DF2F44">
        <w:rPr>
          <w:rStyle w:val="FootnoteReference"/>
          <w:kern w:val="22"/>
          <w:szCs w:val="22"/>
        </w:rPr>
        <w:footnoteReference w:id="2"/>
      </w:r>
      <w:r>
        <w:rPr>
          <w:kern w:val="22"/>
          <w:szCs w:val="22"/>
        </w:rPr>
        <w:t>, including the use of the access and benefit-sharing awareness-raising toolkit, through its capacity</w:t>
      </w:r>
      <w:r>
        <w:rPr>
          <w:kern w:val="22"/>
          <w:szCs w:val="22"/>
        </w:rPr>
        <w:noBreakHyphen/>
        <w:t>building activities and by encouraging the use of the access and benefit-sharing awareness-raising toolkit in access and benefit-sharing capacity-building and awareness-raising projects carried out by Parties, non-Parties and relevant organizations;</w:t>
      </w:r>
    </w:p>
    <w:p w14:paraId="14E2D8CA" w14:textId="6131E080" w:rsidR="00687F77" w:rsidRDefault="00687F77" w:rsidP="00687F77">
      <w:pPr>
        <w:pStyle w:val="Para1"/>
        <w:shd w:val="clear" w:color="auto" w:fill="FFFFFF" w:themeFill="background1"/>
        <w:tabs>
          <w:tab w:val="left" w:pos="720"/>
        </w:tabs>
        <w:ind w:firstLine="720"/>
        <w:rPr>
          <w:kern w:val="22"/>
          <w:szCs w:val="22"/>
        </w:rPr>
      </w:pPr>
      <w:r>
        <w:rPr>
          <w:i/>
          <w:kern w:val="22"/>
          <w:szCs w:val="22"/>
        </w:rPr>
        <w:t>Also requests</w:t>
      </w:r>
      <w:r>
        <w:rPr>
          <w:kern w:val="22"/>
          <w:szCs w:val="22"/>
        </w:rPr>
        <w:t xml:space="preserve"> the Executive Secretary to seek feedback from Parties, non-Parties and other relevant actors on the access and benefit-sharing awareness-raising toolkit and to provide an update on the progress of implementation of the awareness-raising strategy for the consideration of the Conference of the Parties serving as the meeting of the Parties to the Nagoya Protocol at its fourth meeting.</w:t>
      </w:r>
    </w:p>
    <w:p w14:paraId="11A1EAB9" w14:textId="4BE4674A" w:rsidR="00A41B97" w:rsidRDefault="00A41B97" w:rsidP="004873D7">
      <w:pPr>
        <w:suppressLineNumbers/>
        <w:suppressAutoHyphens/>
        <w:kinsoku w:val="0"/>
        <w:overflowPunct w:val="0"/>
        <w:autoSpaceDE w:val="0"/>
        <w:autoSpaceDN w:val="0"/>
        <w:snapToGrid w:val="0"/>
        <w:spacing w:before="120" w:after="120"/>
        <w:rPr>
          <w:snapToGrid w:val="0"/>
          <w:kern w:val="22"/>
          <w:szCs w:val="22"/>
          <w:lang w:eastAsia="en-CA"/>
        </w:rPr>
      </w:pPr>
    </w:p>
    <w:p w14:paraId="48D24824" w14:textId="0066EBCE" w:rsidR="00B3369F" w:rsidRPr="00C9161D" w:rsidRDefault="00A41B97" w:rsidP="00A41B97">
      <w:pPr>
        <w:keepNext/>
        <w:spacing w:after="120"/>
        <w:ind w:left="4320"/>
        <w:jc w:val="left"/>
      </w:pPr>
      <w:r>
        <w:t>____________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ED749" w14:textId="77777777" w:rsidR="00C852AD" w:rsidRDefault="00C852AD" w:rsidP="00CF1848">
      <w:r>
        <w:separator/>
      </w:r>
    </w:p>
  </w:endnote>
  <w:endnote w:type="continuationSeparator" w:id="0">
    <w:p w14:paraId="18AB9D6D" w14:textId="77777777" w:rsidR="00C852AD" w:rsidRDefault="00C852A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76F4D" w14:textId="77777777" w:rsidR="00C852AD" w:rsidRDefault="00C852AD" w:rsidP="00CF1848">
      <w:r>
        <w:separator/>
      </w:r>
    </w:p>
  </w:footnote>
  <w:footnote w:type="continuationSeparator" w:id="0">
    <w:p w14:paraId="490A9254" w14:textId="77777777" w:rsidR="00C852AD" w:rsidRDefault="00C852AD" w:rsidP="00CF1848">
      <w:r>
        <w:continuationSeparator/>
      </w:r>
    </w:p>
  </w:footnote>
  <w:footnote w:id="1">
    <w:p w14:paraId="5DA38550" w14:textId="6F56D2C4" w:rsidR="00687F77" w:rsidRDefault="00687F77" w:rsidP="00687F77">
      <w:pPr>
        <w:pStyle w:val="FootnoteText"/>
        <w:ind w:firstLine="0"/>
        <w:jc w:val="left"/>
        <w:rPr>
          <w:kern w:val="18"/>
          <w:szCs w:val="18"/>
          <w:lang w:val="en-US"/>
        </w:rPr>
      </w:pPr>
      <w:r>
        <w:rPr>
          <w:rStyle w:val="FootnoteReference"/>
          <w:rFonts w:eastAsiaTheme="majorEastAsia"/>
          <w:kern w:val="18"/>
          <w:szCs w:val="18"/>
        </w:rPr>
        <w:footnoteRef/>
      </w:r>
      <w:r>
        <w:rPr>
          <w:kern w:val="18"/>
          <w:szCs w:val="18"/>
        </w:rPr>
        <w:t xml:space="preserve"> </w:t>
      </w:r>
      <w:r w:rsidR="00E91DCF">
        <w:rPr>
          <w:kern w:val="18"/>
          <w:szCs w:val="18"/>
          <w:lang w:val="en-US"/>
        </w:rPr>
        <w:t>CBD/NP-MOP/3/6</w:t>
      </w:r>
      <w:r>
        <w:rPr>
          <w:kern w:val="18"/>
          <w:szCs w:val="18"/>
          <w:lang w:val="en-US"/>
        </w:rPr>
        <w:t>.</w:t>
      </w:r>
    </w:p>
  </w:footnote>
  <w:footnote w:id="2">
    <w:p w14:paraId="3F4C6101" w14:textId="1B448801" w:rsidR="00DF2F44" w:rsidRPr="00BA55BC" w:rsidRDefault="00DF2F44" w:rsidP="00BA55BC">
      <w:pPr>
        <w:pStyle w:val="FootnoteText"/>
        <w:ind w:firstLine="0"/>
        <w:rPr>
          <w:lang w:val="en-US"/>
        </w:rPr>
      </w:pPr>
      <w:r>
        <w:rPr>
          <w:rStyle w:val="FootnoteReference"/>
        </w:rPr>
        <w:footnoteRef/>
      </w:r>
      <w:r>
        <w:t xml:space="preserve"> </w:t>
      </w:r>
      <w:r>
        <w:rPr>
          <w:lang w:val="en-US"/>
        </w:rPr>
        <w:t xml:space="preserve">As set out in decision </w:t>
      </w:r>
      <w:r>
        <w:rPr>
          <w:lang w:val="en-US"/>
        </w:rPr>
        <w:t>NP-1/9</w:t>
      </w:r>
      <w:r w:rsidR="00F41D9C">
        <w:rPr>
          <w:lang w:val="en-US"/>
        </w:rPr>
        <w:t>.</w:t>
      </w:r>
      <w:bookmarkStart w:id="1" w:name="_GoBack"/>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6F806D2" w:rsidR="00534681" w:rsidRPr="00E91DCF" w:rsidRDefault="00C22B97" w:rsidP="00534681">
        <w:pPr>
          <w:pStyle w:val="Header"/>
          <w:rPr>
            <w:lang w:val="en-CA"/>
          </w:rPr>
        </w:pPr>
        <w:r>
          <w:rPr>
            <w:lang w:val="en-CA"/>
          </w:rPr>
          <w:t>CBD/NP-MOP/3/L.4</w:t>
        </w:r>
      </w:p>
    </w:sdtContent>
  </w:sdt>
  <w:p w14:paraId="57597240" w14:textId="7AB917EC"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687F77">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17BD5E0" w:rsidR="009505C9" w:rsidRPr="00E91DCF" w:rsidRDefault="00C22B97" w:rsidP="009505C9">
        <w:pPr>
          <w:pStyle w:val="Header"/>
          <w:jc w:val="right"/>
          <w:rPr>
            <w:lang w:val="en-CA"/>
          </w:rPr>
        </w:pPr>
        <w:r>
          <w:rPr>
            <w:lang w:val="en-CA"/>
          </w:rPr>
          <w:t>CBD/NP-MOP/3/L.4</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E673A"/>
    <w:rsid w:val="000F74F5"/>
    <w:rsid w:val="00105372"/>
    <w:rsid w:val="00131E7A"/>
    <w:rsid w:val="00143200"/>
    <w:rsid w:val="00172AF6"/>
    <w:rsid w:val="00176CEE"/>
    <w:rsid w:val="001956B2"/>
    <w:rsid w:val="002E6F3F"/>
    <w:rsid w:val="00372F74"/>
    <w:rsid w:val="003F7224"/>
    <w:rsid w:val="00405146"/>
    <w:rsid w:val="0042412C"/>
    <w:rsid w:val="00427D21"/>
    <w:rsid w:val="004433C2"/>
    <w:rsid w:val="004644C2"/>
    <w:rsid w:val="00467F9C"/>
    <w:rsid w:val="004873D7"/>
    <w:rsid w:val="005345E1"/>
    <w:rsid w:val="00534681"/>
    <w:rsid w:val="005654DB"/>
    <w:rsid w:val="005E2AC2"/>
    <w:rsid w:val="005F346C"/>
    <w:rsid w:val="006122BA"/>
    <w:rsid w:val="0061445E"/>
    <w:rsid w:val="00687F77"/>
    <w:rsid w:val="006B2290"/>
    <w:rsid w:val="006D52E4"/>
    <w:rsid w:val="006F1189"/>
    <w:rsid w:val="006F7ECB"/>
    <w:rsid w:val="00717D88"/>
    <w:rsid w:val="007648AF"/>
    <w:rsid w:val="007818E1"/>
    <w:rsid w:val="007942D3"/>
    <w:rsid w:val="007B6C09"/>
    <w:rsid w:val="007E09DA"/>
    <w:rsid w:val="008178B6"/>
    <w:rsid w:val="0085653F"/>
    <w:rsid w:val="00865B74"/>
    <w:rsid w:val="00930BA1"/>
    <w:rsid w:val="0093169E"/>
    <w:rsid w:val="009505C9"/>
    <w:rsid w:val="009B0F53"/>
    <w:rsid w:val="009C200D"/>
    <w:rsid w:val="009F2467"/>
    <w:rsid w:val="00A41B97"/>
    <w:rsid w:val="00B3369F"/>
    <w:rsid w:val="00BA55BC"/>
    <w:rsid w:val="00BE502E"/>
    <w:rsid w:val="00C12445"/>
    <w:rsid w:val="00C22B97"/>
    <w:rsid w:val="00C35537"/>
    <w:rsid w:val="00C852AD"/>
    <w:rsid w:val="00C9161D"/>
    <w:rsid w:val="00CF1848"/>
    <w:rsid w:val="00D12044"/>
    <w:rsid w:val="00D76A18"/>
    <w:rsid w:val="00DD118C"/>
    <w:rsid w:val="00DF2F44"/>
    <w:rsid w:val="00E229A8"/>
    <w:rsid w:val="00E66235"/>
    <w:rsid w:val="00E83C24"/>
    <w:rsid w:val="00E91DCF"/>
    <w:rsid w:val="00E9318D"/>
    <w:rsid w:val="00F27A1E"/>
    <w:rsid w:val="00F41D9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9B0F5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B0F53"/>
    <w:rPr>
      <w:rFonts w:ascii="Times New Roman" w:eastAsia="Times New Roman" w:hAnsi="Times New Roman" w:cs="Times New Roman"/>
      <w:b/>
      <w:bCs/>
      <w:sz w:val="20"/>
      <w:szCs w:val="20"/>
      <w:lang w:val="en-GB"/>
    </w:rPr>
  </w:style>
  <w:style w:type="paragraph" w:styleId="Revision">
    <w:name w:val="Revision"/>
    <w:hidden/>
    <w:uiPriority w:val="99"/>
    <w:semiHidden/>
    <w:rsid w:val="00DF2F4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2C3793358AE749922BCD46EE488E4D"/>
        <w:category>
          <w:name w:val="General"/>
          <w:gallery w:val="placeholder"/>
        </w:category>
        <w:types>
          <w:type w:val="bbPlcHdr"/>
        </w:types>
        <w:behaviors>
          <w:behavior w:val="content"/>
        </w:behaviors>
        <w:guid w:val="{0E586D48-8BBD-DB49-ACE8-0332D71B41DA}"/>
      </w:docPartPr>
      <w:docPartBody>
        <w:p w:rsidR="005A5752" w:rsidRDefault="00A134A0" w:rsidP="00A134A0">
          <w:pPr>
            <w:pStyle w:val="992C3793358AE749922BCD46EE488E4D"/>
          </w:pPr>
          <w:r w:rsidRPr="007E02EB">
            <w:rPr>
              <w:rStyle w:val="PlaceholderText"/>
            </w:rPr>
            <w:t>[Status]</w:t>
          </w:r>
        </w:p>
      </w:docPartBody>
    </w:docPart>
    <w:docPart>
      <w:docPartPr>
        <w:name w:val="197A9AA66BD0A340AAE2C76EA45A9517"/>
        <w:category>
          <w:name w:val="General"/>
          <w:gallery w:val="placeholder"/>
        </w:category>
        <w:types>
          <w:type w:val="bbPlcHdr"/>
        </w:types>
        <w:behaviors>
          <w:behavior w:val="content"/>
        </w:behaviors>
        <w:guid w:val="{ECC81003-925D-FA43-9483-34CDF8F4F309}"/>
      </w:docPartPr>
      <w:docPartBody>
        <w:p w:rsidR="005A5752" w:rsidRDefault="00A134A0" w:rsidP="00A134A0">
          <w:pPr>
            <w:pStyle w:val="197A9AA66BD0A340AAE2C76EA45A951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50D4E"/>
    <w:rsid w:val="00495AA8"/>
    <w:rsid w:val="00500A2B"/>
    <w:rsid w:val="005461E8"/>
    <w:rsid w:val="0058288D"/>
    <w:rsid w:val="005A5752"/>
    <w:rsid w:val="006801B3"/>
    <w:rsid w:val="006B4231"/>
    <w:rsid w:val="00720F63"/>
    <w:rsid w:val="007F1B76"/>
    <w:rsid w:val="00810A55"/>
    <w:rsid w:val="008C6619"/>
    <w:rsid w:val="008D420E"/>
    <w:rsid w:val="0098642F"/>
    <w:rsid w:val="00A134A0"/>
    <w:rsid w:val="00B92240"/>
    <w:rsid w:val="00CE6602"/>
    <w:rsid w:val="00E82DE3"/>
    <w:rsid w:val="00F12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4A0"/>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6216D14D015D8E49BB02B66BD8AA1D94">
    <w:name w:val="6216D14D015D8E49BB02B66BD8AA1D94"/>
    <w:rsid w:val="00A134A0"/>
    <w:pPr>
      <w:spacing w:after="0" w:line="240" w:lineRule="auto"/>
    </w:pPr>
    <w:rPr>
      <w:sz w:val="24"/>
      <w:szCs w:val="24"/>
      <w:lang w:val="en-CA"/>
    </w:rPr>
  </w:style>
  <w:style w:type="paragraph" w:customStyle="1" w:styleId="CFF4F28558B4054DA09B51261A09E9C9">
    <w:name w:val="CFF4F28558B4054DA09B51261A09E9C9"/>
    <w:rsid w:val="00A134A0"/>
    <w:pPr>
      <w:spacing w:after="0" w:line="240" w:lineRule="auto"/>
    </w:pPr>
    <w:rPr>
      <w:sz w:val="24"/>
      <w:szCs w:val="24"/>
      <w:lang w:val="en-CA"/>
    </w:rPr>
  </w:style>
  <w:style w:type="paragraph" w:customStyle="1" w:styleId="992C3793358AE749922BCD46EE488E4D">
    <w:name w:val="992C3793358AE749922BCD46EE488E4D"/>
    <w:rsid w:val="00A134A0"/>
    <w:pPr>
      <w:spacing w:after="0" w:line="240" w:lineRule="auto"/>
    </w:pPr>
    <w:rPr>
      <w:sz w:val="24"/>
      <w:szCs w:val="24"/>
      <w:lang w:val="en-CA"/>
    </w:rPr>
  </w:style>
  <w:style w:type="paragraph" w:customStyle="1" w:styleId="197A9AA66BD0A340AAE2C76EA45A9517">
    <w:name w:val="197A9AA66BD0A340AAE2C76EA45A9517"/>
    <w:rsid w:val="00A134A0"/>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108A54-770E-41A4-9F3F-13F166F56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MEASURES TO RAISE AWARENESS OF THE IMPORTANCE OF GENETIC RESOURCES AND ASSOCIATED TRADITIONAL KNOWLEDGE (ARTICLE 21)</vt:lpstr>
    </vt:vector>
  </TitlesOfParts>
  <Company>SCBD</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MEASURES TO RAISE AWARENESS OF THE IMPORTANCE OF GENETIC RESOURCES AND ASSOCIATED TRADITIONAL KNOWLEDGE (ARTICLE 21)</dc:title>
  <dc:subject>CBD/NP-MOP/3/L.4</dc:subject>
  <dc:creator>SCBD</dc:creator>
  <cp:lastModifiedBy>Veronique Lefebvre</cp:lastModifiedBy>
  <cp:revision>3</cp:revision>
  <cp:lastPrinted>2018-11-20T19:19:00Z</cp:lastPrinted>
  <dcterms:created xsi:type="dcterms:W3CDTF">2018-11-22T18:29:00Z</dcterms:created>
  <dcterms:modified xsi:type="dcterms:W3CDTF">2018-11-22T18:29:00Z</dcterms:modified>
  <cp:contentStatus>Limited</cp:contentStatus>
</cp:coreProperties>
</file>