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06" w:type="dxa"/>
        <w:tblInd w:w="-283" w:type="dxa"/>
        <w:tblLayout w:type="fixed"/>
        <w:tblLook w:val="0000" w:firstRow="0" w:lastRow="0" w:firstColumn="0" w:lastColumn="0" w:noHBand="0" w:noVBand="0"/>
      </w:tblPr>
      <w:tblGrid>
        <w:gridCol w:w="975"/>
        <w:gridCol w:w="1558"/>
        <w:gridCol w:w="8073"/>
      </w:tblGrid>
      <w:tr w:rsidR="008A1499" w:rsidRPr="00827DA6" w14:paraId="6D3D92AE" w14:textId="77777777" w:rsidTr="00C62151">
        <w:trPr>
          <w:trHeight w:val="850"/>
        </w:trPr>
        <w:tc>
          <w:tcPr>
            <w:tcW w:w="975" w:type="dxa"/>
            <w:vAlign w:val="bottom"/>
          </w:tcPr>
          <w:p w14:paraId="1B4BD269" w14:textId="77777777" w:rsidR="008A1499" w:rsidRPr="00827DA6" w:rsidRDefault="008A1499" w:rsidP="008A1499">
            <w:pPr>
              <w:pStyle w:val="AASmallLogo"/>
            </w:pPr>
            <w:r>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46D3D066" w14:textId="77777777" w:rsidR="008A1499" w:rsidRPr="00C643F0" w:rsidRDefault="008A1499" w:rsidP="008A1499">
            <w:pPr>
              <w:pStyle w:val="AASmallLogo"/>
            </w:pPr>
          </w:p>
        </w:tc>
        <w:tc>
          <w:tcPr>
            <w:tcW w:w="1558" w:type="dxa"/>
            <w:noWrap/>
            <w:vAlign w:val="bottom"/>
          </w:tcPr>
          <w:p w14:paraId="46EEB31E" w14:textId="04B36D5C" w:rsidR="008A1499" w:rsidRPr="00827DA6" w:rsidRDefault="00C62151" w:rsidP="008A1499">
            <w:pPr>
              <w:pStyle w:val="AASmallLogo"/>
            </w:pPr>
            <w:r w:rsidRPr="00B62157">
              <w:rPr>
                <w:noProof/>
                <w:lang w:val="en-GB" w:eastAsia="en-GB"/>
              </w:rPr>
              <w:drawing>
                <wp:inline distT="0" distB="0" distL="0" distR="0" wp14:anchorId="72770530" wp14:editId="5293BB57">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r w:rsidR="008A1499">
              <w:t xml:space="preserve"> </w:t>
            </w:r>
          </w:p>
          <w:p w14:paraId="4E5A6C7A" w14:textId="77777777" w:rsidR="008A1499" w:rsidRPr="00C643F0" w:rsidRDefault="008A1499" w:rsidP="008A1499">
            <w:pPr>
              <w:pStyle w:val="AASmallLogo"/>
            </w:pPr>
          </w:p>
        </w:tc>
        <w:tc>
          <w:tcPr>
            <w:tcW w:w="8073" w:type="dxa"/>
            <w:vAlign w:val="bottom"/>
          </w:tcPr>
          <w:p w14:paraId="7E005158" w14:textId="1C8FB9BA" w:rsidR="008A1499" w:rsidRPr="00827DA6" w:rsidRDefault="008A1499" w:rsidP="003F1A75">
            <w:pPr>
              <w:pStyle w:val="ABSymbol"/>
            </w:pPr>
            <w:r>
              <w:rPr>
                <w:sz w:val="40"/>
              </w:rPr>
              <w:t>CBD</w:t>
            </w:r>
            <w:r>
              <w:t>/COP/17/6/Add.3</w:t>
            </w:r>
          </w:p>
        </w:tc>
      </w:tr>
    </w:tbl>
    <w:p w14:paraId="6E3104D6" w14:textId="77777777" w:rsidR="008A1499" w:rsidRPr="00C643F0"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C62151" w14:paraId="5270C162" w14:textId="77777777" w:rsidTr="008A1499">
        <w:trPr>
          <w:trHeight w:val="1814"/>
        </w:trPr>
        <w:tc>
          <w:tcPr>
            <w:tcW w:w="7370" w:type="dxa"/>
          </w:tcPr>
          <w:p w14:paraId="699367AC" w14:textId="7CB341C5" w:rsidR="008A1499" w:rsidRPr="00827DA6" w:rsidRDefault="00C62151" w:rsidP="008A1499">
            <w:pPr>
              <w:pStyle w:val="ACLargeLogo"/>
            </w:pPr>
            <w:r w:rsidRPr="007B0B76">
              <w:rPr>
                <w:b/>
                <w:bCs/>
                <w:noProof/>
                <w:lang w:val="en-GB" w:eastAsia="en-GB"/>
              </w:rPr>
              <w:drawing>
                <wp:inline distT="0" distB="0" distL="0" distR="0" wp14:anchorId="03EF1CE4" wp14:editId="07340B82">
                  <wp:extent cx="2619375" cy="1085850"/>
                  <wp:effectExtent l="0" t="0" r="9525"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r w:rsidR="008A1499">
              <w:t xml:space="preserve"> </w:t>
            </w:r>
          </w:p>
          <w:p w14:paraId="56FD1AE8" w14:textId="77777777" w:rsidR="008A1499" w:rsidRPr="00C643F0" w:rsidRDefault="008A1499" w:rsidP="008A1499">
            <w:pPr>
              <w:pStyle w:val="ACLargeLogo"/>
            </w:pPr>
          </w:p>
        </w:tc>
        <w:tc>
          <w:tcPr>
            <w:tcW w:w="3112" w:type="dxa"/>
          </w:tcPr>
          <w:p w14:paraId="46FE25ED" w14:textId="77777777" w:rsidR="008A1499" w:rsidRPr="00C62151" w:rsidRDefault="008A1499" w:rsidP="008A1499">
            <w:pPr>
              <w:pStyle w:val="AEDistrNormal"/>
              <w:rPr>
                <w:lang w:val="en-CA"/>
              </w:rPr>
            </w:pPr>
            <w:r w:rsidRPr="00C62151">
              <w:rPr>
                <w:lang w:val="en-CA"/>
              </w:rPr>
              <w:t xml:space="preserve">Distr.: General </w:t>
            </w:r>
          </w:p>
          <w:p w14:paraId="1F01C14D" w14:textId="7F46929C" w:rsidR="008A1499" w:rsidRPr="00C62151" w:rsidRDefault="005E1B49" w:rsidP="008A1499">
            <w:pPr>
              <w:pStyle w:val="AEDistrNormal"/>
              <w:rPr>
                <w:lang w:val="en-CA"/>
              </w:rPr>
            </w:pPr>
            <w:r w:rsidRPr="00C62151">
              <w:rPr>
                <w:lang w:val="en-CA"/>
              </w:rPr>
              <w:t>14 September 2026</w:t>
            </w:r>
          </w:p>
          <w:p w14:paraId="22A795E3" w14:textId="77777777" w:rsidR="00C62151" w:rsidRPr="00C62151" w:rsidRDefault="00C62151" w:rsidP="00C62151">
            <w:pPr>
              <w:pStyle w:val="AEDistrNormal6pt"/>
              <w:spacing w:before="0"/>
              <w:rPr>
                <w:lang w:val="en-CA"/>
              </w:rPr>
            </w:pPr>
            <w:r w:rsidRPr="00C62151">
              <w:rPr>
                <w:lang w:val="en-CA"/>
              </w:rPr>
              <w:t xml:space="preserve">Russian </w:t>
            </w:r>
          </w:p>
          <w:p w14:paraId="21617666" w14:textId="1DECDB59" w:rsidR="008A1499" w:rsidRPr="00C62151" w:rsidRDefault="00C62151" w:rsidP="00C62151">
            <w:pPr>
              <w:pStyle w:val="AEDistrNormal6pt"/>
              <w:spacing w:before="0"/>
              <w:rPr>
                <w:lang w:val="en-CA"/>
              </w:rPr>
            </w:pPr>
            <w:r w:rsidRPr="00C62151">
              <w:rPr>
                <w:lang w:val="en-CA"/>
              </w:rPr>
              <w:t>Original: English</w:t>
            </w:r>
            <w:r w:rsidR="008A1499" w:rsidRPr="00C62151">
              <w:rPr>
                <w:lang w:val="en-CA"/>
              </w:rPr>
              <w:t xml:space="preserve"> </w:t>
            </w:r>
          </w:p>
          <w:p w14:paraId="3307EF36" w14:textId="77777777" w:rsidR="008A1499" w:rsidRPr="00C62151" w:rsidRDefault="008A1499" w:rsidP="008A1499">
            <w:pPr>
              <w:pStyle w:val="AEDistrNormal6pt"/>
              <w:rPr>
                <w:lang w:val="en-CA"/>
              </w:rPr>
            </w:pPr>
          </w:p>
        </w:tc>
      </w:tr>
    </w:tbl>
    <w:p w14:paraId="4AB7B37A" w14:textId="77777777" w:rsidR="008A1499" w:rsidRPr="00C62151" w:rsidRDefault="008A1499" w:rsidP="008A1499">
      <w:pPr>
        <w:pStyle w:val="AISpacer"/>
        <w:rPr>
          <w:lang w:val="en-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27DA6" w14:paraId="726446BD" w14:textId="77777777" w:rsidTr="008A1499">
        <w:trPr>
          <w:trHeight w:val="57"/>
        </w:trPr>
        <w:tc>
          <w:tcPr>
            <w:tcW w:w="6094" w:type="dxa"/>
          </w:tcPr>
          <w:p w14:paraId="4E742C18" w14:textId="77777777" w:rsidR="00835CB3" w:rsidRDefault="00240EE6" w:rsidP="008A1499">
            <w:pPr>
              <w:pStyle w:val="AFCorN12Bold"/>
            </w:pPr>
            <w:r>
              <w:t xml:space="preserve">Конференция Сторон Конвенции о </w:t>
            </w:r>
          </w:p>
          <w:p w14:paraId="046D3839" w14:textId="41D61F1B" w:rsidR="008A1499" w:rsidRPr="00827DA6" w:rsidRDefault="00240EE6" w:rsidP="008A1499">
            <w:pPr>
              <w:pStyle w:val="AFCorN12Bold"/>
            </w:pPr>
            <w:r>
              <w:t xml:space="preserve">биологическом разнообразии </w:t>
            </w:r>
          </w:p>
          <w:p w14:paraId="6D12A192" w14:textId="77777777" w:rsidR="008A1499" w:rsidRPr="00827DA6" w:rsidRDefault="00240EE6" w:rsidP="008A1499">
            <w:pPr>
              <w:pStyle w:val="AFCorNBold"/>
            </w:pPr>
            <w:r>
              <w:t xml:space="preserve">Семнадцатое совещание </w:t>
            </w:r>
          </w:p>
          <w:p w14:paraId="7ECD4716" w14:textId="77777777" w:rsidR="008A1499" w:rsidRPr="00827DA6" w:rsidRDefault="00240EE6" w:rsidP="008A1499">
            <w:pPr>
              <w:pStyle w:val="AFCorNNormal"/>
            </w:pPr>
            <w:r>
              <w:t xml:space="preserve">Ереван, </w:t>
            </w:r>
            <w:r>
              <w:rPr>
                <w:snapToGrid w:val="0"/>
              </w:rPr>
              <w:t>19-30 октября 2026 года</w:t>
            </w:r>
          </w:p>
          <w:p w14:paraId="242D0A4F" w14:textId="77777777" w:rsidR="008A1499" w:rsidRPr="00827DA6" w:rsidRDefault="008A1499" w:rsidP="008A1499">
            <w:pPr>
              <w:pStyle w:val="AFCorNNormal"/>
            </w:pPr>
            <w:r>
              <w:t>Пункт 11 предварительной повестки дня</w:t>
            </w:r>
            <w:r>
              <w:rPr>
                <w:rStyle w:val="FootnoteReference"/>
              </w:rPr>
              <w:footnoteReference w:customMarkFollows="1" w:id="1"/>
              <w:t>*</w:t>
            </w:r>
            <w:r>
              <w:t xml:space="preserve"> </w:t>
            </w:r>
          </w:p>
          <w:p w14:paraId="6EF14127" w14:textId="3A5464BD" w:rsidR="008A1499" w:rsidRPr="00827DA6" w:rsidRDefault="00BB682B" w:rsidP="008A1499">
            <w:pPr>
              <w:pStyle w:val="AFCorNBold"/>
            </w:pPr>
            <w:r>
              <w:t xml:space="preserve">Цифровая информация о последовательностях в отношении генетических ресурсов </w:t>
            </w:r>
          </w:p>
        </w:tc>
        <w:tc>
          <w:tcPr>
            <w:tcW w:w="4388" w:type="dxa"/>
          </w:tcPr>
          <w:p w14:paraId="385D67CF" w14:textId="77777777" w:rsidR="008A1499" w:rsidRPr="00C643F0" w:rsidRDefault="008A1499" w:rsidP="008A1499">
            <w:pPr>
              <w:pStyle w:val="CBDNormal"/>
              <w:jc w:val="left"/>
            </w:pPr>
          </w:p>
        </w:tc>
      </w:tr>
    </w:tbl>
    <w:p w14:paraId="0BFAB900" w14:textId="483CE71F" w:rsidR="00C9161D" w:rsidRPr="00F95C40" w:rsidRDefault="00F95C40" w:rsidP="00F95C40">
      <w:pPr>
        <w:pStyle w:val="CBDTitle"/>
        <w:ind w:right="571"/>
      </w:pPr>
      <w:sdt>
        <w:sdtPr>
          <w:rPr>
            <w:bCs/>
            <w:szCs w:val="28"/>
          </w:rPr>
          <w:alias w:val="Название"/>
          <w:tag w:val=""/>
          <w:id w:val="772832786"/>
          <w:placeholder>
            <w:docPart w:val="7A856C6EAFBC4F8AAA8F54826083FE19"/>
          </w:placeholder>
          <w:dataBinding w:prefixMappings="xmlns:ns0='http://purl.org/dc/elements/1.1/' xmlns:ns1='http://schemas.openxmlformats.org/package/2006/metadata/core-properties' " w:xpath="/ns1:coreProperties[1]/ns0:title[1]" w:storeItemID="{6C3C8BC8-F283-45AE-878A-BAB7291924A1}"/>
          <w:text/>
        </w:sdtPr>
        <w:sdtContent>
          <w:r w:rsidRPr="00F95C40">
            <w:rPr>
              <w:bCs/>
              <w:szCs w:val="28"/>
            </w:rPr>
            <w:t>Резюме исследования в отношении ставок взносов,</w:t>
          </w:r>
          <w:r w:rsidRPr="00F95C40">
            <w:rPr>
              <w:bCs/>
              <w:szCs w:val="28"/>
            </w:rPr>
            <w:t xml:space="preserve"> </w:t>
          </w:r>
          <w:r w:rsidRPr="00F95C40">
            <w:rPr>
              <w:bCs/>
              <w:szCs w:val="28"/>
            </w:rPr>
            <w:t>включая</w:t>
          </w:r>
          <w:r w:rsidRPr="00F95C40">
            <w:rPr>
              <w:bCs/>
              <w:szCs w:val="28"/>
            </w:rPr>
            <w:t xml:space="preserve"> </w:t>
          </w:r>
          <w:r w:rsidRPr="00F95C40">
            <w:rPr>
              <w:bCs/>
              <w:szCs w:val="28"/>
            </w:rPr>
            <w:t>последствия для получения доходов и</w:t>
          </w:r>
          <w:r w:rsidRPr="00F95C40">
            <w:rPr>
              <w:bCs/>
              <w:szCs w:val="28"/>
            </w:rPr>
            <w:t xml:space="preserve"> </w:t>
          </w:r>
          <w:r w:rsidRPr="00F95C40">
            <w:rPr>
              <w:bCs/>
              <w:szCs w:val="28"/>
            </w:rPr>
            <w:t>экономической</w:t>
          </w:r>
          <w:r w:rsidRPr="00F95C40">
            <w:rPr>
              <w:bCs/>
              <w:szCs w:val="28"/>
            </w:rPr>
            <w:t xml:space="preserve"> </w:t>
          </w:r>
          <w:r w:rsidRPr="00F95C40">
            <w:rPr>
              <w:bCs/>
              <w:szCs w:val="28"/>
            </w:rPr>
            <w:t>конкурентоспособности, и анализ</w:t>
          </w:r>
          <w:r w:rsidRPr="00F95C40">
            <w:rPr>
              <w:bCs/>
              <w:szCs w:val="28"/>
            </w:rPr>
            <w:t xml:space="preserve"> </w:t>
          </w:r>
          <w:r w:rsidRPr="00F95C40">
            <w:rPr>
              <w:bCs/>
              <w:szCs w:val="28"/>
            </w:rPr>
            <w:t>национальных и</w:t>
          </w:r>
          <w:r w:rsidRPr="00F95C40">
            <w:rPr>
              <w:bCs/>
              <w:szCs w:val="28"/>
            </w:rPr>
            <w:t xml:space="preserve"> </w:t>
          </w:r>
          <w:r w:rsidRPr="00F95C40">
            <w:rPr>
              <w:bCs/>
              <w:szCs w:val="28"/>
            </w:rPr>
            <w:t>международных стандартов для</w:t>
          </w:r>
          <w:r w:rsidRPr="00F95C40">
            <w:rPr>
              <w:bCs/>
              <w:szCs w:val="28"/>
            </w:rPr>
            <w:t xml:space="preserve"> </w:t>
          </w:r>
          <w:r w:rsidRPr="00F95C40">
            <w:rPr>
              <w:bCs/>
              <w:szCs w:val="28"/>
            </w:rPr>
            <w:t>идентификации малых,</w:t>
          </w:r>
          <w:r w:rsidRPr="00F95C40">
            <w:rPr>
              <w:bCs/>
              <w:szCs w:val="28"/>
            </w:rPr>
            <w:t xml:space="preserve"> </w:t>
          </w:r>
          <w:r w:rsidRPr="00F95C40">
            <w:rPr>
              <w:bCs/>
              <w:szCs w:val="28"/>
            </w:rPr>
            <w:t>средних и крупных</w:t>
          </w:r>
          <w:r w:rsidRPr="00F95C40">
            <w:rPr>
              <w:bCs/>
              <w:szCs w:val="28"/>
            </w:rPr>
            <w:t xml:space="preserve"> </w:t>
          </w:r>
          <w:r w:rsidRPr="00F95C40">
            <w:rPr>
              <w:bCs/>
              <w:szCs w:val="28"/>
            </w:rPr>
            <w:t>предприятий</w:t>
          </w:r>
        </w:sdtContent>
      </w:sdt>
      <w:r w:rsidR="002F5349" w:rsidRPr="00F95C40">
        <w:rPr>
          <w:caps/>
        </w:rPr>
        <w:t xml:space="preserve"> </w:t>
      </w:r>
    </w:p>
    <w:p w14:paraId="2C97DDB0" w14:textId="138C0C2F" w:rsidR="00F6586C" w:rsidRPr="00827DA6" w:rsidRDefault="0030169D" w:rsidP="00A111D1">
      <w:pPr>
        <w:pStyle w:val="CBDSubTitle"/>
      </w:pPr>
      <w:r>
        <w:t xml:space="preserve">Записка </w:t>
      </w:r>
      <w:r w:rsidR="00835CB3">
        <w:t>С</w:t>
      </w:r>
      <w:r>
        <w:t>екретариата</w:t>
      </w:r>
      <w:r w:rsidR="00835CB3">
        <w:t xml:space="preserve"> </w:t>
      </w:r>
    </w:p>
    <w:p w14:paraId="5920749D" w14:textId="0EA17C75" w:rsidR="00C9161D" w:rsidRPr="00827DA6" w:rsidRDefault="00065994" w:rsidP="00020F91">
      <w:pPr>
        <w:pStyle w:val="CBDH1"/>
      </w:pPr>
      <w:r>
        <w:t>I.</w:t>
      </w:r>
      <w:r>
        <w:tab/>
        <w:t>Введение</w:t>
      </w:r>
    </w:p>
    <w:p w14:paraId="4D269668" w14:textId="227FF0D9" w:rsidR="00BB682B" w:rsidRPr="00827DA6" w:rsidRDefault="00BB682B" w:rsidP="00A66621">
      <w:pPr>
        <w:pStyle w:val="CBDNormalNumber"/>
        <w:numPr>
          <w:ilvl w:val="0"/>
          <w:numId w:val="15"/>
        </w:numPr>
      </w:pPr>
      <w:r>
        <w:t xml:space="preserve">В пункте 1 своего решения </w:t>
      </w:r>
      <w:hyperlink r:id="rId15" w:history="1">
        <w:r>
          <w:rPr>
            <w:rStyle w:val="Hyperlink"/>
          </w:rPr>
          <w:t>1</w:t>
        </w:r>
        <w:r>
          <w:rPr>
            <w:rStyle w:val="Hyperlink"/>
          </w:rPr>
          <w:t>6</w:t>
        </w:r>
        <w:r>
          <w:rPr>
            <w:rStyle w:val="Hyperlink"/>
          </w:rPr>
          <w:t>/2</w:t>
        </w:r>
      </w:hyperlink>
      <w:r w:rsidR="00F95C40" w:rsidRPr="00F95C40">
        <w:t xml:space="preserve"> </w:t>
      </w:r>
      <w:r>
        <w:t>Конференция Сторон Конвенции о биологическом разнообразии приняла условия функционирования 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включая глобальный фонд, который, согласно пункту 2 этого решения, получил название Калийского фонда для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Условия были изложены в приложении к решению.</w:t>
      </w:r>
    </w:p>
    <w:p w14:paraId="5C64F8C8" w14:textId="4A501ED4" w:rsidR="00F84CCD" w:rsidRPr="00827DA6" w:rsidRDefault="00BB682B" w:rsidP="00FB13E9">
      <w:pPr>
        <w:pStyle w:val="CBDNormalNumber"/>
        <w:numPr>
          <w:ilvl w:val="0"/>
          <w:numId w:val="15"/>
        </w:numPr>
      </w:pPr>
      <w:r>
        <w:t>В пункте 6 того же решения Конференция Сторон поручила Исполнительному секретарю при условии наличия ресурсов организовать проведение исследования по национальным и международным стандартам для</w:t>
      </w:r>
      <w:r w:rsidR="00F95C40" w:rsidRPr="00F95C40">
        <w:t xml:space="preserve"> </w:t>
      </w:r>
      <w:r>
        <w:t>идентификации малых, средних и крупных предприятий, упомянутых в пункте 3</w:t>
      </w:r>
      <w:r w:rsidR="00F95C40" w:rsidRPr="00F95C40">
        <w:t xml:space="preserve"> </w:t>
      </w:r>
      <w:r>
        <w:t xml:space="preserve">приложения к решению (пункт 6 d)) и исследования в отношении ставок взносов, включая последствия для получения доходов и экономической конкурентоспособности (пункт 6 e)). </w:t>
      </w:r>
    </w:p>
    <w:p w14:paraId="28A90B2A" w14:textId="77777777" w:rsidR="00BB682B" w:rsidRPr="00827DA6" w:rsidRDefault="00BB682B" w:rsidP="00FB13E9">
      <w:pPr>
        <w:pStyle w:val="CBDNormalNumber"/>
        <w:numPr>
          <w:ilvl w:val="0"/>
          <w:numId w:val="15"/>
        </w:numPr>
      </w:pPr>
      <w:r>
        <w:t>Пункт 4 условий функционирования предусматривает, что, исходя из результатов этих двух исследований, Конференция Сторон на своем 17-м совещании установит пороговые значения и ставки взносов и в дальнейшем будет периодически пересматривать их.</w:t>
      </w:r>
    </w:p>
    <w:p w14:paraId="781E236B" w14:textId="046EE4E3" w:rsidR="00BB682B" w:rsidRPr="00827DA6" w:rsidRDefault="00BB682B" w:rsidP="00FB13E9">
      <w:pPr>
        <w:pStyle w:val="CBDNormalNumber"/>
        <w:numPr>
          <w:ilvl w:val="0"/>
          <w:numId w:val="15"/>
        </w:numPr>
      </w:pPr>
      <w:r>
        <w:t xml:space="preserve">В целях содействия подготовке исследования по национальным и международным стандартам для идентификации малых, средних и крупных предприятий Секретариат направил уведомление № </w:t>
      </w:r>
      <w:hyperlink r:id="rId16" w:history="1">
        <w:r>
          <w:rPr>
            <w:rStyle w:val="Hyperlink"/>
          </w:rPr>
          <w:t>2024-116</w:t>
        </w:r>
      </w:hyperlink>
      <w:r>
        <w:t xml:space="preserve">, в котором предложил Сторонам, правительствам других </w:t>
      </w:r>
      <w:r>
        <w:lastRenderedPageBreak/>
        <w:t xml:space="preserve">стран, коренным народам и местным общинам и соответствующим организациям представить информацию о таких стандартах. </w:t>
      </w:r>
    </w:p>
    <w:p w14:paraId="3741C5EB" w14:textId="1F9446BD" w:rsidR="00BB682B" w:rsidRPr="00827DA6" w:rsidRDefault="00BB682B" w:rsidP="00331FA4">
      <w:pPr>
        <w:pStyle w:val="CBDNormalNumber"/>
        <w:numPr>
          <w:ilvl w:val="0"/>
          <w:numId w:val="15"/>
        </w:numPr>
      </w:pPr>
      <w:r>
        <w:t>Учитывая взаимосвязь между этими двумя темами и имеющиеся ресурсы, оба поручения были рассмотрены в рамках одного сводного исследования. Настоящий документ содержит резюме сводного исследования. Полный текст исследования представлен в качестве информационного документа.</w:t>
      </w:r>
    </w:p>
    <w:p w14:paraId="7152A08F" w14:textId="3A2D476F" w:rsidR="0093169E" w:rsidRPr="00827DA6" w:rsidRDefault="00065994" w:rsidP="00020F91">
      <w:pPr>
        <w:pStyle w:val="CBDH1"/>
      </w:pPr>
      <w:r>
        <w:t>II.</w:t>
      </w:r>
      <w:r>
        <w:tab/>
        <w:t>Метод</w:t>
      </w:r>
      <w:r w:rsidR="00835CB3">
        <w:t>ика</w:t>
      </w:r>
      <w:r>
        <w:t xml:space="preserve"> и ограничения</w:t>
      </w:r>
    </w:p>
    <w:p w14:paraId="09E68623" w14:textId="00DC9FB5" w:rsidR="00BB682B" w:rsidRPr="00827DA6" w:rsidRDefault="00065994" w:rsidP="00020F91">
      <w:pPr>
        <w:pStyle w:val="CBDH2"/>
      </w:pPr>
      <w:r>
        <w:t>A.</w:t>
      </w:r>
      <w:r>
        <w:tab/>
        <w:t>Метод</w:t>
      </w:r>
      <w:r w:rsidR="00835CB3">
        <w:t>ика для</w:t>
      </w:r>
      <w:r>
        <w:t xml:space="preserve"> исследования</w:t>
      </w:r>
    </w:p>
    <w:p w14:paraId="6BB4ADAD" w14:textId="37DC2C1E" w:rsidR="00BB682B" w:rsidRPr="00827DA6" w:rsidRDefault="00BB682B" w:rsidP="00331FA4">
      <w:pPr>
        <w:pStyle w:val="CBDNormalNumber"/>
        <w:numPr>
          <w:ilvl w:val="0"/>
          <w:numId w:val="15"/>
        </w:numPr>
      </w:pPr>
      <w:r>
        <w:t xml:space="preserve">В данном исследовании рассматривается исключительно аспект взносов в рамках механизма Калийского фонда, и в связи с этим оно соответствует принципам, изложенным в пунктах 9 и 10 решения </w:t>
      </w:r>
      <w:hyperlink r:id="rId17" w:history="1">
        <w:r>
          <w:rPr>
            <w:rStyle w:val="Hyperlink"/>
          </w:rPr>
          <w:t>15/</w:t>
        </w:r>
        <w:r>
          <w:rPr>
            <w:rStyle w:val="Hyperlink"/>
          </w:rPr>
          <w:t>9</w:t>
        </w:r>
      </w:hyperlink>
      <w:r>
        <w:t>, а также целям Калийского фонда. В исследовании не учитываются формула ассигнования средств, результаты распределения средств среди получателей или совместное использование неденежных выгод, поскольку эти вопросы рассматриваются в рамках отдельных межсессионных процессов; в соответствующих случаях явно указывается на любую взаимосвязь между обязательствами по внесению взносов и ассигнованием средств.</w:t>
      </w:r>
    </w:p>
    <w:p w14:paraId="0D77B233" w14:textId="64AFDE90" w:rsidR="00BB682B" w:rsidRPr="00827DA6" w:rsidRDefault="00BB682B" w:rsidP="00331FA4">
      <w:pPr>
        <w:pStyle w:val="CBDNormalNumber"/>
        <w:numPr>
          <w:ilvl w:val="0"/>
          <w:numId w:val="15"/>
        </w:numPr>
      </w:pPr>
      <w:r>
        <w:t>Исследование состоит из трех частей, каждая из которых посвящена отдельному элементу двух поручений, упомянутых в пункте 2 настоящего доклада; перед каждой частью приводится обзор институционального и правового контекста, а также сопоставимых многосторонних механизмов совместного использования выгод.</w:t>
      </w:r>
    </w:p>
    <w:p w14:paraId="43FBF4D1" w14:textId="25CE8657" w:rsidR="00BB682B" w:rsidRPr="00827DA6" w:rsidRDefault="00BB682B" w:rsidP="00331FA4">
      <w:pPr>
        <w:pStyle w:val="CBDNormalNumber"/>
        <w:numPr>
          <w:ilvl w:val="0"/>
          <w:numId w:val="15"/>
        </w:numPr>
      </w:pPr>
      <w:r>
        <w:t xml:space="preserve">Часть I, в которой рассматривается пункт 6 d) </w:t>
      </w:r>
      <w:bookmarkStart w:id="0" w:name="_Hlk240286178"/>
      <w:r>
        <w:t xml:space="preserve">решения </w:t>
      </w:r>
      <w:hyperlink r:id="rId18" w:history="1">
        <w:r>
          <w:rPr>
            <w:rStyle w:val="Hyperlink"/>
          </w:rPr>
          <w:t>16/2</w:t>
        </w:r>
      </w:hyperlink>
      <w:bookmarkEnd w:id="0"/>
      <w:r>
        <w:t xml:space="preserve">, основана на материалах, полученных в ответ на уведомление № </w:t>
      </w:r>
      <w:hyperlink r:id="rId19" w:history="1">
        <w:r>
          <w:rPr>
            <w:rStyle w:val="Hyperlink"/>
          </w:rPr>
          <w:t>2024-116</w:t>
        </w:r>
      </w:hyperlink>
      <w:r>
        <w:t>, в котором Сторонам, правительствам других стран, коренным народам и местным общинам и соответствующим организациям было предложено поделиться мнениями о национальных и международных стандартах классификации компаний по размеру.</w:t>
      </w:r>
    </w:p>
    <w:p w14:paraId="33EBC8CC" w14:textId="766F9572" w:rsidR="00BB682B" w:rsidRPr="00827DA6" w:rsidRDefault="00BB682B" w:rsidP="00331FA4">
      <w:pPr>
        <w:pStyle w:val="CBDNormalNumber"/>
        <w:numPr>
          <w:ilvl w:val="0"/>
          <w:numId w:val="15"/>
        </w:numPr>
      </w:pPr>
      <w:r>
        <w:t xml:space="preserve">В основе части II, посвященной аспекту получения доходов, указанному в пункте 6 e) </w:t>
      </w:r>
      <w:bookmarkStart w:id="1" w:name="_Hlk240286216"/>
      <w:r>
        <w:t xml:space="preserve">решения </w:t>
      </w:r>
      <w:hyperlink r:id="rId20" w:history="1">
        <w:r>
          <w:rPr>
            <w:rStyle w:val="Hyperlink"/>
          </w:rPr>
          <w:t>16/2</w:t>
        </w:r>
      </w:hyperlink>
      <w:bookmarkEnd w:id="1"/>
      <w:r>
        <w:t>, лежит рабочий документ Грантхемского научно-исследовательского института по изменению климата и окружающей среде при Лондонской школе экономики и политических наук</w:t>
      </w:r>
      <w:r w:rsidR="00E26BF2">
        <w:rPr>
          <w:rStyle w:val="FootnoteReference"/>
        </w:rPr>
        <w:footnoteReference w:id="2"/>
      </w:r>
      <w:r w:rsidR="00A92057">
        <w:t>,</w:t>
      </w:r>
      <w:r>
        <w:t xml:space="preserve"> в котором приведены оценки взносов в Калийский фонд на уровне отдельных предприятий для 21 690 правомочных субъектов в 100 юрисдикциях Сторон Конвенции о биологическом разнообразии с использованием финансовой базы данных Orbis</w:t>
      </w:r>
      <w:r w:rsidR="00553FAC">
        <w:rPr>
          <w:rStyle w:val="FootnoteReference"/>
        </w:rPr>
        <w:footnoteReference w:id="3"/>
      </w:r>
      <w:r w:rsidR="00A92057">
        <w:t>.</w:t>
      </w:r>
    </w:p>
    <w:p w14:paraId="77830FE6" w14:textId="31C52F33" w:rsidR="000F78FC" w:rsidRPr="00827DA6" w:rsidRDefault="00BB682B" w:rsidP="00E74420">
      <w:pPr>
        <w:pStyle w:val="CBDNormalNumber"/>
        <w:numPr>
          <w:ilvl w:val="0"/>
          <w:numId w:val="15"/>
        </w:numPr>
      </w:pPr>
      <w:r>
        <w:t xml:space="preserve">Часть III, охватывающая аспект конкурентоспособности, указанный в пункте 6 e) решения </w:t>
      </w:r>
      <w:hyperlink r:id="rId21" w:history="1">
        <w:r>
          <w:rPr>
            <w:rStyle w:val="Hyperlink"/>
          </w:rPr>
          <w:t>16/2</w:t>
        </w:r>
      </w:hyperlink>
      <w:r>
        <w:t xml:space="preserve">, основывается преимущественно на коллегиально рецензируемых и неофициальных публикациях и других материалах, представленных в рамках Конвенции, и подкрепляется результатами специальных отраслевых консультаций с компаниями и представителями отраслевых ассоциаций, действующих в семи секторах, перечисленных в добавлении I приложения к решению </w:t>
      </w:r>
      <w:hyperlink r:id="rId22" w:history="1">
        <w:r>
          <w:rPr>
            <w:rStyle w:val="Hyperlink"/>
          </w:rPr>
          <w:t>16/2</w:t>
        </w:r>
      </w:hyperlink>
      <w:r>
        <w:t xml:space="preserve">, в которых крупные компании, как ожидается, будут вносить взносы в Калийский фонд, а именно: фармацевтическая промышленность; производство нутрицевтиков (пищевых и лекарственных добавок); косметика; селекция животных и растений; биотехнология; лабораторное оборудование, имеющее отношение к секвенированию и использованию цифровой информации о последовательностях в отношении генетических ресурсов, включая реактивы и расходные материалы; а также информационные, научные и технические услуги, связанные с цифровой информацией о </w:t>
      </w:r>
      <w:r>
        <w:lastRenderedPageBreak/>
        <w:t>последовательностях в отношении генетических ресурсов, включая искусственный интеллект.</w:t>
      </w:r>
    </w:p>
    <w:p w14:paraId="7A05E9EE" w14:textId="4C7C09B7" w:rsidR="00BB682B" w:rsidRPr="00827DA6" w:rsidRDefault="00065994" w:rsidP="00020F91">
      <w:pPr>
        <w:pStyle w:val="CBDH2"/>
      </w:pPr>
      <w:r>
        <w:t>B.</w:t>
      </w:r>
      <w:r>
        <w:tab/>
        <w:t>Ограничения</w:t>
      </w:r>
    </w:p>
    <w:p w14:paraId="4FEC4792" w14:textId="22ECABD7" w:rsidR="00BB682B" w:rsidRPr="00827DA6" w:rsidRDefault="00BB682B" w:rsidP="00E74420">
      <w:pPr>
        <w:pStyle w:val="CBDNormalNumber"/>
        <w:numPr>
          <w:ilvl w:val="0"/>
          <w:numId w:val="15"/>
        </w:numPr>
      </w:pPr>
      <w:r>
        <w:t xml:space="preserve">Финансовые данные на уровне компаний, необходимые для применения пороговых значений, установленных в решении </w:t>
      </w:r>
      <w:hyperlink r:id="rId23" w:history="1">
        <w:r>
          <w:rPr>
            <w:rStyle w:val="Hyperlink"/>
          </w:rPr>
          <w:t>16/2</w:t>
        </w:r>
      </w:hyperlink>
      <w:r>
        <w:t xml:space="preserve"> , носят коммерчески конфиденциальный характер и не доступны для общественности на глобальном уровне; кроме того, в настоящее время между Секретариатом и Сторонами отсутствуют какие-либо договоренности об обмене данными для этих целей. Таким образом, оценки доходов, приведенные в части II, основаны на единственном независимом источнике данных. </w:t>
      </w:r>
    </w:p>
    <w:p w14:paraId="36828C79" w14:textId="1F5AB1F1" w:rsidR="00BB682B" w:rsidRPr="00827DA6" w:rsidRDefault="00BB682B" w:rsidP="00E74420">
      <w:pPr>
        <w:pStyle w:val="CBDNormalNumber"/>
        <w:numPr>
          <w:ilvl w:val="0"/>
          <w:numId w:val="15"/>
        </w:numPr>
      </w:pPr>
      <w:r>
        <w:t xml:space="preserve">Все оценки, представленные в данном исследовании, представляют собой иллюстративные аналитические сценарии для применения при обсуждениях мер политики; они не являются прогнозами или ожидаемыми результатами. Фактические доходы Калийского фонда будут зависеть от будущих решений </w:t>
      </w:r>
      <w:bookmarkStart w:id="4" w:name="_Hlk240287823"/>
      <w:r>
        <w:t>Конференции Сторон</w:t>
      </w:r>
      <w:bookmarkEnd w:id="4"/>
      <w:r w:rsidR="00775C03">
        <w:t xml:space="preserve"> </w:t>
      </w:r>
      <w:r>
        <w:t>относительно пороговых значений и ставок, последующих национальных мер по внедрению, фактических уровней участия и того, как будет меняться поведение корпораций после того, как Калийский фонд начнет полноценно функционировать.</w:t>
      </w:r>
    </w:p>
    <w:p w14:paraId="4953CF07" w14:textId="7DE3F3A6" w:rsidR="00BB682B" w:rsidRPr="00827DA6" w:rsidRDefault="00BB682B" w:rsidP="007D1925">
      <w:pPr>
        <w:pStyle w:val="CBDNormalNumber"/>
        <w:numPr>
          <w:ilvl w:val="0"/>
          <w:numId w:val="15"/>
        </w:numPr>
      </w:pPr>
      <w:r>
        <w:t xml:space="preserve">Разбивка этих оценок по странам должна рассматриваться как указывающая на юрисдикцию регистрации компании, а не на место проведения основной коммерческой деятельности, и подлежит дальнейшим оговоркам относительно охвата данных. Число соответствующих компаний в странах Африки к югу от Сахары, в некоторых частях Азиатско-Тихоокеанского региона и в отдельных странах с сильной экономикой из числа стран-участниц </w:t>
      </w:r>
      <w:bookmarkStart w:id="5" w:name="_Hlk240360590"/>
      <w:r>
        <w:t>Организации экономического сотрудничества и развития,</w:t>
      </w:r>
      <w:bookmarkEnd w:id="5"/>
      <w:r>
        <w:t xml:space="preserve"> вероятно, занижено из-за пробелов в охвате баз данных в этих регионах; соответствующие оценки следует рассматривать как консервативные нижние границы. Оценки по Канаде и Швейцарии также занижены из-за неполного охвата неконсолидированной отчетности крупных транснациональных корпораций, головные офисы которых расположены в этих странах, в то время как показатель по Соединенному Королевству Великобритании и Северной Ирландии, который зависит от включения консолидированной отчетности, следует рассматривать как верхнюю границу. Соответственно, к оценкам на уровне стран следует относиться с большей осторожностью, чем к совокупным данным.</w:t>
      </w:r>
    </w:p>
    <w:p w14:paraId="2F3A2DEA" w14:textId="5F8FF8F9" w:rsidR="00BB682B" w:rsidRPr="00827DA6" w:rsidRDefault="00BB682B" w:rsidP="007D1925">
      <w:pPr>
        <w:pStyle w:val="CBDNormalNumber"/>
        <w:numPr>
          <w:ilvl w:val="0"/>
          <w:numId w:val="15"/>
        </w:numPr>
      </w:pPr>
      <w:r>
        <w:t>Р</w:t>
      </w:r>
      <w:bookmarkStart w:id="6" w:name="_Hlk240290613"/>
      <w:r>
        <w:t xml:space="preserve">ешение </w:t>
      </w:r>
      <w:hyperlink r:id="rId24" w:history="1">
        <w:r>
          <w:rPr>
            <w:rStyle w:val="Hyperlink"/>
          </w:rPr>
          <w:t>16/2</w:t>
        </w:r>
      </w:hyperlink>
      <w:bookmarkEnd w:id="6"/>
      <w:r>
        <w:t xml:space="preserve"> увязывает как </w:t>
      </w:r>
      <w:r w:rsidR="00775C03">
        <w:t>правомочность</w:t>
      </w:r>
      <w:r>
        <w:t xml:space="preserve">, так и размер взносов, с финансовыми показателями — а именно с активами, объемом продаж и прибылью — а не, например, с самим использованием цифровой информации о последовательностях. В настоящее время не существует источника данных, позволяющего определить, какая доля финансовой деятельности компании связана с применением цифровой информации о последовательностях в отношении генетических ресурсов. Это является ограничением, связанным с общим состоянием доступных данных, а не с каким-либо отдельным исследованием. В отсутствие такого показателя в части II анализа использование цифровой информации о последовательностях в отношении генетических ресурсов оценивается приблизительно на основе принадлежности к сектору, как это определено в добавлении I приложения к решению </w:t>
      </w:r>
      <w:hyperlink r:id="rId25" w:history="1">
        <w:r>
          <w:rPr>
            <w:rStyle w:val="Hyperlink"/>
          </w:rPr>
          <w:t>16/2</w:t>
        </w:r>
      </w:hyperlink>
      <w:r>
        <w:t xml:space="preserve">, в сочетании с предполагаемыми показателями участия и интенсивностью использования цифровой информации о последовательностях в отношении генетических ресурсов; эти показатели являются прокси-показателями использования цифровой информации о последовательностях в отношении генетических ресурсов, а не ее непосредственными измерениями, и это различие следует учитывать при использовании результатов в качестве основы для разработки мер политики. По мере развития требований к раскрытию информации корпорациями и реализации решения </w:t>
      </w:r>
      <w:hyperlink r:id="rId26" w:history="1">
        <w:r>
          <w:rPr>
            <w:rStyle w:val="Hyperlink"/>
          </w:rPr>
          <w:t>16/2</w:t>
        </w:r>
      </w:hyperlink>
      <w:r>
        <w:t xml:space="preserve"> доступность данных об использовании цифровой информации о последовательностях в отношении генетических ресурсов на уровне компаний, вероятно, улучшится, что должно снизить неопределенность оценок, отраженную в широком диапазоне сценариев, включенных в исследование.</w:t>
      </w:r>
    </w:p>
    <w:p w14:paraId="660032D6" w14:textId="71ED907C" w:rsidR="00BB682B" w:rsidRPr="00827DA6" w:rsidRDefault="00BB682B" w:rsidP="007D1925">
      <w:pPr>
        <w:pStyle w:val="CBDNormalNumber"/>
        <w:numPr>
          <w:ilvl w:val="0"/>
          <w:numId w:val="15"/>
        </w:numPr>
      </w:pPr>
      <w:r>
        <w:lastRenderedPageBreak/>
        <w:t>Отраслевая классификация, основанная на кодах стандартной отраслевой классификации на максимально детализированном доступном уровне, не позволяет четко отделить компании, непосредственно зависящие от применения цифровой информации о последовательностях в отношении генетических ресурсов, от смежных сегментов в рамках того же кода. Два калибровочных параметра в базовом сценарии опираются на данные, не относящиеся непосредственно к самому Калийскому фонду. Допущения относительно уровня участия калибруются на основе материалов о сопоставимых добровольных схемах в области охраны окружающей среды и распределения выгод, поскольку на сегодняшний день не наблюдалось ни одной схемы, обладающей конкретными структурными особенностями Калийского фонда. Напротив, мультипликаторы интенсивности использования цифровой информации о последовательностях в отношении генетических ресурсов калибруются исключительно на основе материалов на уровне секторов. Соответственно, корректировка интенсивности использования цифровой информации о последовательностях в отношении генетических ресурсов является наиболее неопределенным параметром в анализе, и эта неопределенность отражена в ширине диапазона сценариев, представленного в части II.  Стороны, возможно, пожелают рассмотреть вопрос о том, следует ли пересмотреть эти мультипликаторы по мере появления данных о применении цифровой информации о последовательностях в отношении генетических ресурсов на уровне компаний или на основе опросов.</w:t>
      </w:r>
    </w:p>
    <w:p w14:paraId="30AB2ADD" w14:textId="0026140A" w:rsidR="00BB682B" w:rsidRPr="00827DA6" w:rsidRDefault="00BB682B" w:rsidP="002408E9">
      <w:pPr>
        <w:pStyle w:val="CBDNormalNumber"/>
        <w:numPr>
          <w:ilvl w:val="0"/>
          <w:numId w:val="15"/>
        </w:numPr>
      </w:pPr>
      <w:r>
        <w:t>Поскольку Калийский фонд пока не получает взносов, непосредственно наблюдать поведение участников невозможно. Соответственно, оценка конкурентоспособности в части III носит прогнозный характер и сочетает в себе структурированные экспертные оценки с количественными ориентирами из части II, где это позволяют данные.</w:t>
      </w:r>
    </w:p>
    <w:p w14:paraId="31982213" w14:textId="54D4DD63" w:rsidR="00BB682B" w:rsidRPr="00827DA6" w:rsidRDefault="00BB682B" w:rsidP="002408E9">
      <w:pPr>
        <w:pStyle w:val="CBDNormalNumber"/>
        <w:numPr>
          <w:ilvl w:val="0"/>
          <w:numId w:val="15"/>
        </w:numPr>
      </w:pPr>
      <w:r>
        <w:t xml:space="preserve">Ряд других структурных параметров, содержащихся в решении </w:t>
      </w:r>
      <w:hyperlink r:id="rId27" w:history="1">
        <w:r>
          <w:rPr>
            <w:rStyle w:val="Hyperlink"/>
          </w:rPr>
          <w:t>16/2</w:t>
        </w:r>
      </w:hyperlink>
      <w:r>
        <w:t xml:space="preserve"> и влияющих как на доходы, так и на показатели конкурентоспособности, остаются нерешенными; они перечислены в разделе III.B ниже и находят отражение во всем диапазоне сценариев, представленных в частях II и III, а не решаются путем принятия допущений.</w:t>
      </w:r>
    </w:p>
    <w:p w14:paraId="60D90918" w14:textId="244CFDFE" w:rsidR="00BB682B" w:rsidRPr="00827DA6" w:rsidRDefault="00065994" w:rsidP="00340033">
      <w:pPr>
        <w:pStyle w:val="CBDH1"/>
      </w:pPr>
      <w:r>
        <w:t>III.</w:t>
      </w:r>
      <w:r>
        <w:tab/>
        <w:t>История вопроса и контекст</w:t>
      </w:r>
    </w:p>
    <w:p w14:paraId="013ECD24" w14:textId="5FAE36EF" w:rsidR="00BB682B" w:rsidRPr="00827DA6" w:rsidRDefault="00BB682B" w:rsidP="00E83314">
      <w:pPr>
        <w:pStyle w:val="CBDNormalNumber"/>
        <w:numPr>
          <w:ilvl w:val="0"/>
          <w:numId w:val="15"/>
        </w:numPr>
      </w:pPr>
      <w:r>
        <w:t>Нагойский протокол регулирования доступа к генетическим ресурсам и совместного использования на справедливой и равной основе выгод от их применения, а также другие двусторонние подходы, разработанные в первую очередь для материальных генетических ресурсов, вызывали практические трудности при их применении к цифровой информации о последовательностях в отношении генетических ресурсов, учитывая масштабы и скорость, с которой данные о последовательностях генерируются, распространяются и повторно используются через хранилища с открытым доступом</w:t>
      </w:r>
      <w:r w:rsidRPr="00827DA6">
        <w:rPr>
          <w:vertAlign w:val="superscript"/>
        </w:rPr>
        <w:footnoteReference w:id="4"/>
      </w:r>
      <w:r w:rsidR="00A92057">
        <w:t>.</w:t>
      </w:r>
      <w:r>
        <w:t xml:space="preserve"> Кроме того, создание многостороннего механизма отражало коллективную цель устранения давних опасений в отношении справедливости, высказываемых странами-источниками, богатыми биоразнообразием, в связи с совместным использованием выгод от применения цифровой информации о последовательностях в отношении генетических ресурсов, а также усиления деятельности по осуществлению третьей цели Конвенции о совместном использовании на справедливой и равной основе выгод. На своем 15-м совещании Конференция Сторон приняла решение </w:t>
      </w:r>
      <w:hyperlink r:id="rId28">
        <w:r>
          <w:rPr>
            <w:rStyle w:val="Hyperlink"/>
          </w:rPr>
          <w:t>15/9</w:t>
        </w:r>
      </w:hyperlink>
      <w:r>
        <w:t xml:space="preserve">, в котором постановила создать многосторонний механизм совместного использования выгод от применения цифровой информации о последовательностях в отношении генетических ресурсов. На своем 16-м совещании Конференция Сторон приняла решение </w:t>
      </w:r>
      <w:hyperlink r:id="rId29" w:history="1">
        <w:r>
          <w:rPr>
            <w:rStyle w:val="Hyperlink"/>
          </w:rPr>
          <w:t>16/2</w:t>
        </w:r>
      </w:hyperlink>
      <w:r>
        <w:t xml:space="preserve">, в котором она изложила практические условия функционирования механизма, включая Калийский фонд, который должен был управляться Управлением многосторонних </w:t>
      </w:r>
      <w:r>
        <w:lastRenderedPageBreak/>
        <w:t>партнерских целевых фондов Организации Объединенных Наций</w:t>
      </w:r>
      <w:r w:rsidR="00366F6B">
        <w:rPr>
          <w:rStyle w:val="FootnoteReference"/>
        </w:rPr>
        <w:footnoteReference w:id="5"/>
      </w:r>
      <w:r w:rsidR="00A92057">
        <w:t>.</w:t>
      </w:r>
      <w:r>
        <w:t xml:space="preserve"> Фонд официально начал свою работу в феврале 2025 года. В соответствии с ориентировочными параметрами, приведенными в приложении к решению </w:t>
      </w:r>
      <w:hyperlink r:id="rId30" w:history="1">
        <w:r>
          <w:rPr>
            <w:rStyle w:val="Hyperlink"/>
          </w:rPr>
          <w:t>16/2</w:t>
        </w:r>
      </w:hyperlink>
      <w:r>
        <w:t xml:space="preserve">, предприятия, которые превышают как минимум два из трех финансовых пороговых значений (общая стоимость активов: 20 млн долл., объем продаж: 50 млн долл. и прибыль: 5 млн долл. в среднем за три предшествующих года) и осуществляют деятельность в одном из семи секторов, перечисленных в добавлении I приложения, и которые прямо или косвенно получают выгоды от использования цифровой информации о последовательностях в отношении генетических ресурсов, должны вносить взнос в размере 1 % от прибыли или 0,1 % от </w:t>
      </w:r>
      <w:r w:rsidR="00092916">
        <w:t>дохода</w:t>
      </w:r>
      <w:r>
        <w:t>. Предприятиям, внесшим взнос, выдается сертификат, освобождающий их от дальнейших обязательств по участию в распределении денежных выгод за соответствующий год. Не менее 50 % выгод, распределяемых через механизм, направляются на самостоятельно определенные потребности коренных народов и местных общин.</w:t>
      </w:r>
    </w:p>
    <w:p w14:paraId="61509560" w14:textId="32317236" w:rsidR="00BB682B" w:rsidRPr="00827DA6" w:rsidRDefault="007570C6" w:rsidP="00020F91">
      <w:pPr>
        <w:pStyle w:val="CBDH2"/>
      </w:pPr>
      <w:r>
        <w:t>A.</w:t>
      </w:r>
      <w:r>
        <w:tab/>
        <w:t>Сопоставимые механизмы совместного использования выгод</w:t>
      </w:r>
    </w:p>
    <w:p w14:paraId="6B7F5FA9" w14:textId="055FAA79" w:rsidR="00BB682B" w:rsidRPr="00827DA6" w:rsidRDefault="00BB682B" w:rsidP="00A74707">
      <w:pPr>
        <w:pStyle w:val="CBDNormalNumber"/>
        <w:numPr>
          <w:ilvl w:val="0"/>
          <w:numId w:val="15"/>
        </w:numPr>
      </w:pPr>
      <w:r>
        <w:t xml:space="preserve">В исследовании представлен обзор четырех аналогичных механизмов, в котором анализируются способы установления ставок взносов, объем доходов, полученных каждым из них, а также факторы, влияющие на соблюдение требований: </w:t>
      </w:r>
    </w:p>
    <w:p w14:paraId="1085CF42" w14:textId="707CC33A" w:rsidR="00BB682B" w:rsidRPr="00827DA6" w:rsidRDefault="00532E37" w:rsidP="00BB682B">
      <w:pPr>
        <w:pStyle w:val="CBDNormalNumber"/>
        <w:numPr>
          <w:ilvl w:val="1"/>
          <w:numId w:val="7"/>
        </w:numPr>
      </w:pPr>
      <w:r>
        <w:t>Международный договор о генетических ресурсах растений для производства продовольствия и ведения сельского хозяйства</w:t>
      </w:r>
      <w:r>
        <w:rPr>
          <w:rStyle w:val="FootnoteReference"/>
        </w:rPr>
        <w:footnoteReference w:id="6"/>
      </w:r>
      <w:r w:rsidR="00A92057">
        <w:t>,</w:t>
      </w:r>
      <w:r>
        <w:t xml:space="preserve"> в рамках которого стандартное соглашение о передаче материалов</w:t>
      </w:r>
      <w:r w:rsidR="00A67C64">
        <w:rPr>
          <w:rStyle w:val="FootnoteReference"/>
        </w:rPr>
        <w:footnoteReference w:id="7"/>
      </w:r>
      <w:r>
        <w:t xml:space="preserve"> предусматривает эффективную ставку в размере около 0,77 % от объема продаж коммерческих продуктов, за последние 15 лет принесло 824 680 долл. США в виде платежей, взимаемых с пользователей</w:t>
      </w:r>
      <w:r w:rsidR="00BB682B" w:rsidRPr="00827DA6">
        <w:rPr>
          <w:vertAlign w:val="superscript"/>
        </w:rPr>
        <w:footnoteReference w:id="8"/>
      </w:r>
      <w:r w:rsidR="00A92057">
        <w:t>,</w:t>
      </w:r>
      <w:r>
        <w:t xml:space="preserve"> что отражает более узкую, обусловленную коммерциализацией обязанность по уплате в соответствии с соглашением о передаче, а также доступность и привлекательность получения материала за пределами Многосторонней системы доступа и распределения выгод; этот опыт лежит в основе нижней границы сценариев поступлений, представленных в части II; </w:t>
      </w:r>
    </w:p>
    <w:p w14:paraId="786CCA00" w14:textId="6C03C505" w:rsidR="00BB682B" w:rsidRPr="00827DA6" w:rsidRDefault="002617CB" w:rsidP="00BB682B">
      <w:pPr>
        <w:pStyle w:val="CBDNormalNumber"/>
        <w:numPr>
          <w:ilvl w:val="1"/>
          <w:numId w:val="7"/>
        </w:numPr>
      </w:pPr>
      <w:r>
        <w:t>Механизм обеспечения готовности к пандемическому гриппу Всемирной организации здравоохранения (ВОЗ)</w:t>
      </w:r>
      <w:r w:rsidR="00F07520">
        <w:rPr>
          <w:rStyle w:val="FootnoteReference"/>
        </w:rPr>
        <w:footnoteReference w:id="9"/>
      </w:r>
      <w:r w:rsidR="00A92057">
        <w:t>,</w:t>
      </w:r>
      <w:r>
        <w:t xml:space="preserve"> который обеспечил значительно более широкое участие (354,7 млн долл. от 17 производителей с 2012 года)</w:t>
      </w:r>
      <w:r w:rsidR="00BB682B" w:rsidRPr="00827DA6">
        <w:rPr>
          <w:vertAlign w:val="superscript"/>
        </w:rPr>
        <w:footnoteReference w:id="10"/>
      </w:r>
      <w:r>
        <w:t xml:space="preserve"> благодаря четко определенной и хорошо идентифицированной базе </w:t>
      </w:r>
      <w:r w:rsidR="006C49EA">
        <w:t>доноров</w:t>
      </w:r>
      <w:r w:rsidR="00BB682B" w:rsidRPr="00827DA6">
        <w:rPr>
          <w:vertAlign w:val="superscript"/>
        </w:rPr>
        <w:footnoteReference w:id="11"/>
      </w:r>
      <w:r w:rsidR="00A92057">
        <w:t>,</w:t>
      </w:r>
      <w:r>
        <w:t xml:space="preserve"> а также его преемник — Соглашение ВОЗ по борьбе с пандемиями</w:t>
      </w:r>
      <w:r w:rsidR="007A37E1">
        <w:rPr>
          <w:rStyle w:val="FootnoteReference"/>
        </w:rPr>
        <w:footnoteReference w:id="12"/>
      </w:r>
      <w:r w:rsidR="00A92057">
        <w:t>,</w:t>
      </w:r>
      <w:r>
        <w:t xml:space="preserve"> в рамках которого система по обеспечению доступа к патогенным микроорганизмам и совместному использованию выгод</w:t>
      </w:r>
      <w:r w:rsidR="00BB682B" w:rsidRPr="00827DA6">
        <w:rPr>
          <w:vertAlign w:val="superscript"/>
        </w:rPr>
        <w:footnoteReference w:id="13"/>
      </w:r>
      <w:r>
        <w:t xml:space="preserve"> может создавать дублирующиеся обязательства для компаний, также подпадающих под действие Калийского фонда, что более подробно рассматривается в части III; </w:t>
      </w:r>
    </w:p>
    <w:p w14:paraId="008E5698" w14:textId="49101386" w:rsidR="00BB682B" w:rsidRPr="00827DA6" w:rsidRDefault="002D314B" w:rsidP="002D314B">
      <w:pPr>
        <w:pStyle w:val="CBDNormalNumber"/>
        <w:numPr>
          <w:ilvl w:val="1"/>
          <w:numId w:val="7"/>
        </w:numPr>
      </w:pPr>
      <w:r>
        <w:lastRenderedPageBreak/>
        <w:t>Соглашение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009A275E">
        <w:rPr>
          <w:rStyle w:val="FootnoteReference"/>
        </w:rPr>
        <w:footnoteReference w:id="14"/>
      </w:r>
      <w:r w:rsidR="00776C49">
        <w:t>,</w:t>
      </w:r>
      <w:r>
        <w:t xml:space="preserve"> вступившее в силу 17 января 2026 года, устанавливает механизм для будущей выработки правил, а не оперативную систему платежей для частных пользователей, при этом распределение денежных выгод от использования морских генетических ресурсов и цифровой информации о последовательностях в отношении генетических ресурсов оставлено на усмотрение будущих решений Конференции Сторон Соглашения; </w:t>
      </w:r>
    </w:p>
    <w:p w14:paraId="6F9CAA9B" w14:textId="35AAC0E9" w:rsidR="00BB682B" w:rsidRPr="00827DA6" w:rsidRDefault="00BD16AF" w:rsidP="00BB682B">
      <w:pPr>
        <w:pStyle w:val="CBDNormalNumber"/>
        <w:numPr>
          <w:ilvl w:val="1"/>
          <w:numId w:val="7"/>
        </w:numPr>
      </w:pPr>
      <w:r>
        <w:t>Механизм распределения выгод от глубоководной добычи минеральных ресурсов морского дна, разработанный Международным органом по морскому дну</w:t>
      </w:r>
      <w:r w:rsidR="00DA1B50">
        <w:rPr>
          <w:rStyle w:val="FootnoteReference"/>
        </w:rPr>
        <w:footnoteReference w:id="15"/>
      </w:r>
      <w:r w:rsidR="00776C49">
        <w:t>,</w:t>
      </w:r>
      <w:r>
        <w:t xml:space="preserve"> который все еще находится на стадии переговоров, основан на техническом докладе о многоуровневой адвалорной системе</w:t>
      </w:r>
      <w:r w:rsidR="00BB682B" w:rsidRPr="00827DA6">
        <w:rPr>
          <w:vertAlign w:val="superscript"/>
        </w:rPr>
        <w:footnoteReference w:id="16"/>
      </w:r>
      <w:r>
        <w:t>, подготовка которого была организована Органом, иллюстрирует более общий вывод о том, что адвалорные схемы проще применять на практике, чем схемы, основанные на прибыли, даже если со временем они позволяют извлечь меньшую выгоду</w:t>
      </w:r>
      <w:r w:rsidR="00BB682B" w:rsidRPr="00827DA6">
        <w:rPr>
          <w:vertAlign w:val="superscript"/>
        </w:rPr>
        <w:footnoteReference w:id="17"/>
      </w:r>
      <w:r w:rsidR="00776C49">
        <w:t>,</w:t>
      </w:r>
      <w:r>
        <w:t xml:space="preserve"> из чего для Калийского фонда следует вывод о том, что размер взносов необходимо соотносить с простотой измерения и риском уклонения от уплаты.</w:t>
      </w:r>
    </w:p>
    <w:p w14:paraId="6849EEA6" w14:textId="72B77AE4" w:rsidR="00BB682B" w:rsidRPr="00827DA6" w:rsidRDefault="00BB682B" w:rsidP="00020680">
      <w:pPr>
        <w:pStyle w:val="CBDNormalNumber"/>
        <w:numPr>
          <w:ilvl w:val="0"/>
          <w:numId w:val="15"/>
        </w:numPr>
      </w:pPr>
      <w:r>
        <w:t>Во всех этих механизмах взносы частного сектора поступают только в тех случаях, когда определения сферы применения и использования являются четкими. В отличие от Международного договора о генетических ресурсах растений для производства продовольствия и ведения сельского хозяйства и Механизма обеспечения готовности к пандемическому гриппу, у Калийского фонда нет сопоставимой резервной схемы участия государственного сектора для компенсации дефицита доходов от пользователей</w:t>
      </w:r>
      <w:r w:rsidRPr="00827DA6">
        <w:rPr>
          <w:vertAlign w:val="superscript"/>
        </w:rPr>
        <w:footnoteReference w:id="18"/>
      </w:r>
      <w:r>
        <w:t>, что делает мобилизацию взносов частного сектора более важной для его финансовой жизнеспособности, чем в любом из рассмотренных механизмов.</w:t>
      </w:r>
    </w:p>
    <w:p w14:paraId="775542B9" w14:textId="040A4435" w:rsidR="00BB682B" w:rsidRPr="00827DA6" w:rsidRDefault="007570C6" w:rsidP="00020F91">
      <w:pPr>
        <w:pStyle w:val="CBDH2"/>
      </w:pPr>
      <w:r>
        <w:t>B.</w:t>
      </w:r>
      <w:r>
        <w:tab/>
        <w:t>Аналитическая основа: нерешенные структурные параметры</w:t>
      </w:r>
    </w:p>
    <w:p w14:paraId="1CEDAD0B" w14:textId="7BC50D8D" w:rsidR="00BB682B" w:rsidRPr="00827DA6" w:rsidRDefault="00BB682B" w:rsidP="00020680">
      <w:pPr>
        <w:pStyle w:val="CBDNormalNumber"/>
        <w:numPr>
          <w:ilvl w:val="0"/>
          <w:numId w:val="15"/>
        </w:numPr>
      </w:pPr>
      <w:r>
        <w:t xml:space="preserve">В исследовании перечислены девять </w:t>
      </w:r>
      <w:bookmarkStart w:id="11" w:name="_Hlk240358924"/>
      <w:r>
        <w:t xml:space="preserve">структурных неопределенностей </w:t>
      </w:r>
      <w:bookmarkEnd w:id="11"/>
      <w:r>
        <w:t xml:space="preserve">в решении </w:t>
      </w:r>
      <w:hyperlink r:id="rId31" w:history="1">
        <w:r>
          <w:rPr>
            <w:rStyle w:val="Hyperlink"/>
          </w:rPr>
          <w:t>16/2</w:t>
        </w:r>
      </w:hyperlink>
      <w:r>
        <w:t>, охватывающих три этапа принятия решения о взносах, а именно: имеет ли компания право на участие, участвует ли компания, имеющая такое право, и каков окончательный размер взноса участвующей компании:</w:t>
      </w:r>
    </w:p>
    <w:p w14:paraId="41FBB8D4" w14:textId="78027E00" w:rsidR="00F82E2A" w:rsidRDefault="00F82E2A" w:rsidP="00020F91">
      <w:pPr>
        <w:pStyle w:val="CBDNormalNumber"/>
        <w:numPr>
          <w:ilvl w:val="1"/>
          <w:numId w:val="12"/>
        </w:numPr>
      </w:pPr>
      <w:r>
        <w:t xml:space="preserve">структурные неопределенности, касающиеся </w:t>
      </w:r>
      <w:r w:rsidR="00870CA9">
        <w:t>правомочности</w:t>
      </w:r>
      <w:r>
        <w:t>, заключаются в следующем:</w:t>
      </w:r>
    </w:p>
    <w:p w14:paraId="287752C4" w14:textId="25A8E5B3" w:rsidR="00F82E2A" w:rsidRDefault="00BB682B" w:rsidP="00020F91">
      <w:pPr>
        <w:pStyle w:val="CBDNormalNumber"/>
        <w:ind w:left="2268" w:hanging="567"/>
      </w:pPr>
      <w:r>
        <w:t>i)</w:t>
      </w:r>
      <w:r>
        <w:tab/>
        <w:t>широкий спектр секторов, поскольку более узкое толкование того, какие виды промышленной деятельности прямо или косвенно получают выгоды от использования цифровой информации о последовательностях в отношении генетических ресурсов, привело бы к сокращению числа правомочных субъектов;</w:t>
      </w:r>
    </w:p>
    <w:p w14:paraId="721E36DE" w14:textId="194AF553" w:rsidR="00C31ED4" w:rsidRDefault="00BB682B" w:rsidP="00020F91">
      <w:pPr>
        <w:pStyle w:val="CBDNormalNumber"/>
        <w:ind w:left="2268" w:hanging="567"/>
      </w:pPr>
      <w:r>
        <w:lastRenderedPageBreak/>
        <w:t>ii)</w:t>
      </w:r>
      <w:r>
        <w:tab/>
        <w:t>изменчивость критериев правомочности во времени, поскольку компании переходят из одной финансовой категории в другую из года в год;</w:t>
      </w:r>
    </w:p>
    <w:p w14:paraId="55CAF54B" w14:textId="3AEEB18C" w:rsidR="00C31ED4" w:rsidRDefault="00BB682B" w:rsidP="00020F91">
      <w:pPr>
        <w:pStyle w:val="CBDNormalNumber"/>
        <w:ind w:left="2268" w:hanging="567"/>
      </w:pPr>
      <w:r>
        <w:t>iii)</w:t>
      </w:r>
      <w:r>
        <w:tab/>
        <w:t xml:space="preserve">единица оценки на уровне предприятия, а именно: оцениваются ли пороговые значения и взносы на уровне дочерней компании или на уровне корпоративной группы, что влияет как на количество правомочных предприятий, так и на сумму взноса каждого из них; </w:t>
      </w:r>
    </w:p>
    <w:p w14:paraId="65143FF5" w14:textId="3F1FC9BC" w:rsidR="00BB682B" w:rsidRPr="00827DA6" w:rsidRDefault="00BB682B" w:rsidP="00020F91">
      <w:pPr>
        <w:pStyle w:val="CBDNormalNumber"/>
        <w:ind w:left="2268" w:hanging="567"/>
      </w:pPr>
      <w:r>
        <w:t>iv)</w:t>
      </w:r>
      <w:r>
        <w:tab/>
        <w:t xml:space="preserve">граница между прямым и косвенным применением цифровой информации о последовательностях, где более широкое толкование расширило бы круг правомочных участников, но создало бы риск двойного учета компаний в рамках </w:t>
      </w:r>
      <w:r w:rsidR="00CA1F43">
        <w:t>цепочки создания стоимости</w:t>
      </w:r>
      <w:r>
        <w:t>;</w:t>
      </w:r>
    </w:p>
    <w:p w14:paraId="32C7D8E7" w14:textId="42E0E3D3" w:rsidR="00590242" w:rsidRDefault="00590242" w:rsidP="00590242">
      <w:pPr>
        <w:pStyle w:val="CBDNormalNumber"/>
        <w:numPr>
          <w:ilvl w:val="1"/>
          <w:numId w:val="12"/>
        </w:numPr>
      </w:pPr>
      <w:r>
        <w:t>структурные неопределенности, касающиеся участия и суммы взноса, заключаются в следующем:</w:t>
      </w:r>
    </w:p>
    <w:p w14:paraId="5F7F6140" w14:textId="7CEF0FF3" w:rsidR="00590242" w:rsidRDefault="00BB682B" w:rsidP="00020F91">
      <w:pPr>
        <w:pStyle w:val="CBDNormalNumber"/>
        <w:ind w:left="2268" w:hanging="567"/>
      </w:pPr>
      <w:r>
        <w:t>i)</w:t>
      </w:r>
      <w:r>
        <w:tab/>
        <w:t xml:space="preserve">информационная асимметрия, поскольку правомочные компании могут не идентифицировать себя самостоятельно, а факт неучастия невозможно проверить; </w:t>
      </w:r>
    </w:p>
    <w:p w14:paraId="586F420A" w14:textId="391A87D4" w:rsidR="00590242" w:rsidRDefault="00BB682B" w:rsidP="00020F91">
      <w:pPr>
        <w:pStyle w:val="CBDNormalNumber"/>
        <w:ind w:left="2268" w:hanging="567"/>
      </w:pPr>
      <w:r>
        <w:t>ii)</w:t>
      </w:r>
      <w:r>
        <w:tab/>
        <w:t xml:space="preserve">нормативно-правовая ценность сертификата о взносе, причем низкая ценность снижает стимул к участию; </w:t>
      </w:r>
    </w:p>
    <w:p w14:paraId="6185D68B" w14:textId="089CE15E" w:rsidR="00590242" w:rsidRDefault="00BB682B" w:rsidP="00020F91">
      <w:pPr>
        <w:pStyle w:val="CBDNormalNumber"/>
        <w:ind w:left="2268" w:hanging="567"/>
      </w:pPr>
      <w:r>
        <w:t>iii)</w:t>
      </w:r>
      <w:r>
        <w:tab/>
        <w:t xml:space="preserve">дублирование обязательств с другими международными документами, что в материалах, полученных в ответ на уведомление № </w:t>
      </w:r>
      <w:hyperlink r:id="rId32" w:history="1">
        <w:r>
          <w:rPr>
            <w:rStyle w:val="Hyperlink"/>
          </w:rPr>
          <w:t>2024-114</w:t>
        </w:r>
      </w:hyperlink>
      <w:r>
        <w:t xml:space="preserve">, наиболее часто упоминалось как барьер для участия; </w:t>
      </w:r>
    </w:p>
    <w:p w14:paraId="3B9DDCD5" w14:textId="617BB0BF" w:rsidR="00590242" w:rsidRDefault="00BB682B" w:rsidP="00020F91">
      <w:pPr>
        <w:pStyle w:val="CBDNormalNumber"/>
        <w:ind w:left="2268" w:hanging="567"/>
      </w:pPr>
      <w:r>
        <w:t>iv)</w:t>
      </w:r>
      <w:r>
        <w:tab/>
        <w:t xml:space="preserve">различия в подходах Сторон к внедрению механизма на национальном уровне, что может либо способствовать расширению участия за счет внутренних мер стимулирования, либо привести к возникновению трансграничных асимметрий; </w:t>
      </w:r>
    </w:p>
    <w:p w14:paraId="54E68659" w14:textId="1605B409" w:rsidR="00BB682B" w:rsidRPr="00827DA6" w:rsidRDefault="00BB682B" w:rsidP="00020F91">
      <w:pPr>
        <w:pStyle w:val="CBDNormalNumber"/>
        <w:ind w:left="2268" w:hanging="567"/>
      </w:pPr>
      <w:r>
        <w:t>v)</w:t>
      </w:r>
      <w:r>
        <w:tab/>
        <w:t>формула ассигнования средств Калийского фонда, которая может повлиять на стимулы к участию, если участники, вносящие взносы, сочтут распределение выгод несправедливым.</w:t>
      </w:r>
    </w:p>
    <w:p w14:paraId="2ABCF733" w14:textId="5F3F9AFB" w:rsidR="00BB682B" w:rsidRPr="00827DA6" w:rsidRDefault="00BB682B" w:rsidP="00284A2D">
      <w:pPr>
        <w:pStyle w:val="CBDNormalNumber"/>
        <w:numPr>
          <w:ilvl w:val="0"/>
          <w:numId w:val="15"/>
        </w:numPr>
      </w:pPr>
      <w:r>
        <w:t>Ожидается, что ни один из этих девяти факторов неопределенности не приведет к увеличению доходов Калийского фонда сверх теоретического максимума, предполагаемого при полном соблюдении требований. Соответственно, полное соблюдение требований целесообразно рассматривать как верхний предел, а не как центральную оценку.</w:t>
      </w:r>
    </w:p>
    <w:p w14:paraId="2E642476" w14:textId="37F4BDE6" w:rsidR="00BB682B" w:rsidRPr="00827DA6" w:rsidRDefault="008000EA" w:rsidP="00020F91">
      <w:pPr>
        <w:pStyle w:val="CBDH1"/>
      </w:pPr>
      <w:r>
        <w:t>IV.</w:t>
      </w:r>
      <w:r>
        <w:tab/>
        <w:t>Резюме выводов</w:t>
      </w:r>
    </w:p>
    <w:p w14:paraId="52D7A0E7" w14:textId="1A6348A5" w:rsidR="00BB682B" w:rsidRPr="00827DA6" w:rsidRDefault="008000EA" w:rsidP="00020F91">
      <w:pPr>
        <w:pStyle w:val="CBDH2"/>
      </w:pPr>
      <w:r>
        <w:t>A.</w:t>
      </w:r>
      <w:r>
        <w:tab/>
        <w:t>Пороговые значения для правомоч</w:t>
      </w:r>
      <w:r w:rsidR="00CA1F43">
        <w:t>ности</w:t>
      </w:r>
    </w:p>
    <w:p w14:paraId="3544962F" w14:textId="057E93F7" w:rsidR="00BB682B" w:rsidRPr="00827DA6" w:rsidRDefault="00BB682B" w:rsidP="00917A39">
      <w:pPr>
        <w:pStyle w:val="CBDNormalNumber"/>
        <w:numPr>
          <w:ilvl w:val="0"/>
          <w:numId w:val="15"/>
        </w:numPr>
      </w:pPr>
      <w:r>
        <w:t xml:space="preserve">В материалах, полученных в ответ уведомление № </w:t>
      </w:r>
      <w:hyperlink r:id="rId33" w:history="1">
        <w:r>
          <w:rPr>
            <w:rStyle w:val="Hyperlink"/>
          </w:rPr>
          <w:t>2024-116</w:t>
        </w:r>
      </w:hyperlink>
      <w:r>
        <w:t xml:space="preserve">, была отмечена широкая поддержка идеи использования существующих международных механизмов вместо специально разработанной системы в рамках Конвенции о биологическом разнообразии, а также предпочтение финансовых пороговых значений по сравнению с пороговыми значениями, основанными на численности персонала, исходя из того, что платежеспособность является релевантным критерием для определения финансового взноса. Ряд Сторон выразили мнение, что размер компании невозможно определить единообразно для всех секторов, в то время как наблюдатели от частного сектора предостерегали от применения жестких определений, охватывающих компании, которые лишь косвенно зависят от цифровой информации о последовательностях в отношении генетических ресурсов, а наблюдатели от неправительственных организаций и научных кругов высказались в пользу критериев, основанных на видах деятельности, таких как выгода, получаемая от применения цифровой информации о последовательностях в отношении генетических ресурсов. В своих материалах </w:t>
      </w:r>
      <w:r>
        <w:lastRenderedPageBreak/>
        <w:t>как Стороны, так и наблюдатели последовательно призывали к защите малых и средних предприятий от несоразмерного бремени.</w:t>
      </w:r>
    </w:p>
    <w:p w14:paraId="234261DE" w14:textId="76B8F86C" w:rsidR="00BB682B" w:rsidRPr="00827DA6" w:rsidRDefault="00BB682B" w:rsidP="00F45C65">
      <w:pPr>
        <w:pStyle w:val="CBDNormalNumber"/>
        <w:numPr>
          <w:ilvl w:val="0"/>
          <w:numId w:val="15"/>
        </w:numPr>
      </w:pPr>
      <w:r>
        <w:t xml:space="preserve">При сравнении с механизмами Бразилии, Индии, Китая, Соединенных Штатов Америки, Японии, Европейского союза, Международной финансовой корпорации Группы Всемирного банка и Организации экономического сотрудничества и развития пороговые значения, установленные в решении </w:t>
      </w:r>
      <w:hyperlink r:id="rId34" w:history="1">
        <w:r>
          <w:rPr>
            <w:rStyle w:val="Hyperlink"/>
          </w:rPr>
          <w:t>16/2</w:t>
        </w:r>
      </w:hyperlink>
      <w:r>
        <w:t>, в целом соответствуют критериям для крупных предприятий, хотя и с заметными различиями: пороговое значение активов в 20 млн долл. США ниже установленного Европейским союзом предельного значения балансовой суммы для средних предприятий, составляющего примерно 50 млн долл. США; некоторые компании, классифицируемые как средние в соответствии с законодательством Индии и Китая, попали бы в сферу действия Калийского фонда; и, в отличие от почти всех рассмотренных механизмов, Калийский фонд не предусматривает критерия численности сотрудников. Критерий прибыли не имеет прямых аналогов среди рассмотренных механизмов. В отличие от механизмов Соединенных Штатов Америки и Европейского союза, настоящая структура не предусматривает условий, касающихся владения или аффилированности, что вызывает вопрос о том, является ли определение на уровне предприятия достаточно устойчивым к потенциальной реструктуризации, направленной на выделение деятельности, связанной с цифровой информацией о последовательностях в отношении генетических ресурсов, в более мелкие подотчетные субъекты.</w:t>
      </w:r>
    </w:p>
    <w:p w14:paraId="44B13E7E" w14:textId="7C2B70A2" w:rsidR="00BB682B" w:rsidRPr="00827DA6" w:rsidRDefault="00BB682B" w:rsidP="00F45C65">
      <w:pPr>
        <w:pStyle w:val="CBDNormalNumber"/>
        <w:numPr>
          <w:ilvl w:val="0"/>
          <w:numId w:val="15"/>
        </w:numPr>
      </w:pPr>
      <w:r>
        <w:t xml:space="preserve">Выделено семь вариантов структуры для рассмотрения Конференцией Сторон без рекомендации касательно их: </w:t>
      </w:r>
    </w:p>
    <w:p w14:paraId="5EB72E21" w14:textId="298CE23A" w:rsidR="00BB682B" w:rsidRPr="00827DA6" w:rsidRDefault="000A03CF" w:rsidP="00020F91">
      <w:pPr>
        <w:pStyle w:val="CBDNormalNumber"/>
        <w:numPr>
          <w:ilvl w:val="1"/>
          <w:numId w:val="13"/>
        </w:numPr>
      </w:pPr>
      <w:r>
        <w:t xml:space="preserve">дополнение действующих пороговых значений явным исключением для малых и средних предприятий или введением уровня со сокращенной суммой взносов, заимствованного из существующего механизма; </w:t>
      </w:r>
    </w:p>
    <w:p w14:paraId="34719755" w14:textId="68E25065" w:rsidR="00BB682B" w:rsidRPr="00827DA6" w:rsidRDefault="00C13558" w:rsidP="00020F91">
      <w:pPr>
        <w:pStyle w:val="CBDNormalNumber"/>
        <w:numPr>
          <w:ilvl w:val="1"/>
          <w:numId w:val="13"/>
        </w:numPr>
      </w:pPr>
      <w:r>
        <w:t xml:space="preserve">пересмотр критерия прибыли, например, путем использования нормы прибыли вместо абсолютной суммы, при этом отмечая, что данный критерий также является показателем результативности, а не размера, и подвержен искажению отчетности и циклической изменчивости в той степени, в какой это не характерно для доходов и активов; </w:t>
      </w:r>
    </w:p>
    <w:p w14:paraId="04C76E93" w14:textId="7FCCBB15" w:rsidR="00BB682B" w:rsidRPr="00827DA6" w:rsidRDefault="00AA020D" w:rsidP="00020F91">
      <w:pPr>
        <w:pStyle w:val="CBDNormalNumber"/>
        <w:numPr>
          <w:ilvl w:val="1"/>
          <w:numId w:val="13"/>
        </w:numPr>
      </w:pPr>
      <w:r>
        <w:t xml:space="preserve">корректировка пороговых значений с учетом структурных различий между Сторонами — будь то по секторам или по распределению размеров компаний в каждой стране — с учетом различий в распределении размеров компаний и отраслевом составе; корректировка с учетом сектора может быть более обоснованной для фармацевтической отрасли, учитывая значительно более высокие финансовые показатели данного сектора; </w:t>
      </w:r>
    </w:p>
    <w:p w14:paraId="71E9B6F2" w14:textId="7A65CE29" w:rsidR="00BB682B" w:rsidRPr="00827DA6" w:rsidRDefault="00253E8E" w:rsidP="00020F91">
      <w:pPr>
        <w:pStyle w:val="CBDNormalNumber"/>
        <w:numPr>
          <w:ilvl w:val="1"/>
          <w:numId w:val="13"/>
        </w:numPr>
      </w:pPr>
      <w:r>
        <w:t xml:space="preserve">введение условий владения или аффилированности, сопоставимых с теми, что предусмотрены в механизмах Соединенных Штатов и Европейского союза; </w:t>
      </w:r>
    </w:p>
    <w:p w14:paraId="2E1C4EF0" w14:textId="088FBBF7" w:rsidR="00BB682B" w:rsidRPr="00827DA6" w:rsidRDefault="008B3912" w:rsidP="00020F91">
      <w:pPr>
        <w:pStyle w:val="CBDNormalNumber"/>
        <w:numPr>
          <w:ilvl w:val="1"/>
          <w:numId w:val="13"/>
        </w:numPr>
      </w:pPr>
      <w:r>
        <w:t xml:space="preserve">введение критериев численности сотрудников — отдельно или наряду с действующими финансовыми пороговыми значениями, — что привело бы структуру Калийского фонда в соответствие со структурой большинства других рассмотренных механизмов и упростило бы оценку воздействия для Сторон на национальном уровне, хотя этот вопрос не поднимался в представленных Сторонами материалах; </w:t>
      </w:r>
    </w:p>
    <w:p w14:paraId="261CEDCD" w14:textId="01A2B55C" w:rsidR="0083446D" w:rsidRPr="0083446D" w:rsidRDefault="007C0F3B" w:rsidP="0083446D">
      <w:pPr>
        <w:pStyle w:val="CBDNormalNumber"/>
        <w:numPr>
          <w:ilvl w:val="1"/>
          <w:numId w:val="13"/>
        </w:numPr>
      </w:pPr>
      <w:r>
        <w:t xml:space="preserve">рассмотрение возможности периодического пересмотра пороговых значений, аналогично практике, предусмотренной Директивой 2013/34/ЕС Европейского парламента и Совета от 26 июня 2013 года о ежегодной финансовой отчетности, консолидированной финансовой отчетности и связанных с ними отчетах определенных типов компаний, в соответствии с которой </w:t>
      </w:r>
      <w:r w:rsidR="00776C49">
        <w:t xml:space="preserve">пункт 13 </w:t>
      </w:r>
      <w:r>
        <w:t>стать</w:t>
      </w:r>
      <w:r w:rsidR="00776C49">
        <w:t>и</w:t>
      </w:r>
      <w:r>
        <w:t xml:space="preserve"> 3 уполномочивает Европейскую комиссию пересматривать денежные пороговые значения посредством делегированных актов </w:t>
      </w:r>
      <w:r w:rsidR="00776C49">
        <w:t>с учетом инфляции как минимум каждые пять лет</w:t>
      </w:r>
      <w:r>
        <w:t>; это могло бы послужить основой для индексированного подхода к установлению пороговых значений вместо подхода, основанного на фиксированном курсе доллара США;</w:t>
      </w:r>
    </w:p>
    <w:p w14:paraId="0288B84B" w14:textId="110C29C9" w:rsidR="00BB682B" w:rsidRPr="00827DA6" w:rsidRDefault="00B75D10" w:rsidP="00020F91">
      <w:pPr>
        <w:pStyle w:val="CBDNormalNumber"/>
        <w:tabs>
          <w:tab w:val="clear" w:pos="1134"/>
        </w:tabs>
        <w:ind w:left="567" w:firstLine="567"/>
      </w:pPr>
      <w:r>
        <w:lastRenderedPageBreak/>
        <w:t>g)</w:t>
      </w:r>
      <w:r>
        <w:tab/>
        <w:t>рассмотрение переходных мер, таких как период постепенного введения или сниженная начальная ставка, для компаний, впервые достигших пороговых значений или имеющих исторически низкую интенсивность использования цифровой информации о последовательностях в отношении генетических ресурсов, с целью облегчения административной и финансовой адаптации к первому взносу.</w:t>
      </w:r>
    </w:p>
    <w:p w14:paraId="5212CC2B" w14:textId="117CC633" w:rsidR="00BB682B" w:rsidRPr="00827DA6" w:rsidRDefault="008000EA" w:rsidP="00020F91">
      <w:pPr>
        <w:pStyle w:val="CBDH2"/>
      </w:pPr>
      <w:r>
        <w:t>B.</w:t>
      </w:r>
      <w:r>
        <w:tab/>
        <w:t>Потенциал поступлени</w:t>
      </w:r>
      <w:r w:rsidR="0085283E">
        <w:t>я дохода</w:t>
      </w:r>
      <w:r>
        <w:t xml:space="preserve"> и структура взносов</w:t>
      </w:r>
    </w:p>
    <w:p w14:paraId="362F6CEF" w14:textId="59A189D3" w:rsidR="00C80EA4" w:rsidRPr="00827DA6" w:rsidRDefault="00C80EA4" w:rsidP="000C1C50">
      <w:pPr>
        <w:pStyle w:val="CBDNormalNumber"/>
        <w:numPr>
          <w:ilvl w:val="0"/>
          <w:numId w:val="15"/>
        </w:numPr>
      </w:pPr>
      <w:r>
        <w:t xml:space="preserve">Полное соблюдение требований всеми </w:t>
      </w:r>
      <w:bookmarkStart w:id="12" w:name="_Hlk240364879"/>
      <w:r>
        <w:t xml:space="preserve">21 690 </w:t>
      </w:r>
      <w:bookmarkEnd w:id="12"/>
      <w:r>
        <w:t>определенными правомочными предприятиями, позволило бы собрать примерно 3,65 млрд долл. США в год. С учетом уровня участия по секторам, структуры собственности и интенсивности использования цифровой информации о последовательностях в отношении генетических ресурсов средняя оценка снижается до 929 млн долл. США в год, что составляет примерно четверть от суммы при полном соблюдении требований. Диапазон, скорректированный с учетом неопределенности и основанный на низком коэффициенте выплат, наблюдаемом в рамках системы, ориентированной на пользователей, предусмотренной Международным договором о генетических ресурсах растений для производства продовольствия и ведения сельского хозяйства, колеблется от примерно 5 млн до 929 млн долл. США в год при тех же ориентировочных ставках; этот диапазон определяется не столько уровнем ставок, сколько нерешенными вопросами, связанными с особенностями структуры механизма. В приведенной ниже таблице представлены оценки доходов по различным сценариям.</w:t>
      </w:r>
    </w:p>
    <w:p w14:paraId="5472D91A" w14:textId="2316F548" w:rsidR="00C80EA4" w:rsidRPr="00827DA6" w:rsidRDefault="00C80EA4" w:rsidP="000C1C50">
      <w:pPr>
        <w:pStyle w:val="CBDNormalNumber"/>
        <w:numPr>
          <w:ilvl w:val="0"/>
          <w:numId w:val="15"/>
        </w:numPr>
      </w:pPr>
      <w:r>
        <w:t>Эти оценки основаны на наилучших имеющихся данных, однако, поскольку до сих пор не наблюдалось ни одной добровольной схемы, обладающей конкретными структурными особенностями Кал</w:t>
      </w:r>
      <w:r w:rsidR="001364FE">
        <w:t>ий</w:t>
      </w:r>
      <w:r>
        <w:t>ского фонда, лежащие в их основе допущения об участии неизбежно калибруются на основе других контекстов, включая аналогичные механизмы, рассмотренные в разделе III.A выше, а не на основе самого Фонда. Соответственно, диапазон, приведенный в таблице, следует рассматривать как правдоподобные границы, вытекающие из этих данных, а не как прогноз суммы, которую Фонд сможет собрать.</w:t>
      </w:r>
    </w:p>
    <w:p w14:paraId="6B644C23" w14:textId="77777777" w:rsidR="00C80EA4" w:rsidRPr="00827DA6" w:rsidRDefault="00C80EA4" w:rsidP="008000EA">
      <w:pPr>
        <w:pStyle w:val="CBDTableTitle"/>
      </w:pPr>
      <w:r>
        <w:t>Расчетные годовые взносы и прогнозы чистого приведенного дохода</w:t>
      </w:r>
    </w:p>
    <w:tbl>
      <w:tblPr>
        <w:tblW w:w="8968" w:type="dxa"/>
        <w:tblInd w:w="562" w:type="dxa"/>
        <w:tblBorders>
          <w:top w:val="single" w:sz="4" w:space="0" w:color="auto"/>
          <w:bottom w:val="single" w:sz="4" w:space="0" w:color="auto"/>
        </w:tblBorders>
        <w:tblCellMar>
          <w:left w:w="10" w:type="dxa"/>
          <w:right w:w="10" w:type="dxa"/>
        </w:tblCellMar>
        <w:tblLook w:val="0000" w:firstRow="0" w:lastRow="0" w:firstColumn="0" w:lastColumn="0" w:noHBand="0" w:noVBand="0"/>
      </w:tblPr>
      <w:tblGrid>
        <w:gridCol w:w="2214"/>
        <w:gridCol w:w="1467"/>
        <w:gridCol w:w="1374"/>
        <w:gridCol w:w="1229"/>
        <w:gridCol w:w="1373"/>
        <w:gridCol w:w="1311"/>
      </w:tblGrid>
      <w:tr w:rsidR="00C80EA4" w:rsidRPr="00827DA6" w14:paraId="4881A4A9" w14:textId="77777777" w:rsidTr="00F95C40">
        <w:trPr>
          <w:tblHeader/>
        </w:trPr>
        <w:tc>
          <w:tcPr>
            <w:tcW w:w="2268" w:type="dxa"/>
            <w:tcBorders>
              <w:top w:val="single" w:sz="4" w:space="0" w:color="auto"/>
              <w:bottom w:val="single" w:sz="4" w:space="0" w:color="auto"/>
            </w:tcBorders>
            <w:tcMar>
              <w:top w:w="60" w:type="dxa"/>
              <w:left w:w="100" w:type="dxa"/>
              <w:bottom w:w="60" w:type="dxa"/>
              <w:right w:w="100" w:type="dxa"/>
            </w:tcMar>
          </w:tcPr>
          <w:p w14:paraId="01C9D839" w14:textId="77777777" w:rsidR="00C80EA4" w:rsidRPr="00020F91" w:rsidRDefault="00C80EA4" w:rsidP="00C80EA4">
            <w:pPr>
              <w:pStyle w:val="CBDTableNormal"/>
              <w:rPr>
                <w:i/>
                <w:iCs/>
              </w:rPr>
            </w:pPr>
            <w:r>
              <w:rPr>
                <w:i/>
                <w:iCs/>
              </w:rPr>
              <w:t xml:space="preserve">Сценарий </w:t>
            </w:r>
          </w:p>
        </w:tc>
        <w:tc>
          <w:tcPr>
            <w:tcW w:w="1275" w:type="dxa"/>
            <w:tcBorders>
              <w:top w:val="single" w:sz="4" w:space="0" w:color="auto"/>
              <w:bottom w:val="single" w:sz="4" w:space="0" w:color="auto"/>
            </w:tcBorders>
            <w:tcMar>
              <w:top w:w="60" w:type="dxa"/>
              <w:left w:w="100" w:type="dxa"/>
              <w:bottom w:w="60" w:type="dxa"/>
              <w:right w:w="100" w:type="dxa"/>
            </w:tcMar>
          </w:tcPr>
          <w:p w14:paraId="3778BFC6" w14:textId="26C6D644" w:rsidR="00C80EA4" w:rsidRPr="00020F91" w:rsidRDefault="00C80EA4" w:rsidP="00020F91">
            <w:pPr>
              <w:pStyle w:val="CBDTableNormal"/>
              <w:jc w:val="right"/>
              <w:rPr>
                <w:i/>
                <w:iCs/>
              </w:rPr>
            </w:pPr>
            <w:r>
              <w:rPr>
                <w:i/>
                <w:iCs/>
              </w:rPr>
              <w:t>Среднегодовое значение</w:t>
            </w:r>
            <w:r>
              <w:rPr>
                <w:vertAlign w:val="superscript"/>
              </w:rPr>
              <w:t>a</w:t>
            </w:r>
            <w:r>
              <w:rPr>
                <w:i/>
                <w:iCs/>
              </w:rPr>
              <w:t xml:space="preserve"> </w:t>
            </w:r>
          </w:p>
        </w:tc>
        <w:tc>
          <w:tcPr>
            <w:tcW w:w="1418" w:type="dxa"/>
            <w:tcBorders>
              <w:top w:val="single" w:sz="4" w:space="0" w:color="auto"/>
              <w:bottom w:val="single" w:sz="4" w:space="0" w:color="auto"/>
            </w:tcBorders>
            <w:tcMar>
              <w:top w:w="60" w:type="dxa"/>
              <w:left w:w="100" w:type="dxa"/>
              <w:bottom w:w="60" w:type="dxa"/>
              <w:right w:w="100" w:type="dxa"/>
            </w:tcMar>
          </w:tcPr>
          <w:p w14:paraId="2E61EA32" w14:textId="3516BBCE" w:rsidR="00C80EA4" w:rsidRPr="00020F91" w:rsidRDefault="004268B8" w:rsidP="00020F91">
            <w:pPr>
              <w:pStyle w:val="CBDTableNormal"/>
              <w:jc w:val="right"/>
              <w:rPr>
                <w:i/>
                <w:iCs/>
              </w:rPr>
            </w:pPr>
            <w:r>
              <w:rPr>
                <w:i/>
                <w:iCs/>
              </w:rPr>
              <w:t>Диапазон от пятого до девяносто пятого процентиля</w:t>
            </w:r>
          </w:p>
        </w:tc>
        <w:tc>
          <w:tcPr>
            <w:tcW w:w="1300" w:type="dxa"/>
            <w:tcBorders>
              <w:top w:val="single" w:sz="4" w:space="0" w:color="auto"/>
              <w:bottom w:val="single" w:sz="4" w:space="0" w:color="auto"/>
            </w:tcBorders>
            <w:tcMar>
              <w:top w:w="60" w:type="dxa"/>
              <w:left w:w="100" w:type="dxa"/>
              <w:bottom w:w="60" w:type="dxa"/>
              <w:right w:w="100" w:type="dxa"/>
            </w:tcMar>
          </w:tcPr>
          <w:p w14:paraId="7D6253C8" w14:textId="72B94F98" w:rsidR="00C80EA4" w:rsidRPr="00020F91" w:rsidRDefault="00577701" w:rsidP="00020F91">
            <w:pPr>
              <w:pStyle w:val="CBDTableNormal"/>
              <w:jc w:val="right"/>
              <w:rPr>
                <w:i/>
                <w:iCs/>
              </w:rPr>
            </w:pPr>
            <w:r>
              <w:rPr>
                <w:i/>
                <w:iCs/>
              </w:rPr>
              <w:t>Доля сценария 0</w:t>
            </w:r>
          </w:p>
        </w:tc>
        <w:tc>
          <w:tcPr>
            <w:tcW w:w="1393" w:type="dxa"/>
            <w:tcBorders>
              <w:top w:val="single" w:sz="4" w:space="0" w:color="auto"/>
              <w:bottom w:val="single" w:sz="4" w:space="0" w:color="auto"/>
            </w:tcBorders>
            <w:tcMar>
              <w:top w:w="60" w:type="dxa"/>
              <w:left w:w="100" w:type="dxa"/>
              <w:bottom w:w="60" w:type="dxa"/>
              <w:right w:w="100" w:type="dxa"/>
            </w:tcMar>
          </w:tcPr>
          <w:p w14:paraId="403514C5" w14:textId="44510356" w:rsidR="00C80EA4" w:rsidRPr="00020F91" w:rsidRDefault="00C80EA4" w:rsidP="00020F91">
            <w:pPr>
              <w:pStyle w:val="CBDTableNormal"/>
              <w:jc w:val="right"/>
              <w:rPr>
                <w:i/>
                <w:iCs/>
              </w:rPr>
            </w:pPr>
            <w:r>
              <w:rPr>
                <w:i/>
                <w:iCs/>
              </w:rPr>
              <w:t>Чистый приведенный доход к 2030 году</w:t>
            </w:r>
            <w:r>
              <w:rPr>
                <w:vertAlign w:val="superscript"/>
              </w:rPr>
              <w:t>a,b</w:t>
            </w:r>
            <w:r>
              <w:rPr>
                <w:i/>
                <w:iCs/>
              </w:rPr>
              <w:t xml:space="preserve"> </w:t>
            </w:r>
          </w:p>
        </w:tc>
        <w:tc>
          <w:tcPr>
            <w:tcW w:w="1314" w:type="dxa"/>
            <w:tcBorders>
              <w:top w:val="single" w:sz="4" w:space="0" w:color="auto"/>
              <w:bottom w:val="single" w:sz="4" w:space="0" w:color="auto"/>
            </w:tcBorders>
            <w:tcMar>
              <w:top w:w="60" w:type="dxa"/>
              <w:left w:w="100" w:type="dxa"/>
              <w:bottom w:w="60" w:type="dxa"/>
              <w:right w:w="100" w:type="dxa"/>
            </w:tcMar>
          </w:tcPr>
          <w:p w14:paraId="4F6A9FCF" w14:textId="73615149" w:rsidR="00C80EA4" w:rsidRPr="00020F91" w:rsidRDefault="007C596D" w:rsidP="00020F91">
            <w:pPr>
              <w:pStyle w:val="CBDTableNormal"/>
              <w:jc w:val="right"/>
              <w:rPr>
                <w:i/>
                <w:iCs/>
              </w:rPr>
            </w:pPr>
            <w:r>
              <w:rPr>
                <w:i/>
                <w:iCs/>
              </w:rPr>
              <w:t>Чистый приведенный доход к 2035 году</w:t>
            </w:r>
            <w:r>
              <w:rPr>
                <w:vertAlign w:val="superscript"/>
              </w:rPr>
              <w:t>a,b</w:t>
            </w:r>
            <w:r>
              <w:rPr>
                <w:i/>
                <w:iCs/>
              </w:rPr>
              <w:t xml:space="preserve"> </w:t>
            </w:r>
          </w:p>
        </w:tc>
      </w:tr>
      <w:tr w:rsidR="00C80EA4" w:rsidRPr="00827DA6" w14:paraId="31716EA6" w14:textId="77777777" w:rsidTr="00F95C40">
        <w:tc>
          <w:tcPr>
            <w:tcW w:w="2268" w:type="dxa"/>
            <w:tcBorders>
              <w:top w:val="single" w:sz="4" w:space="0" w:color="auto"/>
            </w:tcBorders>
            <w:tcMar>
              <w:top w:w="60" w:type="dxa"/>
              <w:left w:w="100" w:type="dxa"/>
              <w:bottom w:w="60" w:type="dxa"/>
              <w:right w:w="100" w:type="dxa"/>
            </w:tcMar>
          </w:tcPr>
          <w:p w14:paraId="3096C6C8" w14:textId="7F200AC3" w:rsidR="00C80EA4" w:rsidRPr="00827DA6" w:rsidRDefault="00C80EA4" w:rsidP="00C80EA4">
            <w:pPr>
              <w:pStyle w:val="CBDTableNormal"/>
            </w:pPr>
            <w:r>
              <w:t>Сценарий 0. Полное участие</w:t>
            </w:r>
          </w:p>
        </w:tc>
        <w:tc>
          <w:tcPr>
            <w:tcW w:w="1275" w:type="dxa"/>
            <w:tcBorders>
              <w:top w:val="single" w:sz="4" w:space="0" w:color="auto"/>
            </w:tcBorders>
            <w:tcMar>
              <w:top w:w="60" w:type="dxa"/>
              <w:left w:w="100" w:type="dxa"/>
              <w:bottom w:w="60" w:type="dxa"/>
              <w:right w:w="100" w:type="dxa"/>
            </w:tcMar>
          </w:tcPr>
          <w:p w14:paraId="2354A2E7" w14:textId="77777777" w:rsidR="00C80EA4" w:rsidRPr="00827DA6" w:rsidRDefault="00C80EA4" w:rsidP="00020F91">
            <w:pPr>
              <w:pStyle w:val="CBDTableNormal"/>
              <w:jc w:val="right"/>
            </w:pPr>
            <w:r>
              <w:t>3,65</w:t>
            </w:r>
          </w:p>
        </w:tc>
        <w:tc>
          <w:tcPr>
            <w:tcW w:w="1418" w:type="dxa"/>
            <w:tcBorders>
              <w:top w:val="single" w:sz="4" w:space="0" w:color="auto"/>
            </w:tcBorders>
            <w:tcMar>
              <w:top w:w="60" w:type="dxa"/>
              <w:left w:w="100" w:type="dxa"/>
              <w:bottom w:w="60" w:type="dxa"/>
              <w:right w:w="100" w:type="dxa"/>
            </w:tcMar>
          </w:tcPr>
          <w:p w14:paraId="00FA2CE5" w14:textId="777840F2" w:rsidR="00C80EA4" w:rsidRPr="00827DA6" w:rsidRDefault="008F2478" w:rsidP="00020F91">
            <w:pPr>
              <w:pStyle w:val="CBDTableNormal"/>
              <w:jc w:val="right"/>
            </w:pPr>
            <w:r>
              <w:t xml:space="preserve">н.п. </w:t>
            </w:r>
          </w:p>
        </w:tc>
        <w:tc>
          <w:tcPr>
            <w:tcW w:w="1300" w:type="dxa"/>
            <w:tcBorders>
              <w:top w:val="single" w:sz="4" w:space="0" w:color="auto"/>
            </w:tcBorders>
            <w:tcMar>
              <w:top w:w="60" w:type="dxa"/>
              <w:left w:w="100" w:type="dxa"/>
              <w:bottom w:w="60" w:type="dxa"/>
              <w:right w:w="100" w:type="dxa"/>
            </w:tcMar>
          </w:tcPr>
          <w:p w14:paraId="189910C8" w14:textId="5B60859D" w:rsidR="00C80EA4" w:rsidRPr="00827DA6" w:rsidRDefault="00C80EA4" w:rsidP="00020F91">
            <w:pPr>
              <w:pStyle w:val="CBDTableNormal"/>
              <w:jc w:val="right"/>
            </w:pPr>
            <w:r>
              <w:t>100,0</w:t>
            </w:r>
          </w:p>
        </w:tc>
        <w:tc>
          <w:tcPr>
            <w:tcW w:w="1393" w:type="dxa"/>
            <w:tcBorders>
              <w:top w:val="single" w:sz="4" w:space="0" w:color="auto"/>
            </w:tcBorders>
            <w:tcMar>
              <w:top w:w="60" w:type="dxa"/>
              <w:left w:w="100" w:type="dxa"/>
              <w:bottom w:w="60" w:type="dxa"/>
              <w:right w:w="100" w:type="dxa"/>
            </w:tcMar>
          </w:tcPr>
          <w:p w14:paraId="432575FD" w14:textId="77777777" w:rsidR="00C80EA4" w:rsidRPr="00827DA6" w:rsidRDefault="00C80EA4" w:rsidP="00020F91">
            <w:pPr>
              <w:pStyle w:val="CBDTableNormal"/>
              <w:jc w:val="right"/>
            </w:pPr>
            <w:r>
              <w:t>17,2</w:t>
            </w:r>
          </w:p>
        </w:tc>
        <w:tc>
          <w:tcPr>
            <w:tcW w:w="1314" w:type="dxa"/>
            <w:tcBorders>
              <w:top w:val="single" w:sz="4" w:space="0" w:color="auto"/>
            </w:tcBorders>
            <w:tcMar>
              <w:top w:w="60" w:type="dxa"/>
              <w:left w:w="100" w:type="dxa"/>
              <w:bottom w:w="60" w:type="dxa"/>
              <w:right w:w="100" w:type="dxa"/>
            </w:tcMar>
          </w:tcPr>
          <w:p w14:paraId="0F2C4C22" w14:textId="77777777" w:rsidR="00C80EA4" w:rsidRPr="00827DA6" w:rsidRDefault="00C80EA4" w:rsidP="00020F91">
            <w:pPr>
              <w:pStyle w:val="CBDTableNormal"/>
              <w:jc w:val="right"/>
            </w:pPr>
            <w:r>
              <w:t>32,0</w:t>
            </w:r>
          </w:p>
        </w:tc>
      </w:tr>
      <w:tr w:rsidR="00C80EA4" w:rsidRPr="00827DA6" w14:paraId="73DA95CC" w14:textId="77777777" w:rsidTr="00F95C40">
        <w:tc>
          <w:tcPr>
            <w:tcW w:w="2268" w:type="dxa"/>
            <w:tcMar>
              <w:top w:w="60" w:type="dxa"/>
              <w:left w:w="100" w:type="dxa"/>
              <w:bottom w:w="60" w:type="dxa"/>
              <w:right w:w="100" w:type="dxa"/>
            </w:tcMar>
          </w:tcPr>
          <w:p w14:paraId="67AE95EB" w14:textId="7BBEA37C" w:rsidR="00C80EA4" w:rsidRPr="00827DA6" w:rsidRDefault="00C80EA4" w:rsidP="00C80EA4">
            <w:pPr>
              <w:pStyle w:val="CBDTableNormal"/>
            </w:pPr>
            <w:r>
              <w:t>Сценарий 1. Вариация по секторам</w:t>
            </w:r>
          </w:p>
        </w:tc>
        <w:tc>
          <w:tcPr>
            <w:tcW w:w="1275" w:type="dxa"/>
            <w:tcMar>
              <w:top w:w="60" w:type="dxa"/>
              <w:left w:w="100" w:type="dxa"/>
              <w:bottom w:w="60" w:type="dxa"/>
              <w:right w:w="100" w:type="dxa"/>
            </w:tcMar>
          </w:tcPr>
          <w:p w14:paraId="2FBA3A61" w14:textId="77777777" w:rsidR="00C80EA4" w:rsidRPr="00827DA6" w:rsidRDefault="00C80EA4" w:rsidP="00020F91">
            <w:pPr>
              <w:pStyle w:val="CBDTableNormal"/>
              <w:jc w:val="right"/>
            </w:pPr>
            <w:r>
              <w:t>1,16</w:t>
            </w:r>
          </w:p>
        </w:tc>
        <w:tc>
          <w:tcPr>
            <w:tcW w:w="1418" w:type="dxa"/>
            <w:tcMar>
              <w:top w:w="60" w:type="dxa"/>
              <w:left w:w="100" w:type="dxa"/>
              <w:bottom w:w="60" w:type="dxa"/>
              <w:right w:w="100" w:type="dxa"/>
            </w:tcMar>
          </w:tcPr>
          <w:p w14:paraId="165E6532" w14:textId="20F2C210" w:rsidR="00C80EA4" w:rsidRPr="00827DA6" w:rsidRDefault="00C80EA4" w:rsidP="00020F91">
            <w:pPr>
              <w:pStyle w:val="CBDTableNormal"/>
              <w:jc w:val="right"/>
            </w:pPr>
            <w:r>
              <w:t>0,81–1,53</w:t>
            </w:r>
          </w:p>
        </w:tc>
        <w:tc>
          <w:tcPr>
            <w:tcW w:w="1300" w:type="dxa"/>
            <w:tcMar>
              <w:top w:w="60" w:type="dxa"/>
              <w:left w:w="100" w:type="dxa"/>
              <w:bottom w:w="60" w:type="dxa"/>
              <w:right w:w="100" w:type="dxa"/>
            </w:tcMar>
          </w:tcPr>
          <w:p w14:paraId="3E5CED5B" w14:textId="1C0B941D" w:rsidR="00C80EA4" w:rsidRPr="00827DA6" w:rsidRDefault="00C80EA4" w:rsidP="00020F91">
            <w:pPr>
              <w:pStyle w:val="CBDTableNormal"/>
              <w:jc w:val="right"/>
            </w:pPr>
            <w:r>
              <w:t>31,9</w:t>
            </w:r>
          </w:p>
        </w:tc>
        <w:tc>
          <w:tcPr>
            <w:tcW w:w="1393" w:type="dxa"/>
            <w:tcMar>
              <w:top w:w="60" w:type="dxa"/>
              <w:left w:w="100" w:type="dxa"/>
              <w:bottom w:w="60" w:type="dxa"/>
              <w:right w:w="100" w:type="dxa"/>
            </w:tcMar>
          </w:tcPr>
          <w:p w14:paraId="0E0A8CC2" w14:textId="77777777" w:rsidR="00C80EA4" w:rsidRPr="00827DA6" w:rsidRDefault="00C80EA4" w:rsidP="00020F91">
            <w:pPr>
              <w:pStyle w:val="CBDTableNormal"/>
              <w:jc w:val="right"/>
            </w:pPr>
            <w:r>
              <w:t>5,5</w:t>
            </w:r>
          </w:p>
        </w:tc>
        <w:tc>
          <w:tcPr>
            <w:tcW w:w="1314" w:type="dxa"/>
            <w:tcMar>
              <w:top w:w="60" w:type="dxa"/>
              <w:left w:w="100" w:type="dxa"/>
              <w:bottom w:w="60" w:type="dxa"/>
              <w:right w:w="100" w:type="dxa"/>
            </w:tcMar>
          </w:tcPr>
          <w:p w14:paraId="45C6BA01" w14:textId="77777777" w:rsidR="00C80EA4" w:rsidRPr="00827DA6" w:rsidRDefault="00C80EA4" w:rsidP="00020F91">
            <w:pPr>
              <w:pStyle w:val="CBDTableNormal"/>
              <w:jc w:val="right"/>
            </w:pPr>
            <w:r>
              <w:t>10,2</w:t>
            </w:r>
          </w:p>
        </w:tc>
      </w:tr>
      <w:tr w:rsidR="00C80EA4" w:rsidRPr="00827DA6" w14:paraId="54984B17" w14:textId="77777777" w:rsidTr="00F95C40">
        <w:tc>
          <w:tcPr>
            <w:tcW w:w="2268" w:type="dxa"/>
            <w:tcMar>
              <w:top w:w="60" w:type="dxa"/>
              <w:left w:w="100" w:type="dxa"/>
              <w:bottom w:w="60" w:type="dxa"/>
              <w:right w:w="100" w:type="dxa"/>
            </w:tcMar>
          </w:tcPr>
          <w:p w14:paraId="23B1A05B" w14:textId="2B3DC47C" w:rsidR="00C80EA4" w:rsidRPr="00827DA6" w:rsidRDefault="00C80EA4" w:rsidP="00C80EA4">
            <w:pPr>
              <w:pStyle w:val="CBDTableNormal"/>
            </w:pPr>
            <w:r>
              <w:t>Сценарий 2. Вариация по секторам и компаниям</w:t>
            </w:r>
          </w:p>
        </w:tc>
        <w:tc>
          <w:tcPr>
            <w:tcW w:w="1275" w:type="dxa"/>
            <w:tcMar>
              <w:top w:w="60" w:type="dxa"/>
              <w:left w:w="100" w:type="dxa"/>
              <w:bottom w:w="60" w:type="dxa"/>
              <w:right w:w="100" w:type="dxa"/>
            </w:tcMar>
          </w:tcPr>
          <w:p w14:paraId="7061969A" w14:textId="77777777" w:rsidR="00C80EA4" w:rsidRPr="00827DA6" w:rsidRDefault="00C80EA4" w:rsidP="00020F91">
            <w:pPr>
              <w:pStyle w:val="CBDTableNormal"/>
              <w:jc w:val="right"/>
            </w:pPr>
            <w:r>
              <w:t>1,20</w:t>
            </w:r>
          </w:p>
        </w:tc>
        <w:tc>
          <w:tcPr>
            <w:tcW w:w="1418" w:type="dxa"/>
            <w:tcMar>
              <w:top w:w="60" w:type="dxa"/>
              <w:left w:w="100" w:type="dxa"/>
              <w:bottom w:w="60" w:type="dxa"/>
              <w:right w:w="100" w:type="dxa"/>
            </w:tcMar>
          </w:tcPr>
          <w:p w14:paraId="6ADB8016" w14:textId="033DEE23" w:rsidR="00C80EA4" w:rsidRPr="00827DA6" w:rsidRDefault="00C80EA4" w:rsidP="00020F91">
            <w:pPr>
              <w:pStyle w:val="CBDTableNormal"/>
              <w:jc w:val="right"/>
            </w:pPr>
            <w:r>
              <w:t>0,83-1,60</w:t>
            </w:r>
          </w:p>
        </w:tc>
        <w:tc>
          <w:tcPr>
            <w:tcW w:w="1300" w:type="dxa"/>
            <w:tcMar>
              <w:top w:w="60" w:type="dxa"/>
              <w:left w:w="100" w:type="dxa"/>
              <w:bottom w:w="60" w:type="dxa"/>
              <w:right w:w="100" w:type="dxa"/>
            </w:tcMar>
          </w:tcPr>
          <w:p w14:paraId="01CDCCCC" w14:textId="79E560C5" w:rsidR="00C80EA4" w:rsidRPr="00827DA6" w:rsidRDefault="00C80EA4" w:rsidP="00020F91">
            <w:pPr>
              <w:pStyle w:val="CBDTableNormal"/>
              <w:jc w:val="right"/>
            </w:pPr>
            <w:r>
              <w:t>33,0</w:t>
            </w:r>
          </w:p>
        </w:tc>
        <w:tc>
          <w:tcPr>
            <w:tcW w:w="1393" w:type="dxa"/>
            <w:tcMar>
              <w:top w:w="60" w:type="dxa"/>
              <w:left w:w="100" w:type="dxa"/>
              <w:bottom w:w="60" w:type="dxa"/>
              <w:right w:w="100" w:type="dxa"/>
            </w:tcMar>
          </w:tcPr>
          <w:p w14:paraId="4F366AE0" w14:textId="77777777" w:rsidR="00C80EA4" w:rsidRPr="00827DA6" w:rsidRDefault="00C80EA4" w:rsidP="00020F91">
            <w:pPr>
              <w:pStyle w:val="CBDTableNormal"/>
              <w:jc w:val="right"/>
            </w:pPr>
            <w:r>
              <w:t>5,7</w:t>
            </w:r>
          </w:p>
        </w:tc>
        <w:tc>
          <w:tcPr>
            <w:tcW w:w="1314" w:type="dxa"/>
            <w:tcMar>
              <w:top w:w="60" w:type="dxa"/>
              <w:left w:w="100" w:type="dxa"/>
              <w:bottom w:w="60" w:type="dxa"/>
              <w:right w:w="100" w:type="dxa"/>
            </w:tcMar>
          </w:tcPr>
          <w:p w14:paraId="75AEF921" w14:textId="77777777" w:rsidR="00C80EA4" w:rsidRPr="00827DA6" w:rsidRDefault="00C80EA4" w:rsidP="00020F91">
            <w:pPr>
              <w:pStyle w:val="CBDTableNormal"/>
              <w:jc w:val="right"/>
            </w:pPr>
            <w:r>
              <w:t>10,6</w:t>
            </w:r>
          </w:p>
        </w:tc>
      </w:tr>
      <w:tr w:rsidR="00C80EA4" w:rsidRPr="00827DA6" w14:paraId="5D142400" w14:textId="77777777" w:rsidTr="00F95C40">
        <w:tc>
          <w:tcPr>
            <w:tcW w:w="2268" w:type="dxa"/>
            <w:tcMar>
              <w:top w:w="60" w:type="dxa"/>
              <w:left w:w="100" w:type="dxa"/>
              <w:bottom w:w="60" w:type="dxa"/>
              <w:right w:w="100" w:type="dxa"/>
            </w:tcMar>
          </w:tcPr>
          <w:p w14:paraId="7185A4F8" w14:textId="3CAD8B0C" w:rsidR="00C80EA4" w:rsidRPr="00020F91" w:rsidRDefault="00C80EA4" w:rsidP="00C80EA4">
            <w:pPr>
              <w:pStyle w:val="CBDTableNormal"/>
            </w:pPr>
            <w:r>
              <w:t>Сценарий 3. Корректировка цифровой информации о последовательностях (</w:t>
            </w:r>
            <w:r w:rsidR="004C7950">
              <w:t>базовый</w:t>
            </w:r>
            <w:r>
              <w:t>)</w:t>
            </w:r>
          </w:p>
        </w:tc>
        <w:tc>
          <w:tcPr>
            <w:tcW w:w="1275" w:type="dxa"/>
            <w:tcMar>
              <w:top w:w="60" w:type="dxa"/>
              <w:left w:w="100" w:type="dxa"/>
              <w:bottom w:w="60" w:type="dxa"/>
              <w:right w:w="100" w:type="dxa"/>
            </w:tcMar>
          </w:tcPr>
          <w:p w14:paraId="2F16A259" w14:textId="77777777" w:rsidR="00C80EA4" w:rsidRPr="00020F91" w:rsidRDefault="00C80EA4" w:rsidP="00020F91">
            <w:pPr>
              <w:pStyle w:val="CBDTableNormal"/>
              <w:jc w:val="right"/>
            </w:pPr>
            <w:r>
              <w:t>0,93</w:t>
            </w:r>
          </w:p>
        </w:tc>
        <w:tc>
          <w:tcPr>
            <w:tcW w:w="1418" w:type="dxa"/>
            <w:tcMar>
              <w:top w:w="60" w:type="dxa"/>
              <w:left w:w="100" w:type="dxa"/>
              <w:bottom w:w="60" w:type="dxa"/>
              <w:right w:w="100" w:type="dxa"/>
            </w:tcMar>
          </w:tcPr>
          <w:p w14:paraId="125F0BAC" w14:textId="7533AC2C" w:rsidR="00C80EA4" w:rsidRPr="00020F91" w:rsidRDefault="00C80EA4" w:rsidP="00020F91">
            <w:pPr>
              <w:pStyle w:val="CBDTableNormal"/>
              <w:jc w:val="right"/>
            </w:pPr>
            <w:r>
              <w:t>0,59–1,30</w:t>
            </w:r>
          </w:p>
        </w:tc>
        <w:tc>
          <w:tcPr>
            <w:tcW w:w="1300" w:type="dxa"/>
            <w:tcMar>
              <w:top w:w="60" w:type="dxa"/>
              <w:left w:w="100" w:type="dxa"/>
              <w:bottom w:w="60" w:type="dxa"/>
              <w:right w:w="100" w:type="dxa"/>
            </w:tcMar>
          </w:tcPr>
          <w:p w14:paraId="634F8911" w14:textId="5A6100DB" w:rsidR="00C80EA4" w:rsidRPr="00020F91" w:rsidRDefault="00C80EA4" w:rsidP="00020F91">
            <w:pPr>
              <w:pStyle w:val="CBDTableNormal"/>
              <w:jc w:val="right"/>
            </w:pPr>
            <w:r>
              <w:t>25,5</w:t>
            </w:r>
          </w:p>
        </w:tc>
        <w:tc>
          <w:tcPr>
            <w:tcW w:w="1393" w:type="dxa"/>
            <w:tcMar>
              <w:top w:w="60" w:type="dxa"/>
              <w:left w:w="100" w:type="dxa"/>
              <w:bottom w:w="60" w:type="dxa"/>
              <w:right w:w="100" w:type="dxa"/>
            </w:tcMar>
          </w:tcPr>
          <w:p w14:paraId="7D4A4B3B" w14:textId="77777777" w:rsidR="00C80EA4" w:rsidRPr="00020F91" w:rsidRDefault="00C80EA4" w:rsidP="00020F91">
            <w:pPr>
              <w:pStyle w:val="CBDTableNormal"/>
              <w:jc w:val="right"/>
            </w:pPr>
            <w:r>
              <w:t>4,4</w:t>
            </w:r>
          </w:p>
        </w:tc>
        <w:tc>
          <w:tcPr>
            <w:tcW w:w="1314" w:type="dxa"/>
            <w:tcMar>
              <w:top w:w="60" w:type="dxa"/>
              <w:left w:w="100" w:type="dxa"/>
              <w:bottom w:w="60" w:type="dxa"/>
              <w:right w:w="100" w:type="dxa"/>
            </w:tcMar>
          </w:tcPr>
          <w:p w14:paraId="26351284" w14:textId="77777777" w:rsidR="00C80EA4" w:rsidRPr="00020F91" w:rsidRDefault="00C80EA4" w:rsidP="00020F91">
            <w:pPr>
              <w:pStyle w:val="CBDTableNormal"/>
              <w:jc w:val="right"/>
            </w:pPr>
            <w:r>
              <w:t>8,2</w:t>
            </w:r>
          </w:p>
        </w:tc>
      </w:tr>
      <w:tr w:rsidR="00C80EA4" w:rsidRPr="00827DA6" w14:paraId="2042E9CD" w14:textId="77777777" w:rsidTr="00F95C40">
        <w:tc>
          <w:tcPr>
            <w:tcW w:w="2268" w:type="dxa"/>
            <w:tcMar>
              <w:top w:w="60" w:type="dxa"/>
              <w:left w:w="100" w:type="dxa"/>
              <w:bottom w:w="60" w:type="dxa"/>
              <w:right w:w="100" w:type="dxa"/>
            </w:tcMar>
          </w:tcPr>
          <w:p w14:paraId="68B5E9DE" w14:textId="2F98BE07" w:rsidR="00C80EA4" w:rsidRPr="00827DA6" w:rsidRDefault="00C80EA4" w:rsidP="00C80EA4">
            <w:pPr>
              <w:pStyle w:val="CBDTableNormal"/>
            </w:pPr>
            <w:r>
              <w:t>Сценарий 4. Постепенное внедрение</w:t>
            </w:r>
            <w:r>
              <w:rPr>
                <w:vertAlign w:val="superscript"/>
              </w:rPr>
              <w:t>c</w:t>
            </w:r>
          </w:p>
        </w:tc>
        <w:tc>
          <w:tcPr>
            <w:tcW w:w="1275" w:type="dxa"/>
            <w:tcMar>
              <w:top w:w="60" w:type="dxa"/>
              <w:left w:w="100" w:type="dxa"/>
              <w:bottom w:w="60" w:type="dxa"/>
              <w:right w:w="100" w:type="dxa"/>
            </w:tcMar>
          </w:tcPr>
          <w:p w14:paraId="25D9C9A2" w14:textId="566AA88D" w:rsidR="00C80EA4" w:rsidRPr="00E90B20" w:rsidRDefault="008F2478" w:rsidP="00020F91">
            <w:pPr>
              <w:pStyle w:val="CBDTableNormal"/>
              <w:jc w:val="right"/>
            </w:pPr>
            <w:r>
              <w:t>н.п.</w:t>
            </w:r>
          </w:p>
        </w:tc>
        <w:tc>
          <w:tcPr>
            <w:tcW w:w="1418" w:type="dxa"/>
            <w:tcMar>
              <w:top w:w="60" w:type="dxa"/>
              <w:left w:w="100" w:type="dxa"/>
              <w:bottom w:w="60" w:type="dxa"/>
              <w:right w:w="100" w:type="dxa"/>
            </w:tcMar>
          </w:tcPr>
          <w:p w14:paraId="2F19197B" w14:textId="54D0FEA4" w:rsidR="00C80EA4" w:rsidRPr="00E90B20" w:rsidRDefault="008F2478" w:rsidP="00020F91">
            <w:pPr>
              <w:pStyle w:val="CBDTableNormal"/>
              <w:jc w:val="right"/>
            </w:pPr>
            <w:r>
              <w:t>н.п.</w:t>
            </w:r>
          </w:p>
        </w:tc>
        <w:tc>
          <w:tcPr>
            <w:tcW w:w="1300" w:type="dxa"/>
            <w:tcMar>
              <w:top w:w="60" w:type="dxa"/>
              <w:left w:w="100" w:type="dxa"/>
              <w:bottom w:w="60" w:type="dxa"/>
              <w:right w:w="100" w:type="dxa"/>
            </w:tcMar>
          </w:tcPr>
          <w:p w14:paraId="70F33E0D" w14:textId="70C5B61D" w:rsidR="00C80EA4" w:rsidRPr="00E90B20" w:rsidRDefault="008F2478" w:rsidP="00020F91">
            <w:pPr>
              <w:pStyle w:val="CBDTableNormal"/>
              <w:jc w:val="right"/>
            </w:pPr>
            <w:r>
              <w:t>н.п.</w:t>
            </w:r>
          </w:p>
        </w:tc>
        <w:tc>
          <w:tcPr>
            <w:tcW w:w="1393" w:type="dxa"/>
            <w:tcMar>
              <w:top w:w="60" w:type="dxa"/>
              <w:left w:w="100" w:type="dxa"/>
              <w:bottom w:w="60" w:type="dxa"/>
              <w:right w:w="100" w:type="dxa"/>
            </w:tcMar>
          </w:tcPr>
          <w:p w14:paraId="3EA065AB" w14:textId="77777777" w:rsidR="00C80EA4" w:rsidRPr="00E90B20" w:rsidRDefault="00C80EA4" w:rsidP="00020F91">
            <w:pPr>
              <w:pStyle w:val="CBDTableNormal"/>
              <w:jc w:val="right"/>
            </w:pPr>
            <w:r>
              <w:t>1,3</w:t>
            </w:r>
          </w:p>
        </w:tc>
        <w:tc>
          <w:tcPr>
            <w:tcW w:w="1314" w:type="dxa"/>
            <w:tcMar>
              <w:top w:w="60" w:type="dxa"/>
              <w:left w:w="100" w:type="dxa"/>
              <w:bottom w:w="60" w:type="dxa"/>
              <w:right w:w="100" w:type="dxa"/>
            </w:tcMar>
          </w:tcPr>
          <w:p w14:paraId="2A692F28" w14:textId="77777777" w:rsidR="00C80EA4" w:rsidRPr="00827DA6" w:rsidRDefault="00C80EA4" w:rsidP="00020F91">
            <w:pPr>
              <w:pStyle w:val="CBDTableNormal"/>
              <w:jc w:val="right"/>
            </w:pPr>
            <w:r>
              <w:t>4,3</w:t>
            </w:r>
          </w:p>
        </w:tc>
      </w:tr>
    </w:tbl>
    <w:p w14:paraId="38C7F204" w14:textId="667429A3" w:rsidR="00C216DE" w:rsidRDefault="00CD3975" w:rsidP="00A73E9E">
      <w:pPr>
        <w:pStyle w:val="CBDFooter"/>
        <w:ind w:left="567"/>
      </w:pPr>
      <w:r>
        <w:lastRenderedPageBreak/>
        <w:tab/>
        <w:t>Источник: «От глобальных обязательств в области биоразнообразия к действиям на местах:</w:t>
      </w:r>
      <w:r>
        <w:rPr>
          <w:i/>
          <w:iCs/>
        </w:rPr>
        <w:t xml:space="preserve"> </w:t>
      </w:r>
      <w:r>
        <w:t>потенциал поступлени</w:t>
      </w:r>
      <w:r w:rsidR="004C7950">
        <w:t>я дохода</w:t>
      </w:r>
      <w:r>
        <w:t xml:space="preserve"> и динамика ассигнования средств Калийского фонда», </w:t>
      </w:r>
      <w:r w:rsidR="004C7950">
        <w:t xml:space="preserve">Агата Маковска-Керран, </w:t>
      </w:r>
      <w:r>
        <w:t>рабочий документ № 450 (Грантхемский научно-исследовательский институт по изменению климата и окружающей среде при Лондонской школе экономики и политических наук, июнь 2026 г.).</w:t>
      </w:r>
    </w:p>
    <w:p w14:paraId="79DB5288" w14:textId="2B691AA2" w:rsidR="00B40D16" w:rsidRPr="00020F91" w:rsidRDefault="00B40D16" w:rsidP="00A73E9E">
      <w:pPr>
        <w:pStyle w:val="CBDFooter"/>
        <w:ind w:left="567"/>
      </w:pPr>
      <w:r>
        <w:rPr>
          <w:i/>
          <w:iCs/>
        </w:rPr>
        <w:tab/>
        <w:t>Сокращение</w:t>
      </w:r>
      <w:r>
        <w:t xml:space="preserve">: н.п.– не применимо. </w:t>
      </w:r>
    </w:p>
    <w:p w14:paraId="283263B9" w14:textId="7A0BFBCD" w:rsidR="00711920" w:rsidRDefault="00711920">
      <w:pPr>
        <w:pStyle w:val="CBDFooter"/>
        <w:ind w:left="567"/>
      </w:pPr>
      <w:r>
        <w:rPr>
          <w:vertAlign w:val="superscript"/>
        </w:rPr>
        <w:tab/>
        <w:t>a</w:t>
      </w:r>
      <w:r>
        <w:t xml:space="preserve"> миллиардов долларов США. </w:t>
      </w:r>
    </w:p>
    <w:p w14:paraId="2FABC7A8" w14:textId="5A275BCE" w:rsidR="00C216DE" w:rsidRDefault="00C216DE">
      <w:pPr>
        <w:pStyle w:val="CBDFooter"/>
        <w:ind w:left="567"/>
      </w:pPr>
      <w:r>
        <w:tab/>
      </w:r>
      <w:r>
        <w:rPr>
          <w:vertAlign w:val="superscript"/>
        </w:rPr>
        <w:t>b</w:t>
      </w:r>
      <w:r>
        <w:t xml:space="preserve"> Чистый приведенный доход при ставке дисконтирования 3 %.</w:t>
      </w:r>
    </w:p>
    <w:p w14:paraId="3956765C" w14:textId="32F9D2FE" w:rsidR="00C216DE" w:rsidRDefault="00C216DE">
      <w:pPr>
        <w:pStyle w:val="CBDFooter"/>
        <w:ind w:left="567"/>
      </w:pPr>
      <w:r>
        <w:tab/>
      </w:r>
      <w:r>
        <w:rPr>
          <w:vertAlign w:val="superscript"/>
        </w:rPr>
        <w:t>c</w:t>
      </w:r>
      <w:r>
        <w:t xml:space="preserve"> В сценарии 4 применяется шкала участия, линейно возрастающая с 10 % от ставок сценария 3 в 2026 году до 100 % к 2035 году. </w:t>
      </w:r>
    </w:p>
    <w:p w14:paraId="6D687832" w14:textId="30CF0AE1" w:rsidR="00C80EA4" w:rsidRPr="00827DA6" w:rsidRDefault="00C80EA4" w:rsidP="001238B7">
      <w:pPr>
        <w:pStyle w:val="CBDNormalNumber"/>
        <w:numPr>
          <w:ilvl w:val="0"/>
          <w:numId w:val="15"/>
        </w:numPr>
      </w:pPr>
      <w:r>
        <w:t xml:space="preserve">Доходы, смоделированные в рамках сценариев, характеризуются высокой степенью концентрации. На долю фармацевтических компаний и компаний, предоставляющих услуги в сфере информации и искусственного интеллекта, в совокупности приходится примерно половина взносов при полном соблюдении требований, несмотря на то что они составляют лишь 40 % от числа правомочных компаний; при реалистичных допущениях об участии на долю одних только фармацевтических компаний приходится 49,6 % взносов, что обусловлено относительно высоким уровнем участия, высокой интенсивностью использования цифровой информации о последовательностях в отношении генетических ресурсов и стабильной базой доходов плательщиков, в то время как доля компаний, предоставляющих услуги в сфере информации и искусственного интеллекта, снижается до 11,1 %.  На уровне компаний на долю 10 крупнейших плательщиков приходится от 8,6 до 12,2 % от общего объема взносов, в зависимости от сценария участия. В географическом разрезе на 10 крупнейших юрисдикций-плательщиков приходится, по оценкам, 74 % доходов по центральному сценарию, причем на долю одного только Китая приходится 26,6 %; эти цифры отражают юрисдикцию регистрации компаний и следует рассматривать их как ориентировочные. Такая концентрация отражает текущие тенденции в использовании цифровой информации о последовательностях в отношении генетических ресурсов в семи секторах, перечисленных в добавлении I приложения к решению </w:t>
      </w:r>
      <w:hyperlink r:id="rId35" w:history="1">
        <w:r>
          <w:rPr>
            <w:rStyle w:val="Hyperlink"/>
          </w:rPr>
          <w:t>16/2</w:t>
        </w:r>
      </w:hyperlink>
      <w:r>
        <w:t>, в промышленной деятельности в различных юрисдикциях, а также в допущениях и данных, лежащих в основе настоящего анализа; она не является заранее определенной или постоянной характеристикой механизма. По мере расширения использования цифровой информации о последовательностях в отношении генетических ресурсов в таких развивающихся областях, как искусственный интеллект и синтетическая биология, а также по мере развития национальных мер по осуществлению и участия в соответствии с решениями, принятыми Конференцией Сторон на ее 17-м совещании, секторальный и юрисдикционный состав взносов в Калийский фонд может со временем измениться.</w:t>
      </w:r>
    </w:p>
    <w:p w14:paraId="5BD80595" w14:textId="4DCAC3FE" w:rsidR="00C80EA4" w:rsidRPr="00827DA6" w:rsidRDefault="00C80EA4" w:rsidP="001238B7">
      <w:pPr>
        <w:pStyle w:val="CBDNormalNumber"/>
        <w:numPr>
          <w:ilvl w:val="0"/>
          <w:numId w:val="15"/>
        </w:numPr>
      </w:pPr>
      <w:r>
        <w:t xml:space="preserve">Тестирование чувствительности пороговых значений показывает, что доходы гораздо в меньшей степени зависят от калибровки критериев соответствия требованиям, чем от уровня участия: удвоение всех трех пороговых значений исключило бы 43,5 % </w:t>
      </w:r>
      <w:r w:rsidR="008E66E4">
        <w:t xml:space="preserve">правомочных </w:t>
      </w:r>
      <w:r>
        <w:t xml:space="preserve">предприятий, но сократило бы взносы лишь на 7,4 %, в то время как их сокращение вдвое увеличило бы число правомочных предприятий (за счет добавления 14 317 таких предприятий), но повысило бы взносы лишь на 5,5 %, что отражает </w:t>
      </w:r>
      <w:bookmarkStart w:id="13" w:name="_Hlk240370955"/>
      <w:r>
        <w:t>высокую концентрацию взносов среди крупнейших предприятий независимо от того, на каком уровне установлено пороговое значение</w:t>
      </w:r>
      <w:bookmarkEnd w:id="13"/>
      <w:r>
        <w:t>. Правило «по крайней мере два» в отношении взносов в Калийский фонд, позволяющее компаниям платить взносы исходя из той базы, которая ниже, защищает плательщиков от волатильности: замена этого правила либо на сбор с чистого дохода, либо на сбор с чистой прибыли примерно удвоила бы доходы при полном соблюдении требований. Сроки участия усугубляют эти эффекты: совокупный чистый приведенный доход до 2035 года колеблется от 4,3 млрд долл. США при быстром охвате до 150 млн долл. США при траектории охвата, соответствующей траектории первого десятилетия Международного договора о генетических ресурсах растений для производства продовольствия и ведения сельского хозяйства, при одинаковом теоретическом верхнем пределе.</w:t>
      </w:r>
    </w:p>
    <w:p w14:paraId="095B02DE" w14:textId="2A597E66" w:rsidR="00C80EA4" w:rsidRPr="00827DA6" w:rsidRDefault="00C80EA4" w:rsidP="001238B7">
      <w:pPr>
        <w:pStyle w:val="CBDNormalNumber"/>
        <w:numPr>
          <w:ilvl w:val="0"/>
          <w:numId w:val="15"/>
        </w:numPr>
      </w:pPr>
      <w:r>
        <w:lastRenderedPageBreak/>
        <w:t xml:space="preserve">Из этих результатов вытекает пять выводов, представленных в качестве последствий структурных решений, стоящих перед Конференцией Сторон, а не в качестве рекомендаций: </w:t>
      </w:r>
    </w:p>
    <w:p w14:paraId="0389BB0B" w14:textId="2E31B43C" w:rsidR="00C80EA4" w:rsidRPr="00827DA6" w:rsidRDefault="005D77E2" w:rsidP="00020F91">
      <w:pPr>
        <w:pStyle w:val="CBDNormalNumber"/>
        <w:numPr>
          <w:ilvl w:val="1"/>
          <w:numId w:val="14"/>
        </w:numPr>
      </w:pPr>
      <w:r>
        <w:t xml:space="preserve">установлено, что определяющим фактором, ограничивающим поступления, является уровень участия, а не ставка; </w:t>
      </w:r>
    </w:p>
    <w:p w14:paraId="55D957E8" w14:textId="6944875D" w:rsidR="00C80EA4" w:rsidRPr="0037546E" w:rsidRDefault="001D3C34" w:rsidP="00020F91">
      <w:pPr>
        <w:pStyle w:val="CBDNormalNumber"/>
        <w:numPr>
          <w:ilvl w:val="1"/>
          <w:numId w:val="14"/>
        </w:numPr>
      </w:pPr>
      <w:r>
        <w:t>установление пороговых значений в первую очередь является вопросом управления и обеспечения инклюзивности, а не финансовым решением, поскольку ни снижение, ни повышение пороговых значений пропорционально не приводит к увеличению или сокращению доходов соответственно, учитывая высокую концентрацию взносов среди крупнейших компаний независимо от того, на каком уровне установлено пороговое значение;</w:t>
      </w:r>
    </w:p>
    <w:p w14:paraId="0E0E40FE" w14:textId="5A1433B5" w:rsidR="00C80EA4" w:rsidRPr="00827DA6" w:rsidRDefault="00C76711" w:rsidP="00020F91">
      <w:pPr>
        <w:pStyle w:val="CBDNormalNumber"/>
        <w:numPr>
          <w:ilvl w:val="1"/>
          <w:numId w:val="14"/>
        </w:numPr>
      </w:pPr>
      <w:r>
        <w:t>выбор структуры ставок и базы взносов определяет, кто платит и насколько стабильны взносы</w:t>
      </w:r>
      <w:r w:rsidR="00C80EA4" w:rsidRPr="00827DA6">
        <w:rPr>
          <w:vertAlign w:val="superscript"/>
        </w:rPr>
        <w:footnoteReference w:id="19"/>
      </w:r>
      <w:r>
        <w:t xml:space="preserve">, а не только то, какая сумма собирается; правило «по крайней мере два» защищает компании от той базы, которая в противном случае была бы для них более затратной, но со значительными потерями в доходах; </w:t>
      </w:r>
    </w:p>
    <w:p w14:paraId="53DFFE5A" w14:textId="08321EA4" w:rsidR="00C80EA4" w:rsidRPr="00827DA6" w:rsidRDefault="00B4432E" w:rsidP="00020F91">
      <w:pPr>
        <w:pStyle w:val="CBDNormalNumber"/>
        <w:numPr>
          <w:ilvl w:val="1"/>
          <w:numId w:val="14"/>
        </w:numPr>
      </w:pPr>
      <w:r>
        <w:t xml:space="preserve">участие сектора </w:t>
      </w:r>
      <w:r w:rsidR="009264C4">
        <w:t xml:space="preserve">фармацевтической промышленности </w:t>
      </w:r>
      <w:r>
        <w:t xml:space="preserve">признано наиболее значимым фактором, определяющим как уровень, так и предсказуемость доходов Калийского фонда в рамках смоделированных сценариев; </w:t>
      </w:r>
    </w:p>
    <w:p w14:paraId="532DB7BC" w14:textId="543B2C6C" w:rsidR="00C80EA4" w:rsidRPr="00827DA6" w:rsidRDefault="002D563E" w:rsidP="00020F91">
      <w:pPr>
        <w:pStyle w:val="CBDNormalNumber"/>
        <w:numPr>
          <w:ilvl w:val="1"/>
          <w:numId w:val="14"/>
        </w:numPr>
      </w:pPr>
      <w:r>
        <w:t>географическая концентрация в оценках на страновом уровне, которые свидетельствуют об ограничениях данных и зависят от них, как обсуждалось в основном докладе, указывает на то, что результаты деятельности Калийского фонда на раннем этапе могут в непропорционально большой степени зависеть от участия небольшого числа юрисдикций; это делает мероприятия, направленные на поддержку участия в этих юрисдикциях, включая устранение выявленных факторов неопределенности, особенно важными с точки зрения того, сможет ли механизм обеспечить значимые поступления в первые годы своего функционирования.</w:t>
      </w:r>
    </w:p>
    <w:p w14:paraId="1BEE7680" w14:textId="2605D4B3" w:rsidR="00C80EA4" w:rsidRPr="00827DA6" w:rsidRDefault="00340594" w:rsidP="00020F91">
      <w:pPr>
        <w:pStyle w:val="CBDH2"/>
      </w:pPr>
      <w:r>
        <w:t>C.</w:t>
      </w:r>
      <w:r>
        <w:tab/>
        <w:t>Последствия для конкурентоспособности</w:t>
      </w:r>
    </w:p>
    <w:p w14:paraId="2644BFC1" w14:textId="4ABD1728" w:rsidR="00C80EA4" w:rsidRPr="00827DA6" w:rsidRDefault="00C80EA4" w:rsidP="001238B7">
      <w:pPr>
        <w:pStyle w:val="CBDNormalNumber"/>
        <w:numPr>
          <w:ilvl w:val="0"/>
          <w:numId w:val="15"/>
        </w:numPr>
      </w:pPr>
      <w:bookmarkStart w:id="14" w:name="_Ref234849955"/>
      <w:r>
        <w:t xml:space="preserve">При ориентировочных ставках, установленных в решении </w:t>
      </w:r>
      <w:hyperlink r:id="rId36" w:history="1">
        <w:r>
          <w:rPr>
            <w:rStyle w:val="Hyperlink"/>
          </w:rPr>
          <w:t>16/2</w:t>
        </w:r>
      </w:hyperlink>
      <w:r>
        <w:t>, бремя прямых затрат для правомочных предприятий является умеренным по сравнению с рентабельностью во всех семи секторах, перечисленных в добавлении I приложения к решению, и вряд ли повлечет за собой существенные последствия для конкурентоспособности по затратам и ценам для большинства типов предприятий. Основной вывод в отношении конкурентоспособности носит скорее структурный, чем связанный с затратами характер: асимметрия между компаниями, головные офисы которых находятся в юрисдикциях Сторон, и их конкурентами, головные офисы которых расположены в Соединенных Штатах и которые, возможно, не будут нести аналогичных обязательств, представляет собой риск высокой степени значимости для наиболее активно действующих на глобальном рынке типов компаний в пяти из семи секторов и не может быть устранена лишь путем корректировки ставок, поскольку зависит от сферы применения, а не от уровня ставок.</w:t>
      </w:r>
      <w:bookmarkEnd w:id="14"/>
    </w:p>
    <w:p w14:paraId="367D0BE2" w14:textId="05965F12" w:rsidR="00C80EA4" w:rsidRPr="00827DA6" w:rsidRDefault="000E3538" w:rsidP="001238B7">
      <w:pPr>
        <w:pStyle w:val="CBDNormalNumber"/>
        <w:numPr>
          <w:ilvl w:val="0"/>
          <w:numId w:val="15"/>
        </w:numPr>
      </w:pPr>
      <w:r>
        <w:t xml:space="preserve">Сектор фармацевтической промышленности (3 401 правомочная компания; 49,6 % взносов по базовому сценарию) в рамках модельных сценариев превосходит все другие секторы по </w:t>
      </w:r>
      <w:r w:rsidR="004126F6">
        <w:t>доходам</w:t>
      </w:r>
      <w:r>
        <w:t xml:space="preserve">, активам и марже прибыли, при этом медианная маржа составляет 10,2 %, и чуть более половины правомочных компаний, вероятно, будут вносить взносы на основе более стабильной доходной базы. Компании-разработчики инновационных препаратов и производители вакцин сохраняют определенную ценовую власть, в частности в США, хотя </w:t>
      </w:r>
      <w:r>
        <w:lastRenderedPageBreak/>
        <w:t>данные о том, в какой степени взнос, основанный на доходах, повлияет на расходы на исследования и разработки, являются недостаточными. Основным дополнительным фактором, угрожающим конкурентоспособности сектора, помимо асимметрии в отношении стран, не являющихся Сторонами, описанной в пункте 31 выше, является потенциальное дублирование с Системой ВОЗ по обеспечению доступа к патогенным микроорганизмам и совместному использованию выгод для производителей вакцин и биофармацевтических препаратов.</w:t>
      </w:r>
    </w:p>
    <w:p w14:paraId="763D9C7D" w14:textId="32AFF6DC" w:rsidR="00C80EA4" w:rsidRPr="00827DA6" w:rsidRDefault="00C80EA4" w:rsidP="001238B7">
      <w:pPr>
        <w:pStyle w:val="CBDNormalNumber"/>
        <w:numPr>
          <w:ilvl w:val="0"/>
          <w:numId w:val="15"/>
        </w:numPr>
      </w:pPr>
      <w:r>
        <w:t>Сектор биотехнологии (3 709 компаний, 19,2 %) демонстрирует значительно большую внутреннюю вариативность, чем фармацевтическая промышленность: медианная маржа составляет 7 %, при этом значительную долю составляют убыточные компании или компании с рентабельностью, близкой к нулю, финансовый профиль которых соответствует предприятиям на ранней стадии развития, финансируемым за счет собственного капитала. Инновационные компании в области биофармацевтики сталкиваются с затратами на разработку и риском неудачи, сопоставимыми с рисками фармацевтических инновационных компаний, что делает неопределенность в области регулирования и динамики ставок существенной проблемой именно для этой подгруппы.</w:t>
      </w:r>
    </w:p>
    <w:p w14:paraId="34A95AE0" w14:textId="623C4503" w:rsidR="00C80EA4" w:rsidRPr="00827DA6" w:rsidRDefault="00C80EA4" w:rsidP="001238B7">
      <w:pPr>
        <w:pStyle w:val="CBDNormalNumber"/>
        <w:numPr>
          <w:ilvl w:val="0"/>
          <w:numId w:val="15"/>
        </w:numPr>
      </w:pPr>
      <w:r>
        <w:t xml:space="preserve">Информационные услуги, включая искусственный интеллект, (5 217 компаний — самая большая совокупность правомочных предприятий из всех секторов) обеспечивают лишь 11,1 % выручки по базовому сценарию, что ниже 25,2 % по сценарию полного соблюдения требований — это самое значительное снижение среди всех секторов, — и демонстрируют самую высокую долю предприятий с нулевым вкладом. В верхнем сегменте этого сектора — облачной и информационно-инфраструктурной сфере, обеспечивающей рабочие процессы в области геномики, — доминируют три поставщика со штаб-квартирами в </w:t>
      </w:r>
      <w:r w:rsidR="008D1915">
        <w:t>США</w:t>
      </w:r>
      <w:r>
        <w:t xml:space="preserve">, контролирующие, по оценкам, 63 % мирового рынка, что придает этому сектору наибольшую конкурентную асимметрию для стран, не являющихся Сторонами, среди всех секторов, перечисленных в добавлении I приложения к решению </w:t>
      </w:r>
      <w:hyperlink r:id="rId37" w:history="1">
        <w:r>
          <w:rPr>
            <w:rStyle w:val="Hyperlink"/>
          </w:rPr>
          <w:t>16/2</w:t>
        </w:r>
      </w:hyperlink>
      <w:r>
        <w:t>. Имеющиеся данные по этому сектору также вызывают значительную неопределенность в отношении того, что именно считается деятельностью, основанной на применении цифровой информации о последовательностях в отношении генетических ресурсов, для целей определения правомочности.</w:t>
      </w:r>
    </w:p>
    <w:p w14:paraId="601019C4" w14:textId="1EBE3E03" w:rsidR="00C80EA4" w:rsidRPr="00827DA6" w:rsidRDefault="00C80EA4" w:rsidP="001238B7">
      <w:pPr>
        <w:pStyle w:val="CBDNormalNumber"/>
        <w:numPr>
          <w:ilvl w:val="0"/>
          <w:numId w:val="15"/>
        </w:numPr>
      </w:pPr>
      <w:r>
        <w:t>Сектор селекции животных и растений (4 256 компаний, 6,8 %) демонстрирует самый широкий межквартильный размах показателей рентабельности среди всех секторов — от 0,5 до 17,8 %, что означает, что совокупные показатели в данном секторе менее точно отражают ситуацию отдельных компаний, чем в других секторах. Сектор селекции основных полевых культур характеризуется высокой степенью концентрации: на долю пяти крупнейших мировых компаний приходится, по оценкам, 42,5 % рынка, и в будущем этот сектор может столкнуться с дублированием обязательств с Международным договором о генетических ресурсах растений для производства продовольствия и ведения сельского хозяйства, который регулирует многие из тех же видов сельскохозяйственных культур.</w:t>
      </w:r>
    </w:p>
    <w:p w14:paraId="64B95E99" w14:textId="035DC43F" w:rsidR="00C80EA4" w:rsidRPr="00827DA6" w:rsidRDefault="00C80EA4" w:rsidP="001238B7">
      <w:pPr>
        <w:pStyle w:val="CBDNormalNumber"/>
        <w:numPr>
          <w:ilvl w:val="0"/>
          <w:numId w:val="15"/>
        </w:numPr>
      </w:pPr>
      <w:r>
        <w:t>Сектор лабораторного оборудования (2 846 компаний, 5,0 %) конкурирует за счет интегрированных платформ, сочетающих аппаратное обеспечение, расходные материалы и сервисные контракты, а не за счет разовых продаж оборудования, и находится ближе к 10-процентному порогу индифферентности дохода и прибыли, чем любой другой сектор, рассчитывающий прибыль на этой основе, что означает, что значительная доля компаний может платить по любой из этих баз. Компании, занимающиеся секвенированием и молекулярными платформами в рамках данного сектора, являются наиболее очевидными прямыми пользователями цифровой информации о последовательностях в отношении генетических ресурсов и имеют наиболее явные основания для правомочности; сектор в целом характеризуется высокой степенью концентрации, что создает соответствующее давление на маржу оставшихся более мелких конкурентов.</w:t>
      </w:r>
    </w:p>
    <w:p w14:paraId="366F1116" w14:textId="56E1CD2C" w:rsidR="00C80EA4" w:rsidRPr="00827DA6" w:rsidRDefault="00C80EA4" w:rsidP="001238B7">
      <w:pPr>
        <w:pStyle w:val="CBDNormalNumber"/>
        <w:numPr>
          <w:ilvl w:val="0"/>
          <w:numId w:val="15"/>
        </w:numPr>
      </w:pPr>
      <w:r>
        <w:lastRenderedPageBreak/>
        <w:t>Сектор производства нутрицевтиков (1 513 компаний, 4,7 %) имеет самую низкую медианную маржу среди всех секторов — 4 %, поэтому практически все правомочные компании платят на основе прибыли, и проблема соразмерности — а именно то, что компании вносят взносы на основе совокупных финансовых показателей независимо от интенсивности применения цифровой информации о последовательностях в отношении генетических ресурсов — здесь стоит особенно остро. Зависимость от цифровой информации о последовательностях в отношении генетических ресурсов значительно варьируется внутри сектора; производители растительных и пробиотических или микробных пищевых добавок являются наиболее четко идентифицируемыми прямыми пользователями цифровой информации о последовательностях в отношении генетических ресурсов, тогда как более широкий сегмент функциональных продуктов питания слабее связан с использованием цифровой информации о последовательностях в отношении генетических ресурсов.</w:t>
      </w:r>
    </w:p>
    <w:p w14:paraId="5DEF5C58" w14:textId="793794B0" w:rsidR="00C80EA4" w:rsidRPr="00827DA6" w:rsidRDefault="00C80EA4" w:rsidP="001238B7">
      <w:pPr>
        <w:pStyle w:val="CBDNormalNumber"/>
        <w:numPr>
          <w:ilvl w:val="0"/>
          <w:numId w:val="15"/>
        </w:numPr>
      </w:pPr>
      <w:r>
        <w:t xml:space="preserve">Сектор косметики (748 компаний, самая небольшая из семи секторов) обеспечивает 3,7 % доходов по базовому сценарию и демонстрирует самую высокую эффективную ставку взносов по отношению к размеру сектора среди всех секторов, перечисленных </w:t>
      </w:r>
      <w:bookmarkStart w:id="15" w:name="_Hlk240374412"/>
      <w:r>
        <w:t xml:space="preserve">в добавлении I приложения к решению </w:t>
      </w:r>
      <w:hyperlink r:id="rId38" w:history="1">
        <w:r>
          <w:rPr>
            <w:rStyle w:val="Hyperlink"/>
          </w:rPr>
          <w:t>16/2</w:t>
        </w:r>
      </w:hyperlink>
      <w:bookmarkEnd w:id="15"/>
      <w:r>
        <w:t>. Сектор делится на брендовые компании в конце производственного цикла, которые конкурируют в области соблюдения нормативных требований и за счет бренда, а не за счет инноваций, основанных на последовательностях, и разработчиков активных ингредиентов в начале производственного цикла, использующих растительные, морские или микробиологические источники; проблема соразмерности здесь особенно остра, учитывая противоречивые мнения о том, насколько прямо применяется цифровая информация о последовательностях в отношении генетических ресурсов в этой цепочке создания стоимости.</w:t>
      </w:r>
    </w:p>
    <w:p w14:paraId="42B696A0" w14:textId="77777777" w:rsidR="00C80EA4" w:rsidRPr="00827DA6" w:rsidRDefault="00C80EA4" w:rsidP="001238B7">
      <w:pPr>
        <w:pStyle w:val="CBDNormalNumber"/>
        <w:numPr>
          <w:ilvl w:val="0"/>
          <w:numId w:val="15"/>
        </w:numPr>
      </w:pPr>
      <w:r>
        <w:t xml:space="preserve">Из оценки по отдельным секторам вытекают пять выводов: </w:t>
      </w:r>
    </w:p>
    <w:p w14:paraId="71BD5F39" w14:textId="35A34BBB" w:rsidR="00C80EA4" w:rsidRPr="00827DA6" w:rsidRDefault="00F062E1" w:rsidP="00020F91">
      <w:pPr>
        <w:pStyle w:val="CBDNormalNumber"/>
        <w:numPr>
          <w:ilvl w:val="1"/>
          <w:numId w:val="17"/>
        </w:numPr>
      </w:pPr>
      <w:r>
        <w:t xml:space="preserve">проблема соразмерности представляет собой наиболее существенный риск на уровне структурирования для типов компаний, косвенно или в ограниченной степени зависящих от цифровой информации о последовательностях в отношении генетических ресурсов; сужение определения косвенного использования или установление единой точки ответственности за вклад в цепочке создания стоимости позволило бы снизить риск того, что одно и то же использование цифровой информации о последовательностях в отношении генетических ресурсов будет учитываться на более чем одном этапе; </w:t>
      </w:r>
    </w:p>
    <w:p w14:paraId="08FB0B84" w14:textId="29569340" w:rsidR="00C80EA4" w:rsidRPr="00827DA6" w:rsidRDefault="004303A6" w:rsidP="00020F91">
      <w:pPr>
        <w:pStyle w:val="CBDNormalNumber"/>
        <w:numPr>
          <w:ilvl w:val="1"/>
          <w:numId w:val="17"/>
        </w:numPr>
      </w:pPr>
      <w:r>
        <w:t xml:space="preserve">нерешенные структурные параметры порождают регуляторную неопределенность, которая аналитически отличается от бремени прямых затрат и в ряде секторов имеет более серьезные последствия; </w:t>
      </w:r>
    </w:p>
    <w:p w14:paraId="21F57988" w14:textId="53699CEF" w:rsidR="00C80EA4" w:rsidRPr="00827DA6" w:rsidRDefault="00A10916" w:rsidP="00020F91">
      <w:pPr>
        <w:pStyle w:val="CBDNormalNumber"/>
        <w:numPr>
          <w:ilvl w:val="1"/>
          <w:numId w:val="17"/>
        </w:numPr>
      </w:pPr>
      <w:r>
        <w:t xml:space="preserve">необязательный характер структуры ограничивает наиболее серьезные последствия для предприятий, находящихся на грани финансовой несостоятельности, но создает асимметрию участия среди аналогичных предприятий, головные офисы которых расположены в юрисдикциях Сторон; </w:t>
      </w:r>
    </w:p>
    <w:p w14:paraId="6144212F" w14:textId="0DAC1A81" w:rsidR="00C80EA4" w:rsidRPr="00827DA6" w:rsidRDefault="00D23D0B" w:rsidP="00020F91">
      <w:pPr>
        <w:pStyle w:val="CBDNormalNumber"/>
        <w:numPr>
          <w:ilvl w:val="1"/>
          <w:numId w:val="17"/>
        </w:numPr>
      </w:pPr>
      <w:r>
        <w:t xml:space="preserve">конкурентные риски существенно различаются в зависимости от сектора; </w:t>
      </w:r>
    </w:p>
    <w:p w14:paraId="0DB9EC8E" w14:textId="1F9EAF87" w:rsidR="00C80EA4" w:rsidRPr="00827DA6" w:rsidRDefault="001817BA" w:rsidP="00020F91">
      <w:pPr>
        <w:pStyle w:val="CBDNormalNumber"/>
        <w:numPr>
          <w:ilvl w:val="1"/>
          <w:numId w:val="17"/>
        </w:numPr>
      </w:pPr>
      <w:r>
        <w:t>в</w:t>
      </w:r>
      <w:r w:rsidR="00D23D0B">
        <w:t xml:space="preserve"> связи с этим взаимодействие с частным сектором до 17-го совещания Конференции Сторон может принести положительный результат ввиду применения подхода, ориентированного на конкретные секторы.</w:t>
      </w:r>
    </w:p>
    <w:p w14:paraId="30B4CD51" w14:textId="653BD791" w:rsidR="00C80EA4" w:rsidRPr="00827DA6" w:rsidRDefault="00340594" w:rsidP="00020F91">
      <w:pPr>
        <w:pStyle w:val="CBDH1"/>
      </w:pPr>
      <w:r>
        <w:t>V.</w:t>
      </w:r>
      <w:r>
        <w:tab/>
        <w:t>Заключение</w:t>
      </w:r>
    </w:p>
    <w:p w14:paraId="23356C14" w14:textId="49DCAAF9" w:rsidR="00C80EA4" w:rsidRPr="00827DA6" w:rsidRDefault="00C80EA4" w:rsidP="001238B7">
      <w:pPr>
        <w:pStyle w:val="CBDNormalNumber"/>
        <w:numPr>
          <w:ilvl w:val="0"/>
          <w:numId w:val="15"/>
        </w:numPr>
      </w:pPr>
      <w:r>
        <w:t xml:space="preserve">В настоящем докладе проводится анализ Калийского фонда по трем направлениям: </w:t>
      </w:r>
      <w:r w:rsidR="00E45144">
        <w:t>правомочность</w:t>
      </w:r>
      <w:r>
        <w:t xml:space="preserve"> и структура пороговых значений, потенциал получения дохода при различных сценариях участия и структуры механизма, а также последствия для конкурентоспособности правомочных предприятий во всех семи ориентировочных секторах, перечисленных в добавлении I приложения </w:t>
      </w:r>
      <w:r w:rsidR="00A92057">
        <w:t xml:space="preserve">к </w:t>
      </w:r>
      <w:r>
        <w:t xml:space="preserve">решению </w:t>
      </w:r>
      <w:bookmarkStart w:id="16" w:name="_Hlk240376060"/>
      <w:r w:rsidR="00FD4B2F">
        <w:fldChar w:fldCharType="begin"/>
      </w:r>
      <w:r w:rsidR="00F95C40">
        <w:instrText>HYPERLINK "https://www.cbd.int/doc/decisions/cop-16/cop-16-dec-02-ru.pdf"</w:instrText>
      </w:r>
      <w:r w:rsidR="00FD4B2F">
        <w:fldChar w:fldCharType="separate"/>
      </w:r>
      <w:r>
        <w:rPr>
          <w:rStyle w:val="Hyperlink"/>
        </w:rPr>
        <w:t>16/2</w:t>
      </w:r>
      <w:r w:rsidR="00FD4B2F">
        <w:fldChar w:fldCharType="end"/>
      </w:r>
      <w:bookmarkEnd w:id="16"/>
      <w:r>
        <w:t xml:space="preserve">. Выводы, касающиеся ставок взносов и </w:t>
      </w:r>
      <w:r>
        <w:lastRenderedPageBreak/>
        <w:t>конкурентоспособности, следует рассматривать в более широком контексте, лежащем в основе данного механизма, который отражает достигнутый в ходе переговоров баланс между открытым доступом к цифровой информации о последовательностях в отношении генетических ресурсов и совместным использованием на справедливой и равной основе выгод от их применения.</w:t>
      </w:r>
    </w:p>
    <w:p w14:paraId="537FF1F6" w14:textId="647C38F8" w:rsidR="00C80EA4" w:rsidRPr="00827DA6" w:rsidRDefault="00C80EA4" w:rsidP="001238B7">
      <w:pPr>
        <w:pStyle w:val="CBDNormalNumber"/>
        <w:numPr>
          <w:ilvl w:val="0"/>
          <w:numId w:val="15"/>
        </w:numPr>
      </w:pPr>
      <w:r>
        <w:t xml:space="preserve">Что касается правомочности и структуры пороговых значений, то действующие пороговые значения, изложенные в пункте 3 приложения к решению </w:t>
      </w:r>
      <w:hyperlink r:id="rId39" w:history="1">
        <w:r w:rsidR="00A92057">
          <w:rPr>
            <w:rStyle w:val="Hyperlink"/>
          </w:rPr>
          <w:t>16/2</w:t>
        </w:r>
      </w:hyperlink>
      <w:r>
        <w:t xml:space="preserve">, в целом соответствуют критериям для крупных предприятий, принятым в большинстве ссылочных механизмов, хотя пороговое значение по активам ниже верхнего предела для средних предприятий, установленного в Европейском союзе, а отсутствие критерия по численности сотрудников и условий аффилированности расходится с практически всеми рассмотренными механизмами. Три вопроса, касающиеся структуры, могут представлять потенциальный интерес для Конференции Сторон: отсутствие явного исключения для малых и средних предприятий или уровня с сокращенной суммой взносов; отсутствие условий, касающихся аффилированности, что означает, что структура на уровне предприятия потенциально подвержена влиянию корпоративной реструктуризации; а также противоречие между единой структурой пороговых значений и значительными финансовыми различиями между секторами, перечисленными в добавлении I приложения к решению </w:t>
      </w:r>
      <w:hyperlink r:id="rId40" w:history="1">
        <w:r>
          <w:rPr>
            <w:rStyle w:val="Hyperlink"/>
          </w:rPr>
          <w:t>16/2</w:t>
        </w:r>
      </w:hyperlink>
      <w:r>
        <w:t>, которые наиболее выражены в секторе фармацевтической промышленности. Что касается дальнейшей работы, одним из возможных направлений является продолжение работы над этими вопросами структуры; в качестве альтернативы, а также с учетом того, что ссылочные механизмы отражают национальные или региональные условия, Конференция Сторон могла бы просто признать такие механизмы и постановить, что они должны служить ориентиром при принятии решения об участии в Калийском фонде.</w:t>
      </w:r>
    </w:p>
    <w:p w14:paraId="6E725B22" w14:textId="26EF49AC" w:rsidR="00C80EA4" w:rsidRPr="00827DA6" w:rsidRDefault="00C80EA4" w:rsidP="001238B7">
      <w:pPr>
        <w:pStyle w:val="CBDNormalNumber"/>
        <w:numPr>
          <w:ilvl w:val="0"/>
          <w:numId w:val="15"/>
        </w:numPr>
      </w:pPr>
      <w:r>
        <w:t xml:space="preserve">Что касается потенциала получения дохода, то было установлено, что в рамках смоделированных сценариев масштаб Калийского фонда в гораздо большей степени зависит от участия, чем от калибровки фактических ставок. Участие также является основным связывающим ограничением: практическая ценность сертификата о взносе, степень ясности в отношении объема взносов и то, как будет решен вопрос о дублировании обязательств, будут определять, сколько компаний вообще внесут взносы, в то время как ориентировочный уровень ставок будет определять лишь сумму, которую уплачивает каждая участвующая компания, а не само ее решение об участии. Структура порогового значения имеет важные последствия для управления доходами Фонда, одновременно влияя на уровень участия и административную эффективность. Участие сектора фармацевтической промышленности является наиболее значимым фактором, определяющим доходы Фонда, прогнозируемые в рамках реалистичных сценариев участия. Однако эти выводы остаются обусловленными допущениями, лежащими в основе анализа сценариев, в частности, предполагаемыми для конкретных секторов ставками участия, калибровкой интенсивности применения цифровой информации о последовательностях в отношении генетических ресурсов и поведением компаний в отношении взносов, которые варьируются по семи ориентировочным секторам, перечисленным в добавлении I приложения к решению </w:t>
      </w:r>
      <w:hyperlink r:id="rId41" w:history="1">
        <w:r>
          <w:rPr>
            <w:rStyle w:val="Hyperlink"/>
          </w:rPr>
          <w:t>16/2</w:t>
        </w:r>
      </w:hyperlink>
      <w:r>
        <w:t xml:space="preserve"> , а не предполагаются едиными.</w:t>
      </w:r>
    </w:p>
    <w:p w14:paraId="341F0F5A" w14:textId="7C3EC46B" w:rsidR="00C80EA4" w:rsidRPr="00827DA6" w:rsidRDefault="00C80EA4" w:rsidP="001238B7">
      <w:pPr>
        <w:pStyle w:val="CBDNormalNumber"/>
        <w:numPr>
          <w:ilvl w:val="0"/>
          <w:numId w:val="15"/>
        </w:numPr>
      </w:pPr>
      <w:r>
        <w:t xml:space="preserve">Что касается конкурентоспособности, то бремя прямых затрат для правомочных предприятий является умеренным по сравнению с отраслевыми маржами при ориентировочных ставках. Доминирующим риском снижения конкурентоспособности является потенциальная структурная асимметрия по отношению к конкурентам, не являющимся Сторонами, которая при нынешней структуре является постоянной и наиболее острой для работающих на мировом уровне типов компаний с большим объемом научно-исследовательских работ, на долю которых также приходится наибольшая часть доходов Калийского фонда. Проблема соразмерности, заключающаяся в том, что компании вносят взносы на одинаковой финансовой основе независимо от интенсивности применения цифровой информации о последовательностях в отношении генетических ресурсов, </w:t>
      </w:r>
      <w:r>
        <w:lastRenderedPageBreak/>
        <w:t>представляет собой наиболее острый риск для конкурентоспособности на уровне структуры для секторов, косвенно или в ограниченной степени зависящих от цифровой информации о последовательностях в отношении генетических ресурсов. Необязательный характер механизма является одновременно его важнейшей защитной особенностью и самым значительным ограничением: он смягчает тяжелые последствия для компаний, находящихся на грани финансовой несостоятельности, и в то же время создает динамику участия, от которой зависит, сможет ли Фонд достичь значимого масштаба.</w:t>
      </w:r>
    </w:p>
    <w:p w14:paraId="0FED5E12" w14:textId="380FA2A8" w:rsidR="00F81FD7" w:rsidRPr="00827DA6" w:rsidRDefault="00C80EA4" w:rsidP="001238B7">
      <w:pPr>
        <w:pStyle w:val="CBDNormalNumber"/>
        <w:numPr>
          <w:ilvl w:val="0"/>
          <w:numId w:val="15"/>
        </w:numPr>
      </w:pPr>
      <w:r>
        <w:t xml:space="preserve">Некоторые структурные параметры механизма еще предстоит доработать до 17-го совещания Конференции Сторон, и они существенно повлияют как на потенциал получения дохода, так и на последствия для конкуренции: возможный пересмотр ставки, нормативно-правовая ценность сертификата о взносе, решение вопроса о потенциальном дублировании обязательств с Системой ВОЗ по обеспечению доступа к патогенным микроорганизмам и совместному использованию выгод и Международным договором о генетических ресурсах растений для производства продовольствия и ведения сельского хозяйства, единица оценки на уровне предприятия, а также граница между прямым и косвенным использованием для секторов, правомочность которых зависит от косвенной выгоды от применения цифровой информации о последовательностях в отношении генетических ресурсов. Поскольку в рамках смоделированных сценариев участие признано определяющим фактором, сдерживающим поступления, то от того, как будут решены эти вопросы, может зависеть не только объем средств, привлекаемых Калийским фондом, но и то, будут ли стимулы для участия частных предприятий достаточно сильными, чтобы обеспечить привлечение средств таким образом, который будет восприниматься как справедливый и предсказуемый. </w:t>
      </w:r>
    </w:p>
    <w:p w14:paraId="6898D6AE" w14:textId="0A7D9C99" w:rsidR="00A111D1" w:rsidRPr="00A40E07" w:rsidRDefault="00A111D1" w:rsidP="00F81FD7">
      <w:pPr>
        <w:pStyle w:val="CBDNormalNumber"/>
        <w:ind w:left="567"/>
        <w:jc w:val="center"/>
        <w:rPr>
          <w:lang w:val="en-CA"/>
        </w:rPr>
      </w:pPr>
      <w:r>
        <w:t>__________</w:t>
      </w:r>
    </w:p>
    <w:sectPr w:rsidR="00A111D1" w:rsidRPr="00A40E07" w:rsidSect="008747FB">
      <w:headerReference w:type="even" r:id="rId42"/>
      <w:headerReference w:type="default" r:id="rId43"/>
      <w:footerReference w:type="even" r:id="rId44"/>
      <w:footerReference w:type="default" r:id="rId45"/>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B9BBF" w14:textId="77777777" w:rsidR="00204D7D" w:rsidRPr="00827DA6" w:rsidRDefault="00204D7D" w:rsidP="00CF1848">
      <w:r w:rsidRPr="00827DA6">
        <w:separator/>
      </w:r>
    </w:p>
  </w:endnote>
  <w:endnote w:type="continuationSeparator" w:id="0">
    <w:p w14:paraId="3CD85641" w14:textId="77777777" w:rsidR="00204D7D" w:rsidRPr="00827DA6" w:rsidRDefault="00204D7D" w:rsidP="00CF1848">
      <w:r w:rsidRPr="00827D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1607E218" w14:textId="77777777" w:rsidR="00D75CA6" w:rsidRPr="00827DA6" w:rsidRDefault="00D75CA6" w:rsidP="00D75CA6">
            <w:pPr>
              <w:pStyle w:val="Footer"/>
              <w:jc w:val="left"/>
            </w:pPr>
            <w:r w:rsidRPr="00020F91">
              <w:rPr>
                <w:szCs w:val="20"/>
              </w:rPr>
              <w:fldChar w:fldCharType="begin"/>
            </w:r>
            <w:r w:rsidRPr="00020F91">
              <w:rPr>
                <w:szCs w:val="20"/>
              </w:rPr>
              <w:instrText xml:space="preserve"> PAGE </w:instrText>
            </w:r>
            <w:r w:rsidRPr="00020F91">
              <w:rPr>
                <w:szCs w:val="20"/>
              </w:rPr>
              <w:fldChar w:fldCharType="separate"/>
            </w:r>
            <w:r w:rsidRPr="00020F91">
              <w:rPr>
                <w:szCs w:val="20"/>
              </w:rPr>
              <w:t>2</w:t>
            </w:r>
            <w:r w:rsidRPr="00020F91">
              <w:rPr>
                <w:szCs w:val="20"/>
              </w:rPr>
              <w:fldChar w:fldCharType="end"/>
            </w:r>
            <w:r>
              <w:t>/</w:t>
            </w:r>
            <w:r w:rsidRPr="00020F91">
              <w:rPr>
                <w:szCs w:val="20"/>
              </w:rPr>
              <w:fldChar w:fldCharType="begin"/>
            </w:r>
            <w:r w:rsidRPr="00020F91">
              <w:rPr>
                <w:szCs w:val="20"/>
              </w:rPr>
              <w:instrText xml:space="preserve"> NUMPAGES  </w:instrText>
            </w:r>
            <w:r w:rsidRPr="00020F91">
              <w:rPr>
                <w:szCs w:val="20"/>
              </w:rPr>
              <w:fldChar w:fldCharType="separate"/>
            </w:r>
            <w:r w:rsidRPr="00020F91">
              <w:rPr>
                <w:szCs w:val="20"/>
              </w:rPr>
              <w:t>2</w:t>
            </w:r>
            <w:r w:rsidRPr="00020F9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17975ABC" w14:textId="77777777" w:rsidR="00D75CA6" w:rsidRPr="00827DA6" w:rsidRDefault="00D75CA6" w:rsidP="00020F91">
        <w:pPr>
          <w:pStyle w:val="Footer"/>
          <w:jc w:val="right"/>
        </w:pPr>
        <w:r w:rsidRPr="00020F91">
          <w:rPr>
            <w:szCs w:val="20"/>
          </w:rPr>
          <w:fldChar w:fldCharType="begin"/>
        </w:r>
        <w:r w:rsidRPr="00020F91">
          <w:rPr>
            <w:szCs w:val="20"/>
          </w:rPr>
          <w:instrText xml:space="preserve"> PAGE </w:instrText>
        </w:r>
        <w:r w:rsidRPr="00020F91">
          <w:rPr>
            <w:szCs w:val="20"/>
          </w:rPr>
          <w:fldChar w:fldCharType="separate"/>
        </w:r>
        <w:r w:rsidRPr="00020F91">
          <w:rPr>
            <w:szCs w:val="20"/>
          </w:rPr>
          <w:t>2</w:t>
        </w:r>
        <w:r w:rsidRPr="00020F91">
          <w:rPr>
            <w:szCs w:val="20"/>
          </w:rPr>
          <w:fldChar w:fldCharType="end"/>
        </w:r>
        <w:r>
          <w:t>/</w:t>
        </w:r>
        <w:r w:rsidRPr="00020F91">
          <w:rPr>
            <w:szCs w:val="20"/>
          </w:rPr>
          <w:fldChar w:fldCharType="begin"/>
        </w:r>
        <w:r w:rsidRPr="00020F91">
          <w:rPr>
            <w:szCs w:val="20"/>
          </w:rPr>
          <w:instrText xml:space="preserve"> NUMPAGES  </w:instrText>
        </w:r>
        <w:r w:rsidRPr="00020F91">
          <w:rPr>
            <w:szCs w:val="20"/>
          </w:rPr>
          <w:fldChar w:fldCharType="separate"/>
        </w:r>
        <w:r w:rsidRPr="00020F91">
          <w:rPr>
            <w:szCs w:val="20"/>
          </w:rPr>
          <w:t>3</w:t>
        </w:r>
        <w:r w:rsidRPr="00020F9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13995" w14:textId="77777777" w:rsidR="00204D7D" w:rsidRPr="00C643F0" w:rsidRDefault="00204D7D" w:rsidP="00CF1848">
      <w:r w:rsidRPr="00C643F0">
        <w:separator/>
      </w:r>
    </w:p>
  </w:footnote>
  <w:footnote w:type="continuationSeparator" w:id="0">
    <w:p w14:paraId="613C13E2" w14:textId="77777777" w:rsidR="00204D7D" w:rsidRPr="00827DA6" w:rsidRDefault="00204D7D" w:rsidP="00CF1848">
      <w:r w:rsidRPr="00827DA6">
        <w:continuationSeparator/>
      </w:r>
    </w:p>
  </w:footnote>
  <w:footnote w:id="1">
    <w:p w14:paraId="00E30C61" w14:textId="7CD8B1A9" w:rsidR="008A1499" w:rsidRPr="00C643F0" w:rsidRDefault="008A1499">
      <w:pPr>
        <w:pStyle w:val="FootnoteText"/>
      </w:pPr>
      <w:r>
        <w:rPr>
          <w:rStyle w:val="FootnoteReference"/>
        </w:rPr>
        <w:t>*</w:t>
      </w:r>
      <w:r>
        <w:t xml:space="preserve"> </w:t>
      </w:r>
      <w:hyperlink r:id="rId1" w:history="1">
        <w:r>
          <w:rPr>
            <w:rStyle w:val="Hyperlink"/>
          </w:rPr>
          <w:t>CBD/COP/1</w:t>
        </w:r>
        <w:r>
          <w:rPr>
            <w:rStyle w:val="Hyperlink"/>
          </w:rPr>
          <w:t>7</w:t>
        </w:r>
        <w:r>
          <w:rPr>
            <w:rStyle w:val="Hyperlink"/>
          </w:rPr>
          <w:t>/1/Rev.1</w:t>
        </w:r>
      </w:hyperlink>
      <w:r>
        <w:t>.</w:t>
      </w:r>
    </w:p>
  </w:footnote>
  <w:footnote w:id="2">
    <w:p w14:paraId="4E87AE27" w14:textId="23919212" w:rsidR="00E26BF2" w:rsidRPr="00020F91" w:rsidRDefault="00E26BF2" w:rsidP="002B2318">
      <w:pPr>
        <w:pStyle w:val="FootnoteText"/>
      </w:pPr>
      <w:r>
        <w:rPr>
          <w:rStyle w:val="FootnoteReference"/>
        </w:rPr>
        <w:footnoteRef/>
      </w:r>
      <w:r>
        <w:t xml:space="preserve"> </w:t>
      </w:r>
      <w:bookmarkStart w:id="2" w:name="_Hlk240364184"/>
      <w:r>
        <w:t>«От глобальных обязательств в области биоразнообразия к действиям на местах:</w:t>
      </w:r>
      <w:r>
        <w:rPr>
          <w:i/>
          <w:iCs/>
        </w:rPr>
        <w:t xml:space="preserve"> </w:t>
      </w:r>
      <w:r>
        <w:t>потенциал поступлени</w:t>
      </w:r>
      <w:r w:rsidR="00872831">
        <w:t>я дохода</w:t>
      </w:r>
      <w:r>
        <w:t xml:space="preserve"> и динамика ассигнования средств Калийского фонда», </w:t>
      </w:r>
      <w:r w:rsidR="00A92057">
        <w:t xml:space="preserve">Агата Маковска-Керран, </w:t>
      </w:r>
      <w:r>
        <w:t>рабочий документ № 450 (июнь 2026 г.).</w:t>
      </w:r>
      <w:bookmarkEnd w:id="2"/>
    </w:p>
  </w:footnote>
  <w:footnote w:id="3">
    <w:p w14:paraId="32046A26" w14:textId="02BFCB67" w:rsidR="00553FAC" w:rsidRPr="00020F91" w:rsidRDefault="00553FAC">
      <w:pPr>
        <w:pStyle w:val="FootnoteText"/>
      </w:pPr>
      <w:r>
        <w:rPr>
          <w:rStyle w:val="FootnoteReference"/>
        </w:rPr>
        <w:footnoteRef/>
      </w:r>
      <w:r>
        <w:t xml:space="preserve"> См. </w:t>
      </w:r>
      <w:bookmarkStart w:id="3" w:name="_Hlk240286144"/>
      <w:r w:rsidR="002D38E1">
        <w:fldChar w:fldCharType="begin"/>
      </w:r>
      <w:r w:rsidR="002D38E1">
        <w:instrText>HYPERLINK "http://www.moodys.com/web/en/us/capabilities/company-reference-data/orbis.html"</w:instrText>
      </w:r>
      <w:r w:rsidR="002D38E1">
        <w:fldChar w:fldCharType="separate"/>
      </w:r>
      <w:r>
        <w:rPr>
          <w:rStyle w:val="Hyperlink"/>
        </w:rPr>
        <w:t>www.moodys.com/web/en/us/capabilities/company-reference-data/orbis.html</w:t>
      </w:r>
      <w:bookmarkEnd w:id="3"/>
      <w:r w:rsidR="002D38E1">
        <w:fldChar w:fldCharType="end"/>
      </w:r>
      <w:r>
        <w:t>.</w:t>
      </w:r>
    </w:p>
  </w:footnote>
  <w:footnote w:id="4">
    <w:p w14:paraId="43A586B5" w14:textId="339D0B91" w:rsidR="00BB682B" w:rsidRPr="00020F91" w:rsidRDefault="00BB682B" w:rsidP="00BB682B">
      <w:pPr>
        <w:pStyle w:val="FootnoteText"/>
      </w:pPr>
      <w:r>
        <w:rPr>
          <w:rStyle w:val="FootnoteReference"/>
        </w:rPr>
        <w:footnoteRef/>
      </w:r>
      <w:r>
        <w:t xml:space="preserve"> «Анализ рекомендаций Рабочей группы и решения 16/2 о цифровой информации о последовательностях, принятого на 16-м совещании Конференции Сторон», </w:t>
      </w:r>
      <w:r w:rsidR="00A92057">
        <w:t xml:space="preserve">Бруна Гомес Майя и Саша Буржуа-Жиронд, </w:t>
      </w:r>
      <w:r>
        <w:t>Global Policy, т. 16, № 4 (сентябрь 2025 г.), с. 751–761.</w:t>
      </w:r>
    </w:p>
  </w:footnote>
  <w:footnote w:id="5">
    <w:p w14:paraId="21E8E0A1" w14:textId="565671F8" w:rsidR="00366F6B" w:rsidRPr="00020F91" w:rsidRDefault="00366F6B">
      <w:pPr>
        <w:pStyle w:val="FootnoteText"/>
      </w:pPr>
      <w:r>
        <w:rPr>
          <w:rStyle w:val="FootnoteReference"/>
        </w:rPr>
        <w:footnoteRef/>
      </w:r>
      <w:r>
        <w:t xml:space="preserve"> См. </w:t>
      </w:r>
      <w:bookmarkStart w:id="7" w:name="_Hlk240294006"/>
      <w:r>
        <w:fldChar w:fldCharType="begin"/>
      </w:r>
      <w:r>
        <w:instrText>HYPERLINK "https://mptf.undp.org/"</w:instrText>
      </w:r>
      <w:r>
        <w:fldChar w:fldCharType="separate"/>
      </w:r>
      <w:r>
        <w:rPr>
          <w:rStyle w:val="Hyperlink"/>
        </w:rPr>
        <w:t>https://mptf.undp.org/</w:t>
      </w:r>
      <w:bookmarkEnd w:id="7"/>
      <w:r>
        <w:fldChar w:fldCharType="end"/>
      </w:r>
      <w:r>
        <w:t>.</w:t>
      </w:r>
    </w:p>
  </w:footnote>
  <w:footnote w:id="6">
    <w:p w14:paraId="3E3EADC6" w14:textId="56B428FB" w:rsidR="00532E37" w:rsidRPr="00020F91" w:rsidRDefault="00532E37">
      <w:pPr>
        <w:pStyle w:val="FootnoteText"/>
      </w:pPr>
      <w:r>
        <w:rPr>
          <w:rStyle w:val="FootnoteReference"/>
        </w:rPr>
        <w:footnoteRef/>
      </w:r>
      <w:r>
        <w:t xml:space="preserve"> См. </w:t>
      </w:r>
      <w:bookmarkStart w:id="8" w:name="_Hlk240294062"/>
      <w:r>
        <w:fldChar w:fldCharType="begin"/>
      </w:r>
      <w:r>
        <w:instrText>HYPERLINK "http://www.fao.org/plant-treaty/en"</w:instrText>
      </w:r>
      <w:r>
        <w:fldChar w:fldCharType="separate"/>
      </w:r>
      <w:r>
        <w:rPr>
          <w:rStyle w:val="Hyperlink"/>
        </w:rPr>
        <w:t>www.fao.org/plant-treaty/en</w:t>
      </w:r>
      <w:bookmarkEnd w:id="8"/>
      <w:r>
        <w:fldChar w:fldCharType="end"/>
      </w:r>
      <w:r>
        <w:t>.</w:t>
      </w:r>
    </w:p>
  </w:footnote>
  <w:footnote w:id="7">
    <w:p w14:paraId="11B00E64" w14:textId="69F0D95B" w:rsidR="00A67C64" w:rsidRPr="00020F91" w:rsidRDefault="00A67C64">
      <w:pPr>
        <w:pStyle w:val="FootnoteText"/>
      </w:pPr>
      <w:r>
        <w:rPr>
          <w:rStyle w:val="FootnoteReference"/>
        </w:rPr>
        <w:footnoteRef/>
      </w:r>
      <w:r>
        <w:t xml:space="preserve"> См. </w:t>
      </w:r>
      <w:hyperlink r:id="rId2" w:history="1">
        <w:r>
          <w:rPr>
            <w:rStyle w:val="Hyperlink"/>
          </w:rPr>
          <w:t>www.fao.org/plant-treaty/areas-of-work/the-multilateral-system/smta/en/</w:t>
        </w:r>
      </w:hyperlink>
      <w:r>
        <w:t>.</w:t>
      </w:r>
    </w:p>
  </w:footnote>
  <w:footnote w:id="8">
    <w:p w14:paraId="32BB5168" w14:textId="1637088C" w:rsidR="00BB682B" w:rsidRPr="00020F91" w:rsidRDefault="00BB682B" w:rsidP="00020F91">
      <w:pPr>
        <w:tabs>
          <w:tab w:val="clear" w:pos="567"/>
        </w:tabs>
        <w:jc w:val="left"/>
        <w:rPr>
          <w:sz w:val="18"/>
          <w:szCs w:val="18"/>
        </w:rPr>
      </w:pPr>
      <w:r>
        <w:rPr>
          <w:rStyle w:val="FootnoteReference"/>
          <w:sz w:val="18"/>
          <w:szCs w:val="18"/>
        </w:rPr>
        <w:footnoteRef/>
      </w:r>
      <w:r>
        <w:rPr>
          <w:sz w:val="18"/>
          <w:szCs w:val="18"/>
        </w:rPr>
        <w:t xml:space="preserve"> Резолюция 3/2025 об осуществлении стратегии финансирования международного договора на 2020–2027 годы, принятая в декабре 2025 года Управляющим органом Международного договора. </w:t>
      </w:r>
    </w:p>
  </w:footnote>
  <w:footnote w:id="9">
    <w:p w14:paraId="39F7E2B3" w14:textId="487A0B3C" w:rsidR="00F07520" w:rsidRPr="00020F91" w:rsidRDefault="00F07520">
      <w:pPr>
        <w:pStyle w:val="FootnoteText"/>
      </w:pPr>
      <w:r>
        <w:rPr>
          <w:rStyle w:val="FootnoteReference"/>
        </w:rPr>
        <w:footnoteRef/>
      </w:r>
      <w:r>
        <w:t xml:space="preserve"> См. </w:t>
      </w:r>
      <w:bookmarkStart w:id="9" w:name="_Hlk240294728"/>
      <w:r w:rsidR="00B11E55">
        <w:fldChar w:fldCharType="begin"/>
      </w:r>
      <w:r w:rsidR="00B11E55">
        <w:instrText>HYPERLINK "http://www.who.int/initiatives/pandemic-influenza-preparedness-framework"</w:instrText>
      </w:r>
      <w:r w:rsidR="00B11E55">
        <w:fldChar w:fldCharType="separate"/>
      </w:r>
      <w:r>
        <w:rPr>
          <w:rStyle w:val="Hyperlink"/>
        </w:rPr>
        <w:t>www.who.int/initiatives/pandemic-influenza-preparedness-framework</w:t>
      </w:r>
      <w:bookmarkEnd w:id="9"/>
      <w:r w:rsidR="00B11E55">
        <w:fldChar w:fldCharType="end"/>
      </w:r>
      <w:r>
        <w:t>.</w:t>
      </w:r>
    </w:p>
  </w:footnote>
  <w:footnote w:id="10">
    <w:p w14:paraId="572EDC05" w14:textId="661E2653" w:rsidR="00BB682B" w:rsidRPr="00020F91" w:rsidRDefault="00BB682B" w:rsidP="00020F91">
      <w:pPr>
        <w:tabs>
          <w:tab w:val="clear" w:pos="567"/>
        </w:tabs>
        <w:jc w:val="left"/>
        <w:rPr>
          <w:sz w:val="18"/>
          <w:szCs w:val="18"/>
        </w:rPr>
      </w:pPr>
      <w:r>
        <w:rPr>
          <w:rStyle w:val="FootnoteReference"/>
          <w:sz w:val="18"/>
          <w:szCs w:val="18"/>
        </w:rPr>
        <w:footnoteRef/>
      </w:r>
      <w:r>
        <w:rPr>
          <w:sz w:val="18"/>
          <w:szCs w:val="18"/>
        </w:rPr>
        <w:t xml:space="preserve"> ВОЗ, «Партнерские взносы в рамках механизма готовности к пандемическому гриппу (2012–2025 гг.)». Доступно по ссылке </w:t>
      </w:r>
      <w:hyperlink r:id="rId3" w:history="1">
        <w:r>
          <w:rPr>
            <w:rStyle w:val="Hyperlink"/>
            <w:sz w:val="18"/>
            <w:szCs w:val="18"/>
          </w:rPr>
          <w:t>https://cdn.who.int/media/docs/default-source/pip-framework/partnership-contribution/pc-collection/pc-total-contributions.pdf?sfvrsn=ce1eb4d1_8</w:t>
        </w:r>
      </w:hyperlink>
      <w:r>
        <w:rPr>
          <w:sz w:val="18"/>
          <w:szCs w:val="18"/>
        </w:rPr>
        <w:t xml:space="preserve"> (по состоянию на май 2026 г.).</w:t>
      </w:r>
    </w:p>
  </w:footnote>
  <w:footnote w:id="11">
    <w:p w14:paraId="25EED997" w14:textId="6A7A4E4F" w:rsidR="00BB682B" w:rsidRPr="00BF53E6" w:rsidRDefault="00BB682B" w:rsidP="00020F91">
      <w:pPr>
        <w:tabs>
          <w:tab w:val="clear" w:pos="567"/>
        </w:tabs>
        <w:jc w:val="left"/>
        <w:rPr>
          <w:szCs w:val="18"/>
        </w:rPr>
      </w:pPr>
      <w:r>
        <w:rPr>
          <w:rStyle w:val="FootnoteReference"/>
          <w:sz w:val="18"/>
          <w:szCs w:val="18"/>
        </w:rPr>
        <w:footnoteRef/>
      </w:r>
      <w:r>
        <w:rPr>
          <w:sz w:val="18"/>
          <w:szCs w:val="18"/>
        </w:rPr>
        <w:t xml:space="preserve"> «Доступ по замыслу, выгоды при удобстве: подробный анализ стандартных соглашений о передаче материалов в рамках механизма готовности к пандемическому гриппу», </w:t>
      </w:r>
      <w:r w:rsidR="006C49EA">
        <w:rPr>
          <w:sz w:val="18"/>
          <w:szCs w:val="18"/>
        </w:rPr>
        <w:t xml:space="preserve">Мишель Ф. Рурк, </w:t>
      </w:r>
      <w:r>
        <w:rPr>
          <w:sz w:val="18"/>
          <w:szCs w:val="18"/>
        </w:rPr>
        <w:t xml:space="preserve">The Milbank Quarterly, т. 97, № 1 (март 2019 г.), с. 91–112; а также «Механизма готовности к пандемическому гриппу как механизм доступа и распределения выгод», </w:t>
      </w:r>
      <w:r w:rsidR="006C49EA">
        <w:rPr>
          <w:sz w:val="18"/>
          <w:szCs w:val="18"/>
        </w:rPr>
        <w:t xml:space="preserve">Энн Хувос, Стивен А. Соломон и Клаудия Наннини, </w:t>
      </w:r>
      <w:r>
        <w:rPr>
          <w:sz w:val="18"/>
          <w:szCs w:val="18"/>
        </w:rPr>
        <w:t>в сборнике «Вирусный суверенитет и передача технологий:</w:t>
      </w:r>
      <w:r>
        <w:rPr>
          <w:i/>
          <w:iCs/>
          <w:sz w:val="18"/>
          <w:szCs w:val="18"/>
        </w:rPr>
        <w:t xml:space="preserve"> </w:t>
      </w:r>
      <w:r>
        <w:rPr>
          <w:sz w:val="18"/>
          <w:szCs w:val="18"/>
        </w:rPr>
        <w:t>меняющаяся глобальная система обмена патогенами для исследований в области общественного здравоохранения», под ред. Ребекки Кац и Сэма Ф. Халаби. (Cambridge University Press, 2020), с. 193–204.</w:t>
      </w:r>
      <w:r w:rsidR="006C49EA">
        <w:rPr>
          <w:sz w:val="18"/>
          <w:szCs w:val="18"/>
        </w:rPr>
        <w:t xml:space="preserve"> </w:t>
      </w:r>
    </w:p>
  </w:footnote>
  <w:footnote w:id="12">
    <w:p w14:paraId="2AA0419A" w14:textId="02B7E5FC" w:rsidR="007A37E1" w:rsidRPr="00020F91" w:rsidRDefault="007A37E1">
      <w:pPr>
        <w:pStyle w:val="FootnoteText"/>
      </w:pPr>
      <w:r>
        <w:rPr>
          <w:rStyle w:val="FootnoteReference"/>
        </w:rPr>
        <w:footnoteRef/>
      </w:r>
      <w:r>
        <w:t xml:space="preserve"> См. </w:t>
      </w:r>
      <w:bookmarkStart w:id="10" w:name="_Hlk240355101"/>
      <w:r>
        <w:fldChar w:fldCharType="begin"/>
      </w:r>
      <w:r>
        <w:instrText>HYPERLINK "http://www.who.int/health-topics/who-pandemic-agreement" \l "http://www.who.int/health-topics/who-pandemic-agreement"</w:instrText>
      </w:r>
      <w:r>
        <w:fldChar w:fldCharType="separate"/>
      </w:r>
      <w:r>
        <w:rPr>
          <w:rStyle w:val="Hyperlink"/>
        </w:rPr>
        <w:t>www.who.int/health-topics/who-pandemic-agreement#tab=tab_1</w:t>
      </w:r>
      <w:bookmarkEnd w:id="10"/>
      <w:r>
        <w:fldChar w:fldCharType="end"/>
      </w:r>
      <w:r>
        <w:t>.</w:t>
      </w:r>
    </w:p>
  </w:footnote>
  <w:footnote w:id="13">
    <w:p w14:paraId="571E4115" w14:textId="73ABF9A2" w:rsidR="00BB682B" w:rsidRPr="00827DA6" w:rsidRDefault="00BB682B" w:rsidP="00020F91">
      <w:pPr>
        <w:pStyle w:val="FootnoteText"/>
        <w:tabs>
          <w:tab w:val="clear" w:pos="567"/>
        </w:tabs>
        <w:rPr>
          <w:szCs w:val="18"/>
        </w:rPr>
      </w:pPr>
      <w:r>
        <w:rPr>
          <w:rStyle w:val="FootnoteReference"/>
          <w:szCs w:val="18"/>
        </w:rPr>
        <w:footnoteRef/>
      </w:r>
      <w:r>
        <w:t xml:space="preserve"> См. приложение к Соглашению ВОЗ по борьбе с пандемиями.</w:t>
      </w:r>
    </w:p>
  </w:footnote>
  <w:footnote w:id="14">
    <w:p w14:paraId="7684FC52" w14:textId="24016232" w:rsidR="009A275E" w:rsidRPr="00020F91" w:rsidRDefault="009A275E">
      <w:pPr>
        <w:pStyle w:val="FootnoteText"/>
      </w:pPr>
      <w:r>
        <w:rPr>
          <w:rStyle w:val="FootnoteReference"/>
        </w:rPr>
        <w:footnoteRef/>
      </w:r>
      <w:r>
        <w:t xml:space="preserve"> A/CONF.232/2023/4.</w:t>
      </w:r>
    </w:p>
  </w:footnote>
  <w:footnote w:id="15">
    <w:p w14:paraId="145C7D2F" w14:textId="3D6C49BD" w:rsidR="00DA1B50" w:rsidRPr="00020F91" w:rsidRDefault="00DA1B50">
      <w:pPr>
        <w:pStyle w:val="FootnoteText"/>
      </w:pPr>
      <w:r>
        <w:rPr>
          <w:rStyle w:val="FootnoteReference"/>
        </w:rPr>
        <w:footnoteRef/>
      </w:r>
      <w:r>
        <w:t xml:space="preserve"> См. </w:t>
      </w:r>
      <w:hyperlink r:id="rId4" w:history="1">
        <w:r>
          <w:rPr>
            <w:rStyle w:val="Hyperlink"/>
          </w:rPr>
          <w:t>https://isa.org.jm/equitable-sharing-of-benefits/</w:t>
        </w:r>
      </w:hyperlink>
      <w:r>
        <w:t>.</w:t>
      </w:r>
    </w:p>
  </w:footnote>
  <w:footnote w:id="16">
    <w:p w14:paraId="3EB3AA8E" w14:textId="10316916" w:rsidR="00BB682B" w:rsidRPr="00827DA6" w:rsidRDefault="00BB682B" w:rsidP="00020F91">
      <w:pPr>
        <w:tabs>
          <w:tab w:val="clear" w:pos="567"/>
        </w:tabs>
        <w:jc w:val="left"/>
      </w:pPr>
      <w:r>
        <w:rPr>
          <w:rStyle w:val="FootnoteReference"/>
          <w:sz w:val="18"/>
          <w:szCs w:val="18"/>
        </w:rPr>
        <w:footnoteRef/>
      </w:r>
      <w:r>
        <w:rPr>
          <w:sz w:val="18"/>
          <w:szCs w:val="18"/>
        </w:rPr>
        <w:t xml:space="preserve"> «Доклад Международному органу по морскому дну о разработке экономической модели и системы платежей за разведку полиметаллических конкреций в Районе», </w:t>
      </w:r>
      <w:r w:rsidR="006C49EA">
        <w:rPr>
          <w:sz w:val="18"/>
          <w:szCs w:val="18"/>
        </w:rPr>
        <w:t xml:space="preserve">Рэндольф Кирчейн и др., </w:t>
      </w:r>
      <w:r>
        <w:rPr>
          <w:sz w:val="18"/>
          <w:szCs w:val="18"/>
        </w:rPr>
        <w:t xml:space="preserve">Массачусетский технологический институт, Лаборатория материалов и систем, 2019 г. </w:t>
      </w:r>
    </w:p>
  </w:footnote>
  <w:footnote w:id="17">
    <w:p w14:paraId="3C9CC28A" w14:textId="64C539B9" w:rsidR="00BB682B" w:rsidRPr="00020F91" w:rsidRDefault="00BB682B" w:rsidP="00020F91">
      <w:pPr>
        <w:tabs>
          <w:tab w:val="clear" w:pos="567"/>
        </w:tabs>
        <w:jc w:val="left"/>
        <w:rPr>
          <w:sz w:val="18"/>
          <w:szCs w:val="18"/>
        </w:rPr>
      </w:pPr>
      <w:r>
        <w:rPr>
          <w:rStyle w:val="FootnoteReference"/>
          <w:sz w:val="18"/>
          <w:szCs w:val="18"/>
        </w:rPr>
        <w:footnoteRef/>
      </w:r>
      <w:r>
        <w:rPr>
          <w:sz w:val="18"/>
          <w:szCs w:val="18"/>
        </w:rPr>
        <w:t xml:space="preserve"> «Разработка режима платежей за глубоководную добычу полезных ископаемых в Районе с участием заинтересованных сторон», </w:t>
      </w:r>
      <w:r w:rsidR="006C49EA">
        <w:rPr>
          <w:sz w:val="18"/>
          <w:szCs w:val="18"/>
        </w:rPr>
        <w:t xml:space="preserve">Крис Ван Ниен и др., </w:t>
      </w:r>
      <w:r>
        <w:rPr>
          <w:sz w:val="18"/>
          <w:szCs w:val="18"/>
        </w:rPr>
        <w:t xml:space="preserve">Международный журнал морского и прибрежного права, т. 34, № 4 (2019), с. 571–601; а также «Комплексный подход к механизму платежей за глубоководную добычу минеральных ресурсов морского дна», </w:t>
      </w:r>
      <w:r w:rsidR="006C49EA">
        <w:rPr>
          <w:sz w:val="18"/>
          <w:szCs w:val="18"/>
        </w:rPr>
        <w:t xml:space="preserve">Торстен Тиле, Х. П. Дамиан и Прадип Сингх, </w:t>
      </w:r>
      <w:r>
        <w:rPr>
          <w:sz w:val="18"/>
          <w:szCs w:val="18"/>
        </w:rPr>
        <w:t xml:space="preserve">Институт высших исследований по вопросам устойчивости, концептуальная записка № 1/2021, январь 2021 г. </w:t>
      </w:r>
    </w:p>
  </w:footnote>
  <w:footnote w:id="18">
    <w:p w14:paraId="64DFF010" w14:textId="2C20FD29" w:rsidR="00BB682B" w:rsidRPr="00827DA6" w:rsidRDefault="00BB682B" w:rsidP="00C95B07">
      <w:pPr>
        <w:pStyle w:val="FootnoteText"/>
      </w:pPr>
      <w:r>
        <w:rPr>
          <w:rStyle w:val="FootnoteReference"/>
          <w:szCs w:val="18"/>
        </w:rPr>
        <w:footnoteRef/>
      </w:r>
      <w:r>
        <w:t xml:space="preserve"> В пункте 16 приложения к решению </w:t>
      </w:r>
      <w:hyperlink r:id="rId5" w:history="1">
        <w:r>
          <w:rPr>
            <w:rStyle w:val="Hyperlink"/>
          </w:rPr>
          <w:t>16/2</w:t>
        </w:r>
      </w:hyperlink>
      <w:r w:rsidR="00F95C40" w:rsidRPr="00F95C40">
        <w:t xml:space="preserve"> </w:t>
      </w:r>
      <w:r>
        <w:t xml:space="preserve">Конференция Сторон также приветствует внесение взносов, помимо вносимых коммерческими пользователями цифровой информации о последовательностях, указанных в пункте 3 приложения, что может включать потенциальные взносы со стороны государственного сектора, хотя на момент подготовки полного доклада таких обязательств принято не было. </w:t>
      </w:r>
    </w:p>
  </w:footnote>
  <w:footnote w:id="19">
    <w:p w14:paraId="7E097E09" w14:textId="08AED213" w:rsidR="00C80EA4" w:rsidRPr="00827DA6" w:rsidRDefault="00C80EA4" w:rsidP="00C80EA4">
      <w:pPr>
        <w:pStyle w:val="FootnoteText"/>
      </w:pPr>
      <w:r>
        <w:rPr>
          <w:rStyle w:val="FootnoteReference"/>
        </w:rPr>
        <w:footnoteRef/>
      </w:r>
      <w:r>
        <w:t xml:space="preserve"> Механизм работает следующим образом: поскольку компании, вероятно, будут платить на основе той базы, которая дает меньший доход, маржа прибыли компании по отношению к 10-процентной точке индифферентности, установленной двумя ставками, определяет, будет ли она платить на основе более стабильной базы доходов или на основе более волатильной базы прибыли; изменение только одной ставки приводит к переходу компаний с одной базы на другую, в то время как пропорциональные изменения обеих ставок оставляют группу плательщиков и ее стабильность без изменений.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Тема"/>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C17B4C9" w14:textId="7294F261" w:rsidR="00534681" w:rsidRPr="00827DA6" w:rsidRDefault="00340594" w:rsidP="007C4951">
        <w:pPr>
          <w:pStyle w:val="Header"/>
          <w:spacing w:after="240"/>
          <w:rPr>
            <w:szCs w:val="20"/>
          </w:rPr>
        </w:pPr>
        <w:r w:rsidRPr="00827DA6">
          <w:rPr>
            <w:szCs w:val="20"/>
          </w:rPr>
          <w:t>CBD/COP/17/6/Add.3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Тема"/>
      <w:tag w:val=""/>
      <w:id w:val="851227268"/>
      <w:dataBinding w:prefixMappings="xmlns:ns0='http://purl.org/dc/elements/1.1/' xmlns:ns1='http://schemas.openxmlformats.org/package/2006/metadata/core-properties' " w:xpath="/ns1:coreProperties[1]/ns0:subject[1]" w:storeItemID="{6C3C8BC8-F283-45AE-878A-BAB7291924A1}"/>
      <w:text/>
    </w:sdtPr>
    <w:sdtContent>
      <w:p w14:paraId="2103E4AC" w14:textId="572364FA" w:rsidR="009505C9" w:rsidRPr="00827DA6" w:rsidRDefault="00340594" w:rsidP="007C4951">
        <w:pPr>
          <w:pStyle w:val="Header"/>
          <w:spacing w:after="240"/>
          <w:jc w:val="right"/>
        </w:pPr>
        <w:r w:rsidRPr="00827DA6">
          <w:t>CBD/COP/17/6/Add.3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12F82"/>
    <w:multiLevelType w:val="multilevel"/>
    <w:tmpl w:val="B77C8C7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1EF97919"/>
    <w:multiLevelType w:val="hybridMultilevel"/>
    <w:tmpl w:val="78CC86F8"/>
    <w:lvl w:ilvl="0" w:tplc="9F527B30">
      <w:start w:val="1"/>
      <w:numFmt w:val="upperLetter"/>
      <w:lvlText w:val="%1."/>
      <w:lvlJc w:val="left"/>
      <w:pPr>
        <w:ind w:left="720" w:hanging="360"/>
      </w:pPr>
      <w:rPr>
        <w:rFonts w:hint="default"/>
        <w:b/>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3447D0"/>
    <w:multiLevelType w:val="multilevel"/>
    <w:tmpl w:val="CAD0299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35CB57FE"/>
    <w:multiLevelType w:val="hybridMultilevel"/>
    <w:tmpl w:val="45EE2AB2"/>
    <w:lvl w:ilvl="0" w:tplc="0809000F">
      <w:start w:val="1"/>
      <w:numFmt w:val="decimal"/>
      <w:lvlText w:val="%1."/>
      <w:lvlJc w:val="left"/>
      <w:pPr>
        <w:ind w:left="360" w:hanging="360"/>
      </w:pPr>
    </w:lvl>
    <w:lvl w:ilvl="1" w:tplc="49362FDE">
      <w:start w:val="1"/>
      <w:numFmt w:val="lowerLetter"/>
      <w:lvlText w:val="(%2)"/>
      <w:lvlJc w:val="left"/>
      <w:pPr>
        <w:ind w:left="1080" w:hanging="360"/>
      </w:pPr>
      <w:rPr>
        <w:rFont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7E634C7"/>
    <w:multiLevelType w:val="multilevel"/>
    <w:tmpl w:val="C290B39C"/>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4EB66936"/>
    <w:multiLevelType w:val="multilevel"/>
    <w:tmpl w:val="BB2C3D9E"/>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A234A1B"/>
    <w:multiLevelType w:val="hybridMultilevel"/>
    <w:tmpl w:val="71986DC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943BEE"/>
    <w:multiLevelType w:val="multilevel"/>
    <w:tmpl w:val="94D08C2E"/>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D7B4E9F"/>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F1D02D2"/>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7"/>
  </w:num>
  <w:num w:numId="2" w16cid:durableId="1858829">
    <w:abstractNumId w:val="5"/>
  </w:num>
  <w:num w:numId="3" w16cid:durableId="1333221471">
    <w:abstractNumId w:val="13"/>
  </w:num>
  <w:num w:numId="4" w16cid:durableId="1072390599">
    <w:abstractNumId w:val="15"/>
  </w:num>
  <w:num w:numId="5" w16cid:durableId="960385107">
    <w:abstractNumId w:val="6"/>
  </w:num>
  <w:num w:numId="6" w16cid:durableId="893932166">
    <w:abstractNumId w:val="11"/>
  </w:num>
  <w:num w:numId="7" w16cid:durableId="323945383">
    <w:abstractNumId w:val="10"/>
  </w:num>
  <w:num w:numId="8" w16cid:durableId="376050590">
    <w:abstractNumId w:val="3"/>
  </w:num>
  <w:num w:numId="9" w16cid:durableId="1343631334">
    <w:abstractNumId w:val="1"/>
  </w:num>
  <w:num w:numId="10" w16cid:durableId="1963031435">
    <w:abstractNumId w:val="9"/>
  </w:num>
  <w:num w:numId="11" w16cid:durableId="2135711171">
    <w:abstractNumId w:val="10"/>
  </w:num>
  <w:num w:numId="12" w16cid:durableId="661590849">
    <w:abstractNumId w:val="2"/>
  </w:num>
  <w:num w:numId="13" w16cid:durableId="1990741380">
    <w:abstractNumId w:val="4"/>
  </w:num>
  <w:num w:numId="14" w16cid:durableId="129521259">
    <w:abstractNumId w:val="8"/>
  </w:num>
  <w:num w:numId="15" w16cid:durableId="1854342770">
    <w:abstractNumId w:val="12"/>
  </w:num>
  <w:num w:numId="16" w16cid:durableId="1171524857">
    <w:abstractNumId w:val="14"/>
  </w:num>
  <w:num w:numId="17" w16cid:durableId="1210071333">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FD7"/>
    <w:rsid w:val="00005596"/>
    <w:rsid w:val="000073E1"/>
    <w:rsid w:val="000106F8"/>
    <w:rsid w:val="00017658"/>
    <w:rsid w:val="00020680"/>
    <w:rsid w:val="00020F91"/>
    <w:rsid w:val="00025464"/>
    <w:rsid w:val="000342C8"/>
    <w:rsid w:val="00036444"/>
    <w:rsid w:val="0003676E"/>
    <w:rsid w:val="00040E42"/>
    <w:rsid w:val="000413EB"/>
    <w:rsid w:val="00043C43"/>
    <w:rsid w:val="0005091C"/>
    <w:rsid w:val="00052A7D"/>
    <w:rsid w:val="000606EC"/>
    <w:rsid w:val="00064D0F"/>
    <w:rsid w:val="00065994"/>
    <w:rsid w:val="00066380"/>
    <w:rsid w:val="000708A6"/>
    <w:rsid w:val="0007171B"/>
    <w:rsid w:val="00074598"/>
    <w:rsid w:val="00074D16"/>
    <w:rsid w:val="00081A8F"/>
    <w:rsid w:val="000908C3"/>
    <w:rsid w:val="00092916"/>
    <w:rsid w:val="000941E6"/>
    <w:rsid w:val="0009533F"/>
    <w:rsid w:val="00096274"/>
    <w:rsid w:val="0009775C"/>
    <w:rsid w:val="00097E01"/>
    <w:rsid w:val="000A03CF"/>
    <w:rsid w:val="000A1978"/>
    <w:rsid w:val="000A19E9"/>
    <w:rsid w:val="000A202F"/>
    <w:rsid w:val="000A3420"/>
    <w:rsid w:val="000A5E67"/>
    <w:rsid w:val="000B09C2"/>
    <w:rsid w:val="000B1674"/>
    <w:rsid w:val="000B2F38"/>
    <w:rsid w:val="000B5FF9"/>
    <w:rsid w:val="000B7964"/>
    <w:rsid w:val="000C1C50"/>
    <w:rsid w:val="000C21BA"/>
    <w:rsid w:val="000C5A39"/>
    <w:rsid w:val="000D0F68"/>
    <w:rsid w:val="000D14AF"/>
    <w:rsid w:val="000D2078"/>
    <w:rsid w:val="000D5FA7"/>
    <w:rsid w:val="000E3538"/>
    <w:rsid w:val="000E402A"/>
    <w:rsid w:val="000E673A"/>
    <w:rsid w:val="000E792F"/>
    <w:rsid w:val="000F0D1B"/>
    <w:rsid w:val="000F2507"/>
    <w:rsid w:val="000F3DF2"/>
    <w:rsid w:val="000F4479"/>
    <w:rsid w:val="000F6945"/>
    <w:rsid w:val="000F74F5"/>
    <w:rsid w:val="000F78FC"/>
    <w:rsid w:val="00102452"/>
    <w:rsid w:val="001031DF"/>
    <w:rsid w:val="00105372"/>
    <w:rsid w:val="001054A6"/>
    <w:rsid w:val="00106369"/>
    <w:rsid w:val="001078A1"/>
    <w:rsid w:val="0012360E"/>
    <w:rsid w:val="00123647"/>
    <w:rsid w:val="001238B7"/>
    <w:rsid w:val="00126E46"/>
    <w:rsid w:val="00127845"/>
    <w:rsid w:val="001312AD"/>
    <w:rsid w:val="00131E7A"/>
    <w:rsid w:val="00134353"/>
    <w:rsid w:val="00134846"/>
    <w:rsid w:val="001364FE"/>
    <w:rsid w:val="00141F2E"/>
    <w:rsid w:val="00145270"/>
    <w:rsid w:val="00152BBE"/>
    <w:rsid w:val="001540F7"/>
    <w:rsid w:val="00161B22"/>
    <w:rsid w:val="001632A7"/>
    <w:rsid w:val="00166A30"/>
    <w:rsid w:val="00172AF6"/>
    <w:rsid w:val="00173F41"/>
    <w:rsid w:val="001745F7"/>
    <w:rsid w:val="00176CEE"/>
    <w:rsid w:val="001817BA"/>
    <w:rsid w:val="00184654"/>
    <w:rsid w:val="001869AD"/>
    <w:rsid w:val="00186DD8"/>
    <w:rsid w:val="00190847"/>
    <w:rsid w:val="001911F4"/>
    <w:rsid w:val="001947CE"/>
    <w:rsid w:val="001A01D3"/>
    <w:rsid w:val="001A1EE0"/>
    <w:rsid w:val="001A35EC"/>
    <w:rsid w:val="001B0C92"/>
    <w:rsid w:val="001B13FE"/>
    <w:rsid w:val="001B2761"/>
    <w:rsid w:val="001B54B9"/>
    <w:rsid w:val="001B7711"/>
    <w:rsid w:val="001C3CAA"/>
    <w:rsid w:val="001C40BF"/>
    <w:rsid w:val="001C626A"/>
    <w:rsid w:val="001D01FA"/>
    <w:rsid w:val="001D317A"/>
    <w:rsid w:val="001D3C34"/>
    <w:rsid w:val="001E1A56"/>
    <w:rsid w:val="001F021E"/>
    <w:rsid w:val="00204D7D"/>
    <w:rsid w:val="00214476"/>
    <w:rsid w:val="00214AF4"/>
    <w:rsid w:val="002230A0"/>
    <w:rsid w:val="00227D0F"/>
    <w:rsid w:val="002408E9"/>
    <w:rsid w:val="00240EE6"/>
    <w:rsid w:val="00251DA0"/>
    <w:rsid w:val="00252C53"/>
    <w:rsid w:val="00253E8E"/>
    <w:rsid w:val="002617CB"/>
    <w:rsid w:val="00261DE1"/>
    <w:rsid w:val="00263BE1"/>
    <w:rsid w:val="00265794"/>
    <w:rsid w:val="0027295E"/>
    <w:rsid w:val="00284A2D"/>
    <w:rsid w:val="00284C77"/>
    <w:rsid w:val="00284DA1"/>
    <w:rsid w:val="00286ACA"/>
    <w:rsid w:val="00290B95"/>
    <w:rsid w:val="00295341"/>
    <w:rsid w:val="002A0B73"/>
    <w:rsid w:val="002A0C1E"/>
    <w:rsid w:val="002A4A32"/>
    <w:rsid w:val="002A4D1F"/>
    <w:rsid w:val="002A51AA"/>
    <w:rsid w:val="002B1035"/>
    <w:rsid w:val="002B18C8"/>
    <w:rsid w:val="002B20CD"/>
    <w:rsid w:val="002B2318"/>
    <w:rsid w:val="002B6EBA"/>
    <w:rsid w:val="002C40A3"/>
    <w:rsid w:val="002C7984"/>
    <w:rsid w:val="002D2BDB"/>
    <w:rsid w:val="002D314B"/>
    <w:rsid w:val="002D38E1"/>
    <w:rsid w:val="002D563E"/>
    <w:rsid w:val="002E30C5"/>
    <w:rsid w:val="002E31DC"/>
    <w:rsid w:val="002E67C2"/>
    <w:rsid w:val="002F4363"/>
    <w:rsid w:val="002F5349"/>
    <w:rsid w:val="002F6E18"/>
    <w:rsid w:val="00300384"/>
    <w:rsid w:val="003008FE"/>
    <w:rsid w:val="0030169D"/>
    <w:rsid w:val="00303ACA"/>
    <w:rsid w:val="00303E4D"/>
    <w:rsid w:val="003060EB"/>
    <w:rsid w:val="003126D9"/>
    <w:rsid w:val="003153EB"/>
    <w:rsid w:val="0032136E"/>
    <w:rsid w:val="00321985"/>
    <w:rsid w:val="003234C4"/>
    <w:rsid w:val="003248B0"/>
    <w:rsid w:val="003252A2"/>
    <w:rsid w:val="003271E3"/>
    <w:rsid w:val="00331FA4"/>
    <w:rsid w:val="00340033"/>
    <w:rsid w:val="00340594"/>
    <w:rsid w:val="003463DF"/>
    <w:rsid w:val="00351205"/>
    <w:rsid w:val="00354777"/>
    <w:rsid w:val="003562A5"/>
    <w:rsid w:val="00362EF1"/>
    <w:rsid w:val="00363B67"/>
    <w:rsid w:val="00364F08"/>
    <w:rsid w:val="00366E21"/>
    <w:rsid w:val="00366F6B"/>
    <w:rsid w:val="00372F74"/>
    <w:rsid w:val="0037546E"/>
    <w:rsid w:val="00382123"/>
    <w:rsid w:val="00383F41"/>
    <w:rsid w:val="00384684"/>
    <w:rsid w:val="00392175"/>
    <w:rsid w:val="00397981"/>
    <w:rsid w:val="003A0B5B"/>
    <w:rsid w:val="003A2AD7"/>
    <w:rsid w:val="003A39AC"/>
    <w:rsid w:val="003A3F62"/>
    <w:rsid w:val="003A7F6C"/>
    <w:rsid w:val="003B6950"/>
    <w:rsid w:val="003C11A4"/>
    <w:rsid w:val="003C674F"/>
    <w:rsid w:val="003C718E"/>
    <w:rsid w:val="003D2E89"/>
    <w:rsid w:val="003D698F"/>
    <w:rsid w:val="003E0214"/>
    <w:rsid w:val="003E274A"/>
    <w:rsid w:val="003E5175"/>
    <w:rsid w:val="003F0BA5"/>
    <w:rsid w:val="003F1A75"/>
    <w:rsid w:val="003F2B4B"/>
    <w:rsid w:val="003F3670"/>
    <w:rsid w:val="003F59AF"/>
    <w:rsid w:val="003F59BF"/>
    <w:rsid w:val="003F613A"/>
    <w:rsid w:val="003F7224"/>
    <w:rsid w:val="003F7E15"/>
    <w:rsid w:val="00400849"/>
    <w:rsid w:val="004008D6"/>
    <w:rsid w:val="00411C88"/>
    <w:rsid w:val="004126F6"/>
    <w:rsid w:val="004165C4"/>
    <w:rsid w:val="00423A8B"/>
    <w:rsid w:val="00424DD7"/>
    <w:rsid w:val="004262FE"/>
    <w:rsid w:val="004268B8"/>
    <w:rsid w:val="00427D21"/>
    <w:rsid w:val="004303A6"/>
    <w:rsid w:val="0043257B"/>
    <w:rsid w:val="00435778"/>
    <w:rsid w:val="00440B3F"/>
    <w:rsid w:val="004458C1"/>
    <w:rsid w:val="00447F4A"/>
    <w:rsid w:val="00453B69"/>
    <w:rsid w:val="00456F67"/>
    <w:rsid w:val="0046130A"/>
    <w:rsid w:val="00464394"/>
    <w:rsid w:val="004644C2"/>
    <w:rsid w:val="00464E43"/>
    <w:rsid w:val="00465293"/>
    <w:rsid w:val="00466847"/>
    <w:rsid w:val="00467F2F"/>
    <w:rsid w:val="00467F9C"/>
    <w:rsid w:val="00470398"/>
    <w:rsid w:val="004709B2"/>
    <w:rsid w:val="004771B8"/>
    <w:rsid w:val="00483BC8"/>
    <w:rsid w:val="00484784"/>
    <w:rsid w:val="00491B20"/>
    <w:rsid w:val="00492858"/>
    <w:rsid w:val="004946B0"/>
    <w:rsid w:val="004954B2"/>
    <w:rsid w:val="00495FBD"/>
    <w:rsid w:val="004A1F35"/>
    <w:rsid w:val="004A3E0D"/>
    <w:rsid w:val="004A5B97"/>
    <w:rsid w:val="004A790A"/>
    <w:rsid w:val="004A7D7A"/>
    <w:rsid w:val="004B1717"/>
    <w:rsid w:val="004C7950"/>
    <w:rsid w:val="004C7C6C"/>
    <w:rsid w:val="004D03B7"/>
    <w:rsid w:val="004D746A"/>
    <w:rsid w:val="004D7DF6"/>
    <w:rsid w:val="004E1CF1"/>
    <w:rsid w:val="004E284E"/>
    <w:rsid w:val="004E2B8B"/>
    <w:rsid w:val="004E2BE3"/>
    <w:rsid w:val="004E6240"/>
    <w:rsid w:val="004E6B44"/>
    <w:rsid w:val="004F176F"/>
    <w:rsid w:val="004F38E6"/>
    <w:rsid w:val="004F6FC6"/>
    <w:rsid w:val="004F7402"/>
    <w:rsid w:val="00501DB6"/>
    <w:rsid w:val="005022F1"/>
    <w:rsid w:val="005029CC"/>
    <w:rsid w:val="005044C2"/>
    <w:rsid w:val="00505306"/>
    <w:rsid w:val="00506B9F"/>
    <w:rsid w:val="00507318"/>
    <w:rsid w:val="0051006C"/>
    <w:rsid w:val="005103B6"/>
    <w:rsid w:val="005135B4"/>
    <w:rsid w:val="00514541"/>
    <w:rsid w:val="00524CF2"/>
    <w:rsid w:val="00530CCF"/>
    <w:rsid w:val="00532E37"/>
    <w:rsid w:val="00534681"/>
    <w:rsid w:val="00535A81"/>
    <w:rsid w:val="00535A93"/>
    <w:rsid w:val="0053628E"/>
    <w:rsid w:val="005373EF"/>
    <w:rsid w:val="005404A3"/>
    <w:rsid w:val="005450B3"/>
    <w:rsid w:val="00546DF5"/>
    <w:rsid w:val="00553FAC"/>
    <w:rsid w:val="005561CE"/>
    <w:rsid w:val="005567D5"/>
    <w:rsid w:val="005579BE"/>
    <w:rsid w:val="00560315"/>
    <w:rsid w:val="0056068E"/>
    <w:rsid w:val="005623A2"/>
    <w:rsid w:val="00562FD3"/>
    <w:rsid w:val="00563442"/>
    <w:rsid w:val="0056348E"/>
    <w:rsid w:val="00565B42"/>
    <w:rsid w:val="00573759"/>
    <w:rsid w:val="00577701"/>
    <w:rsid w:val="0058183E"/>
    <w:rsid w:val="00590242"/>
    <w:rsid w:val="005960BD"/>
    <w:rsid w:val="00597BCE"/>
    <w:rsid w:val="005A74AA"/>
    <w:rsid w:val="005B35E2"/>
    <w:rsid w:val="005B4D7B"/>
    <w:rsid w:val="005C4CE6"/>
    <w:rsid w:val="005D10DD"/>
    <w:rsid w:val="005D1958"/>
    <w:rsid w:val="005D1E36"/>
    <w:rsid w:val="005D3B19"/>
    <w:rsid w:val="005D77E2"/>
    <w:rsid w:val="005E1B49"/>
    <w:rsid w:val="005E37EF"/>
    <w:rsid w:val="005F4D77"/>
    <w:rsid w:val="005F545D"/>
    <w:rsid w:val="005F6023"/>
    <w:rsid w:val="00602F8C"/>
    <w:rsid w:val="00606CEA"/>
    <w:rsid w:val="006122BA"/>
    <w:rsid w:val="00620D72"/>
    <w:rsid w:val="006315F9"/>
    <w:rsid w:val="00632292"/>
    <w:rsid w:val="00634148"/>
    <w:rsid w:val="00636ED4"/>
    <w:rsid w:val="00641CD5"/>
    <w:rsid w:val="00647691"/>
    <w:rsid w:val="006478AC"/>
    <w:rsid w:val="006478BF"/>
    <w:rsid w:val="006676B5"/>
    <w:rsid w:val="00670E78"/>
    <w:rsid w:val="00685DF8"/>
    <w:rsid w:val="006974F8"/>
    <w:rsid w:val="006978F8"/>
    <w:rsid w:val="006A15C0"/>
    <w:rsid w:val="006A3895"/>
    <w:rsid w:val="006A73C1"/>
    <w:rsid w:val="006B023C"/>
    <w:rsid w:val="006B2290"/>
    <w:rsid w:val="006B3B1C"/>
    <w:rsid w:val="006C3646"/>
    <w:rsid w:val="006C49EA"/>
    <w:rsid w:val="006E53BD"/>
    <w:rsid w:val="006E6D21"/>
    <w:rsid w:val="006E7BE2"/>
    <w:rsid w:val="006F6E2F"/>
    <w:rsid w:val="007021C9"/>
    <w:rsid w:val="00702D8A"/>
    <w:rsid w:val="0070394B"/>
    <w:rsid w:val="00705D33"/>
    <w:rsid w:val="007077A8"/>
    <w:rsid w:val="00711920"/>
    <w:rsid w:val="00717D88"/>
    <w:rsid w:val="0072123E"/>
    <w:rsid w:val="007260EF"/>
    <w:rsid w:val="00726A43"/>
    <w:rsid w:val="00727121"/>
    <w:rsid w:val="00736D5A"/>
    <w:rsid w:val="00740449"/>
    <w:rsid w:val="00745AB7"/>
    <w:rsid w:val="007476F0"/>
    <w:rsid w:val="00751BEB"/>
    <w:rsid w:val="007570C6"/>
    <w:rsid w:val="00760F92"/>
    <w:rsid w:val="007654DB"/>
    <w:rsid w:val="0076579B"/>
    <w:rsid w:val="007747A7"/>
    <w:rsid w:val="00775C03"/>
    <w:rsid w:val="00776C49"/>
    <w:rsid w:val="00786056"/>
    <w:rsid w:val="007942D3"/>
    <w:rsid w:val="007A37E1"/>
    <w:rsid w:val="007A53AD"/>
    <w:rsid w:val="007A71E4"/>
    <w:rsid w:val="007B2099"/>
    <w:rsid w:val="007B435F"/>
    <w:rsid w:val="007B6C09"/>
    <w:rsid w:val="007B6E65"/>
    <w:rsid w:val="007B7741"/>
    <w:rsid w:val="007B794A"/>
    <w:rsid w:val="007C0F3B"/>
    <w:rsid w:val="007C4951"/>
    <w:rsid w:val="007C596D"/>
    <w:rsid w:val="007D1925"/>
    <w:rsid w:val="007D33CD"/>
    <w:rsid w:val="007D5BA4"/>
    <w:rsid w:val="007E09DA"/>
    <w:rsid w:val="007E0F8A"/>
    <w:rsid w:val="007E773D"/>
    <w:rsid w:val="007E7FBA"/>
    <w:rsid w:val="007F1597"/>
    <w:rsid w:val="007F1DC8"/>
    <w:rsid w:val="007F3849"/>
    <w:rsid w:val="007F57F5"/>
    <w:rsid w:val="007F718D"/>
    <w:rsid w:val="008000EA"/>
    <w:rsid w:val="00801FAD"/>
    <w:rsid w:val="00806584"/>
    <w:rsid w:val="00810619"/>
    <w:rsid w:val="008178B6"/>
    <w:rsid w:val="008227E3"/>
    <w:rsid w:val="008230FC"/>
    <w:rsid w:val="0082326A"/>
    <w:rsid w:val="00824EAB"/>
    <w:rsid w:val="00827DA6"/>
    <w:rsid w:val="00831AA6"/>
    <w:rsid w:val="0083446D"/>
    <w:rsid w:val="00834F91"/>
    <w:rsid w:val="00835CB3"/>
    <w:rsid w:val="0083671C"/>
    <w:rsid w:val="0083795C"/>
    <w:rsid w:val="00843F46"/>
    <w:rsid w:val="008515BC"/>
    <w:rsid w:val="00851657"/>
    <w:rsid w:val="0085283E"/>
    <w:rsid w:val="00853402"/>
    <w:rsid w:val="00855DC6"/>
    <w:rsid w:val="008622A1"/>
    <w:rsid w:val="00862D2B"/>
    <w:rsid w:val="00865A97"/>
    <w:rsid w:val="00865B74"/>
    <w:rsid w:val="00866063"/>
    <w:rsid w:val="008705AD"/>
    <w:rsid w:val="00870CA9"/>
    <w:rsid w:val="00871DFE"/>
    <w:rsid w:val="00872831"/>
    <w:rsid w:val="00873B02"/>
    <w:rsid w:val="008747FB"/>
    <w:rsid w:val="00875F12"/>
    <w:rsid w:val="00876F2E"/>
    <w:rsid w:val="00885B30"/>
    <w:rsid w:val="00885F5A"/>
    <w:rsid w:val="0088645C"/>
    <w:rsid w:val="0089399A"/>
    <w:rsid w:val="00896011"/>
    <w:rsid w:val="008974F0"/>
    <w:rsid w:val="00897D68"/>
    <w:rsid w:val="008A1499"/>
    <w:rsid w:val="008A1737"/>
    <w:rsid w:val="008B012A"/>
    <w:rsid w:val="008B3912"/>
    <w:rsid w:val="008C0095"/>
    <w:rsid w:val="008C3F1B"/>
    <w:rsid w:val="008C5CED"/>
    <w:rsid w:val="008D035C"/>
    <w:rsid w:val="008D1734"/>
    <w:rsid w:val="008D1915"/>
    <w:rsid w:val="008E3391"/>
    <w:rsid w:val="008E44A6"/>
    <w:rsid w:val="008E62F2"/>
    <w:rsid w:val="008E66E4"/>
    <w:rsid w:val="008E7DEA"/>
    <w:rsid w:val="008F0BD2"/>
    <w:rsid w:val="008F2478"/>
    <w:rsid w:val="008F32EB"/>
    <w:rsid w:val="008F41DE"/>
    <w:rsid w:val="008F6A1F"/>
    <w:rsid w:val="00902E56"/>
    <w:rsid w:val="00906E17"/>
    <w:rsid w:val="00910B82"/>
    <w:rsid w:val="00910BAF"/>
    <w:rsid w:val="00917A39"/>
    <w:rsid w:val="0092142F"/>
    <w:rsid w:val="0092298A"/>
    <w:rsid w:val="009264C4"/>
    <w:rsid w:val="009265D7"/>
    <w:rsid w:val="00926945"/>
    <w:rsid w:val="00930BA1"/>
    <w:rsid w:val="00930F86"/>
    <w:rsid w:val="0093169E"/>
    <w:rsid w:val="00934891"/>
    <w:rsid w:val="00934C01"/>
    <w:rsid w:val="00942532"/>
    <w:rsid w:val="009468A2"/>
    <w:rsid w:val="009505C9"/>
    <w:rsid w:val="00950752"/>
    <w:rsid w:val="009601AE"/>
    <w:rsid w:val="00965E66"/>
    <w:rsid w:val="00966424"/>
    <w:rsid w:val="00972942"/>
    <w:rsid w:val="009775E2"/>
    <w:rsid w:val="00992494"/>
    <w:rsid w:val="0099284D"/>
    <w:rsid w:val="00995D52"/>
    <w:rsid w:val="009A2047"/>
    <w:rsid w:val="009A275E"/>
    <w:rsid w:val="009C2DE6"/>
    <w:rsid w:val="009D6D78"/>
    <w:rsid w:val="009E2238"/>
    <w:rsid w:val="009E2332"/>
    <w:rsid w:val="009E58EC"/>
    <w:rsid w:val="00A050CC"/>
    <w:rsid w:val="00A05931"/>
    <w:rsid w:val="00A10916"/>
    <w:rsid w:val="00A111D1"/>
    <w:rsid w:val="00A14DCF"/>
    <w:rsid w:val="00A17A52"/>
    <w:rsid w:val="00A22A94"/>
    <w:rsid w:val="00A23392"/>
    <w:rsid w:val="00A251F0"/>
    <w:rsid w:val="00A264A4"/>
    <w:rsid w:val="00A276DA"/>
    <w:rsid w:val="00A3194B"/>
    <w:rsid w:val="00A32AFF"/>
    <w:rsid w:val="00A369A4"/>
    <w:rsid w:val="00A40E07"/>
    <w:rsid w:val="00A42A6D"/>
    <w:rsid w:val="00A42F72"/>
    <w:rsid w:val="00A443B1"/>
    <w:rsid w:val="00A45922"/>
    <w:rsid w:val="00A466B2"/>
    <w:rsid w:val="00A53FF2"/>
    <w:rsid w:val="00A60F33"/>
    <w:rsid w:val="00A66621"/>
    <w:rsid w:val="00A67C64"/>
    <w:rsid w:val="00A73E9E"/>
    <w:rsid w:val="00A74707"/>
    <w:rsid w:val="00A76A55"/>
    <w:rsid w:val="00A770E5"/>
    <w:rsid w:val="00A874CE"/>
    <w:rsid w:val="00A90352"/>
    <w:rsid w:val="00A9145B"/>
    <w:rsid w:val="00A92057"/>
    <w:rsid w:val="00A92DB3"/>
    <w:rsid w:val="00AA020D"/>
    <w:rsid w:val="00AA1658"/>
    <w:rsid w:val="00AA276F"/>
    <w:rsid w:val="00AA41B4"/>
    <w:rsid w:val="00AA6F92"/>
    <w:rsid w:val="00AB3B1B"/>
    <w:rsid w:val="00AB6934"/>
    <w:rsid w:val="00AC006B"/>
    <w:rsid w:val="00AC0702"/>
    <w:rsid w:val="00AC1512"/>
    <w:rsid w:val="00AC272B"/>
    <w:rsid w:val="00AD03B9"/>
    <w:rsid w:val="00AD2FE9"/>
    <w:rsid w:val="00AE0840"/>
    <w:rsid w:val="00AE79F2"/>
    <w:rsid w:val="00AF152F"/>
    <w:rsid w:val="00AF3033"/>
    <w:rsid w:val="00AF42DE"/>
    <w:rsid w:val="00B11E55"/>
    <w:rsid w:val="00B2385A"/>
    <w:rsid w:val="00B239C3"/>
    <w:rsid w:val="00B27659"/>
    <w:rsid w:val="00B320B3"/>
    <w:rsid w:val="00B3369F"/>
    <w:rsid w:val="00B365BB"/>
    <w:rsid w:val="00B40441"/>
    <w:rsid w:val="00B40D16"/>
    <w:rsid w:val="00B43A34"/>
    <w:rsid w:val="00B43A90"/>
    <w:rsid w:val="00B4432E"/>
    <w:rsid w:val="00B46567"/>
    <w:rsid w:val="00B51E0B"/>
    <w:rsid w:val="00B51FC6"/>
    <w:rsid w:val="00B70631"/>
    <w:rsid w:val="00B75D10"/>
    <w:rsid w:val="00B80116"/>
    <w:rsid w:val="00B817A9"/>
    <w:rsid w:val="00B94036"/>
    <w:rsid w:val="00B9447D"/>
    <w:rsid w:val="00B94E6C"/>
    <w:rsid w:val="00BA0D7C"/>
    <w:rsid w:val="00BB4606"/>
    <w:rsid w:val="00BB682B"/>
    <w:rsid w:val="00BD0FA6"/>
    <w:rsid w:val="00BD16AF"/>
    <w:rsid w:val="00BD3672"/>
    <w:rsid w:val="00BF53E6"/>
    <w:rsid w:val="00BF6790"/>
    <w:rsid w:val="00C05B82"/>
    <w:rsid w:val="00C05C57"/>
    <w:rsid w:val="00C13558"/>
    <w:rsid w:val="00C17153"/>
    <w:rsid w:val="00C1725F"/>
    <w:rsid w:val="00C17CC1"/>
    <w:rsid w:val="00C216DE"/>
    <w:rsid w:val="00C2359A"/>
    <w:rsid w:val="00C23D2F"/>
    <w:rsid w:val="00C24689"/>
    <w:rsid w:val="00C31ED4"/>
    <w:rsid w:val="00C354D5"/>
    <w:rsid w:val="00C431F3"/>
    <w:rsid w:val="00C443BD"/>
    <w:rsid w:val="00C451C5"/>
    <w:rsid w:val="00C47649"/>
    <w:rsid w:val="00C53A67"/>
    <w:rsid w:val="00C56A17"/>
    <w:rsid w:val="00C608E7"/>
    <w:rsid w:val="00C62151"/>
    <w:rsid w:val="00C6221B"/>
    <w:rsid w:val="00C643F0"/>
    <w:rsid w:val="00C728B4"/>
    <w:rsid w:val="00C7573F"/>
    <w:rsid w:val="00C76711"/>
    <w:rsid w:val="00C8065C"/>
    <w:rsid w:val="00C80EA4"/>
    <w:rsid w:val="00C86FE2"/>
    <w:rsid w:val="00C9093D"/>
    <w:rsid w:val="00C909ED"/>
    <w:rsid w:val="00C9161D"/>
    <w:rsid w:val="00C95B07"/>
    <w:rsid w:val="00CA0C1D"/>
    <w:rsid w:val="00CA1F43"/>
    <w:rsid w:val="00CB048A"/>
    <w:rsid w:val="00CC3F00"/>
    <w:rsid w:val="00CC4A12"/>
    <w:rsid w:val="00CC7D23"/>
    <w:rsid w:val="00CD3975"/>
    <w:rsid w:val="00CF0D72"/>
    <w:rsid w:val="00CF1848"/>
    <w:rsid w:val="00CF2BCE"/>
    <w:rsid w:val="00CF4875"/>
    <w:rsid w:val="00CF4D0A"/>
    <w:rsid w:val="00D0006A"/>
    <w:rsid w:val="00D04AA6"/>
    <w:rsid w:val="00D0791E"/>
    <w:rsid w:val="00D12044"/>
    <w:rsid w:val="00D13DCA"/>
    <w:rsid w:val="00D14848"/>
    <w:rsid w:val="00D170D9"/>
    <w:rsid w:val="00D2197A"/>
    <w:rsid w:val="00D21F76"/>
    <w:rsid w:val="00D23D0B"/>
    <w:rsid w:val="00D251B2"/>
    <w:rsid w:val="00D278ED"/>
    <w:rsid w:val="00D33EFC"/>
    <w:rsid w:val="00D40DBC"/>
    <w:rsid w:val="00D424B1"/>
    <w:rsid w:val="00D445B5"/>
    <w:rsid w:val="00D44C96"/>
    <w:rsid w:val="00D5372E"/>
    <w:rsid w:val="00D53C1A"/>
    <w:rsid w:val="00D578F6"/>
    <w:rsid w:val="00D60D37"/>
    <w:rsid w:val="00D61C85"/>
    <w:rsid w:val="00D66EC3"/>
    <w:rsid w:val="00D6737C"/>
    <w:rsid w:val="00D70368"/>
    <w:rsid w:val="00D704EA"/>
    <w:rsid w:val="00D7188C"/>
    <w:rsid w:val="00D72D53"/>
    <w:rsid w:val="00D740A7"/>
    <w:rsid w:val="00D75CA6"/>
    <w:rsid w:val="00D76A18"/>
    <w:rsid w:val="00D80849"/>
    <w:rsid w:val="00D82C92"/>
    <w:rsid w:val="00D82E8F"/>
    <w:rsid w:val="00D83473"/>
    <w:rsid w:val="00D85F9C"/>
    <w:rsid w:val="00D90B67"/>
    <w:rsid w:val="00D936DF"/>
    <w:rsid w:val="00D9407A"/>
    <w:rsid w:val="00D97C3F"/>
    <w:rsid w:val="00DA1B50"/>
    <w:rsid w:val="00DB3293"/>
    <w:rsid w:val="00DB4E3E"/>
    <w:rsid w:val="00DB50C8"/>
    <w:rsid w:val="00DB541F"/>
    <w:rsid w:val="00DB5E0F"/>
    <w:rsid w:val="00DB70F5"/>
    <w:rsid w:val="00DC02DD"/>
    <w:rsid w:val="00DC17FA"/>
    <w:rsid w:val="00DC1D18"/>
    <w:rsid w:val="00DC241F"/>
    <w:rsid w:val="00DC249F"/>
    <w:rsid w:val="00DC3B01"/>
    <w:rsid w:val="00DC630C"/>
    <w:rsid w:val="00DC73D1"/>
    <w:rsid w:val="00DD118C"/>
    <w:rsid w:val="00DD258D"/>
    <w:rsid w:val="00DD6BF3"/>
    <w:rsid w:val="00DE765C"/>
    <w:rsid w:val="00E01A81"/>
    <w:rsid w:val="00E043CD"/>
    <w:rsid w:val="00E0709D"/>
    <w:rsid w:val="00E1649D"/>
    <w:rsid w:val="00E1694D"/>
    <w:rsid w:val="00E26BF2"/>
    <w:rsid w:val="00E300BE"/>
    <w:rsid w:val="00E33520"/>
    <w:rsid w:val="00E358F0"/>
    <w:rsid w:val="00E35CBC"/>
    <w:rsid w:val="00E45127"/>
    <w:rsid w:val="00E45144"/>
    <w:rsid w:val="00E65B16"/>
    <w:rsid w:val="00E65F40"/>
    <w:rsid w:val="00E66235"/>
    <w:rsid w:val="00E74420"/>
    <w:rsid w:val="00E74800"/>
    <w:rsid w:val="00E75A28"/>
    <w:rsid w:val="00E76BED"/>
    <w:rsid w:val="00E83314"/>
    <w:rsid w:val="00E83C24"/>
    <w:rsid w:val="00E90B20"/>
    <w:rsid w:val="00E91AA7"/>
    <w:rsid w:val="00E9318D"/>
    <w:rsid w:val="00E9326E"/>
    <w:rsid w:val="00E93F3E"/>
    <w:rsid w:val="00E943A9"/>
    <w:rsid w:val="00E97C84"/>
    <w:rsid w:val="00E97F72"/>
    <w:rsid w:val="00EA5253"/>
    <w:rsid w:val="00EA75AF"/>
    <w:rsid w:val="00EB02E9"/>
    <w:rsid w:val="00EB10A4"/>
    <w:rsid w:val="00EC0F9B"/>
    <w:rsid w:val="00EC1E6E"/>
    <w:rsid w:val="00ED0008"/>
    <w:rsid w:val="00ED04A7"/>
    <w:rsid w:val="00ED0B26"/>
    <w:rsid w:val="00ED288A"/>
    <w:rsid w:val="00ED5BAB"/>
    <w:rsid w:val="00ED659C"/>
    <w:rsid w:val="00ED6FD8"/>
    <w:rsid w:val="00EE28E1"/>
    <w:rsid w:val="00EE2BB6"/>
    <w:rsid w:val="00EE3DAA"/>
    <w:rsid w:val="00EE6F91"/>
    <w:rsid w:val="00EE715E"/>
    <w:rsid w:val="00EE757B"/>
    <w:rsid w:val="00EE7B43"/>
    <w:rsid w:val="00EF4F3B"/>
    <w:rsid w:val="00EF5718"/>
    <w:rsid w:val="00EF6E01"/>
    <w:rsid w:val="00F019BA"/>
    <w:rsid w:val="00F062E1"/>
    <w:rsid w:val="00F063C2"/>
    <w:rsid w:val="00F07520"/>
    <w:rsid w:val="00F10C15"/>
    <w:rsid w:val="00F13BA6"/>
    <w:rsid w:val="00F17474"/>
    <w:rsid w:val="00F20D90"/>
    <w:rsid w:val="00F24002"/>
    <w:rsid w:val="00F3110E"/>
    <w:rsid w:val="00F31624"/>
    <w:rsid w:val="00F31F99"/>
    <w:rsid w:val="00F34A04"/>
    <w:rsid w:val="00F45C65"/>
    <w:rsid w:val="00F50272"/>
    <w:rsid w:val="00F53193"/>
    <w:rsid w:val="00F5357E"/>
    <w:rsid w:val="00F644B3"/>
    <w:rsid w:val="00F6586C"/>
    <w:rsid w:val="00F70CD2"/>
    <w:rsid w:val="00F74C3C"/>
    <w:rsid w:val="00F75241"/>
    <w:rsid w:val="00F81FD7"/>
    <w:rsid w:val="00F82E2A"/>
    <w:rsid w:val="00F84CCD"/>
    <w:rsid w:val="00F8674E"/>
    <w:rsid w:val="00F86B58"/>
    <w:rsid w:val="00F9038B"/>
    <w:rsid w:val="00F91867"/>
    <w:rsid w:val="00F93128"/>
    <w:rsid w:val="00F94774"/>
    <w:rsid w:val="00F95C40"/>
    <w:rsid w:val="00FA1ACE"/>
    <w:rsid w:val="00FA4BF3"/>
    <w:rsid w:val="00FA663B"/>
    <w:rsid w:val="00FB13E9"/>
    <w:rsid w:val="00FC2AF9"/>
    <w:rsid w:val="00FC3D4B"/>
    <w:rsid w:val="00FC53DB"/>
    <w:rsid w:val="00FD3B5C"/>
    <w:rsid w:val="00FD4B2F"/>
    <w:rsid w:val="00FD5664"/>
    <w:rsid w:val="00FD622B"/>
    <w:rsid w:val="00FE51C3"/>
    <w:rsid w:val="00FE5ADA"/>
    <w:rsid w:val="00FE6C3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600E25"/>
  <w15:docId w15:val="{B464DC9E-D005-4A91-8814-DF1D2857F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3F1A75"/>
    <w:pPr>
      <w:keepNext/>
      <w:keepLines/>
      <w:numPr>
        <w:numId w:val="6"/>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tabs>
        <w:tab w:val="clear" w:pos="567"/>
      </w:tabs>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ru-RU"/>
    </w:rPr>
  </w:style>
  <w:style w:type="character" w:styleId="PlaceholderText">
    <w:name w:val="Placeholder Text"/>
    <w:basedOn w:val="DefaultParagraphFont"/>
    <w:uiPriority w:val="99"/>
    <w:semiHidden/>
    <w:rsid w:val="00105372"/>
    <w:rPr>
      <w:color w:val="808080"/>
      <w:lang w:val="ru-RU"/>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ru-RU"/>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ru-RU"/>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ru-RU"/>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ru-RU"/>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ru-RU"/>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ru-RU"/>
    </w:rPr>
  </w:style>
  <w:style w:type="character" w:styleId="CommentReference">
    <w:name w:val="annotation reference"/>
    <w:basedOn w:val="DefaultParagraphFont"/>
    <w:uiPriority w:val="99"/>
    <w:semiHidden/>
    <w:unhideWhenUsed/>
    <w:rsid w:val="003F1A75"/>
    <w:rPr>
      <w:sz w:val="16"/>
      <w:szCs w:val="16"/>
      <w:lang w:val="ru-RU"/>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ru-RU"/>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ru-RU"/>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ru-RU"/>
    </w:rPr>
  </w:style>
  <w:style w:type="character" w:styleId="FollowedHyperlink">
    <w:name w:val="FollowedHyperlink"/>
    <w:rsid w:val="007E09DA"/>
    <w:rPr>
      <w:color w:val="800080"/>
      <w:u w:val="single"/>
      <w:lang w:val="ru-RU"/>
    </w:rPr>
  </w:style>
  <w:style w:type="character" w:styleId="FootnoteReference">
    <w:name w:val="footnote reference"/>
    <w:basedOn w:val="DefaultParagraphFont"/>
    <w:uiPriority w:val="99"/>
    <w:semiHidden/>
    <w:unhideWhenUsed/>
    <w:rsid w:val="003F1A75"/>
    <w:rPr>
      <w:vertAlign w:val="superscript"/>
      <w:lang w:val="ru-RU"/>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ru-RU"/>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ru-RU"/>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ru-RU"/>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ru-RU"/>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ru-RU"/>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ru-RU"/>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ru-RU"/>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ru-RU"/>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ru-RU"/>
    </w:rPr>
  </w:style>
  <w:style w:type="character" w:styleId="PageNumber">
    <w:name w:val="page number"/>
    <w:rsid w:val="007E09DA"/>
    <w:rPr>
      <w:rFonts w:ascii="Times New Roman" w:hAnsi="Times New Roman"/>
      <w:sz w:val="22"/>
      <w:lang w:val="ru-RU"/>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ru-RU"/>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ru-RU"/>
    </w:rPr>
  </w:style>
  <w:style w:type="character" w:customStyle="1" w:styleId="Para1Char">
    <w:name w:val="Para1 Char"/>
    <w:link w:val="Para1"/>
    <w:locked/>
    <w:rsid w:val="005B35E2"/>
    <w:rPr>
      <w:rFonts w:ascii="Times New Roman" w:eastAsia="SimSun" w:hAnsi="Times New Roman" w:cs="Times New Roman"/>
      <w:snapToGrid w:val="0"/>
      <w:sz w:val="22"/>
      <w:szCs w:val="18"/>
      <w:lang w:val="ru-RU"/>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ru-RU"/>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ru-RU"/>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ru-RU"/>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ru-RU"/>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ru-RU"/>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ru-RU"/>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ru-RU"/>
    </w:rPr>
  </w:style>
  <w:style w:type="character" w:styleId="BookTitle">
    <w:name w:val="Book Title"/>
    <w:basedOn w:val="DefaultParagraphFont"/>
    <w:uiPriority w:val="33"/>
    <w:qFormat/>
    <w:rsid w:val="00A111D1"/>
    <w:rPr>
      <w:b/>
      <w:bCs/>
      <w:i/>
      <w:iCs/>
      <w:spacing w:val="5"/>
      <w:lang w:val="ru-RU"/>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ru-RU"/>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ru-RU"/>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ru-RU"/>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ru-RU"/>
    </w:rPr>
  </w:style>
  <w:style w:type="character" w:styleId="Emphasis">
    <w:name w:val="Emphasis"/>
    <w:basedOn w:val="DefaultParagraphFont"/>
    <w:uiPriority w:val="20"/>
    <w:qFormat/>
    <w:rsid w:val="00A111D1"/>
    <w:rPr>
      <w:i/>
      <w:iCs/>
      <w:lang w:val="ru-RU"/>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ru-RU"/>
    </w:rPr>
  </w:style>
  <w:style w:type="character" w:styleId="HTMLAcronym">
    <w:name w:val="HTML Acronym"/>
    <w:basedOn w:val="DefaultParagraphFont"/>
    <w:uiPriority w:val="99"/>
    <w:semiHidden/>
    <w:unhideWhenUsed/>
    <w:rsid w:val="00A111D1"/>
    <w:rPr>
      <w:lang w:val="ru-RU"/>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ru-RU"/>
    </w:rPr>
  </w:style>
  <w:style w:type="character" w:styleId="HTMLCite">
    <w:name w:val="HTML Cite"/>
    <w:basedOn w:val="DefaultParagraphFont"/>
    <w:uiPriority w:val="99"/>
    <w:semiHidden/>
    <w:unhideWhenUsed/>
    <w:rsid w:val="00A111D1"/>
    <w:rPr>
      <w:i/>
      <w:iCs/>
      <w:lang w:val="ru-RU"/>
    </w:rPr>
  </w:style>
  <w:style w:type="character" w:styleId="HTMLCode">
    <w:name w:val="HTML Code"/>
    <w:basedOn w:val="DefaultParagraphFont"/>
    <w:uiPriority w:val="99"/>
    <w:semiHidden/>
    <w:unhideWhenUsed/>
    <w:rsid w:val="00A111D1"/>
    <w:rPr>
      <w:rFonts w:ascii="Consolas" w:hAnsi="Consolas"/>
      <w:sz w:val="20"/>
      <w:szCs w:val="20"/>
      <w:lang w:val="ru-RU"/>
    </w:rPr>
  </w:style>
  <w:style w:type="character" w:styleId="HTMLDefinition">
    <w:name w:val="HTML Definition"/>
    <w:basedOn w:val="DefaultParagraphFont"/>
    <w:uiPriority w:val="99"/>
    <w:semiHidden/>
    <w:unhideWhenUsed/>
    <w:rsid w:val="00A111D1"/>
    <w:rPr>
      <w:i/>
      <w:iCs/>
      <w:lang w:val="ru-RU"/>
    </w:rPr>
  </w:style>
  <w:style w:type="character" w:styleId="HTMLKeyboard">
    <w:name w:val="HTML Keyboard"/>
    <w:basedOn w:val="DefaultParagraphFont"/>
    <w:uiPriority w:val="99"/>
    <w:semiHidden/>
    <w:unhideWhenUsed/>
    <w:rsid w:val="00A111D1"/>
    <w:rPr>
      <w:rFonts w:ascii="Consolas" w:hAnsi="Consolas"/>
      <w:sz w:val="20"/>
      <w:szCs w:val="20"/>
      <w:lang w:val="ru-RU"/>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ru-RU"/>
    </w:rPr>
  </w:style>
  <w:style w:type="character" w:styleId="HTMLSample">
    <w:name w:val="HTML Sample"/>
    <w:basedOn w:val="DefaultParagraphFont"/>
    <w:uiPriority w:val="99"/>
    <w:semiHidden/>
    <w:unhideWhenUsed/>
    <w:rsid w:val="00A111D1"/>
    <w:rPr>
      <w:rFonts w:ascii="Consolas" w:hAnsi="Consolas"/>
      <w:sz w:val="24"/>
      <w:szCs w:val="24"/>
      <w:lang w:val="ru-RU"/>
    </w:rPr>
  </w:style>
  <w:style w:type="character" w:styleId="HTMLTypewriter">
    <w:name w:val="HTML Typewriter"/>
    <w:basedOn w:val="DefaultParagraphFont"/>
    <w:uiPriority w:val="99"/>
    <w:semiHidden/>
    <w:unhideWhenUsed/>
    <w:rsid w:val="00A111D1"/>
    <w:rPr>
      <w:rFonts w:ascii="Consolas" w:hAnsi="Consolas"/>
      <w:sz w:val="20"/>
      <w:szCs w:val="20"/>
      <w:lang w:val="ru-RU"/>
    </w:rPr>
  </w:style>
  <w:style w:type="character" w:styleId="HTMLVariable">
    <w:name w:val="HTML Variable"/>
    <w:basedOn w:val="DefaultParagraphFont"/>
    <w:uiPriority w:val="99"/>
    <w:semiHidden/>
    <w:unhideWhenUsed/>
    <w:rsid w:val="00A111D1"/>
    <w:rPr>
      <w:i/>
      <w:iCs/>
      <w:lang w:val="ru-RU"/>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ru-RU"/>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ru-RU"/>
    </w:rPr>
  </w:style>
  <w:style w:type="character" w:styleId="IntenseReference">
    <w:name w:val="Intense Reference"/>
    <w:basedOn w:val="DefaultParagraphFont"/>
    <w:uiPriority w:val="32"/>
    <w:qFormat/>
    <w:rsid w:val="00A111D1"/>
    <w:rPr>
      <w:b/>
      <w:bCs/>
      <w:smallCaps/>
      <w:color w:val="4F81BD" w:themeColor="accent1"/>
      <w:spacing w:val="5"/>
      <w:lang w:val="ru-RU"/>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ru-RU"/>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ru-RU"/>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ru-RU"/>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ru-RU"/>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ru-RU"/>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ru-RU"/>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ru-RU"/>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ru-RU"/>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ru-RU"/>
    </w:rPr>
  </w:style>
  <w:style w:type="character" w:styleId="SmartHyperlink">
    <w:name w:val="Smart Hyperlink"/>
    <w:basedOn w:val="DefaultParagraphFont"/>
    <w:uiPriority w:val="99"/>
    <w:semiHidden/>
    <w:unhideWhenUsed/>
    <w:rsid w:val="00A111D1"/>
    <w:rPr>
      <w:u w:val="dotted"/>
      <w:lang w:val="ru-RU"/>
    </w:rPr>
  </w:style>
  <w:style w:type="character" w:styleId="SmartLink">
    <w:name w:val="Smart Link"/>
    <w:basedOn w:val="DefaultParagraphFont"/>
    <w:uiPriority w:val="99"/>
    <w:semiHidden/>
    <w:unhideWhenUsed/>
    <w:rsid w:val="00A111D1"/>
    <w:rPr>
      <w:color w:val="0000FF"/>
      <w:u w:val="single"/>
      <w:shd w:val="clear" w:color="auto" w:fill="F3F2F1"/>
      <w:lang w:val="ru-RU"/>
    </w:rPr>
  </w:style>
  <w:style w:type="character" w:styleId="Strong">
    <w:name w:val="Strong"/>
    <w:basedOn w:val="DefaultParagraphFont"/>
    <w:uiPriority w:val="22"/>
    <w:qFormat/>
    <w:rsid w:val="00A111D1"/>
    <w:rPr>
      <w:b/>
      <w:bCs/>
      <w:lang w:val="ru-RU"/>
    </w:rPr>
  </w:style>
  <w:style w:type="character" w:styleId="SubtleEmphasis">
    <w:name w:val="Subtle Emphasis"/>
    <w:basedOn w:val="DefaultParagraphFont"/>
    <w:uiPriority w:val="19"/>
    <w:qFormat/>
    <w:rsid w:val="00A111D1"/>
    <w:rPr>
      <w:i/>
      <w:iCs/>
      <w:color w:val="404040" w:themeColor="text1" w:themeTint="BF"/>
      <w:lang w:val="ru-RU"/>
    </w:rPr>
  </w:style>
  <w:style w:type="character" w:styleId="SubtleReference">
    <w:name w:val="Subtle Reference"/>
    <w:basedOn w:val="DefaultParagraphFont"/>
    <w:uiPriority w:val="31"/>
    <w:qFormat/>
    <w:rsid w:val="00A111D1"/>
    <w:rPr>
      <w:smallCaps/>
      <w:color w:val="5A5A5A" w:themeColor="text1" w:themeTint="A5"/>
      <w:lang w:val="ru-RU"/>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ru-RU"/>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cop-16/cop-16-dec-02-ru.pdf" TargetMode="External"/><Relationship Id="rId26" Type="http://schemas.openxmlformats.org/officeDocument/2006/relationships/hyperlink" Target="https://www.cbd.int/doc/decisions/cop-16/cop-16-dec-02-ru.pdf" TargetMode="External"/><Relationship Id="rId39" Type="http://schemas.openxmlformats.org/officeDocument/2006/relationships/hyperlink" Target="https://www.cbd.int/doc/decisions/cop-16/cop-16-dec-02-ru.pdf" TargetMode="External"/><Relationship Id="rId21" Type="http://schemas.openxmlformats.org/officeDocument/2006/relationships/hyperlink" Target="https://www.cbd.int/doc/decisions/cop-16/cop-16-dec-02-ru.pdf" TargetMode="External"/><Relationship Id="rId34" Type="http://schemas.openxmlformats.org/officeDocument/2006/relationships/hyperlink" Target="https://www.cbd.int/doc/decisions/cop-16/cop-16-dec-02-ru.pdf" TargetMode="External"/><Relationship Id="rId42" Type="http://schemas.openxmlformats.org/officeDocument/2006/relationships/header" Target="header1.xml"/><Relationship Id="rId47"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notifications/2024-116" TargetMode="External"/><Relationship Id="rId29" Type="http://schemas.openxmlformats.org/officeDocument/2006/relationships/hyperlink" Target="https://www.cbd.int/doc/decisions/cop-16/cop-16-dec-02-ru.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6/cop-16-dec-02-ru.pdf" TargetMode="External"/><Relationship Id="rId32" Type="http://schemas.openxmlformats.org/officeDocument/2006/relationships/hyperlink" Target="https://www.cbd.int/notifications/2024-114" TargetMode="External"/><Relationship Id="rId37" Type="http://schemas.openxmlformats.org/officeDocument/2006/relationships/hyperlink" Target="https://www.cbd.int/doc/decisions/cop-16/cop-16-dec-02-ru.pdf" TargetMode="External"/><Relationship Id="rId40" Type="http://schemas.openxmlformats.org/officeDocument/2006/relationships/hyperlink" Target="https://www.cbd.int/doc/decisions/cop-16/cop-16-dec-02-ru.pdf" TargetMode="External"/><Relationship Id="rId45"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oc/decisions/cop-16/cop-16-dec-02-ru.pdf" TargetMode="External"/><Relationship Id="rId23" Type="http://schemas.openxmlformats.org/officeDocument/2006/relationships/hyperlink" Target="https://www.cbd.int/doc/decisions/cop-16/cop-16-dec-02-ru.pdf" TargetMode="External"/><Relationship Id="rId28" Type="http://schemas.openxmlformats.org/officeDocument/2006/relationships/hyperlink" Target="https://www.cbd.int/doc/decisions/cop-15/cop-15-dec-09-ru.pdf" TargetMode="External"/><Relationship Id="rId36" Type="http://schemas.openxmlformats.org/officeDocument/2006/relationships/hyperlink" Target="https://www.cbd.int/doc/decisions/cop-16/cop-16-dec-02-ru.pdf" TargetMode="External"/><Relationship Id="rId10" Type="http://schemas.openxmlformats.org/officeDocument/2006/relationships/footnotes" Target="footnotes.xml"/><Relationship Id="rId19" Type="http://schemas.openxmlformats.org/officeDocument/2006/relationships/hyperlink" Target="https://www.cbd.int/notifications/2024-116" TargetMode="External"/><Relationship Id="rId31" Type="http://schemas.openxmlformats.org/officeDocument/2006/relationships/hyperlink" Target="https://www.cbd.int/doc/decisions/cop-16/cop-16-dec-02-ru.pdf"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6/cop-16-dec-02-ru.pdf" TargetMode="External"/><Relationship Id="rId27" Type="http://schemas.openxmlformats.org/officeDocument/2006/relationships/hyperlink" Target="https://www.cbd.int/doc/decisions/cop-16/cop-16-dec-02-ru.pdf" TargetMode="External"/><Relationship Id="rId30" Type="http://schemas.openxmlformats.org/officeDocument/2006/relationships/hyperlink" Target="https://www.cbd.int/doc/decisions/cop-16/cop-16-dec-02-ru.pdf" TargetMode="External"/><Relationship Id="rId35" Type="http://schemas.openxmlformats.org/officeDocument/2006/relationships/hyperlink" Target="https://www.cbd.int/doc/decisions/cop-16/cop-16-dec-02-ru.pdf" TargetMode="External"/><Relationship Id="rId43" Type="http://schemas.openxmlformats.org/officeDocument/2006/relationships/header" Target="header2.xml"/><Relationship Id="rId48"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oc/decisions/cop-15/cop-15-dec-09-ru.pdf" TargetMode="External"/><Relationship Id="rId25" Type="http://schemas.openxmlformats.org/officeDocument/2006/relationships/hyperlink" Target="https://www.cbd.int/doc/decisions/cop-16/cop-16-dec-02-ru.pdf" TargetMode="External"/><Relationship Id="rId33" Type="http://schemas.openxmlformats.org/officeDocument/2006/relationships/hyperlink" Target="https://www.cbd.int/notifications/2024-116" TargetMode="External"/><Relationship Id="rId38" Type="http://schemas.openxmlformats.org/officeDocument/2006/relationships/hyperlink" Target="https://www.cbd.int/doc/decisions/cop-16/cop-16-dec-02-ru.pdf" TargetMode="External"/><Relationship Id="rId46" Type="http://schemas.openxmlformats.org/officeDocument/2006/relationships/fontTable" Target="fontTable.xml"/><Relationship Id="rId20" Type="http://schemas.openxmlformats.org/officeDocument/2006/relationships/hyperlink" Target="https://www.cbd.int/doc/decisions/cop-16/cop-16-dec-02-ru.pdf" TargetMode="External"/><Relationship Id="rId41" Type="http://schemas.openxmlformats.org/officeDocument/2006/relationships/hyperlink" Target="https://www.cbd.int/doc/decisions/cop-16/cop-16-dec-02-ru.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cdn.who.int/media/docs/default-source/pip-framework/partnership-contribution/pc-collection/pc-total-contributions.pdf?sfvrsn=ce1eb4d1_8" TargetMode="External"/><Relationship Id="rId2" Type="http://schemas.openxmlformats.org/officeDocument/2006/relationships/hyperlink" Target="https://www.fao.org/plant-treaty/areas-of-work/the-multilateral-system/smta/en/" TargetMode="External"/><Relationship Id="rId1" Type="http://schemas.openxmlformats.org/officeDocument/2006/relationships/hyperlink" Target="https://www.cbd.int/doc/c/eed5/bb17/c83733c6642e39413bf23885/cop-17-01-rev1-ru.pdf" TargetMode="External"/><Relationship Id="rId5" Type="http://schemas.openxmlformats.org/officeDocument/2006/relationships/hyperlink" Target="https://www.cbd.int/doc/decisions/cop-16/cop-16-dec-02-ru.pdf" TargetMode="External"/><Relationship Id="rId4" Type="http://schemas.openxmlformats.org/officeDocument/2006/relationships/hyperlink" Target="https://isa.org.jm/equitable-sharing-of-benefi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UBREY1\Downloads\DRAFT%20cop-17-6-Add.3.clea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856C6EAFBC4F8AAA8F54826083FE19"/>
        <w:category>
          <w:name w:val="General"/>
          <w:gallery w:val="placeholder"/>
        </w:category>
        <w:types>
          <w:type w:val="bbPlcHdr"/>
        </w:types>
        <w:behaviors>
          <w:behavior w:val="content"/>
        </w:behaviors>
        <w:guid w:val="{DAAF8739-30BD-46D8-BFA9-4A773EB5A4E3}"/>
      </w:docPartPr>
      <w:docPartBody>
        <w:p w:rsidR="00FD2020" w:rsidRDefault="0015617F">
          <w:pPr>
            <w:pStyle w:val="7A856C6EAFBC4F8AAA8F54826083FE19"/>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7A0"/>
    <w:rsid w:val="0003676E"/>
    <w:rsid w:val="00116E70"/>
    <w:rsid w:val="0015617F"/>
    <w:rsid w:val="001B2761"/>
    <w:rsid w:val="001D21C6"/>
    <w:rsid w:val="00251DA0"/>
    <w:rsid w:val="00364B78"/>
    <w:rsid w:val="003E5175"/>
    <w:rsid w:val="005277A0"/>
    <w:rsid w:val="005653CC"/>
    <w:rsid w:val="0070394B"/>
    <w:rsid w:val="00846DF6"/>
    <w:rsid w:val="00B079FE"/>
    <w:rsid w:val="00B7437C"/>
    <w:rsid w:val="00C2364A"/>
    <w:rsid w:val="00D81409"/>
    <w:rsid w:val="00E9326E"/>
    <w:rsid w:val="00FD202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A856C6EAFBC4F8AAA8F54826083FE19">
    <w:name w:val="7A856C6EAFBC4F8AAA8F54826083FE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041E2707-929B-4755-96F5-A8F67BD89BFA}"/>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DRAFT cop-17-6-Add.3.clean.dotm</Template>
  <TotalTime>281</TotalTime>
  <Pages>15</Pages>
  <Words>7437</Words>
  <Characters>42393</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Executive summary of the study on contribution rates, including implications for revenue generation and economic competitiveness, and on national and international standards for the identification of small, medium and large entities</vt:lpstr>
    </vt:vector>
  </TitlesOfParts>
  <Company>SCBD</Company>
  <LinksUpToDate>false</LinksUpToDate>
  <CharactersWithSpaces>49731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Резюме исследования в отношении ставок взносов, включая последствия для получения доходов и экономической конкурентоспособности, и анализ национальных и международных стандартов для идентификации малых, средних и крупных предприятий</dc:title>
  <dc:subject>CBD/COP/17/6/Add.3</dc:subject>
  <dc:creator>Secretariat of the Convention on Biological Diversity</dc:creator>
  <cp:keywords>Convention on Biological Diversity</cp:keywords>
  <cp:lastModifiedBy>Olga K</cp:lastModifiedBy>
  <cp:revision>42</cp:revision>
  <cp:lastPrinted>2020-01-21T16:56:00Z</cp:lastPrinted>
  <dcterms:created xsi:type="dcterms:W3CDTF">2026-09-21T13:01:00Z</dcterms:created>
  <dcterms:modified xsi:type="dcterms:W3CDTF">2026-09-25T03:22:00Z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