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1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51"/>
        <w:gridCol w:w="1230"/>
        <w:gridCol w:w="8267"/>
      </w:tblGrid>
      <w:tr w:rsidR="007166EB" w:rsidRPr="001E6F64" w14:paraId="409B440B" w14:textId="77777777" w:rsidTr="005B5D07">
        <w:trPr>
          <w:trHeight w:val="851"/>
        </w:trPr>
        <w:tc>
          <w:tcPr>
            <w:tcW w:w="851" w:type="dxa"/>
            <w:tcBorders>
              <w:top w:val="nil"/>
              <w:left w:val="nil"/>
              <w:bottom w:val="nil"/>
              <w:right w:val="nil"/>
            </w:tcBorders>
            <w:tcMar>
              <w:top w:w="80" w:type="dxa"/>
              <w:left w:w="80" w:type="dxa"/>
              <w:bottom w:w="80" w:type="dxa"/>
              <w:right w:w="80" w:type="dxa"/>
            </w:tcMar>
            <w:vAlign w:val="bottom"/>
          </w:tcPr>
          <w:p w14:paraId="622D014D" w14:textId="77777777" w:rsidR="007166EB" w:rsidRPr="001E6F64" w:rsidRDefault="007166EB" w:rsidP="00D465C3">
            <w:pPr>
              <w:pStyle w:val="AASmallLogo"/>
            </w:pPr>
            <w:r w:rsidRPr="001E6F64">
              <w:rPr>
                <w:noProof/>
                <w:sz w:val="22"/>
              </w:rPr>
              <w:drawing>
                <wp:inline distT="0" distB="0" distL="0" distR="0" wp14:anchorId="73BA9319" wp14:editId="57AA2AC7">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2"/>
                          <a:stretch>
                            <a:fillRect/>
                          </a:stretch>
                        </pic:blipFill>
                        <pic:spPr>
                          <a:xfrm>
                            <a:off x="0" y="0"/>
                            <a:ext cx="451127" cy="382336"/>
                          </a:xfrm>
                          <a:prstGeom prst="rect">
                            <a:avLst/>
                          </a:prstGeom>
                          <a:ln w="12700" cap="flat">
                            <a:noFill/>
                            <a:miter lim="400000"/>
                          </a:ln>
                          <a:effectLst/>
                        </pic:spPr>
                      </pic:pic>
                    </a:graphicData>
                  </a:graphic>
                </wp:inline>
              </w:drawing>
            </w:r>
            <w:r w:rsidRPr="001E6F64">
              <w:t xml:space="preserve"> </w:t>
            </w:r>
          </w:p>
        </w:tc>
        <w:tc>
          <w:tcPr>
            <w:tcW w:w="1230" w:type="dxa"/>
            <w:tcBorders>
              <w:top w:val="nil"/>
              <w:left w:val="nil"/>
              <w:bottom w:val="nil"/>
              <w:right w:val="nil"/>
            </w:tcBorders>
            <w:tcMar>
              <w:top w:w="80" w:type="dxa"/>
              <w:left w:w="80" w:type="dxa"/>
              <w:bottom w:w="80" w:type="dxa"/>
              <w:right w:w="80" w:type="dxa"/>
            </w:tcMar>
            <w:vAlign w:val="bottom"/>
          </w:tcPr>
          <w:p w14:paraId="7397D86A" w14:textId="77777777" w:rsidR="007166EB" w:rsidRPr="001E6F64" w:rsidRDefault="007166EB" w:rsidP="00D465C3">
            <w:pPr>
              <w:pStyle w:val="AASmallLogo"/>
            </w:pPr>
            <w:r w:rsidRPr="001E6F64">
              <w:rPr>
                <w:noProof/>
                <w:sz w:val="22"/>
              </w:rPr>
              <w:drawing>
                <wp:inline distT="0" distB="0" distL="0" distR="0" wp14:anchorId="36380882" wp14:editId="5A771056">
                  <wp:extent cx="498789" cy="285021"/>
                  <wp:effectExtent l="0" t="0" r="0" b="127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a:picLocks noChangeAspect="1"/>
                          </pic:cNvPicPr>
                        </pic:nvPicPr>
                        <pic:blipFill>
                          <a:blip r:embed="rId13"/>
                          <a:stretch>
                            <a:fillRect/>
                          </a:stretch>
                        </pic:blipFill>
                        <pic:spPr>
                          <a:xfrm>
                            <a:off x="0" y="0"/>
                            <a:ext cx="498789" cy="285021"/>
                          </a:xfrm>
                          <a:prstGeom prst="rect">
                            <a:avLst/>
                          </a:prstGeom>
                          <a:ln w="12700" cap="flat">
                            <a:noFill/>
                            <a:miter lim="400000"/>
                          </a:ln>
                          <a:effectLst/>
                        </pic:spPr>
                      </pic:pic>
                    </a:graphicData>
                  </a:graphic>
                </wp:inline>
              </w:drawing>
            </w:r>
            <w:r w:rsidRPr="001E6F64">
              <w:t xml:space="preserve"> </w:t>
            </w:r>
          </w:p>
        </w:tc>
        <w:tc>
          <w:tcPr>
            <w:tcW w:w="8267" w:type="dxa"/>
            <w:tcBorders>
              <w:top w:val="nil"/>
              <w:left w:val="nil"/>
              <w:bottom w:val="nil"/>
              <w:right w:val="nil"/>
            </w:tcBorders>
            <w:tcMar>
              <w:top w:w="80" w:type="dxa"/>
              <w:left w:w="80" w:type="dxa"/>
              <w:bottom w:w="80" w:type="dxa"/>
              <w:right w:w="80" w:type="dxa"/>
            </w:tcMar>
            <w:vAlign w:val="bottom"/>
          </w:tcPr>
          <w:p w14:paraId="23564B80" w14:textId="1D5A716D" w:rsidR="007166EB" w:rsidRPr="001E6F64" w:rsidRDefault="007166EB" w:rsidP="00D465C3">
            <w:pPr>
              <w:pStyle w:val="ABSymbol"/>
            </w:pPr>
            <w:r w:rsidRPr="001E6F64">
              <w:rPr>
                <w:sz w:val="40"/>
              </w:rPr>
              <w:t>CBD</w:t>
            </w:r>
            <w:r w:rsidRPr="001E6F64">
              <w:t>/CP/MOP/12/L.1</w:t>
            </w:r>
          </w:p>
        </w:tc>
      </w:tr>
    </w:tbl>
    <w:p w14:paraId="1F8E2BF8" w14:textId="77777777" w:rsidR="007166EB" w:rsidRPr="001E6F64" w:rsidRDefault="007166EB" w:rsidP="00D465C3">
      <w:pPr>
        <w:pStyle w:val="Body"/>
        <w:widowControl w:val="0"/>
        <w:rPr>
          <w:sz w:val="4"/>
          <w:szCs w:val="4"/>
        </w:rPr>
      </w:pPr>
    </w:p>
    <w:p w14:paraId="2C3997FF" w14:textId="77777777" w:rsidR="007166EB" w:rsidRPr="001E6F64" w:rsidRDefault="007166EB" w:rsidP="00D465C3">
      <w:pPr>
        <w:pStyle w:val="AISpacer"/>
      </w:pPr>
    </w:p>
    <w:tbl>
      <w:tblPr>
        <w:tblW w:w="10348" w:type="dxa"/>
        <w:tblInd w:w="-1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088"/>
        <w:gridCol w:w="3260"/>
      </w:tblGrid>
      <w:tr w:rsidR="007166EB" w:rsidRPr="001E6F64" w14:paraId="4584E7AB" w14:textId="77777777" w:rsidTr="00FC3D89">
        <w:trPr>
          <w:trHeight w:val="1713"/>
        </w:trPr>
        <w:tc>
          <w:tcPr>
            <w:tcW w:w="7088"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3888CF61" w14:textId="77777777" w:rsidR="007166EB" w:rsidRPr="001E6F64" w:rsidRDefault="007166EB" w:rsidP="00D465C3">
            <w:pPr>
              <w:pStyle w:val="ACLargeLogo"/>
            </w:pPr>
            <w:r w:rsidRPr="001E6F64">
              <w:rPr>
                <w:noProof/>
                <w:sz w:val="22"/>
              </w:rPr>
              <w:drawing>
                <wp:inline distT="0" distB="0" distL="0" distR="0" wp14:anchorId="28BD3916" wp14:editId="19DB80BA">
                  <wp:extent cx="2755632" cy="1013099"/>
                  <wp:effectExtent l="0" t="0" r="6985"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officeArt object"/>
                          <pic:cNvPicPr>
                            <a:picLocks noChangeAspect="1"/>
                          </pic:cNvPicPr>
                        </pic:nvPicPr>
                        <pic:blipFill>
                          <a:blip r:embed="rId14"/>
                          <a:stretch>
                            <a:fillRect/>
                          </a:stretch>
                        </pic:blipFill>
                        <pic:spPr>
                          <a:xfrm>
                            <a:off x="0" y="0"/>
                            <a:ext cx="2755632" cy="1013099"/>
                          </a:xfrm>
                          <a:prstGeom prst="rect">
                            <a:avLst/>
                          </a:prstGeom>
                          <a:ln w="12700" cap="flat">
                            <a:noFill/>
                            <a:miter lim="400000"/>
                          </a:ln>
                          <a:effectLst/>
                        </pic:spPr>
                      </pic:pic>
                    </a:graphicData>
                  </a:graphic>
                </wp:inline>
              </w:drawing>
            </w:r>
            <w:r w:rsidRPr="001E6F64">
              <w:t xml:space="preserve"> </w:t>
            </w:r>
          </w:p>
        </w:tc>
        <w:tc>
          <w:tcPr>
            <w:tcW w:w="3260"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7388897D" w14:textId="0F461297" w:rsidR="007166EB" w:rsidRPr="001E6F64" w:rsidRDefault="007166EB" w:rsidP="00D465C3">
            <w:pPr>
              <w:pStyle w:val="AEDistrNormal"/>
              <w:ind w:left="60"/>
            </w:pPr>
            <w:r w:rsidRPr="001E6F64">
              <w:t xml:space="preserve">Distr. limitada </w:t>
            </w:r>
          </w:p>
          <w:p w14:paraId="6E80A30D" w14:textId="77777777" w:rsidR="00EB2407" w:rsidRPr="001E6F64" w:rsidRDefault="00023B73" w:rsidP="00D465C3">
            <w:pPr>
              <w:pStyle w:val="AEDistrNormal"/>
              <w:ind w:left="60"/>
            </w:pPr>
            <w:r w:rsidRPr="001E6F64">
              <w:t>29 de octubre de 2026</w:t>
            </w:r>
          </w:p>
          <w:p w14:paraId="6195A918" w14:textId="57FC2B7F" w:rsidR="007166EB" w:rsidRPr="001E6F64" w:rsidRDefault="007166EB" w:rsidP="00D465C3">
            <w:pPr>
              <w:pStyle w:val="AEDistrNormal"/>
              <w:ind w:left="60"/>
            </w:pPr>
            <w:r w:rsidRPr="001E6F64">
              <w:t>Español</w:t>
            </w:r>
            <w:r w:rsidRPr="001E6F64">
              <w:br/>
              <w:t>Original: inglés</w:t>
            </w:r>
          </w:p>
        </w:tc>
      </w:tr>
    </w:tbl>
    <w:p w14:paraId="16B85ED2" w14:textId="77777777" w:rsidR="007166EB" w:rsidRPr="001E6F64" w:rsidRDefault="007166EB" w:rsidP="00D465C3">
      <w:pPr>
        <w:pStyle w:val="AISpacer"/>
        <w:widowControl w:val="0"/>
      </w:pPr>
    </w:p>
    <w:p w14:paraId="3A1A4DA5" w14:textId="77777777" w:rsidR="007166EB" w:rsidRPr="001E6F64" w:rsidRDefault="007166EB" w:rsidP="00D465C3">
      <w:pPr>
        <w:pStyle w:val="AISpace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094"/>
        <w:gridCol w:w="4004"/>
      </w:tblGrid>
      <w:tr w:rsidR="007166EB" w:rsidRPr="001E6F64" w14:paraId="62F637B6" w14:textId="77777777" w:rsidTr="00947347">
        <w:trPr>
          <w:trHeight w:val="1855"/>
        </w:trPr>
        <w:tc>
          <w:tcPr>
            <w:tcW w:w="6094" w:type="dxa"/>
            <w:tcBorders>
              <w:top w:val="nil"/>
              <w:left w:val="nil"/>
              <w:bottom w:val="nil"/>
              <w:right w:val="nil"/>
            </w:tcBorders>
            <w:tcMar>
              <w:top w:w="80" w:type="dxa"/>
              <w:left w:w="80" w:type="dxa"/>
              <w:bottom w:w="80" w:type="dxa"/>
              <w:right w:w="80" w:type="dxa"/>
            </w:tcMar>
          </w:tcPr>
          <w:p w14:paraId="1E2184FE" w14:textId="789150DF" w:rsidR="007166EB" w:rsidRPr="001E6F64" w:rsidRDefault="007166EB" w:rsidP="00D465C3">
            <w:pPr>
              <w:pStyle w:val="AFCorN12Bold"/>
              <w:ind w:left="-43"/>
            </w:pPr>
            <w:r w:rsidRPr="001E6F64">
              <w:t xml:space="preserve">Conferencia de las Partes en el Convenio sobre la Diversidad Biológica que actúa como reunión de las Partes en el Protocolo de Cartagena sobre Seguridad de la Biotecnología </w:t>
            </w:r>
          </w:p>
          <w:p w14:paraId="06F7B3C8" w14:textId="77777777" w:rsidR="007166EB" w:rsidRPr="001E6F64" w:rsidRDefault="007166EB" w:rsidP="00D465C3">
            <w:pPr>
              <w:pStyle w:val="AFCorNBold"/>
              <w:ind w:left="-43"/>
            </w:pPr>
            <w:r w:rsidRPr="001E6F64">
              <w:t xml:space="preserve">12ª reunión </w:t>
            </w:r>
          </w:p>
          <w:p w14:paraId="67B8B946" w14:textId="5C90AE33" w:rsidR="007166EB" w:rsidRPr="001E6F64" w:rsidRDefault="007166EB" w:rsidP="00D465C3">
            <w:pPr>
              <w:pStyle w:val="AFCorNNormal"/>
              <w:ind w:left="-43"/>
            </w:pPr>
            <w:r w:rsidRPr="001E6F64">
              <w:t xml:space="preserve">Ereván, </w:t>
            </w:r>
            <w:r w:rsidRPr="001E6F64">
              <w:rPr>
                <w:snapToGrid w:val="0"/>
              </w:rPr>
              <w:t>19 a 30 de octubre de 2026</w:t>
            </w:r>
          </w:p>
          <w:p w14:paraId="34A8A66B" w14:textId="4786C8AA" w:rsidR="007166EB" w:rsidRPr="001E6F64" w:rsidRDefault="006D7385" w:rsidP="00D465C3">
            <w:pPr>
              <w:pStyle w:val="AFCorNNormal"/>
              <w:ind w:left="-43"/>
            </w:pPr>
            <w:r w:rsidRPr="001E6F64">
              <w:t xml:space="preserve">Tema 19 del programa </w:t>
            </w:r>
          </w:p>
          <w:p w14:paraId="4505379B" w14:textId="1EF491CD" w:rsidR="007166EB" w:rsidRPr="001E6F64" w:rsidRDefault="006D7385" w:rsidP="00D465C3">
            <w:pPr>
              <w:pStyle w:val="AFCorNBold"/>
              <w:ind w:left="-43"/>
            </w:pPr>
            <w:r w:rsidRPr="001E6F64">
              <w:t>Adopción del informe</w:t>
            </w:r>
          </w:p>
        </w:tc>
        <w:tc>
          <w:tcPr>
            <w:tcW w:w="4004" w:type="dxa"/>
            <w:tcBorders>
              <w:top w:val="nil"/>
              <w:left w:val="nil"/>
              <w:bottom w:val="nil"/>
              <w:right w:val="nil"/>
            </w:tcBorders>
            <w:tcMar>
              <w:top w:w="80" w:type="dxa"/>
              <w:left w:w="80" w:type="dxa"/>
              <w:bottom w:w="80" w:type="dxa"/>
              <w:right w:w="80" w:type="dxa"/>
            </w:tcMar>
          </w:tcPr>
          <w:p w14:paraId="7432FBE3" w14:textId="77777777" w:rsidR="007166EB" w:rsidRPr="001E6F64" w:rsidRDefault="007166EB" w:rsidP="00D465C3"/>
        </w:tc>
      </w:tr>
    </w:tbl>
    <w:p w14:paraId="1AC431E3" w14:textId="77777777" w:rsidR="007166EB" w:rsidRPr="001E6F64" w:rsidRDefault="007166EB" w:rsidP="00D465C3">
      <w:pPr>
        <w:pStyle w:val="AISpacer"/>
        <w:widowControl w:val="0"/>
      </w:pPr>
    </w:p>
    <w:p w14:paraId="3D16DC89" w14:textId="77777777" w:rsidR="008A1499" w:rsidRPr="001E6F64" w:rsidRDefault="008A1499" w:rsidP="00D465C3">
      <w:pPr>
        <w:pStyle w:val="AISpacer"/>
      </w:pPr>
    </w:p>
    <w:p w14:paraId="62873911" w14:textId="0A5F20AA" w:rsidR="000C6FBB" w:rsidRPr="001E6F64" w:rsidRDefault="00F2418F" w:rsidP="00D465C3">
      <w:pPr>
        <w:pStyle w:val="CBDTitle"/>
      </w:pPr>
      <w:sdt>
        <w:sdtPr>
          <w:alias w:val="Title"/>
          <w:tag w:val=""/>
          <w:id w:val="-1975355689"/>
          <w:placeholder>
            <w:docPart w:val="81F4229FB9114AD7BB0D32BC5F5A70FD"/>
          </w:placeholder>
          <w:dataBinding w:prefixMappings="xmlns:ns0='http://purl.org/dc/elements/1.1/' xmlns:ns1='http://schemas.openxmlformats.org/package/2006/metadata/core-properties' " w:xpath="/ns1:coreProperties[1]/ns0:title[1]" w:storeItemID="{6C3C8BC8-F283-45AE-878A-BAB7291924A1}"/>
          <w:text/>
        </w:sdtPr>
        <w:sdtEndPr/>
        <w:sdtContent>
          <w:r w:rsidR="00EB2407" w:rsidRPr="001E6F64">
            <w:t>Proyecto de informe de la reunión</w:t>
          </w:r>
        </w:sdtContent>
      </w:sdt>
    </w:p>
    <w:p w14:paraId="0DD179DD" w14:textId="1A2041C1" w:rsidR="00C9161D" w:rsidRPr="001E6F64" w:rsidRDefault="0035311B" w:rsidP="00D465C3">
      <w:pPr>
        <w:pStyle w:val="CBDH1"/>
        <w:ind w:left="0" w:firstLine="0"/>
      </w:pPr>
      <w:r w:rsidRPr="001E6F64">
        <w:t>Introducción</w:t>
      </w:r>
    </w:p>
    <w:p w14:paraId="4597F424" w14:textId="77777777" w:rsidR="00AF0C14" w:rsidRPr="001E6F64" w:rsidRDefault="00AF0C14" w:rsidP="00D465C3">
      <w:pPr>
        <w:pStyle w:val="CBDH2"/>
      </w:pPr>
      <w:r w:rsidRPr="001E6F64">
        <w:t>A.</w:t>
      </w:r>
      <w:r w:rsidRPr="001E6F64">
        <w:tab/>
        <w:t>Antecedentes</w:t>
      </w:r>
    </w:p>
    <w:p w14:paraId="717DE90F" w14:textId="2BADD59E" w:rsidR="00AF0C14" w:rsidRPr="001E6F64" w:rsidRDefault="00AF0C14" w:rsidP="00D465C3">
      <w:pPr>
        <w:pStyle w:val="CBDNormalNumber"/>
      </w:pPr>
      <w:r w:rsidRPr="001E6F64">
        <w:t xml:space="preserve">La 12ª reunión de la Conferencia de las Partes que actúa como reunión de las Partes en el Protocolo de Cartagena sobre Seguridad de la Biotecnología se celebró en Ereván del 19 al 30 de octubre de 2026 en forma concurrente con la 17ª reunión de la Conferencia de las Partes en el Convenio sobre la Diversidad Biológica y la sexta reunión de la Conferencia de las Partes que actúa como reunión de las Partes en el Protocolo de Nagoya sobre Acceso a los Recursos Genéticos y Participación Justa y Equitativa en los Beneficios que se Deriven de su Utilización. </w:t>
      </w:r>
      <w:bookmarkStart w:id="0" w:name="_Hlk180682046"/>
    </w:p>
    <w:p w14:paraId="0662D871" w14:textId="43EF549F" w:rsidR="00AF0C14" w:rsidRPr="001E6F64" w:rsidRDefault="00AF0C14" w:rsidP="00D465C3">
      <w:pPr>
        <w:pStyle w:val="CBDNormalNumber"/>
      </w:pPr>
      <w:r w:rsidRPr="001E6F64">
        <w:t>La 12ª reunión estuvo precedida por una ceremonia de apertura que tuvo lugar el 18 de octubre de 2026 y consistió en una presentación cultural y declaraciones</w:t>
      </w:r>
      <w:r w:rsidRPr="001E6F64">
        <w:rPr>
          <w:rStyle w:val="FootnoteReference"/>
        </w:rPr>
        <w:footnoteReference w:id="1"/>
      </w:r>
      <w:r w:rsidRPr="001E6F64">
        <w:t xml:space="preserve"> del Primer Ministro de Armenia, Nikol Pashinyan, el Ministro de Asuntos Exteriores de Armenia, Ararat Mirzoyan, la Secretaria Ejecutiva del Convenio, Astrid Schomaker, el Viceministro de Ordenamiento Ambiental del Territorio del Ministerio de Ambiente y Desarrollo Sostenible de Colombia, David Felipe Olarte Amaya, en nombre del Presidente de la 16ª reunión de la Conferencia de las Partes, y el Ministro de Medio Ambiente de Armenia, Hambardzum Matevosyan.</w:t>
      </w:r>
      <w:bookmarkEnd w:id="0"/>
    </w:p>
    <w:p w14:paraId="1916216C" w14:textId="77777777" w:rsidR="00AF0C14" w:rsidRPr="001E6F64" w:rsidRDefault="00AF0C14" w:rsidP="00D465C3">
      <w:pPr>
        <w:pStyle w:val="CBDH2"/>
      </w:pPr>
      <w:r w:rsidRPr="001E6F64">
        <w:t>B.</w:t>
      </w:r>
      <w:r w:rsidRPr="001E6F64">
        <w:tab/>
        <w:t>Asistentes</w:t>
      </w:r>
    </w:p>
    <w:p w14:paraId="010CF2D2" w14:textId="77777777" w:rsidR="00AF0C14" w:rsidRPr="001E6F64" w:rsidRDefault="00AF0C14" w:rsidP="00D465C3">
      <w:pPr>
        <w:pStyle w:val="CBDNormalNumber"/>
      </w:pPr>
      <w:r w:rsidRPr="001E6F64">
        <w:t>Asistieron a la reunión representantes de [</w:t>
      </w:r>
      <w:r w:rsidRPr="001E6F64">
        <w:rPr>
          <w:i/>
        </w:rPr>
        <w:t>se completará</w:t>
      </w:r>
      <w:r w:rsidRPr="001E6F64">
        <w:t>] Partes y [</w:t>
      </w:r>
      <w:r w:rsidRPr="001E6F64">
        <w:rPr>
          <w:i/>
        </w:rPr>
        <w:t>se completará</w:t>
      </w:r>
      <w:r w:rsidRPr="001E6F64">
        <w:t>] Estados que no son Partes.</w:t>
      </w:r>
    </w:p>
    <w:p w14:paraId="25E251CC" w14:textId="77777777" w:rsidR="0093169E" w:rsidRPr="001E6F64" w:rsidRDefault="0035311B" w:rsidP="00D465C3">
      <w:pPr>
        <w:pStyle w:val="CBDAgendaItem"/>
        <w:rPr>
          <w:rFonts w:hint="eastAsia"/>
        </w:rPr>
      </w:pPr>
      <w:r w:rsidRPr="001E6F64">
        <w:lastRenderedPageBreak/>
        <w:t xml:space="preserve">Tema 1 </w:t>
      </w:r>
      <w:r w:rsidRPr="001E6F64">
        <w:br/>
        <w:t xml:space="preserve">Apertura de la reunión </w:t>
      </w:r>
    </w:p>
    <w:p w14:paraId="4CC770F4" w14:textId="189FF4A6" w:rsidR="00B30C6B" w:rsidRPr="001E6F64" w:rsidRDefault="00B30C6B" w:rsidP="00D465C3">
      <w:pPr>
        <w:pStyle w:val="CBDNormalNumber"/>
      </w:pPr>
      <w:r w:rsidRPr="001E6F64">
        <w:t xml:space="preserve">La primera sesión plenaria se celebró el 19 de octubre de 2026 </w:t>
      </w:r>
      <w:proofErr w:type="gramStart"/>
      <w:r w:rsidRPr="001E6F64">
        <w:t>conjuntamente con</w:t>
      </w:r>
      <w:proofErr w:type="gramEnd"/>
      <w:r w:rsidRPr="001E6F64">
        <w:t xml:space="preserve"> las sesiones plenarias de la Conferencia de las Partes en el Convenio y la Conferencia de las Partes que actúa como reunión de las Partes en el Protocolo de Nagoya.</w:t>
      </w:r>
    </w:p>
    <w:p w14:paraId="1A451D2E" w14:textId="6F0EC77D" w:rsidR="00B30C6B" w:rsidRPr="001E6F64" w:rsidRDefault="00B30C6B" w:rsidP="00D465C3">
      <w:pPr>
        <w:pStyle w:val="CBDNormalNumber"/>
      </w:pPr>
      <w:r w:rsidRPr="001E6F64">
        <w:t xml:space="preserve">El </w:t>
      </w:r>
      <w:proofErr w:type="gramStart"/>
      <w:r w:rsidRPr="001E6F64">
        <w:t>Presidente</w:t>
      </w:r>
      <w:proofErr w:type="gramEnd"/>
      <w:r w:rsidRPr="001E6F64">
        <w:t xml:space="preserve"> de la 11ª reunión de la Conferencia de las Partes que actúa como reunión de las Partes en el Protocolo de Cartagena declaró abierta la sesión a las 10.25 horas y pronunció su discurso de apertura</w:t>
      </w:r>
      <w:r w:rsidR="00012DD6" w:rsidRPr="001E6F64">
        <w:rPr>
          <w:rStyle w:val="FootnoteReference"/>
        </w:rPr>
        <w:footnoteReference w:id="2"/>
      </w:r>
      <w:r w:rsidRPr="001E6F64">
        <w:t>.</w:t>
      </w:r>
    </w:p>
    <w:p w14:paraId="687D2DB3" w14:textId="5E7F8DDA" w:rsidR="00B30C6B" w:rsidRPr="001E6F64" w:rsidRDefault="00B30C6B" w:rsidP="00D465C3">
      <w:pPr>
        <w:pStyle w:val="CBDNormalNumber"/>
      </w:pPr>
      <w:r w:rsidRPr="001E6F64">
        <w:t xml:space="preserve">También pronunciaron discursos de apertura el </w:t>
      </w:r>
      <w:proofErr w:type="gramStart"/>
      <w:r w:rsidRPr="001E6F64">
        <w:t>Ministro</w:t>
      </w:r>
      <w:proofErr w:type="gramEnd"/>
      <w:r w:rsidRPr="001E6F64">
        <w:t xml:space="preserve"> de Medio Ambiente de Armenia, Hambardzum Matevosyan, y la </w:t>
      </w:r>
      <w:proofErr w:type="gramStart"/>
      <w:r w:rsidRPr="001E6F64">
        <w:t>Secretaria Ejecutiva</w:t>
      </w:r>
      <w:proofErr w:type="gramEnd"/>
      <w:r w:rsidRPr="001E6F64">
        <w:t xml:space="preserve"> del Convenio, Astrid Schomaker</w:t>
      </w:r>
      <w:r w:rsidRPr="001E6F64">
        <w:rPr>
          <w:rStyle w:val="FootnoteReference"/>
          <w:rFonts w:asciiTheme="majorBidi" w:hAnsiTheme="majorBidi" w:cstheme="majorBidi"/>
        </w:rPr>
        <w:footnoteReference w:id="3"/>
      </w:r>
      <w:r w:rsidRPr="001E6F64">
        <w:t>.</w:t>
      </w:r>
    </w:p>
    <w:p w14:paraId="18A3844B" w14:textId="5E71D7E2" w:rsidR="008752A2" w:rsidRPr="001E6F64" w:rsidRDefault="008752A2" w:rsidP="00D465C3">
      <w:pPr>
        <w:pStyle w:val="CBDNormalNumber"/>
      </w:pPr>
      <w:r w:rsidRPr="001E6F64">
        <w:t xml:space="preserve">El </w:t>
      </w:r>
      <w:proofErr w:type="gramStart"/>
      <w:r w:rsidRPr="001E6F64">
        <w:t>Ministro</w:t>
      </w:r>
      <w:proofErr w:type="gramEnd"/>
      <w:r w:rsidRPr="001E6F64">
        <w:t xml:space="preserve"> de Ecología y Medio Ambiente de China y </w:t>
      </w:r>
      <w:proofErr w:type="gramStart"/>
      <w:r w:rsidRPr="001E6F64">
        <w:t>Presidente</w:t>
      </w:r>
      <w:proofErr w:type="gramEnd"/>
      <w:r w:rsidRPr="001E6F64">
        <w:t xml:space="preserve"> de la 15ª reunión de la Conferencia de las Partes en el Convenio, Huang Runqiu, presentó un informe sobre los resultados del diálogo de Kunming sobre los progresos colectivos en la implementación del Marco Mundial de Biodiversidad de Kunming-Montreal, celebrado unas semanas antes</w:t>
      </w:r>
      <w:r w:rsidRPr="001E6F64">
        <w:rPr>
          <w:rStyle w:val="FootnoteReference"/>
        </w:rPr>
        <w:footnoteReference w:id="4"/>
      </w:r>
      <w:r w:rsidRPr="001E6F64">
        <w:t>.</w:t>
      </w:r>
    </w:p>
    <w:p w14:paraId="5416F61B" w14:textId="1540F02E" w:rsidR="008752A2" w:rsidRPr="001E6F64" w:rsidRDefault="008752A2" w:rsidP="00D465C3">
      <w:pPr>
        <w:pStyle w:val="CBDNormalNumber"/>
        <w:rPr>
          <w:bCs/>
        </w:rPr>
      </w:pPr>
      <w:r w:rsidRPr="001E6F64">
        <w:t>Formularon declaraciones representantes de las siguientes Partes: Antigua y Barbuda (en nombre de los pequeños Estados insulares en desarrollo del Caribe representados en las reuniones), Irlanda (en nombre de la Unión Europea y sus Estados miembros), Jamaica (en nombre de los Estados de América Latina y el Caribe), Jordania (en nombre de los Estados de Asia y el Pacífico), Noruega (también en nombre de Australia, Canadá, Islandia, Mónaco, Nueva Zelandia, Reino Unido de Gran Bretaña e Irlanda del Norte y Suiza), Filipinas (en nombre de la Asociación de Naciones de Asia Sudoriental), Arabia Saudita (en nombre de la Liga de los Estados Árabes), Senegal (en nombre de los Estados de África) y Sudáfrica (en nombre del Grupo de Países Megadiversos Afines).</w:t>
      </w:r>
    </w:p>
    <w:p w14:paraId="0FEC40E1" w14:textId="6372EAEF" w:rsidR="008752A2" w:rsidRPr="001E6F64" w:rsidRDefault="008752A2" w:rsidP="00D465C3">
      <w:pPr>
        <w:pStyle w:val="CBDNormalNumber"/>
        <w:rPr>
          <w:bCs/>
        </w:rPr>
      </w:pPr>
      <w:r w:rsidRPr="001E6F64">
        <w:t>También formularon declaraciones representantes de la Alianza del CDB, Business for Nature, el Foro Internacional Indígena sobre Biodiversidad, el Grupo de Mujeres del CDB, CLEI – Gobiernos Locales por la Sostenibilidad (también en nombre de Regions4) y la Red Mundial de Jóvenes por la Biodiversidad.</w:t>
      </w:r>
    </w:p>
    <w:p w14:paraId="2C91B3E5" w14:textId="77777777" w:rsidR="0093169E" w:rsidRPr="001E6F64" w:rsidRDefault="00785334" w:rsidP="00D465C3">
      <w:pPr>
        <w:pStyle w:val="CBDAgendaItem"/>
        <w:rPr>
          <w:rFonts w:hint="eastAsia"/>
        </w:rPr>
      </w:pPr>
      <w:r w:rsidRPr="001E6F64">
        <w:t xml:space="preserve">Tema 2 </w:t>
      </w:r>
      <w:r w:rsidRPr="001E6F64">
        <w:br/>
        <w:t>Cuestiones de organización</w:t>
      </w:r>
    </w:p>
    <w:p w14:paraId="55FA1695" w14:textId="4B794232" w:rsidR="008752A2" w:rsidRPr="001E6F64" w:rsidRDefault="008752A2" w:rsidP="00D465C3">
      <w:pPr>
        <w:pStyle w:val="CBDNormalNumber"/>
      </w:pPr>
      <w:r w:rsidRPr="001E6F64">
        <w:t>La Conferencia de las Partes que actúa como reunión de las Partes en el Protocolo de Cartagena examinó el tema 2 del programa en su primera sesión plenaria. Tuvo ante sí el programa provisional de la reunión</w:t>
      </w:r>
      <w:r w:rsidRPr="001E6F64">
        <w:rPr>
          <w:rStyle w:val="FootnoteReference"/>
        </w:rPr>
        <w:footnoteReference w:id="5"/>
      </w:r>
      <w:r w:rsidRPr="001E6F64">
        <w:t>, las anotaciones al programa provisional</w:t>
      </w:r>
      <w:r w:rsidRPr="001E6F64">
        <w:rPr>
          <w:rStyle w:val="FootnoteReference"/>
        </w:rPr>
        <w:footnoteReference w:id="6"/>
      </w:r>
      <w:r w:rsidRPr="001E6F64">
        <w:t xml:space="preserve"> y una nota con un posible esquema para la reunión</w:t>
      </w:r>
      <w:r w:rsidRPr="001E6F64">
        <w:rPr>
          <w:rStyle w:val="FootnoteReference"/>
        </w:rPr>
        <w:footnoteReference w:id="7"/>
      </w:r>
      <w:r w:rsidRPr="001E6F64">
        <w:t xml:space="preserve">. </w:t>
      </w:r>
    </w:p>
    <w:p w14:paraId="3895A21D" w14:textId="40E6491F" w:rsidR="000F305B" w:rsidRPr="001E6F64" w:rsidRDefault="000F305B" w:rsidP="00D465C3">
      <w:pPr>
        <w:pStyle w:val="CBDAgendaItem"/>
        <w:rPr>
          <w:rFonts w:ascii="Times New Roman" w:hAnsi="Times New Roman" w:cs="Times New Roman"/>
          <w:b w:val="0"/>
          <w:i/>
          <w:iCs/>
          <w:sz w:val="22"/>
        </w:rPr>
      </w:pPr>
      <w:r w:rsidRPr="001E6F64">
        <w:rPr>
          <w:rFonts w:ascii="Times New Roman" w:hAnsi="Times New Roman"/>
          <w:b w:val="0"/>
          <w:i/>
          <w:sz w:val="22"/>
        </w:rPr>
        <w:t>Elección de la Presidencia</w:t>
      </w:r>
    </w:p>
    <w:p w14:paraId="2CB14DE1" w14:textId="7B72589A" w:rsidR="000A1551" w:rsidRPr="001E6F64" w:rsidRDefault="000A1551" w:rsidP="00D465C3">
      <w:pPr>
        <w:pStyle w:val="CBDNormalNumber"/>
      </w:pPr>
      <w:r w:rsidRPr="001E6F64">
        <w:t xml:space="preserve">De conformidad con el párrafo 3 del artículo 29 del Protocolo de Cartagena, la Mesa de la Conferencia de las Partes en el Convenio actúa también como Mesa de la Conferencia de las Partes que actúa como reunión de las Partes en el Protocolo. Por consiguiente, el </w:t>
      </w:r>
      <w:proofErr w:type="gramStart"/>
      <w:r w:rsidRPr="001E6F64">
        <w:t>Ministro</w:t>
      </w:r>
      <w:proofErr w:type="gramEnd"/>
      <w:r w:rsidRPr="001E6F64">
        <w:t xml:space="preserve"> de Medio Ambiente de Armenia, a quien se había </w:t>
      </w:r>
      <w:proofErr w:type="gramStart"/>
      <w:r w:rsidRPr="001E6F64">
        <w:t>elegido como</w:t>
      </w:r>
      <w:proofErr w:type="gramEnd"/>
      <w:r w:rsidRPr="001E6F64">
        <w:t xml:space="preserve"> </w:t>
      </w:r>
      <w:proofErr w:type="gramStart"/>
      <w:r w:rsidRPr="001E6F64">
        <w:t>Presidente</w:t>
      </w:r>
      <w:proofErr w:type="gramEnd"/>
      <w:r w:rsidRPr="001E6F64">
        <w:t xml:space="preserve"> de la 17ª reunión de la Conferencia de las Partes en el Convenio, ofició también de </w:t>
      </w:r>
      <w:proofErr w:type="gramStart"/>
      <w:r w:rsidRPr="001E6F64">
        <w:t>Presidente</w:t>
      </w:r>
      <w:proofErr w:type="gramEnd"/>
      <w:r w:rsidRPr="001E6F64">
        <w:t xml:space="preserve"> de la 12ª reunión de la Conferencia de las Partes que actúa como reunión de las Partes en el Protocolo.</w:t>
      </w:r>
    </w:p>
    <w:p w14:paraId="6CAF1FBF" w14:textId="06A8876F" w:rsidR="000F78FC" w:rsidRPr="001E6F64" w:rsidRDefault="00785334" w:rsidP="00D465C3">
      <w:pPr>
        <w:pStyle w:val="CBDAgendaItem"/>
        <w:rPr>
          <w:rFonts w:ascii="Times New Roman" w:hAnsi="Times New Roman" w:cs="Times New Roman"/>
          <w:b w:val="0"/>
          <w:i/>
          <w:sz w:val="22"/>
        </w:rPr>
      </w:pPr>
      <w:r w:rsidRPr="001E6F64">
        <w:rPr>
          <w:rFonts w:ascii="Times New Roman" w:hAnsi="Times New Roman"/>
          <w:b w:val="0"/>
          <w:i/>
          <w:sz w:val="22"/>
        </w:rPr>
        <w:lastRenderedPageBreak/>
        <w:t>Elección de miembros sustitutos de la Mesa</w:t>
      </w:r>
    </w:p>
    <w:p w14:paraId="005F7A7F" w14:textId="4CCA1A93" w:rsidR="00630536" w:rsidRPr="001E6F64" w:rsidRDefault="00630536" w:rsidP="00D465C3">
      <w:pPr>
        <w:pStyle w:val="CBDNormalNumber"/>
      </w:pPr>
      <w:r w:rsidRPr="001E6F64">
        <w:t xml:space="preserve">De conformidad con el artículo 21 del reglamento para las reuniones de la Conferencia de las Partes en el Convenio, que se aplica mutatis mutandis en virtud del Protocolo de Cartagena, la Conferencia de las Partes, en su 16ª reunión, había elegido a 10 personas para los puestos de Vicepresidencia, con un mandato que finalizaría al cierre de la 17ª reunión. Posteriormente, dos de los representantes habían sido sustituidos por las Partes correspondientes. Además, en su 11ª reunión, la Conferencia de las Partes que actúa como reunión de las Partes en el Protocolo había elegido a un miembro sustituto de la Mesa para la región en la que el miembro de la Mesa representaba a una Parte en el Convenio que no era Parte en el Protocolo. Por lo tanto, además del </w:t>
      </w:r>
      <w:proofErr w:type="gramStart"/>
      <w:r w:rsidRPr="001E6F64">
        <w:t>Presidente</w:t>
      </w:r>
      <w:proofErr w:type="gramEnd"/>
      <w:r w:rsidRPr="001E6F64">
        <w:t>, la actual Mesa de la 12ª reunión de la Conferencia de las Partes que actúa como reunión de las Partes en el Protocolo quedó conformada por los siguientes miembros:</w:t>
      </w:r>
    </w:p>
    <w:p w14:paraId="69EAFBA1" w14:textId="7CA37FB4" w:rsidR="00630536" w:rsidRPr="001E6F64" w:rsidRDefault="009C617B" w:rsidP="00D465C3">
      <w:pPr>
        <w:spacing w:before="40" w:after="40"/>
        <w:ind w:left="1134"/>
        <w:jc w:val="left"/>
        <w:rPr>
          <w:rFonts w:asciiTheme="majorBidi" w:hAnsiTheme="majorBidi" w:cstheme="majorBidi"/>
        </w:rPr>
      </w:pPr>
      <w:r w:rsidRPr="001E6F64">
        <w:t xml:space="preserve">Joséphine Thérèse Babette Beyala Epse Eloundou (Camerún) </w:t>
      </w:r>
    </w:p>
    <w:p w14:paraId="76C430BE" w14:textId="77777777" w:rsidR="00630536" w:rsidRPr="001E6F64" w:rsidRDefault="00630536" w:rsidP="00D465C3">
      <w:pPr>
        <w:spacing w:before="40" w:after="40"/>
        <w:ind w:left="1134"/>
        <w:jc w:val="left"/>
        <w:rPr>
          <w:rFonts w:asciiTheme="majorBidi" w:hAnsiTheme="majorBidi" w:cstheme="majorBidi"/>
        </w:rPr>
      </w:pPr>
      <w:r w:rsidRPr="001E6F64">
        <w:t>Jonas Komi Anthé (Togo)</w:t>
      </w:r>
    </w:p>
    <w:p w14:paraId="5F8EEEC5" w14:textId="6480E3B2" w:rsidR="00630536" w:rsidRPr="001E6F64" w:rsidRDefault="00630536" w:rsidP="00D465C3">
      <w:pPr>
        <w:spacing w:before="40" w:after="40"/>
        <w:ind w:left="1134"/>
        <w:jc w:val="left"/>
        <w:rPr>
          <w:rFonts w:asciiTheme="majorBidi" w:hAnsiTheme="majorBidi" w:cstheme="majorBidi"/>
        </w:rPr>
      </w:pPr>
      <w:r w:rsidRPr="001E6F64">
        <w:t>Bilal Qtishat (Jordania)</w:t>
      </w:r>
    </w:p>
    <w:p w14:paraId="096ADE40" w14:textId="6BD13658" w:rsidR="00630536" w:rsidRPr="001E6F64" w:rsidRDefault="00630536" w:rsidP="00D465C3">
      <w:pPr>
        <w:spacing w:before="40" w:after="40"/>
        <w:ind w:left="1134"/>
        <w:jc w:val="left"/>
        <w:rPr>
          <w:rFonts w:asciiTheme="majorBidi" w:hAnsiTheme="majorBidi" w:cstheme="majorBidi"/>
        </w:rPr>
      </w:pPr>
      <w:r w:rsidRPr="001E6F64">
        <w:t>Ilham Atho Mohamed (Maldivas)</w:t>
      </w:r>
    </w:p>
    <w:p w14:paraId="63DCF931" w14:textId="77777777" w:rsidR="00630536" w:rsidRPr="001E6F64" w:rsidRDefault="00630536" w:rsidP="00D465C3">
      <w:pPr>
        <w:spacing w:before="40" w:after="40"/>
        <w:ind w:left="1134"/>
        <w:jc w:val="left"/>
        <w:rPr>
          <w:rFonts w:asciiTheme="majorBidi" w:hAnsiTheme="majorBidi" w:cstheme="majorBidi"/>
        </w:rPr>
      </w:pPr>
      <w:r w:rsidRPr="001E6F64">
        <w:t>Adla Kahrić (Bosnia y Herzegovina)</w:t>
      </w:r>
    </w:p>
    <w:p w14:paraId="2F50B2A1" w14:textId="5C6375AB" w:rsidR="00630536" w:rsidRPr="001E6F64" w:rsidRDefault="00B44651" w:rsidP="00D465C3">
      <w:pPr>
        <w:spacing w:before="40" w:after="40"/>
        <w:ind w:left="1134"/>
        <w:jc w:val="left"/>
        <w:rPr>
          <w:rFonts w:asciiTheme="majorBidi" w:hAnsiTheme="majorBidi" w:cstheme="majorBidi"/>
        </w:rPr>
      </w:pPr>
      <w:r w:rsidRPr="001E6F64">
        <w:t>Bakhromjon Kholkhujaev (Uzbekistán)</w:t>
      </w:r>
    </w:p>
    <w:p w14:paraId="7B8CA624" w14:textId="77777777" w:rsidR="00630536" w:rsidRPr="001E6F64" w:rsidRDefault="00630536" w:rsidP="00D465C3">
      <w:pPr>
        <w:spacing w:before="40" w:after="40"/>
        <w:ind w:left="1134"/>
        <w:jc w:val="left"/>
        <w:rPr>
          <w:rFonts w:asciiTheme="majorBidi" w:hAnsiTheme="majorBidi" w:cstheme="majorBidi"/>
        </w:rPr>
      </w:pPr>
      <w:r w:rsidRPr="001E6F64">
        <w:t>Gillian Guthrie (Jamaica)</w:t>
      </w:r>
    </w:p>
    <w:p w14:paraId="29B0CEAE" w14:textId="77777777" w:rsidR="00944F29" w:rsidRPr="001E6F64" w:rsidRDefault="00944F29" w:rsidP="00D465C3">
      <w:pPr>
        <w:spacing w:before="40" w:after="40"/>
        <w:ind w:left="1134"/>
        <w:jc w:val="left"/>
        <w:rPr>
          <w:rFonts w:asciiTheme="majorBidi" w:hAnsiTheme="majorBidi" w:cstheme="majorBidi"/>
        </w:rPr>
      </w:pPr>
      <w:r w:rsidRPr="001E6F64">
        <w:t xml:space="preserve">Valentina Sierra (Uruguay) </w:t>
      </w:r>
    </w:p>
    <w:p w14:paraId="6E5724CA" w14:textId="77777777" w:rsidR="00944F29" w:rsidRPr="001E6F64" w:rsidRDefault="00944F29" w:rsidP="00D465C3">
      <w:pPr>
        <w:spacing w:before="40" w:after="40"/>
        <w:ind w:left="1134"/>
        <w:jc w:val="left"/>
        <w:rPr>
          <w:rFonts w:asciiTheme="majorBidi" w:hAnsiTheme="majorBidi" w:cstheme="majorBidi"/>
        </w:rPr>
      </w:pPr>
      <w:r w:rsidRPr="001E6F64">
        <w:t>Eric Schauls (Luxemburgo)</w:t>
      </w:r>
    </w:p>
    <w:p w14:paraId="5DCEBD3F" w14:textId="77777777" w:rsidR="00630536" w:rsidRPr="001E6F64" w:rsidRDefault="00630536" w:rsidP="00D465C3">
      <w:pPr>
        <w:spacing w:before="40" w:after="40"/>
        <w:ind w:left="1134"/>
        <w:jc w:val="left"/>
        <w:rPr>
          <w:rFonts w:asciiTheme="majorBidi" w:hAnsiTheme="majorBidi" w:cstheme="majorBidi"/>
        </w:rPr>
      </w:pPr>
      <w:r w:rsidRPr="001E6F64">
        <w:t>Gaute Hanssen (Noruega)</w:t>
      </w:r>
    </w:p>
    <w:p w14:paraId="2E56E79C" w14:textId="7B22C4B9" w:rsidR="0013280B" w:rsidRPr="001E6F64" w:rsidRDefault="002221D9" w:rsidP="00D465C3">
      <w:pPr>
        <w:pStyle w:val="CBDNormalNumber"/>
      </w:pPr>
      <w:r w:rsidRPr="001E6F64">
        <w:t>A propuesta de la Mesa, se acordó que la Sra. Eloundou oficiaría de Relatora de la reunión.</w:t>
      </w:r>
    </w:p>
    <w:p w14:paraId="2B20BB36" w14:textId="0A9F8BD6" w:rsidR="002B7720" w:rsidRPr="001E6F64" w:rsidRDefault="002B7720" w:rsidP="00D465C3">
      <w:pPr>
        <w:pStyle w:val="CBDNormalNumber"/>
        <w:tabs>
          <w:tab w:val="clear" w:pos="567"/>
          <w:tab w:val="clear" w:pos="1701"/>
          <w:tab w:val="clear" w:pos="2268"/>
        </w:tabs>
      </w:pPr>
      <w:r w:rsidRPr="001E6F64">
        <w:t xml:space="preserve">En su cuarta sesión plenaria, el 28 de octubre, de conformidad con el artículo 21 del Reglamento, la Conferencia de las Partes en el Convenio eligió a los siguientes representantes para que integraran la Mesa, con un mandato que comenzaría al cierre de su 17ª reunión, y por lo tanto para que integraran también la Mesa de la Conferencia de las Partes que actúa como reunión de las Partes en el Protocolo a partir del cierre de su 12ª reunión: </w:t>
      </w:r>
    </w:p>
    <w:p w14:paraId="31F0FD50" w14:textId="29DCB773" w:rsidR="003103AF" w:rsidRPr="001E6F64" w:rsidRDefault="002B7720" w:rsidP="00D465C3">
      <w:pPr>
        <w:pStyle w:val="CBDNormalNumber"/>
        <w:numPr>
          <w:ilvl w:val="0"/>
          <w:numId w:val="0"/>
        </w:numPr>
        <w:ind w:left="1134"/>
      </w:pPr>
      <w:r w:rsidRPr="001E6F64">
        <w:t>Ossama Abdelkawy (Egipto) </w:t>
      </w:r>
    </w:p>
    <w:p w14:paraId="54AEE831" w14:textId="462C73DB" w:rsidR="003103AF" w:rsidRPr="001E6F64" w:rsidRDefault="003103AF" w:rsidP="00D465C3">
      <w:pPr>
        <w:pStyle w:val="CBDNormalNumber"/>
        <w:numPr>
          <w:ilvl w:val="0"/>
          <w:numId w:val="0"/>
        </w:numPr>
        <w:ind w:left="1134"/>
      </w:pPr>
      <w:r w:rsidRPr="001E6F64">
        <w:t>Malepo Phoshoko (Sudáfrica)</w:t>
      </w:r>
    </w:p>
    <w:p w14:paraId="541C7D2D" w14:textId="77777777" w:rsidR="002B7720" w:rsidRPr="001E6F64" w:rsidRDefault="002B7720" w:rsidP="00D465C3">
      <w:pPr>
        <w:pStyle w:val="CBDNormalNumber"/>
        <w:numPr>
          <w:ilvl w:val="0"/>
          <w:numId w:val="0"/>
        </w:numPr>
        <w:ind w:left="1134"/>
      </w:pPr>
      <w:r w:rsidRPr="001E6F64">
        <w:t>Inge Retnowati (Indonesia) </w:t>
      </w:r>
    </w:p>
    <w:p w14:paraId="63FB036F" w14:textId="78ABE72E" w:rsidR="002B7720" w:rsidRPr="001E6F64" w:rsidRDefault="002B7720" w:rsidP="00D465C3">
      <w:pPr>
        <w:pStyle w:val="CBDNormalNumber"/>
        <w:numPr>
          <w:ilvl w:val="0"/>
          <w:numId w:val="0"/>
        </w:numPr>
        <w:ind w:left="1134"/>
      </w:pPr>
      <w:r w:rsidRPr="001E6F64">
        <w:t>Mitateti Mote (Kiribati)</w:t>
      </w:r>
    </w:p>
    <w:p w14:paraId="2FBF9C3B" w14:textId="77777777" w:rsidR="002B7720" w:rsidRPr="001E6F64" w:rsidRDefault="002B7720" w:rsidP="00D465C3">
      <w:pPr>
        <w:pStyle w:val="CBDNormalNumber"/>
        <w:numPr>
          <w:ilvl w:val="0"/>
          <w:numId w:val="0"/>
        </w:numPr>
        <w:ind w:left="1134"/>
      </w:pPr>
      <w:r w:rsidRPr="001E6F64">
        <w:t>Adla Kahrić (Bosnia y Herzegovina)</w:t>
      </w:r>
    </w:p>
    <w:p w14:paraId="64D95448" w14:textId="45165CEE" w:rsidR="002B7720" w:rsidRPr="001E6F64" w:rsidRDefault="002B7720" w:rsidP="00D465C3">
      <w:pPr>
        <w:pStyle w:val="CBDNormalNumber"/>
        <w:numPr>
          <w:ilvl w:val="0"/>
          <w:numId w:val="0"/>
        </w:numPr>
        <w:ind w:left="1134"/>
      </w:pPr>
      <w:r w:rsidRPr="001E6F64">
        <w:t>Ditta Greguss (Hungría) </w:t>
      </w:r>
    </w:p>
    <w:p w14:paraId="678F5738" w14:textId="77777777" w:rsidR="00D323CC" w:rsidRPr="001E6F64" w:rsidRDefault="00D323CC" w:rsidP="00D465C3">
      <w:pPr>
        <w:pStyle w:val="CBDNormalNumber"/>
        <w:numPr>
          <w:ilvl w:val="0"/>
          <w:numId w:val="0"/>
        </w:numPr>
        <w:ind w:left="1134"/>
      </w:pPr>
      <w:r w:rsidRPr="001E6F64">
        <w:t>Nneka Nicholas (Antigua y Barbuda) </w:t>
      </w:r>
    </w:p>
    <w:p w14:paraId="008327A0" w14:textId="77777777" w:rsidR="002B7720" w:rsidRPr="001E6F64" w:rsidRDefault="002B7720" w:rsidP="00D465C3">
      <w:pPr>
        <w:pStyle w:val="CBDNormalNumber"/>
        <w:numPr>
          <w:ilvl w:val="0"/>
          <w:numId w:val="0"/>
        </w:numPr>
        <w:ind w:left="1134"/>
      </w:pPr>
      <w:r w:rsidRPr="001E6F64">
        <w:t>Patrick Luna (Brasil) </w:t>
      </w:r>
    </w:p>
    <w:p w14:paraId="3C3725A3" w14:textId="77777777" w:rsidR="002B7720" w:rsidRPr="001E6F64" w:rsidRDefault="002B7720" w:rsidP="00D465C3">
      <w:pPr>
        <w:pStyle w:val="CBDNormalNumber"/>
        <w:numPr>
          <w:ilvl w:val="0"/>
          <w:numId w:val="0"/>
        </w:numPr>
        <w:ind w:left="1134"/>
      </w:pPr>
      <w:r w:rsidRPr="001E6F64">
        <w:t>Charlotta Sörqvist (Suecia) </w:t>
      </w:r>
    </w:p>
    <w:p w14:paraId="265AF585" w14:textId="1777C969" w:rsidR="002B7720" w:rsidRPr="001E6F64" w:rsidRDefault="002B7720" w:rsidP="00D465C3">
      <w:pPr>
        <w:pStyle w:val="CBDNormalNumber"/>
        <w:numPr>
          <w:ilvl w:val="0"/>
          <w:numId w:val="0"/>
        </w:numPr>
        <w:ind w:left="1134"/>
      </w:pPr>
      <w:r w:rsidRPr="001E6F64">
        <w:t>Holly Kelley-Weil (Reino Unido)</w:t>
      </w:r>
    </w:p>
    <w:p w14:paraId="6848FC61" w14:textId="0E907DEB" w:rsidR="0013280B" w:rsidRPr="001E6F64" w:rsidRDefault="00AB2418" w:rsidP="00D465C3">
      <w:pPr>
        <w:pStyle w:val="CBDNormalNumber"/>
      </w:pPr>
      <w:r w:rsidRPr="001E6F64">
        <w:t>En su cuarta sesión plenaria, el 28 de octubre, la Conferencia de las Partes que actúa como reunión de las Partes observó que todas las personas elegidas representaban a Partes que también eran Partes en el Protocolo de Cartagena, por lo que no era necesario elegir a miembros sustitutos para la Mesa de la Conferencia de las Partes que actúa como reunión de las Partes en el Protocolo.</w:t>
      </w:r>
    </w:p>
    <w:p w14:paraId="642DCFFB" w14:textId="51345BB5" w:rsidR="00785334" w:rsidRPr="001E6F64" w:rsidRDefault="00785334" w:rsidP="00D465C3">
      <w:pPr>
        <w:pStyle w:val="CBDAgendaItem"/>
        <w:rPr>
          <w:rFonts w:ascii="Times New Roman" w:hAnsi="Times New Roman" w:cs="Times New Roman"/>
          <w:b w:val="0"/>
          <w:i/>
          <w:sz w:val="22"/>
        </w:rPr>
      </w:pPr>
      <w:r w:rsidRPr="001E6F64">
        <w:rPr>
          <w:rFonts w:ascii="Times New Roman" w:hAnsi="Times New Roman"/>
          <w:b w:val="0"/>
          <w:i/>
          <w:sz w:val="22"/>
        </w:rPr>
        <w:lastRenderedPageBreak/>
        <w:t>Adopción del programa y organización de los trabajos</w:t>
      </w:r>
    </w:p>
    <w:p w14:paraId="09F3863B" w14:textId="3A5232E9" w:rsidR="00177AF2" w:rsidRPr="001E6F64" w:rsidRDefault="00177AF2" w:rsidP="00D465C3">
      <w:pPr>
        <w:pStyle w:val="CBDNormalNumber"/>
        <w:rPr>
          <w:rFonts w:eastAsia="Calibri"/>
        </w:rPr>
      </w:pPr>
      <w:r w:rsidRPr="001E6F64">
        <w:t>La Conferencia de las Partes que actúa como reunión de las Partes en el Protocolo de Cartagena adoptó el siguiente programa sobre la base del programa provisional preparado por la Secretaría en consulta con la Mesa:</w:t>
      </w:r>
    </w:p>
    <w:p w14:paraId="77111B14" w14:textId="77777777" w:rsidR="00177AF2" w:rsidRPr="001E6F64" w:rsidRDefault="00177AF2" w:rsidP="00D465C3">
      <w:pPr>
        <w:pStyle w:val="CBDagendaItem0"/>
        <w:numPr>
          <w:ilvl w:val="0"/>
          <w:numId w:val="0"/>
        </w:numPr>
        <w:tabs>
          <w:tab w:val="clear" w:pos="567"/>
        </w:tabs>
        <w:ind w:left="1701" w:hanging="567"/>
        <w:jc w:val="left"/>
      </w:pPr>
      <w:r w:rsidRPr="001E6F64">
        <w:t>1.</w:t>
      </w:r>
      <w:r w:rsidRPr="001E6F64">
        <w:tab/>
        <w:t>Apertura de la reunión.</w:t>
      </w:r>
    </w:p>
    <w:p w14:paraId="6648B2E4" w14:textId="77777777" w:rsidR="00177AF2" w:rsidRPr="001E6F64" w:rsidRDefault="00177AF2" w:rsidP="00D465C3">
      <w:pPr>
        <w:pStyle w:val="CBDagendaItem0"/>
        <w:numPr>
          <w:ilvl w:val="0"/>
          <w:numId w:val="0"/>
        </w:numPr>
        <w:tabs>
          <w:tab w:val="clear" w:pos="567"/>
        </w:tabs>
        <w:ind w:left="1701" w:hanging="567"/>
        <w:jc w:val="left"/>
      </w:pPr>
      <w:r w:rsidRPr="001E6F64">
        <w:t>2.</w:t>
      </w:r>
      <w:r w:rsidRPr="001E6F64">
        <w:tab/>
        <w:t>Cuestiones de organización.</w:t>
      </w:r>
    </w:p>
    <w:p w14:paraId="0E03D2F0" w14:textId="77777777" w:rsidR="00177AF2" w:rsidRPr="001E6F64" w:rsidRDefault="00177AF2" w:rsidP="00D465C3">
      <w:pPr>
        <w:pStyle w:val="CBDagendaItem0"/>
        <w:numPr>
          <w:ilvl w:val="0"/>
          <w:numId w:val="0"/>
        </w:numPr>
        <w:tabs>
          <w:tab w:val="clear" w:pos="567"/>
        </w:tabs>
        <w:ind w:left="1701" w:hanging="567"/>
        <w:jc w:val="left"/>
      </w:pPr>
      <w:r w:rsidRPr="001E6F64">
        <w:t>3.</w:t>
      </w:r>
      <w:r w:rsidRPr="001E6F64">
        <w:tab/>
        <w:t>Informe sobre las credenciales de los representantes que participan en la 12ª reunión de la Conferencia de las Partes que actúa como reunión de las Partes en el Protocolo de Cartagena.</w:t>
      </w:r>
    </w:p>
    <w:p w14:paraId="43BFE933" w14:textId="77777777" w:rsidR="00177AF2" w:rsidRPr="001E6F64" w:rsidRDefault="00177AF2" w:rsidP="00D465C3">
      <w:pPr>
        <w:pStyle w:val="CBDagendaItem0"/>
        <w:numPr>
          <w:ilvl w:val="0"/>
          <w:numId w:val="0"/>
        </w:numPr>
        <w:tabs>
          <w:tab w:val="clear" w:pos="567"/>
        </w:tabs>
        <w:ind w:left="1701" w:hanging="567"/>
        <w:jc w:val="left"/>
      </w:pPr>
      <w:r w:rsidRPr="001E6F64">
        <w:t>4.</w:t>
      </w:r>
      <w:r w:rsidRPr="001E6F64">
        <w:tab/>
        <w:t>Informes de los órganos subsidiarios.</w:t>
      </w:r>
    </w:p>
    <w:p w14:paraId="34622338" w14:textId="77777777" w:rsidR="00177AF2" w:rsidRPr="001E6F64" w:rsidRDefault="00177AF2" w:rsidP="00D465C3">
      <w:pPr>
        <w:pStyle w:val="CBDagendaItem0"/>
        <w:numPr>
          <w:ilvl w:val="0"/>
          <w:numId w:val="0"/>
        </w:numPr>
        <w:tabs>
          <w:tab w:val="clear" w:pos="567"/>
        </w:tabs>
        <w:ind w:left="1701" w:hanging="567"/>
        <w:jc w:val="left"/>
      </w:pPr>
      <w:r w:rsidRPr="001E6F64">
        <w:t>5.</w:t>
      </w:r>
      <w:r w:rsidRPr="001E6F64">
        <w:tab/>
        <w:t>Informe del Comité de Cumplimiento.</w:t>
      </w:r>
    </w:p>
    <w:p w14:paraId="33EDDF14" w14:textId="77777777" w:rsidR="00177AF2" w:rsidRPr="001E6F64" w:rsidRDefault="00177AF2" w:rsidP="00D465C3">
      <w:pPr>
        <w:pStyle w:val="CBDagendaItem0"/>
        <w:numPr>
          <w:ilvl w:val="0"/>
          <w:numId w:val="0"/>
        </w:numPr>
        <w:tabs>
          <w:tab w:val="clear" w:pos="567"/>
        </w:tabs>
        <w:ind w:left="1701" w:hanging="567"/>
        <w:jc w:val="left"/>
      </w:pPr>
      <w:r w:rsidRPr="001E6F64">
        <w:t>6.</w:t>
      </w:r>
      <w:r w:rsidRPr="001E6F64">
        <w:tab/>
        <w:t>Administración del Protocolo de Cartagena y presupuesto para los fondos fiduciarios.</w:t>
      </w:r>
    </w:p>
    <w:p w14:paraId="4793E3E6" w14:textId="77777777" w:rsidR="00177AF2" w:rsidRPr="001E6F64" w:rsidRDefault="00177AF2" w:rsidP="00D465C3">
      <w:pPr>
        <w:pStyle w:val="CBDagendaItem0"/>
        <w:numPr>
          <w:ilvl w:val="0"/>
          <w:numId w:val="0"/>
        </w:numPr>
        <w:tabs>
          <w:tab w:val="clear" w:pos="567"/>
        </w:tabs>
        <w:ind w:left="1701" w:hanging="567"/>
        <w:jc w:val="left"/>
      </w:pPr>
      <w:r w:rsidRPr="001E6F64">
        <w:t>7.</w:t>
      </w:r>
      <w:r w:rsidRPr="001E6F64">
        <w:tab/>
        <w:t>Vigilancia y presentación de informes.</w:t>
      </w:r>
    </w:p>
    <w:p w14:paraId="0F9ABC09" w14:textId="77777777" w:rsidR="00177AF2" w:rsidRPr="001E6F64" w:rsidRDefault="00177AF2" w:rsidP="00D465C3">
      <w:pPr>
        <w:pStyle w:val="CBDagendaItem0"/>
        <w:numPr>
          <w:ilvl w:val="0"/>
          <w:numId w:val="0"/>
        </w:numPr>
        <w:tabs>
          <w:tab w:val="clear" w:pos="567"/>
        </w:tabs>
        <w:ind w:left="1701" w:hanging="567"/>
        <w:jc w:val="left"/>
      </w:pPr>
      <w:r w:rsidRPr="001E6F64">
        <w:t>8.</w:t>
      </w:r>
      <w:r w:rsidRPr="001E6F64">
        <w:tab/>
        <w:t>Evaluación y revisión de la eficacia del Protocolo de Cartagena y evaluación a mitad de período del plan de aplicación y del plan de acción para la creación de capacidad para el Protocolo.</w:t>
      </w:r>
    </w:p>
    <w:p w14:paraId="3E2C51B4" w14:textId="77777777" w:rsidR="00177AF2" w:rsidRPr="001E6F64" w:rsidRDefault="00177AF2" w:rsidP="00D465C3">
      <w:pPr>
        <w:pStyle w:val="CBDagendaItem0"/>
        <w:numPr>
          <w:ilvl w:val="0"/>
          <w:numId w:val="0"/>
        </w:numPr>
        <w:tabs>
          <w:tab w:val="clear" w:pos="567"/>
        </w:tabs>
        <w:ind w:left="1701" w:hanging="567"/>
        <w:jc w:val="left"/>
      </w:pPr>
      <w:r w:rsidRPr="001E6F64">
        <w:t>9.</w:t>
      </w:r>
      <w:r w:rsidRPr="001E6F64">
        <w:tab/>
        <w:t xml:space="preserve">Asuntos relacionados con el </w:t>
      </w:r>
      <w:proofErr w:type="gramStart"/>
      <w:r w:rsidRPr="001E6F64">
        <w:t>mecanismo financiero y los recursos financieros</w:t>
      </w:r>
      <w:proofErr w:type="gramEnd"/>
      <w:r w:rsidRPr="001E6F64">
        <w:t>.</w:t>
      </w:r>
    </w:p>
    <w:p w14:paraId="45473537" w14:textId="77777777" w:rsidR="00177AF2" w:rsidRPr="001E6F64" w:rsidRDefault="00177AF2" w:rsidP="00D465C3">
      <w:pPr>
        <w:pStyle w:val="CBDagendaItem0"/>
        <w:numPr>
          <w:ilvl w:val="0"/>
          <w:numId w:val="0"/>
        </w:numPr>
        <w:tabs>
          <w:tab w:val="clear" w:pos="567"/>
        </w:tabs>
        <w:ind w:left="1701" w:hanging="567"/>
        <w:jc w:val="left"/>
      </w:pPr>
      <w:r w:rsidRPr="001E6F64">
        <w:t>10.</w:t>
      </w:r>
      <w:r w:rsidRPr="001E6F64">
        <w:tab/>
        <w:t>Funcionamiento y actividades del Centro de Intercambio de Información sobre Seguridad de la Biotecnología.</w:t>
      </w:r>
    </w:p>
    <w:p w14:paraId="57D15C1D" w14:textId="77777777" w:rsidR="00177AF2" w:rsidRPr="001E6F64" w:rsidRDefault="00177AF2" w:rsidP="00D465C3">
      <w:pPr>
        <w:pStyle w:val="CBDagendaItem0"/>
        <w:numPr>
          <w:ilvl w:val="0"/>
          <w:numId w:val="0"/>
        </w:numPr>
        <w:tabs>
          <w:tab w:val="clear" w:pos="567"/>
        </w:tabs>
        <w:ind w:left="1701" w:hanging="567"/>
        <w:jc w:val="left"/>
      </w:pPr>
      <w:r w:rsidRPr="001E6F64">
        <w:t>11.</w:t>
      </w:r>
      <w:r w:rsidRPr="001E6F64">
        <w:tab/>
        <w:t>Cooperación con organizaciones internacionales, organismos creados en virtud de otros convenios e iniciativas.</w:t>
      </w:r>
    </w:p>
    <w:p w14:paraId="15C7BC46" w14:textId="77777777" w:rsidR="00177AF2" w:rsidRPr="001E6F64" w:rsidRDefault="00177AF2" w:rsidP="00D465C3">
      <w:pPr>
        <w:pStyle w:val="CBDagendaItem0"/>
        <w:numPr>
          <w:ilvl w:val="0"/>
          <w:numId w:val="0"/>
        </w:numPr>
        <w:tabs>
          <w:tab w:val="clear" w:pos="567"/>
        </w:tabs>
        <w:ind w:left="1701" w:hanging="567"/>
        <w:jc w:val="left"/>
      </w:pPr>
      <w:r w:rsidRPr="001E6F64">
        <w:t>12.</w:t>
      </w:r>
      <w:r w:rsidRPr="001E6F64">
        <w:tab/>
        <w:t>Revisión de la eficacia de los procesos del Convenio sobre la Diversidad Biológica y sus Protocolos.</w:t>
      </w:r>
    </w:p>
    <w:p w14:paraId="2A8E86F3" w14:textId="77777777" w:rsidR="00177AF2" w:rsidRPr="001E6F64" w:rsidRDefault="00177AF2" w:rsidP="00D465C3">
      <w:pPr>
        <w:pStyle w:val="CBDagendaItem0"/>
        <w:numPr>
          <w:ilvl w:val="0"/>
          <w:numId w:val="0"/>
        </w:numPr>
        <w:tabs>
          <w:tab w:val="clear" w:pos="567"/>
        </w:tabs>
        <w:ind w:left="1701" w:hanging="567"/>
        <w:jc w:val="left"/>
      </w:pPr>
      <w:r w:rsidRPr="001E6F64">
        <w:t>13.</w:t>
      </w:r>
      <w:r w:rsidRPr="001E6F64">
        <w:tab/>
        <w:t>Evaluación y gestión del riesgo de los organismos vivos modificados.</w:t>
      </w:r>
    </w:p>
    <w:p w14:paraId="38DBD0A0" w14:textId="77777777" w:rsidR="00177AF2" w:rsidRPr="001E6F64" w:rsidRDefault="00177AF2" w:rsidP="00D465C3">
      <w:pPr>
        <w:pStyle w:val="CBDagendaItem0"/>
        <w:numPr>
          <w:ilvl w:val="0"/>
          <w:numId w:val="0"/>
        </w:numPr>
        <w:tabs>
          <w:tab w:val="clear" w:pos="567"/>
        </w:tabs>
        <w:ind w:left="1701" w:hanging="567"/>
        <w:jc w:val="left"/>
      </w:pPr>
      <w:r w:rsidRPr="001E6F64">
        <w:t>14.</w:t>
      </w:r>
      <w:r w:rsidRPr="001E6F64">
        <w:tab/>
        <w:t>Detección e identificación de organismos vivos modificados.</w:t>
      </w:r>
    </w:p>
    <w:p w14:paraId="63DF5461" w14:textId="77777777" w:rsidR="00177AF2" w:rsidRPr="001E6F64" w:rsidRDefault="00177AF2" w:rsidP="00D465C3">
      <w:pPr>
        <w:pStyle w:val="CBDagendaItem0"/>
        <w:numPr>
          <w:ilvl w:val="0"/>
          <w:numId w:val="0"/>
        </w:numPr>
        <w:tabs>
          <w:tab w:val="clear" w:pos="567"/>
        </w:tabs>
        <w:ind w:left="1701" w:hanging="567"/>
        <w:jc w:val="left"/>
      </w:pPr>
      <w:r w:rsidRPr="001E6F64">
        <w:t>15.</w:t>
      </w:r>
      <w:r w:rsidRPr="001E6F64">
        <w:tab/>
        <w:t>Consideraciones socioeconómicas.</w:t>
      </w:r>
    </w:p>
    <w:p w14:paraId="09B4E74E" w14:textId="77777777" w:rsidR="00177AF2" w:rsidRPr="001E6F64" w:rsidRDefault="00177AF2" w:rsidP="00D465C3">
      <w:pPr>
        <w:pStyle w:val="CBDagendaItem0"/>
        <w:numPr>
          <w:ilvl w:val="0"/>
          <w:numId w:val="0"/>
        </w:numPr>
        <w:tabs>
          <w:tab w:val="clear" w:pos="567"/>
        </w:tabs>
        <w:ind w:left="1701" w:hanging="567"/>
        <w:jc w:val="left"/>
      </w:pPr>
      <w:r w:rsidRPr="001E6F64">
        <w:t>16.</w:t>
      </w:r>
      <w:r w:rsidRPr="001E6F64">
        <w:tab/>
        <w:t>Leyes, reglamentaciones y directrices nacionales sobre nuevos avances de la biotecnología moderna.</w:t>
      </w:r>
    </w:p>
    <w:p w14:paraId="7C1A5B8C" w14:textId="77777777" w:rsidR="00177AF2" w:rsidRPr="001E6F64" w:rsidRDefault="00177AF2" w:rsidP="00D465C3">
      <w:pPr>
        <w:pStyle w:val="CBDagendaItem0"/>
        <w:numPr>
          <w:ilvl w:val="0"/>
          <w:numId w:val="0"/>
        </w:numPr>
        <w:tabs>
          <w:tab w:val="clear" w:pos="567"/>
        </w:tabs>
        <w:ind w:left="1701" w:hanging="567"/>
        <w:jc w:val="left"/>
      </w:pPr>
      <w:r w:rsidRPr="001E6F64">
        <w:t>17.</w:t>
      </w:r>
      <w:r w:rsidRPr="001E6F64">
        <w:tab/>
        <w:t>Protocolo Suplementario de Nagoya-Kuala Lumpur sobre Responsabilidad y Compensación.</w:t>
      </w:r>
    </w:p>
    <w:p w14:paraId="1A36FD40" w14:textId="77777777" w:rsidR="00177AF2" w:rsidRPr="001E6F64" w:rsidRDefault="00177AF2" w:rsidP="00D465C3">
      <w:pPr>
        <w:pStyle w:val="CBDagendaItem0"/>
        <w:numPr>
          <w:ilvl w:val="0"/>
          <w:numId w:val="0"/>
        </w:numPr>
        <w:tabs>
          <w:tab w:val="clear" w:pos="567"/>
        </w:tabs>
        <w:ind w:left="1701" w:hanging="567"/>
        <w:jc w:val="left"/>
      </w:pPr>
      <w:r w:rsidRPr="001E6F64">
        <w:t>18.</w:t>
      </w:r>
      <w:r w:rsidRPr="001E6F64">
        <w:tab/>
        <w:t>Otros asuntos.</w:t>
      </w:r>
    </w:p>
    <w:p w14:paraId="4A9E4F99" w14:textId="77777777" w:rsidR="00177AF2" w:rsidRPr="001E6F64" w:rsidRDefault="00177AF2" w:rsidP="00D465C3">
      <w:pPr>
        <w:pStyle w:val="CBDagendaItem0"/>
        <w:numPr>
          <w:ilvl w:val="0"/>
          <w:numId w:val="0"/>
        </w:numPr>
        <w:tabs>
          <w:tab w:val="clear" w:pos="567"/>
        </w:tabs>
        <w:ind w:left="1701" w:hanging="567"/>
        <w:jc w:val="left"/>
      </w:pPr>
      <w:r w:rsidRPr="001E6F64">
        <w:t>19.</w:t>
      </w:r>
      <w:r w:rsidRPr="001E6F64">
        <w:tab/>
        <w:t>Adopción del informe.</w:t>
      </w:r>
    </w:p>
    <w:p w14:paraId="5E712C05" w14:textId="0639B2BE" w:rsidR="00177AF2" w:rsidRPr="001E6F64" w:rsidRDefault="00177AF2" w:rsidP="00D465C3">
      <w:pPr>
        <w:pStyle w:val="CBDNormalNumber"/>
        <w:numPr>
          <w:ilvl w:val="0"/>
          <w:numId w:val="0"/>
        </w:numPr>
        <w:spacing w:before="0"/>
        <w:ind w:left="1134"/>
        <w:jc w:val="left"/>
      </w:pPr>
      <w:r w:rsidRPr="001E6F64">
        <w:t>20.</w:t>
      </w:r>
      <w:r w:rsidRPr="001E6F64">
        <w:tab/>
        <w:t>Clausura de la reunión.</w:t>
      </w:r>
    </w:p>
    <w:p w14:paraId="768E5FBB" w14:textId="77777777" w:rsidR="00D1790C" w:rsidRPr="001E6F64" w:rsidRDefault="00D1790C" w:rsidP="00D465C3">
      <w:pPr>
        <w:pStyle w:val="CBDNormalNoNumber"/>
        <w:keepNext/>
        <w:rPr>
          <w:i/>
          <w:iCs/>
          <w:snapToGrid w:val="0"/>
        </w:rPr>
      </w:pPr>
      <w:r w:rsidRPr="001E6F64">
        <w:rPr>
          <w:i/>
          <w:snapToGrid w:val="0"/>
        </w:rPr>
        <w:t>Organización de los trabajos</w:t>
      </w:r>
    </w:p>
    <w:p w14:paraId="4EFB84F0" w14:textId="1301DD89" w:rsidR="00D1790C" w:rsidRPr="001E6F64" w:rsidRDefault="000E1A69" w:rsidP="00D465C3">
      <w:pPr>
        <w:pStyle w:val="CBDNormalNumber"/>
        <w:rPr>
          <w:rFonts w:eastAsia="Batang"/>
        </w:rPr>
      </w:pPr>
      <w:r w:rsidRPr="001E6F64">
        <w:t>La Conferencia de las Partes que actúa como reunión de las Partes en el Protocolo de Cartagena acordó organizar sus trabajos tal como se establece en el anexo III de la nota con un posible esquema para la reunión y crear dos grupos de trabajo.</w:t>
      </w:r>
      <w:r w:rsidRPr="001E6F64">
        <w:rPr>
          <w:rFonts w:asciiTheme="majorBidi" w:hAnsiTheme="majorBidi"/>
          <w:color w:val="000000" w:themeColor="text1"/>
        </w:rPr>
        <w:t xml:space="preserve"> </w:t>
      </w:r>
      <w:r w:rsidRPr="001E6F64">
        <w:t>El Grupo de Trabajo I estaría presidido por Gaute Hanssen (Noruega) y el Grupo de Trabajo II por Hesiquio Benítez Díaz (México).</w:t>
      </w:r>
    </w:p>
    <w:p w14:paraId="4766FBFD" w14:textId="77777777" w:rsidR="009133DA" w:rsidRPr="001E6F64" w:rsidRDefault="009133DA" w:rsidP="00D465C3">
      <w:pPr>
        <w:pStyle w:val="CBDNormalNoNumber"/>
        <w:keepNext/>
        <w:ind w:left="562"/>
        <w:rPr>
          <w:i/>
          <w:iCs/>
          <w:snapToGrid w:val="0"/>
        </w:rPr>
      </w:pPr>
      <w:bookmarkStart w:id="1" w:name="_Hlk180930225"/>
      <w:r w:rsidRPr="001E6F64">
        <w:rPr>
          <w:i/>
          <w:snapToGrid w:val="0"/>
        </w:rPr>
        <w:t>Labor de los grupos de trabajo de la reunión</w:t>
      </w:r>
    </w:p>
    <w:p w14:paraId="54DDE230" w14:textId="77777777" w:rsidR="009133DA" w:rsidRPr="001E6F64" w:rsidRDefault="009133DA" w:rsidP="00D465C3">
      <w:pPr>
        <w:pStyle w:val="CBDNormalNumber"/>
      </w:pPr>
      <w:r w:rsidRPr="001E6F64">
        <w:t>[se completará]</w:t>
      </w:r>
    </w:p>
    <w:p w14:paraId="5F3B3E00" w14:textId="77777777" w:rsidR="009133DA" w:rsidRPr="001E6F64" w:rsidRDefault="009133DA" w:rsidP="00D465C3">
      <w:pPr>
        <w:pStyle w:val="CBDNormalNumber"/>
        <w:keepNext/>
        <w:numPr>
          <w:ilvl w:val="0"/>
          <w:numId w:val="0"/>
        </w:numPr>
        <w:ind w:left="567"/>
        <w:rPr>
          <w:rFonts w:eastAsia="Batang"/>
          <w:i/>
          <w:iCs/>
        </w:rPr>
      </w:pPr>
      <w:r w:rsidRPr="001E6F64">
        <w:rPr>
          <w:i/>
        </w:rPr>
        <w:lastRenderedPageBreak/>
        <w:t>Primera sesión de balance</w:t>
      </w:r>
    </w:p>
    <w:p w14:paraId="6819C858" w14:textId="10693B4D" w:rsidR="00D81E0B" w:rsidRPr="001E6F64" w:rsidRDefault="00D81E0B" w:rsidP="00D465C3">
      <w:pPr>
        <w:pStyle w:val="CBDNormalNumber"/>
        <w:rPr>
          <w:rFonts w:eastAsia="Batang"/>
        </w:rPr>
      </w:pPr>
      <w:bookmarkStart w:id="2" w:name="_Hlk180930272"/>
      <w:bookmarkEnd w:id="1"/>
      <w:r w:rsidRPr="001E6F64">
        <w:t>La tercera sesión plenaria de la Conferencia de las Partes que actúa como reunión de las Partes en el Protocolo de Cartagena fue, entre otras cosas, una sesión de balance y se celebró el 23 de octubre en conjunto con la Conferencia de las Partes en el Convenio y la Conferencia de las Partes que actúa como reunión de las Partes en el Protocolo de Nagoya. Durante la sesión de balance, las Presidencias del Grupo de Trabajo I, del Grupo de Trabajo II y del grupo de contacto sobre cuestiones presupuestarias informaron con respecto a los progresos realizados hasta la fecha.</w:t>
      </w:r>
    </w:p>
    <w:bookmarkEnd w:id="2"/>
    <w:p w14:paraId="1F87BC8B" w14:textId="77777777" w:rsidR="009133DA" w:rsidRPr="001E6F64" w:rsidRDefault="009133DA" w:rsidP="00D465C3">
      <w:pPr>
        <w:pStyle w:val="CBDNormalNumber"/>
        <w:keepNext/>
        <w:numPr>
          <w:ilvl w:val="0"/>
          <w:numId w:val="0"/>
        </w:numPr>
        <w:ind w:left="567"/>
        <w:rPr>
          <w:rFonts w:eastAsia="Batang"/>
          <w:i/>
          <w:iCs/>
        </w:rPr>
      </w:pPr>
      <w:r w:rsidRPr="001E6F64">
        <w:rPr>
          <w:i/>
        </w:rPr>
        <w:t>Segunda sesión de balance</w:t>
      </w:r>
    </w:p>
    <w:p w14:paraId="61BF70C5" w14:textId="5445F6C7" w:rsidR="006838E7" w:rsidRPr="001E6F64" w:rsidRDefault="00D81E0B" w:rsidP="00D465C3">
      <w:pPr>
        <w:pStyle w:val="CBDNormalNumber"/>
      </w:pPr>
      <w:r w:rsidRPr="001E6F64">
        <w:t xml:space="preserve">La cuarta sesión plenaria de la Conferencia de las Partes que actúa como reunión de las Partes en el Protocolo de Cartagena fue, entre otras cosas, una sesión de balance celebrada en conjunto con la Conferencia de las Partes en el Convenio y la Conferencia de las Partes que actúa como reunión de las Partes en el Protocolo de Nagoya. </w:t>
      </w:r>
    </w:p>
    <w:p w14:paraId="001CADC8" w14:textId="77777777" w:rsidR="006838E7" w:rsidRPr="001E6F64" w:rsidRDefault="006838E7" w:rsidP="00D465C3">
      <w:pPr>
        <w:pStyle w:val="CBDNormalNumber"/>
      </w:pPr>
      <w:r w:rsidRPr="001E6F64">
        <w:t>La sesión comenzó con un minuto de silencio en memoria de Martha Kandawa-Schulz (Namibia), fallecida el 23 de octubre en Ereván.</w:t>
      </w:r>
    </w:p>
    <w:p w14:paraId="3558D0FA" w14:textId="280381C7" w:rsidR="009133DA" w:rsidRPr="001E6F64" w:rsidRDefault="00D81E0B" w:rsidP="00D465C3">
      <w:pPr>
        <w:pStyle w:val="CBDNormalNumber"/>
      </w:pPr>
      <w:r w:rsidRPr="001E6F64">
        <w:t>Tras una presentación cultural a cargo de un grupo de jóvenes embajadores de biodiversidad de Sudáfrica, los representantes escucharon un informe de la Presidencia sobre las conclusiones de la serie de sesiones de alto nivel, así como informes sobre los progresos realizados hasta la fecha brindados por las Presidencias del Grupo de Trabajo I, del Grupo de Trabajo II y del grupo de contacto sobre cuestiones presupuestarias.</w:t>
      </w:r>
    </w:p>
    <w:p w14:paraId="68BCECF9" w14:textId="3FA583C9" w:rsidR="007C4951" w:rsidRPr="001E6F64" w:rsidRDefault="00A111D1" w:rsidP="00D465C3">
      <w:pPr>
        <w:pStyle w:val="CBDAgendaItem"/>
        <w:rPr>
          <w:rFonts w:hint="eastAsia"/>
        </w:rPr>
      </w:pPr>
      <w:r w:rsidRPr="001E6F64">
        <w:t xml:space="preserve">Tema 3 </w:t>
      </w:r>
      <w:r w:rsidRPr="001E6F64">
        <w:br/>
        <w:t>Informe sobre las credenciales de los representantes que participan en la 12ª reunión de la Conferencia de las Partes que actúa como reunión de las Partes en el Protocolo de Cartagena</w:t>
      </w:r>
    </w:p>
    <w:p w14:paraId="70C0629A" w14:textId="3CBAF000" w:rsidR="007834B9" w:rsidRPr="001E6F64" w:rsidRDefault="007834B9" w:rsidP="00D465C3">
      <w:pPr>
        <w:pStyle w:val="CBDNormalNumber"/>
      </w:pPr>
      <w:r w:rsidRPr="001E6F64">
        <w:t>La Conferencia de las Partes que actúa como reunión de las Partes en el Protocolo de Cartagena examinó el tema 3 del programa en su primera sesión plenaria. Se había publicado un documento informativo sobre la admisión de órganos y organismos competentes a la 17ª reunión de la Conferencia de las Partes y a las reuniones concurrentes de las Partes en los Protocolos</w:t>
      </w:r>
      <w:r w:rsidRPr="001E6F64">
        <w:rPr>
          <w:rStyle w:val="FootnoteReference"/>
        </w:rPr>
        <w:footnoteReference w:id="8"/>
      </w:r>
      <w:r w:rsidRPr="001E6F64">
        <w:t xml:space="preserve">, en relación con el tema 3. </w:t>
      </w:r>
    </w:p>
    <w:p w14:paraId="4CA184E7" w14:textId="719CAFB9" w:rsidR="006E0F34" w:rsidRPr="001E6F64" w:rsidRDefault="00AA0FAA" w:rsidP="00D465C3">
      <w:pPr>
        <w:pStyle w:val="CBDNormalNumber"/>
      </w:pPr>
      <w:r w:rsidRPr="001E6F64">
        <w:t xml:space="preserve">La Conferencia de las Partes que actúa como reunión de las Partes en el Protocolo de Cartagena tomó nota de que, de conformidad con las disposiciones pertinentes del reglamento, la Mesa había revisado la lista de observadores admitidos en la reunión y examinaría las credenciales de las delegaciones e informaría al respecto en una sesión posterior. Asimismo, tomó nota de que la Mesa había designado a Ilham Atho Mohamed (Maldivas) como su representante para el examen de las credenciales. </w:t>
      </w:r>
    </w:p>
    <w:p w14:paraId="41173297" w14:textId="52CA878E" w:rsidR="007D26A4" w:rsidRPr="001E6F64" w:rsidRDefault="007D26A4" w:rsidP="00D465C3">
      <w:pPr>
        <w:pStyle w:val="CBDNormalNumber"/>
        <w:rPr>
          <w:rFonts w:eastAsia="MS Mincho"/>
        </w:rPr>
      </w:pPr>
      <w:bookmarkStart w:id="3" w:name="_Hlk180929033"/>
      <w:r w:rsidRPr="001E6F64">
        <w:t>En la tercera sesión plenaria, la Sra. Mohamed informó que 154 Partes en el Protocolo estaban inscritas para asistir a la reunión. Los representantes de 102 Partes inscritas habían presentado credenciales que cumplían plenamente los requisitos estipulados en el artículo 18 del reglamento, mientras que los representantes de 28 Partes inscritas habían presentado credenciales que no cumplían plenamente con dicho artículo. Los representantes de 24 Partes inscritas no habían presentado aún sus credenciales.</w:t>
      </w:r>
    </w:p>
    <w:bookmarkEnd w:id="3"/>
    <w:p w14:paraId="4E0468A0" w14:textId="290AA06B" w:rsidR="00D81E0B" w:rsidRPr="001E6F64" w:rsidRDefault="00D81E0B" w:rsidP="00D465C3">
      <w:pPr>
        <w:pStyle w:val="CBDNormalNumber"/>
        <w:rPr>
          <w:rFonts w:eastAsia="MS Mincho"/>
        </w:rPr>
      </w:pPr>
      <w:r w:rsidRPr="001E6F64">
        <w:t xml:space="preserve">En la cuarta sesión plenaria, la Sra. Mohamed informó que 161 Partes en el Protocolo estaban inscritas para asistir a la reunión. Los representantes de 115 Partes inscritas habían presentado credenciales que cumplían plenamente los requisitos estipulados en el artículo 18 del reglamento, mientras que los representantes de 26 Partes inscritas habían presentado credenciales que no </w:t>
      </w:r>
      <w:r w:rsidRPr="001E6F64">
        <w:lastRenderedPageBreak/>
        <w:t>cumplían plenamente con dicho artículo. Los representantes de 20 Partes inscritas no habían presentado aún sus credenciales.</w:t>
      </w:r>
    </w:p>
    <w:p w14:paraId="32DC01A5" w14:textId="1058BA23" w:rsidR="00447F4A" w:rsidRPr="001E6F64" w:rsidRDefault="0050342F" w:rsidP="00D465C3">
      <w:pPr>
        <w:pStyle w:val="CBDNormalNumber"/>
      </w:pPr>
      <w:r w:rsidRPr="001E6F64">
        <w:t>[se completará]</w:t>
      </w:r>
    </w:p>
    <w:p w14:paraId="333FD460" w14:textId="77777777" w:rsidR="00E612A5" w:rsidRPr="001E6F64" w:rsidRDefault="00E612A5" w:rsidP="00D465C3">
      <w:pPr>
        <w:pStyle w:val="CBDAgendaItem"/>
        <w:rPr>
          <w:rFonts w:hint="eastAsia"/>
        </w:rPr>
      </w:pPr>
      <w:r w:rsidRPr="001E6F64">
        <w:t xml:space="preserve">Tema 4 </w:t>
      </w:r>
      <w:r w:rsidRPr="001E6F64">
        <w:br/>
        <w:t>Informes de los órganos subsidiarios</w:t>
      </w:r>
    </w:p>
    <w:p w14:paraId="4B93D323" w14:textId="3C0417E0" w:rsidR="00702238" w:rsidRPr="001E6F64" w:rsidRDefault="00702238" w:rsidP="00D465C3">
      <w:pPr>
        <w:pStyle w:val="CBDNormalNumber"/>
      </w:pPr>
      <w:r w:rsidRPr="001E6F64">
        <w:t>La Conferencia de las Partes que actúa como reunión de las Partes en el Protocolo de Cartagena examinó el tema 4 del programa en su primera sesión plenaria. Tuvo ante sí los siguientes informes sobre la labor entre períodos de sesiones realizada por diversos órganos desde su quinta reunión: el informe del Órgano Subsidiario de Asesoramiento Científico, Técnico y Tecnológico relativo a su 27ª reunión</w:t>
      </w:r>
      <w:r w:rsidRPr="001E6F64">
        <w:rPr>
          <w:rStyle w:val="FootnoteReference"/>
          <w:rFonts w:asciiTheme="majorBidi" w:eastAsia="MS Mincho" w:hAnsiTheme="majorBidi" w:cstheme="majorBidi"/>
          <w:color w:val="000000"/>
          <w:kern w:val="22"/>
        </w:rPr>
        <w:footnoteReference w:id="9"/>
      </w:r>
      <w:r w:rsidRPr="001E6F64">
        <w:t xml:space="preserve"> y los informes del Órgano Subsidiario sobre la Aplicación relativos a sus reuniones sexta y séptima</w:t>
      </w:r>
      <w:r w:rsidRPr="001E6F64">
        <w:rPr>
          <w:rStyle w:val="FootnoteReference"/>
          <w:rFonts w:asciiTheme="majorBidi" w:eastAsia="MS Mincho" w:hAnsiTheme="majorBidi" w:cstheme="majorBidi"/>
          <w:color w:val="000000"/>
          <w:kern w:val="22"/>
        </w:rPr>
        <w:footnoteReference w:id="10"/>
      </w:r>
      <w:r w:rsidRPr="001E6F64">
        <w:t>.</w:t>
      </w:r>
    </w:p>
    <w:p w14:paraId="0117C5ED" w14:textId="59FEF43E" w:rsidR="00702238" w:rsidRPr="001E6F64" w:rsidRDefault="00702238" w:rsidP="00D465C3">
      <w:pPr>
        <w:pStyle w:val="CBDNormalNumber"/>
      </w:pPr>
      <w:r w:rsidRPr="001E6F64">
        <w:t xml:space="preserve">La Conferencia de las Partes que actúa como reunión de las Partes en el Protocolo de Cartagena escuchó los informes orales del </w:t>
      </w:r>
      <w:proofErr w:type="gramStart"/>
      <w:r w:rsidRPr="001E6F64">
        <w:t>Presidente</w:t>
      </w:r>
      <w:proofErr w:type="gramEnd"/>
      <w:r w:rsidRPr="001E6F64">
        <w:t xml:space="preserve"> del Órgano Subsidiario de Asesoramiento Científico, Técnico y Tecnológico, del Relator del Órgano Subsidiario sobre la Aplicación y de un representante de la presidencia del Órgano Subsidiario sobre el Artículo 8 j) y Otras Disposiciones del Convenio Relativas a los Pueblos Indígenas y las Comunidades Locales.</w:t>
      </w:r>
    </w:p>
    <w:p w14:paraId="0810D145" w14:textId="5764DB46" w:rsidR="00702238" w:rsidRPr="001E6F64" w:rsidRDefault="00702238" w:rsidP="00D465C3">
      <w:pPr>
        <w:pStyle w:val="CBDNormalNumber"/>
      </w:pPr>
      <w:r w:rsidRPr="001E6F64">
        <w:t>La Conferencia de las Partes que actúa como reunión de las Partes en el Protocolo de Cartagena tomó nota de la información facilitada y acordó examinar las recomendaciones de los órganos subsidiarios en los grupos de trabajo, en el marco de los temas pertinentes del programa.</w:t>
      </w:r>
    </w:p>
    <w:p w14:paraId="3A92A30B" w14:textId="19C97B45" w:rsidR="00E612A5" w:rsidRPr="001E6F64" w:rsidRDefault="00E612A5" w:rsidP="00D465C3">
      <w:pPr>
        <w:pStyle w:val="CBDAgendaItem"/>
        <w:rPr>
          <w:rFonts w:hint="eastAsia"/>
        </w:rPr>
      </w:pPr>
      <w:r w:rsidRPr="001E6F64">
        <w:t xml:space="preserve">Tema 5 </w:t>
      </w:r>
      <w:r w:rsidRPr="001E6F64">
        <w:br/>
        <w:t>Informe del Comité de Cumplimiento</w:t>
      </w:r>
    </w:p>
    <w:p w14:paraId="6DC65020" w14:textId="0414CF49" w:rsidR="00F22085" w:rsidRPr="001E6F64" w:rsidRDefault="00F22085" w:rsidP="00D465C3">
      <w:pPr>
        <w:pStyle w:val="CBDNormalNumber"/>
      </w:pPr>
      <w:r w:rsidRPr="001E6F64">
        <w:t>La Conferencia de las Partes que actúa como reunión de las Partes en el Protocolo de Cartagena examinó el tema 5 del programa en su primera sesión plenaria.</w:t>
      </w:r>
      <w:r w:rsidRPr="001E6F64">
        <w:rPr>
          <w:snapToGrid w:val="0"/>
        </w:rPr>
        <w:t xml:space="preserve"> Tuvo ante sí un proyecto de decisión</w:t>
      </w:r>
      <w:r w:rsidRPr="001E6F64">
        <w:rPr>
          <w:rStyle w:val="FootnoteReference"/>
          <w:snapToGrid w:val="0"/>
        </w:rPr>
        <w:footnoteReference w:id="11"/>
      </w:r>
      <w:r w:rsidRPr="001E6F64">
        <w:rPr>
          <w:snapToGrid w:val="0"/>
        </w:rPr>
        <w:t xml:space="preserve"> y el informe del Comité de Cumplimiento establecido en virtud del Protocolo de Cartagena sobre los trabajos de sus reuniones 20ª y 21ª</w:t>
      </w:r>
      <w:r w:rsidRPr="001E6F64">
        <w:rPr>
          <w:rStyle w:val="FootnoteReference"/>
          <w:snapToGrid w:val="0"/>
        </w:rPr>
        <w:footnoteReference w:id="12"/>
      </w:r>
      <w:r w:rsidRPr="001E6F64">
        <w:rPr>
          <w:snapToGrid w:val="0"/>
        </w:rPr>
        <w:t>.</w:t>
      </w:r>
    </w:p>
    <w:p w14:paraId="6BFCC93E" w14:textId="27748631" w:rsidR="00F22085" w:rsidRPr="001E6F64" w:rsidRDefault="00F22085" w:rsidP="00D465C3">
      <w:pPr>
        <w:pStyle w:val="CBDNormalNumber"/>
      </w:pPr>
      <w:r w:rsidRPr="001E6F64">
        <w:t xml:space="preserve">El </w:t>
      </w:r>
      <w:proofErr w:type="gramStart"/>
      <w:r w:rsidRPr="001E6F64">
        <w:t>Presidente</w:t>
      </w:r>
      <w:proofErr w:type="gramEnd"/>
      <w:r w:rsidRPr="001E6F64">
        <w:t xml:space="preserve"> del Comité de Cumplimiento establecido en virtud del Protocolo de Cartagena presentó el informe del Comité de Cumplimiento sobre los trabajos de sus reuniones 20ª y 21ª. </w:t>
      </w:r>
    </w:p>
    <w:p w14:paraId="4EBC6D72" w14:textId="3C4CDCF1" w:rsidR="00F22085" w:rsidRPr="001E6F64" w:rsidRDefault="00F22085" w:rsidP="00D465C3">
      <w:pPr>
        <w:pStyle w:val="CBDNormalNumber"/>
      </w:pPr>
      <w:r w:rsidRPr="001E6F64">
        <w:t xml:space="preserve">De conformidad con la organización de los trabajos, las cuestiones de fondo surgidas del informe se remitieron al Grupo de Trabajo II para su examen. </w:t>
      </w:r>
    </w:p>
    <w:p w14:paraId="450D6141" w14:textId="77777777" w:rsidR="001F054C" w:rsidRPr="001E6F64" w:rsidRDefault="001F054C" w:rsidP="00D465C3">
      <w:pPr>
        <w:pStyle w:val="CBDNormalNumber"/>
      </w:pPr>
      <w:r w:rsidRPr="001E6F64">
        <w:t>[espacio reservado]</w:t>
      </w:r>
    </w:p>
    <w:p w14:paraId="118A685A" w14:textId="7217A7B4" w:rsidR="0074494B" w:rsidRPr="001E6F64" w:rsidRDefault="00686E0C" w:rsidP="00D465C3">
      <w:pPr>
        <w:pStyle w:val="CBDNormalNumber"/>
      </w:pPr>
      <w:r w:rsidRPr="001E6F64">
        <w:t xml:space="preserve">En su tercera sesión plenaria, la Conferencia de las Partes que actúa como reunión de las Partes en el Protocolo de Cartagena examinó el proyecto de decisión </w:t>
      </w:r>
      <w:hyperlink r:id="rId15" w:history="1">
        <w:r w:rsidRPr="001E6F64">
          <w:rPr>
            <w:rStyle w:val="Hyperlink"/>
          </w:rPr>
          <w:t>CBD/CP/MOP/12/L.2</w:t>
        </w:r>
      </w:hyperlink>
      <w:r w:rsidRPr="001E6F64">
        <w:t xml:space="preserve">, presentado por el </w:t>
      </w:r>
      <w:proofErr w:type="gramStart"/>
      <w:r w:rsidRPr="001E6F64">
        <w:t>Presidente</w:t>
      </w:r>
      <w:proofErr w:type="gramEnd"/>
      <w:r w:rsidRPr="001E6F64">
        <w:t xml:space="preserve"> del Grupo de Trabajo II, y lo adoptó como decisión CP-12/X. </w:t>
      </w:r>
    </w:p>
    <w:p w14:paraId="70B1E9F3" w14:textId="1AB47D98" w:rsidR="00EC68E5" w:rsidRPr="001E6F64" w:rsidRDefault="00EC68E5" w:rsidP="00D465C3">
      <w:pPr>
        <w:pStyle w:val="CBDNormalNumber"/>
      </w:pPr>
      <w:r w:rsidRPr="001E6F64">
        <w:t>En su cuarta sesión plenaria, la Conferencia de las Partes que actúa como reunión de las Partes en el Protocolo eligió a los siguientes miembros del Comité de Cumplimiento por un mandato de cuatro años que empezaría el 1 de enero de 2027:</w:t>
      </w:r>
    </w:p>
    <w:p w14:paraId="7468F627" w14:textId="4A733CF2" w:rsidR="00EC68E5" w:rsidRPr="001E6F64" w:rsidRDefault="00EC68E5" w:rsidP="00D465C3">
      <w:pPr>
        <w:pStyle w:val="CBDNormalNumber"/>
        <w:numPr>
          <w:ilvl w:val="0"/>
          <w:numId w:val="0"/>
        </w:numPr>
        <w:ind w:left="1134"/>
        <w:rPr>
          <w:b/>
        </w:rPr>
      </w:pPr>
      <w:r w:rsidRPr="001E6F64">
        <w:t>Hèla Msabhi (Túnez)</w:t>
      </w:r>
    </w:p>
    <w:p w14:paraId="79B81F24" w14:textId="71791366" w:rsidR="00EC68E5" w:rsidRPr="001E6F64" w:rsidRDefault="00EC68E5" w:rsidP="00D465C3">
      <w:pPr>
        <w:pStyle w:val="CBDNormalNumber"/>
        <w:numPr>
          <w:ilvl w:val="0"/>
          <w:numId w:val="0"/>
        </w:numPr>
        <w:ind w:left="1134"/>
        <w:rPr>
          <w:b/>
        </w:rPr>
      </w:pPr>
      <w:r w:rsidRPr="001E6F64">
        <w:t>Achmad Gusman Siswandi (Indonesia)</w:t>
      </w:r>
    </w:p>
    <w:p w14:paraId="278F945A" w14:textId="3A2479AC" w:rsidR="00EC68E5" w:rsidRPr="001E6F64" w:rsidRDefault="00EC68E5" w:rsidP="00D465C3">
      <w:pPr>
        <w:pStyle w:val="CBDNormalNumber"/>
        <w:numPr>
          <w:ilvl w:val="0"/>
          <w:numId w:val="0"/>
        </w:numPr>
        <w:ind w:left="1134"/>
      </w:pPr>
      <w:r w:rsidRPr="001E6F64">
        <w:t>Teele Jairus-Pähno (Estonia)</w:t>
      </w:r>
    </w:p>
    <w:p w14:paraId="4A3B064E" w14:textId="77777777" w:rsidR="00EC68E5" w:rsidRPr="001E6F64" w:rsidRDefault="00EC68E5" w:rsidP="00D465C3">
      <w:pPr>
        <w:pStyle w:val="CBDNormalNumber"/>
        <w:numPr>
          <w:ilvl w:val="0"/>
          <w:numId w:val="0"/>
        </w:numPr>
        <w:ind w:left="1134"/>
        <w:rPr>
          <w:b/>
        </w:rPr>
      </w:pPr>
      <w:r w:rsidRPr="001E6F64">
        <w:lastRenderedPageBreak/>
        <w:t>Luciana Pimenta Ambrozevicius (Brasil)</w:t>
      </w:r>
    </w:p>
    <w:p w14:paraId="556DAE5C" w14:textId="2F481630" w:rsidR="00EC68E5" w:rsidRPr="001E6F64" w:rsidRDefault="00EC68E5" w:rsidP="00D465C3">
      <w:pPr>
        <w:pStyle w:val="CBDNormalNumber"/>
        <w:numPr>
          <w:ilvl w:val="0"/>
          <w:numId w:val="0"/>
        </w:numPr>
        <w:ind w:left="1134"/>
        <w:rPr>
          <w:b/>
        </w:rPr>
      </w:pPr>
      <w:r w:rsidRPr="001E6F64">
        <w:t>Michelangelo Lombardo (Italia)</w:t>
      </w:r>
    </w:p>
    <w:p w14:paraId="0595AA32" w14:textId="627F3169" w:rsidR="00E612A5" w:rsidRPr="001E6F64" w:rsidRDefault="00E612A5" w:rsidP="00D465C3">
      <w:pPr>
        <w:pStyle w:val="CBDAgendaItem"/>
        <w:rPr>
          <w:rFonts w:hint="eastAsia"/>
        </w:rPr>
      </w:pPr>
      <w:r w:rsidRPr="001E6F64">
        <w:t xml:space="preserve">Tema 6 </w:t>
      </w:r>
      <w:r w:rsidRPr="001E6F64">
        <w:br/>
        <w:t>Administración del Protocolo y presupuesto para los fondos fiduciarios</w:t>
      </w:r>
    </w:p>
    <w:p w14:paraId="2E6AB24E" w14:textId="29DAADF7" w:rsidR="003E634A" w:rsidRPr="001E6F64" w:rsidRDefault="003E634A" w:rsidP="00D465C3">
      <w:pPr>
        <w:pStyle w:val="CBDNormalNumber"/>
      </w:pPr>
      <w:r w:rsidRPr="001E6F64">
        <w:t>La Conferencia de las Partes que actúa como reunión de las Partes en el Protocolo de Cartagena examinó el tema 6 del programa en su segunda sesión plenaria, el 19 de octubre. Tuvo ante sí un proyecto de decisión</w:t>
      </w:r>
      <w:r w:rsidRPr="001E6F64">
        <w:rPr>
          <w:rStyle w:val="FootnoteReference"/>
          <w:rFonts w:asciiTheme="majorBidi" w:eastAsia="MS Mincho" w:hAnsiTheme="majorBidi" w:cstheme="majorBidi"/>
          <w:color w:val="000000"/>
          <w:kern w:val="22"/>
        </w:rPr>
        <w:footnoteReference w:id="13"/>
      </w:r>
      <w:r w:rsidRPr="001E6F64">
        <w:t xml:space="preserve"> y notas de la Secretaría sobre la administración del Convenio y sus Protocolos para el bienio 2025-2026</w:t>
      </w:r>
      <w:r w:rsidRPr="001E6F64">
        <w:rPr>
          <w:rStyle w:val="FootnoteReference"/>
          <w:snapToGrid w:val="0"/>
        </w:rPr>
        <w:footnoteReference w:id="14"/>
      </w:r>
      <w:r w:rsidRPr="001E6F64">
        <w:t>, el proyecto de presupuesto para los programas de trabajo del Convenio y sus Protocolos para el bienio 2027-2028</w:t>
      </w:r>
      <w:r w:rsidRPr="001E6F64">
        <w:rPr>
          <w:rStyle w:val="FootnoteReference"/>
          <w:snapToGrid w:val="0"/>
        </w:rPr>
        <w:footnoteReference w:id="15"/>
      </w:r>
      <w:r w:rsidRPr="001E6F64">
        <w:t>, las necesidades del fondo fiduciario de contribuciones voluntarias adicionales en apoyo de las actividades aprobadas</w:t>
      </w:r>
      <w:r w:rsidRPr="001E6F64">
        <w:rPr>
          <w:rStyle w:val="FootnoteReference"/>
          <w:snapToGrid w:val="0"/>
        </w:rPr>
        <w:footnoteReference w:id="16"/>
      </w:r>
      <w:r w:rsidRPr="001E6F64">
        <w:t xml:space="preserve"> e información adicional sobre cuestiones administrativas y presupuestarias</w:t>
      </w:r>
      <w:r w:rsidRPr="001E6F64">
        <w:rPr>
          <w:rStyle w:val="FootnoteReference"/>
          <w:rFonts w:asciiTheme="majorBidi" w:eastAsia="MS Mincho" w:hAnsiTheme="majorBidi" w:cstheme="majorBidi"/>
          <w:color w:val="000000"/>
          <w:kern w:val="22"/>
        </w:rPr>
        <w:footnoteReference w:id="17"/>
      </w:r>
      <w:r w:rsidRPr="001E6F64">
        <w:t>. Asimismo, se había publicado un documento informativo sobre la participación de las Partes que reúnen las condiciones y la composición de las delegaciones financiadas</w:t>
      </w:r>
      <w:r w:rsidR="00241536" w:rsidRPr="001E6F64">
        <w:rPr>
          <w:rStyle w:val="FootnoteReference"/>
        </w:rPr>
        <w:footnoteReference w:id="18"/>
      </w:r>
      <w:r w:rsidRPr="001E6F64">
        <w:t xml:space="preserve"> en relación con el tema 6.</w:t>
      </w:r>
    </w:p>
    <w:p w14:paraId="4E472770" w14:textId="7B87FB7D" w:rsidR="003E634A" w:rsidRPr="001E6F64" w:rsidRDefault="003E634A" w:rsidP="00D465C3">
      <w:pPr>
        <w:pStyle w:val="CBDNormalNumber"/>
      </w:pPr>
      <w:r w:rsidRPr="001E6F64">
        <w:t xml:space="preserve">La </w:t>
      </w:r>
      <w:proofErr w:type="gramStart"/>
      <w:r w:rsidRPr="001E6F64">
        <w:t>Secretaria Ejecutiva</w:t>
      </w:r>
      <w:proofErr w:type="gramEnd"/>
      <w:r w:rsidRPr="001E6F64">
        <w:t xml:space="preserve"> informó sobre las actividades de la Secretaría y presentó el presupuesto propuesto para los programas de trabajo del Convenio y sus Protocolos para el bienio 2027-2028.</w:t>
      </w:r>
    </w:p>
    <w:p w14:paraId="1AC0D582" w14:textId="23267395" w:rsidR="003E634A" w:rsidRPr="001E6F64" w:rsidRDefault="003E634A" w:rsidP="00D465C3">
      <w:pPr>
        <w:pStyle w:val="CBDNormalNumber"/>
      </w:pPr>
      <w:r w:rsidRPr="001E6F64">
        <w:t>La Conferencia de las Partes en el Convenio, que también actúa como reuniones de las Partes en los Protocolos, estableció un grupo de contacto sobre cuestiones presupuestarias, presidido por Gillian Guthrie (Jamaica), con el mandato de examinar en detalle el presupuesto propuesto para el bienio 2027-2028.</w:t>
      </w:r>
    </w:p>
    <w:p w14:paraId="72CBA7E7" w14:textId="77777777" w:rsidR="003E634A" w:rsidRPr="001E6F64" w:rsidRDefault="003E634A" w:rsidP="00D465C3">
      <w:pPr>
        <w:pStyle w:val="CBDNormalNumber"/>
      </w:pPr>
      <w:r w:rsidRPr="001E6F64">
        <w:t>[se completará]</w:t>
      </w:r>
    </w:p>
    <w:p w14:paraId="66440CEE" w14:textId="114BC635" w:rsidR="00E612A5" w:rsidRPr="001E6F64" w:rsidRDefault="00E612A5" w:rsidP="00D465C3">
      <w:pPr>
        <w:pStyle w:val="CBDAgendaItem"/>
        <w:rPr>
          <w:rFonts w:hint="eastAsia"/>
        </w:rPr>
      </w:pPr>
      <w:r w:rsidRPr="001E6F64">
        <w:t xml:space="preserve">Tema 7 </w:t>
      </w:r>
      <w:r w:rsidRPr="001E6F64">
        <w:br/>
        <w:t>Vigilancia y presentación de informes</w:t>
      </w:r>
    </w:p>
    <w:p w14:paraId="638A5074" w14:textId="6E2FA577" w:rsidR="00EA43E6" w:rsidRPr="001E6F64" w:rsidRDefault="00EA43E6" w:rsidP="00D465C3">
      <w:pPr>
        <w:pStyle w:val="CBDNormalNumber"/>
      </w:pPr>
      <w:r w:rsidRPr="001E6F64">
        <w:t>[se completará a partir del informe del Grupo de Trabajo II]</w:t>
      </w:r>
    </w:p>
    <w:p w14:paraId="7154C064" w14:textId="24A4DBA0" w:rsidR="00E10477" w:rsidRPr="001E6F64" w:rsidRDefault="00F01D9C" w:rsidP="00D465C3">
      <w:pPr>
        <w:pStyle w:val="CBDNormalNumber"/>
      </w:pPr>
      <w:r w:rsidRPr="001E6F64">
        <w:t xml:space="preserve">En su tercera sesión plenaria, la Conferencia de las Partes que actúa como reunión de las Partes en el Protocolo de Cartagena examinó el proyecto de decisión </w:t>
      </w:r>
      <w:hyperlink r:id="rId16" w:history="1">
        <w:r w:rsidRPr="001E6F64">
          <w:rPr>
            <w:rStyle w:val="Hyperlink"/>
          </w:rPr>
          <w:t>CBD/CP/MOP/12/L.6</w:t>
        </w:r>
      </w:hyperlink>
      <w:r w:rsidRPr="001E6F64">
        <w:t xml:space="preserve">, presentado por el </w:t>
      </w:r>
      <w:proofErr w:type="gramStart"/>
      <w:r w:rsidRPr="001E6F64">
        <w:t>Presidente</w:t>
      </w:r>
      <w:proofErr w:type="gramEnd"/>
      <w:r w:rsidRPr="001E6F64">
        <w:t xml:space="preserve"> del Grupo de Trabajo II, y lo adoptó como decisión CP-12/</w:t>
      </w:r>
      <w:r w:rsidRPr="001E6F64">
        <w:rPr>
          <w:highlight w:val="yellow"/>
        </w:rPr>
        <w:t>X</w:t>
      </w:r>
      <w:r w:rsidRPr="001E6F64">
        <w:t>.</w:t>
      </w:r>
    </w:p>
    <w:p w14:paraId="062837E9" w14:textId="4C97DA16" w:rsidR="00E612A5" w:rsidRPr="001E6F64" w:rsidRDefault="00E612A5" w:rsidP="00D465C3">
      <w:pPr>
        <w:pStyle w:val="CBDAgendaItem"/>
        <w:rPr>
          <w:rFonts w:hint="eastAsia"/>
        </w:rPr>
      </w:pPr>
      <w:r w:rsidRPr="001E6F64">
        <w:t xml:space="preserve">Tema 8 </w:t>
      </w:r>
      <w:r w:rsidRPr="001E6F64">
        <w:br/>
        <w:t>Evaluación y revisión de la eficacia del Protocolo de Cartagena y evaluación a mitad de período del plan de aplicación y del plan de acción para la creación de capacidad para el Protocolo</w:t>
      </w:r>
    </w:p>
    <w:p w14:paraId="71623EF2" w14:textId="2BA399E1" w:rsidR="00E81A49" w:rsidRPr="001E6F64" w:rsidRDefault="00E81A49" w:rsidP="00D465C3">
      <w:pPr>
        <w:pStyle w:val="CBDNormalNumber"/>
      </w:pPr>
      <w:r w:rsidRPr="001E6F64">
        <w:t>[se complet</w:t>
      </w:r>
      <w:r w:rsidR="00D719B2" w:rsidRPr="001E6F64">
        <w:t>a</w:t>
      </w:r>
      <w:r w:rsidRPr="001E6F64">
        <w:t>rá a partir del informe del Grupo de Trabajo II]</w:t>
      </w:r>
    </w:p>
    <w:p w14:paraId="4C1522C8" w14:textId="077367D0" w:rsidR="00EF59C9" w:rsidRPr="001E6F64" w:rsidRDefault="00EF59C9" w:rsidP="00D465C3">
      <w:pPr>
        <w:pStyle w:val="CBDNormalNumber"/>
      </w:pPr>
      <w:r w:rsidRPr="001E6F64">
        <w:t xml:space="preserve">En su cuarta sesión plenaria, la Conferencia de las Partes que actúa como reunión de las Partes en el Protocolo de Cartagena examinó el proyecto de decisión </w:t>
      </w:r>
      <w:hyperlink r:id="rId17" w:history="1">
        <w:r w:rsidRPr="001E6F64">
          <w:rPr>
            <w:rStyle w:val="Hyperlink"/>
          </w:rPr>
          <w:t>CBD/CP/MOP/12/L.10</w:t>
        </w:r>
      </w:hyperlink>
      <w:r w:rsidRPr="001E6F64">
        <w:t xml:space="preserve">, presentado por el </w:t>
      </w:r>
      <w:proofErr w:type="gramStart"/>
      <w:r w:rsidRPr="001E6F64">
        <w:t>Presidente</w:t>
      </w:r>
      <w:proofErr w:type="gramEnd"/>
      <w:r w:rsidRPr="001E6F64">
        <w:t xml:space="preserve"> del Grupo de Trabajo II, y lo adoptó como decisión CP-12/</w:t>
      </w:r>
      <w:r w:rsidRPr="001E6F64">
        <w:rPr>
          <w:highlight w:val="yellow"/>
        </w:rPr>
        <w:t>X</w:t>
      </w:r>
      <w:r w:rsidRPr="001E6F64">
        <w:t>.</w:t>
      </w:r>
    </w:p>
    <w:p w14:paraId="4E288C98" w14:textId="35C5235C" w:rsidR="00E612A5" w:rsidRPr="001E6F64" w:rsidRDefault="00E612A5" w:rsidP="00D465C3">
      <w:pPr>
        <w:pStyle w:val="CBDAgendaItem"/>
        <w:rPr>
          <w:rFonts w:hint="eastAsia"/>
        </w:rPr>
      </w:pPr>
      <w:r w:rsidRPr="001E6F64">
        <w:t xml:space="preserve">Tema 9 </w:t>
      </w:r>
      <w:r w:rsidRPr="001E6F64">
        <w:br/>
        <w:t xml:space="preserve">Asuntos relacionados con el </w:t>
      </w:r>
      <w:proofErr w:type="gramStart"/>
      <w:r w:rsidRPr="001E6F64">
        <w:t>mecanismo financiero y los recursos financieros</w:t>
      </w:r>
      <w:proofErr w:type="gramEnd"/>
    </w:p>
    <w:p w14:paraId="6C9D7D29" w14:textId="60D940E3" w:rsidR="003E15D6" w:rsidRPr="001E6F64" w:rsidRDefault="003E15D6" w:rsidP="00D465C3">
      <w:pPr>
        <w:pStyle w:val="CBDNormalNumber"/>
      </w:pPr>
      <w:r w:rsidRPr="001E6F64">
        <w:t>[se completará a partir del informe del Grupo de Trabajo II]</w:t>
      </w:r>
    </w:p>
    <w:p w14:paraId="25957CCC" w14:textId="66E14EEB" w:rsidR="00B9754C" w:rsidRPr="001E6F64" w:rsidRDefault="00B9754C" w:rsidP="00D465C3">
      <w:pPr>
        <w:pStyle w:val="CBDNormalNumber"/>
      </w:pPr>
      <w:r w:rsidRPr="001E6F64">
        <w:lastRenderedPageBreak/>
        <w:t xml:space="preserve">En su tercera sesión plenaria, la Conferencia de las Partes que actúa como reunión de las Partes en el Protocolo de Cartagena examinó el proyecto de decisión </w:t>
      </w:r>
      <w:hyperlink r:id="rId18" w:history="1">
        <w:r w:rsidRPr="001E6F64">
          <w:rPr>
            <w:rStyle w:val="Hyperlink"/>
          </w:rPr>
          <w:t>CBD/CP/MOP/12/L.9</w:t>
        </w:r>
      </w:hyperlink>
      <w:r w:rsidRPr="001E6F64">
        <w:t xml:space="preserve">, presentado por el </w:t>
      </w:r>
      <w:proofErr w:type="gramStart"/>
      <w:r w:rsidRPr="001E6F64">
        <w:t>Presidente</w:t>
      </w:r>
      <w:proofErr w:type="gramEnd"/>
      <w:r w:rsidRPr="001E6F64">
        <w:t xml:space="preserve"> del Grupo de Trabajo II.</w:t>
      </w:r>
    </w:p>
    <w:p w14:paraId="4D7605F3" w14:textId="25D07F02" w:rsidR="00B9754C" w:rsidRPr="001E6F64" w:rsidRDefault="0055626B" w:rsidP="00D465C3">
      <w:pPr>
        <w:pStyle w:val="CBDNormalNumber"/>
      </w:pPr>
      <w:r w:rsidRPr="001E6F64">
        <w:t>Formuló una declaración una representante de la República Unida de Tanzanía.</w:t>
      </w:r>
    </w:p>
    <w:p w14:paraId="30AECE40" w14:textId="79FE41E9" w:rsidR="00F0731B" w:rsidRPr="001E6F64" w:rsidRDefault="00B9754C" w:rsidP="00D465C3">
      <w:pPr>
        <w:pStyle w:val="CBDNormalNumber"/>
      </w:pPr>
      <w:r w:rsidRPr="001E6F64">
        <w:t>La Conferencia de las Partes que actúa como reunión de las Partes en el Protocolo de Cartagena adoptó el proyecto de decisión, en su forma enmendada oralmente, como decisión CP-12/</w:t>
      </w:r>
      <w:r w:rsidRPr="001E6F64">
        <w:rPr>
          <w:highlight w:val="yellow"/>
        </w:rPr>
        <w:t>X</w:t>
      </w:r>
      <w:r w:rsidRPr="001E6F64">
        <w:t>.</w:t>
      </w:r>
    </w:p>
    <w:p w14:paraId="6B608CE2" w14:textId="7F9C6F39" w:rsidR="00E612A5" w:rsidRPr="001E6F64" w:rsidRDefault="00E612A5" w:rsidP="00D465C3">
      <w:pPr>
        <w:pStyle w:val="CBDAgendaItem"/>
        <w:rPr>
          <w:rFonts w:hint="eastAsia"/>
        </w:rPr>
      </w:pPr>
      <w:r w:rsidRPr="001E6F64">
        <w:t xml:space="preserve">Tema 10 </w:t>
      </w:r>
      <w:r w:rsidRPr="001E6F64">
        <w:br/>
        <w:t>Funcionamiento y actividades del Centro de Intercambio de Información sobre Seguridad de la Biotecnología</w:t>
      </w:r>
    </w:p>
    <w:p w14:paraId="206796AE" w14:textId="71383F93" w:rsidR="003E15D6" w:rsidRPr="001E6F64" w:rsidRDefault="003E15D6" w:rsidP="00D465C3">
      <w:pPr>
        <w:pStyle w:val="CBDNormalNumber"/>
      </w:pPr>
      <w:r w:rsidRPr="001E6F64">
        <w:t>[se completará a partir del informe del Grupo de Trabajo II]</w:t>
      </w:r>
    </w:p>
    <w:p w14:paraId="52FBC665" w14:textId="099B2859" w:rsidR="006A1E58" w:rsidRPr="001E6F64" w:rsidRDefault="00BF3C14" w:rsidP="00D465C3">
      <w:pPr>
        <w:pStyle w:val="CBDNormalNumber"/>
      </w:pPr>
      <w:r w:rsidRPr="001E6F64">
        <w:t xml:space="preserve">En su tercera sesión plenaria, la Conferencia de las Partes que actúa como reunión de las Partes en el Protocolo de Cartagena examinó el proyecto de decisión </w:t>
      </w:r>
      <w:hyperlink r:id="rId19" w:history="1">
        <w:r w:rsidRPr="001E6F64">
          <w:rPr>
            <w:rStyle w:val="Hyperlink"/>
          </w:rPr>
          <w:t>CBD/CP/MOP/12/L.5</w:t>
        </w:r>
      </w:hyperlink>
      <w:r w:rsidRPr="001E6F64">
        <w:t xml:space="preserve">, presentado por el </w:t>
      </w:r>
      <w:proofErr w:type="gramStart"/>
      <w:r w:rsidRPr="001E6F64">
        <w:t>Presidente</w:t>
      </w:r>
      <w:proofErr w:type="gramEnd"/>
      <w:r w:rsidRPr="001E6F64">
        <w:t xml:space="preserve"> del Grupo de Trabajo II.</w:t>
      </w:r>
    </w:p>
    <w:p w14:paraId="675ABF1F" w14:textId="2DF563C1" w:rsidR="006A1E58" w:rsidRPr="001E6F64" w:rsidRDefault="006A1E58" w:rsidP="00D465C3">
      <w:pPr>
        <w:pStyle w:val="CBDNormalNumber"/>
      </w:pPr>
      <w:r w:rsidRPr="001E6F64">
        <w:t xml:space="preserve">El </w:t>
      </w:r>
      <w:proofErr w:type="gramStart"/>
      <w:r w:rsidRPr="001E6F64">
        <w:t>Presidente</w:t>
      </w:r>
      <w:proofErr w:type="gramEnd"/>
      <w:r w:rsidRPr="001E6F64">
        <w:t xml:space="preserve"> aportó una corrección verbal al proyecto de decisión.</w:t>
      </w:r>
    </w:p>
    <w:p w14:paraId="5F9C3CE6" w14:textId="63019459" w:rsidR="00211E5C" w:rsidRPr="001E6F64" w:rsidRDefault="006A1E58" w:rsidP="00D465C3">
      <w:pPr>
        <w:pStyle w:val="CBDNormalNumber"/>
      </w:pPr>
      <w:r w:rsidRPr="001E6F64">
        <w:t>La Conferencia de las Partes que actúa como reunión de las Partes en el Protocolo de Cartagena adoptó el proyecto de decisión, en su forma enmendada oralmente, como decisión CP-12/</w:t>
      </w:r>
      <w:r w:rsidRPr="001E6F64">
        <w:rPr>
          <w:highlight w:val="yellow"/>
        </w:rPr>
        <w:t>X</w:t>
      </w:r>
      <w:r w:rsidRPr="001E6F64">
        <w:t>.</w:t>
      </w:r>
    </w:p>
    <w:p w14:paraId="5DC1DB13" w14:textId="4A6436CD" w:rsidR="00E612A5" w:rsidRPr="001E6F64" w:rsidRDefault="00E612A5" w:rsidP="00D465C3">
      <w:pPr>
        <w:pStyle w:val="CBDAgendaItem"/>
        <w:rPr>
          <w:rFonts w:hint="eastAsia"/>
        </w:rPr>
      </w:pPr>
      <w:r w:rsidRPr="001E6F64">
        <w:t xml:space="preserve">Tema 11 </w:t>
      </w:r>
      <w:r w:rsidRPr="001E6F64">
        <w:br/>
        <w:t>Cooperación con organizaciones internacionales, organismos creados en virtud de otros convenios e iniciativas</w:t>
      </w:r>
    </w:p>
    <w:p w14:paraId="779B2C6A" w14:textId="3D72E629" w:rsidR="00211E5C" w:rsidRPr="001E6F64" w:rsidRDefault="00211E5C" w:rsidP="00D465C3">
      <w:pPr>
        <w:pStyle w:val="CBDNormalNumber"/>
      </w:pPr>
      <w:r w:rsidRPr="001E6F64">
        <w:t>[</w:t>
      </w:r>
      <w:r w:rsidR="002213F5" w:rsidRPr="001E6F64">
        <w:t>se completará</w:t>
      </w:r>
      <w:r w:rsidRPr="001E6F64">
        <w:t>]</w:t>
      </w:r>
    </w:p>
    <w:p w14:paraId="1839DC1E" w14:textId="289E86E8" w:rsidR="00E612A5" w:rsidRPr="001E6F64" w:rsidRDefault="00E612A5" w:rsidP="00D465C3">
      <w:pPr>
        <w:pStyle w:val="CBDAgendaItem"/>
        <w:rPr>
          <w:rFonts w:hint="eastAsia"/>
        </w:rPr>
      </w:pPr>
      <w:r w:rsidRPr="001E6F64">
        <w:t xml:space="preserve">Tema 12 </w:t>
      </w:r>
      <w:r w:rsidRPr="001E6F64">
        <w:br/>
        <w:t>Revisión de la eficacia de los procesos del Convenio sobre la Diversidad Biológica y sus Protocolos</w:t>
      </w:r>
    </w:p>
    <w:p w14:paraId="7667396C" w14:textId="59A0198B" w:rsidR="00E612A5" w:rsidRPr="001E6F64" w:rsidRDefault="00211E5C" w:rsidP="00D465C3">
      <w:pPr>
        <w:pStyle w:val="CBDNormalNumber"/>
      </w:pPr>
      <w:r w:rsidRPr="001E6F64">
        <w:t>[</w:t>
      </w:r>
      <w:r w:rsidR="002213F5" w:rsidRPr="001E6F64">
        <w:t>se completará</w:t>
      </w:r>
      <w:r w:rsidRPr="001E6F64">
        <w:t>]</w:t>
      </w:r>
    </w:p>
    <w:p w14:paraId="0CA08631" w14:textId="156E6EC5" w:rsidR="00E612A5" w:rsidRPr="001E6F64" w:rsidRDefault="00E612A5" w:rsidP="00D465C3">
      <w:pPr>
        <w:pStyle w:val="CBDAgendaItem"/>
        <w:rPr>
          <w:rFonts w:hint="eastAsia"/>
        </w:rPr>
      </w:pPr>
      <w:r w:rsidRPr="001E6F64">
        <w:t xml:space="preserve">Tema 13 </w:t>
      </w:r>
      <w:r w:rsidRPr="001E6F64">
        <w:br/>
        <w:t>Evaluación y gestión del riesgo de los organismos vivos modificados</w:t>
      </w:r>
    </w:p>
    <w:p w14:paraId="2E38AD14" w14:textId="3F32F17E" w:rsidR="002213F5" w:rsidRPr="001E6F64" w:rsidRDefault="002213F5" w:rsidP="00D465C3">
      <w:pPr>
        <w:pStyle w:val="CBDNormalNumber"/>
      </w:pPr>
      <w:r w:rsidRPr="001E6F64">
        <w:t>[se completará a partir del informe del Grupo de Trabajo II]</w:t>
      </w:r>
    </w:p>
    <w:p w14:paraId="0E150276" w14:textId="6E00C2A9" w:rsidR="00EF59C9" w:rsidRPr="001E6F64" w:rsidRDefault="00EF59C9" w:rsidP="00D465C3">
      <w:pPr>
        <w:pStyle w:val="CBDNormalNumber"/>
      </w:pPr>
      <w:r w:rsidRPr="001E6F64">
        <w:t xml:space="preserve">En su cuarta sesión plenaria, la Conferencia de las Partes que actúa como reunión de las Partes en el Protocolo de Cartagena examinó el proyecto de decisión </w:t>
      </w:r>
      <w:hyperlink r:id="rId20" w:history="1">
        <w:r w:rsidRPr="001E6F64">
          <w:rPr>
            <w:rStyle w:val="Hyperlink"/>
          </w:rPr>
          <w:t>CBD/CP/MOP/12/L.11</w:t>
        </w:r>
      </w:hyperlink>
      <w:r w:rsidRPr="001E6F64">
        <w:t xml:space="preserve">, presentado por el </w:t>
      </w:r>
      <w:proofErr w:type="gramStart"/>
      <w:r w:rsidRPr="001E6F64">
        <w:t>Presidente</w:t>
      </w:r>
      <w:proofErr w:type="gramEnd"/>
      <w:r w:rsidRPr="001E6F64">
        <w:t xml:space="preserve"> del Grupo de Trabajo II.</w:t>
      </w:r>
    </w:p>
    <w:p w14:paraId="538D1D29" w14:textId="6B9DF542" w:rsidR="00EF59C9" w:rsidRPr="001E6F64" w:rsidRDefault="00EF59C9" w:rsidP="00D465C3">
      <w:pPr>
        <w:pStyle w:val="CBDNormalNumber"/>
      </w:pPr>
      <w:r w:rsidRPr="001E6F64">
        <w:t>Formularon declaraciones representantes de México y Panamá.</w:t>
      </w:r>
    </w:p>
    <w:p w14:paraId="30AF2108" w14:textId="3A2FE06E" w:rsidR="00EF59C9" w:rsidRPr="001E6F64" w:rsidRDefault="00EF59C9" w:rsidP="00D465C3">
      <w:pPr>
        <w:pStyle w:val="CBDNormalNumber"/>
      </w:pPr>
      <w:r w:rsidRPr="001E6F64">
        <w:t>La Conferencia de las Partes que actúa como reunión de las Partes en el Protocolo adoptó el proyecto de decisión, en su forma enmendada oralmente, como decisión CP-12/x.</w:t>
      </w:r>
    </w:p>
    <w:p w14:paraId="6B3EB744" w14:textId="41FF9B29" w:rsidR="00E612A5" w:rsidRPr="001E6F64" w:rsidRDefault="00E612A5" w:rsidP="00D465C3">
      <w:pPr>
        <w:pStyle w:val="CBDAgendaItem"/>
        <w:rPr>
          <w:rFonts w:hint="eastAsia"/>
        </w:rPr>
      </w:pPr>
      <w:r w:rsidRPr="001E6F64">
        <w:t xml:space="preserve">Tema 14 </w:t>
      </w:r>
      <w:r w:rsidRPr="001E6F64">
        <w:br/>
        <w:t>Detección e identificación de organismos vivos modificados</w:t>
      </w:r>
    </w:p>
    <w:p w14:paraId="0AD84DEB" w14:textId="3667394E" w:rsidR="002213F5" w:rsidRPr="001E6F64" w:rsidRDefault="002213F5" w:rsidP="00D465C3">
      <w:pPr>
        <w:pStyle w:val="CBDNormalNumber"/>
      </w:pPr>
      <w:r w:rsidRPr="001E6F64">
        <w:t>[se completará a partir del informe del Grupo de Trabajo II]</w:t>
      </w:r>
    </w:p>
    <w:p w14:paraId="4C38104A" w14:textId="051ED4D9" w:rsidR="00211E5C" w:rsidRPr="001E6F64" w:rsidRDefault="007D148F" w:rsidP="00D465C3">
      <w:pPr>
        <w:pStyle w:val="CBDNormalNumber"/>
      </w:pPr>
      <w:r w:rsidRPr="001E6F64">
        <w:t xml:space="preserve">En su tercera sesión plenaria, la Conferencia de las Partes que actúa como reunión de las Partes en el Protocolo de Cartagena examinó el proyecto de decisión </w:t>
      </w:r>
      <w:hyperlink r:id="rId21" w:history="1">
        <w:r w:rsidRPr="001E6F64">
          <w:rPr>
            <w:rStyle w:val="Hyperlink"/>
          </w:rPr>
          <w:t>CBD/CP/MOP/12/L.7</w:t>
        </w:r>
      </w:hyperlink>
      <w:r w:rsidRPr="001E6F64">
        <w:t xml:space="preserve">, presentado por el </w:t>
      </w:r>
      <w:proofErr w:type="gramStart"/>
      <w:r w:rsidRPr="001E6F64">
        <w:t>Presidente</w:t>
      </w:r>
      <w:proofErr w:type="gramEnd"/>
      <w:r w:rsidRPr="001E6F64">
        <w:t xml:space="preserve"> del Grupo de Trabajo II, y lo adoptó como decisión CP-12/X.</w:t>
      </w:r>
    </w:p>
    <w:p w14:paraId="116FE1CD" w14:textId="6879E428" w:rsidR="00E612A5" w:rsidRPr="001E6F64" w:rsidRDefault="00E612A5" w:rsidP="00D465C3">
      <w:pPr>
        <w:pStyle w:val="CBDAgendaItem"/>
        <w:rPr>
          <w:rFonts w:hint="eastAsia"/>
        </w:rPr>
      </w:pPr>
      <w:r w:rsidRPr="001E6F64">
        <w:lastRenderedPageBreak/>
        <w:t xml:space="preserve">Tema 15 </w:t>
      </w:r>
      <w:r w:rsidRPr="001E6F64">
        <w:br/>
        <w:t>Consideraciones socioeconómicas</w:t>
      </w:r>
    </w:p>
    <w:p w14:paraId="3D1B0569" w14:textId="239A48CD" w:rsidR="006C61AB" w:rsidRPr="001E6F64" w:rsidRDefault="006C61AB" w:rsidP="00D465C3">
      <w:pPr>
        <w:pStyle w:val="CBDNormalNumber"/>
      </w:pPr>
      <w:r w:rsidRPr="001E6F64">
        <w:t>[se completará a partir del informe del Grupo de Trabajo II]</w:t>
      </w:r>
    </w:p>
    <w:p w14:paraId="638A6CE9" w14:textId="1A4751D5" w:rsidR="00211E5C" w:rsidRPr="001E6F64" w:rsidRDefault="009771ED" w:rsidP="00D465C3">
      <w:pPr>
        <w:pStyle w:val="CBDNormalNumber"/>
      </w:pPr>
      <w:r w:rsidRPr="001E6F64">
        <w:t xml:space="preserve">En su tercera sesión plenaria, la Conferencia de las Partes que actúa como reunión de las Partes en el Protocolo de Cartagena examinó el proyecto de decisión </w:t>
      </w:r>
      <w:hyperlink r:id="rId22" w:history="1">
        <w:r w:rsidRPr="001E6F64">
          <w:rPr>
            <w:rStyle w:val="Hyperlink"/>
          </w:rPr>
          <w:t>CBD/CP/MOP/12/L.4</w:t>
        </w:r>
      </w:hyperlink>
      <w:r w:rsidRPr="001E6F64">
        <w:t xml:space="preserve">, presentado por el </w:t>
      </w:r>
      <w:proofErr w:type="gramStart"/>
      <w:r w:rsidRPr="001E6F64">
        <w:t>Presidente</w:t>
      </w:r>
      <w:proofErr w:type="gramEnd"/>
      <w:r w:rsidRPr="001E6F64">
        <w:t xml:space="preserve"> del Grupo de Trabajo II, y lo adoptó como decisión CP-12/X.</w:t>
      </w:r>
    </w:p>
    <w:p w14:paraId="2F02E5A9" w14:textId="1AFF286C" w:rsidR="00E612A5" w:rsidRPr="001E6F64" w:rsidRDefault="00E612A5" w:rsidP="00D465C3">
      <w:pPr>
        <w:pStyle w:val="CBDAgendaItem"/>
        <w:rPr>
          <w:rFonts w:hint="eastAsia"/>
        </w:rPr>
      </w:pPr>
      <w:r w:rsidRPr="001E6F64">
        <w:t xml:space="preserve">Tema 16 </w:t>
      </w:r>
      <w:r w:rsidRPr="001E6F64">
        <w:br/>
        <w:t>Leyes, reglamentaciones y directrices nacionales sobre nuevos avances de la biotecnología moderna</w:t>
      </w:r>
    </w:p>
    <w:p w14:paraId="5DBECB6E" w14:textId="56A629F2" w:rsidR="00DD3663" w:rsidRPr="001E6F64" w:rsidRDefault="00DD3663" w:rsidP="00D465C3">
      <w:pPr>
        <w:pStyle w:val="CBDNormalNumber"/>
      </w:pPr>
      <w:r w:rsidRPr="001E6F64">
        <w:t>[se completará a partir del informe del Grupo de Trabajo II]</w:t>
      </w:r>
    </w:p>
    <w:p w14:paraId="5AEF3D1F" w14:textId="20184293" w:rsidR="007C0E8D" w:rsidRPr="001E6F64" w:rsidRDefault="007C0E8D" w:rsidP="00D465C3">
      <w:pPr>
        <w:pStyle w:val="CBDNormalNumber"/>
      </w:pPr>
      <w:r w:rsidRPr="001E6F64">
        <w:t xml:space="preserve">En su tercera sesión plenaria, la Conferencia de las Partes que actúa como reunión de las Partes en el Protocolo de Cartagena examinó el proyecto de decisión </w:t>
      </w:r>
      <w:hyperlink r:id="rId23" w:history="1">
        <w:r w:rsidRPr="001E6F64">
          <w:rPr>
            <w:rStyle w:val="Hyperlink"/>
          </w:rPr>
          <w:t>CBD/CP/MOP/12/L.8</w:t>
        </w:r>
      </w:hyperlink>
      <w:r w:rsidRPr="001E6F64">
        <w:t xml:space="preserve">, presentado por el </w:t>
      </w:r>
      <w:proofErr w:type="gramStart"/>
      <w:r w:rsidRPr="001E6F64">
        <w:t>Presidente</w:t>
      </w:r>
      <w:proofErr w:type="gramEnd"/>
      <w:r w:rsidRPr="001E6F64">
        <w:t xml:space="preserve"> del Grupo de Trabajo II.</w:t>
      </w:r>
    </w:p>
    <w:p w14:paraId="7963AD86" w14:textId="06409B53" w:rsidR="00504255" w:rsidRPr="001E6F64" w:rsidRDefault="00504255" w:rsidP="00D465C3">
      <w:pPr>
        <w:pStyle w:val="CBDNormalNumber"/>
      </w:pPr>
      <w:r w:rsidRPr="001E6F64">
        <w:t>Formularon declaraciones representantes de las siguientes Partes: Brasil, Nigeria, Panamá y la Unión Europea y sus Estados miembros.</w:t>
      </w:r>
    </w:p>
    <w:p w14:paraId="150F7212" w14:textId="6EADDD2D" w:rsidR="00211E5C" w:rsidRPr="001E6F64" w:rsidRDefault="007C0E8D" w:rsidP="00D465C3">
      <w:pPr>
        <w:pStyle w:val="CBDNormalNumber"/>
      </w:pPr>
      <w:r w:rsidRPr="001E6F64">
        <w:t>Tras un intercambio de opiniones, la Conferencia de las Partes que actúa como reunión de las Partes en el Protocolo de Cartagena adoptó la decisión, en su forma enmendada oralmente, como decisión CP-12/X.</w:t>
      </w:r>
    </w:p>
    <w:p w14:paraId="2C241AEB" w14:textId="6CBD49D2" w:rsidR="00E612A5" w:rsidRPr="001E6F64" w:rsidRDefault="00E612A5" w:rsidP="00D465C3">
      <w:pPr>
        <w:pStyle w:val="CBDAgendaItem"/>
        <w:rPr>
          <w:rFonts w:hint="eastAsia"/>
        </w:rPr>
      </w:pPr>
      <w:r w:rsidRPr="001E6F64">
        <w:t xml:space="preserve">Tema 17 </w:t>
      </w:r>
      <w:r w:rsidRPr="001E6F64">
        <w:br/>
        <w:t>Protocolo Suplementario de Nagoya-Kuala Lumpur sobre Responsabilidad y Compensación</w:t>
      </w:r>
    </w:p>
    <w:p w14:paraId="0EFB42D8" w14:textId="799873C1" w:rsidR="00593D67" w:rsidRPr="001E6F64" w:rsidRDefault="00593D67" w:rsidP="00D465C3">
      <w:pPr>
        <w:pStyle w:val="CBDNormalNumber"/>
      </w:pPr>
      <w:r w:rsidRPr="001E6F64">
        <w:t>[se completará a partir del informe del Grupo de Trabajo II]</w:t>
      </w:r>
    </w:p>
    <w:p w14:paraId="62D52022" w14:textId="5B5CB792" w:rsidR="00C17EF8" w:rsidRPr="001E6F64" w:rsidRDefault="00C17EF8" w:rsidP="00D465C3">
      <w:pPr>
        <w:pStyle w:val="CBDNormalNumber"/>
      </w:pPr>
      <w:r w:rsidRPr="001E6F64">
        <w:t xml:space="preserve">En su tercera sesión plenaria, la Conferencia de las Partes que actúa como reunión de las Partes en el Protocolo de Cartagena examinó el proyecto de decisión </w:t>
      </w:r>
      <w:hyperlink r:id="rId24" w:history="1">
        <w:r w:rsidRPr="001E6F64">
          <w:rPr>
            <w:rStyle w:val="Hyperlink"/>
          </w:rPr>
          <w:t>CBD/CP/MOP/12/L.3</w:t>
        </w:r>
      </w:hyperlink>
      <w:r w:rsidRPr="001E6F64">
        <w:t xml:space="preserve">, presentado por el </w:t>
      </w:r>
      <w:proofErr w:type="gramStart"/>
      <w:r w:rsidRPr="001E6F64">
        <w:t>Presidente</w:t>
      </w:r>
      <w:proofErr w:type="gramEnd"/>
      <w:r w:rsidRPr="001E6F64">
        <w:t xml:space="preserve"> del Grupo de Trabajo II.</w:t>
      </w:r>
    </w:p>
    <w:p w14:paraId="253E914C" w14:textId="01C97666" w:rsidR="00C17EF8" w:rsidRPr="001E6F64" w:rsidRDefault="00C17EF8" w:rsidP="00D465C3">
      <w:pPr>
        <w:pStyle w:val="CBDNormalNumber"/>
      </w:pPr>
      <w:r w:rsidRPr="001E6F64">
        <w:t>El presidente aportó correcciones verbales al proyecto de decisión.</w:t>
      </w:r>
    </w:p>
    <w:p w14:paraId="11830F03" w14:textId="73F2B8A7" w:rsidR="00211E5C" w:rsidRPr="001E6F64" w:rsidRDefault="00C17EF8" w:rsidP="00D465C3">
      <w:pPr>
        <w:pStyle w:val="CBDNormalNumber"/>
      </w:pPr>
      <w:r w:rsidRPr="001E6F64">
        <w:t>La Conferencia de las Partes que actúa como reunión de las Partes en el Protocolo de Cartagena adoptó el proyecto de decisión, en su forma enmendada oralmente, como decisión CP-12/X.</w:t>
      </w:r>
    </w:p>
    <w:p w14:paraId="1AEC409C" w14:textId="3526F3E3" w:rsidR="00E612A5" w:rsidRPr="001E6F64" w:rsidRDefault="00E612A5" w:rsidP="00D465C3">
      <w:pPr>
        <w:pStyle w:val="CBDAgendaItem"/>
        <w:rPr>
          <w:rFonts w:hint="eastAsia"/>
        </w:rPr>
      </w:pPr>
      <w:r w:rsidRPr="001E6F64">
        <w:t xml:space="preserve">Tema 18 </w:t>
      </w:r>
      <w:r w:rsidRPr="001E6F64">
        <w:br/>
        <w:t>Otros asuntos</w:t>
      </w:r>
    </w:p>
    <w:p w14:paraId="5A4F5172" w14:textId="77777777" w:rsidR="00211E5C" w:rsidRPr="001E6F64" w:rsidRDefault="00211E5C" w:rsidP="00D465C3">
      <w:pPr>
        <w:pStyle w:val="CBDNormalNumber"/>
      </w:pPr>
      <w:r w:rsidRPr="001E6F64">
        <w:t>[se completará]</w:t>
      </w:r>
    </w:p>
    <w:p w14:paraId="371DD4E4" w14:textId="12EBDF02" w:rsidR="00E612A5" w:rsidRPr="001E6F64" w:rsidRDefault="00E612A5" w:rsidP="00D465C3">
      <w:pPr>
        <w:pStyle w:val="CBDAgendaItem"/>
        <w:rPr>
          <w:rFonts w:hint="eastAsia"/>
        </w:rPr>
      </w:pPr>
      <w:r w:rsidRPr="001E6F64">
        <w:t xml:space="preserve">Tema 19 </w:t>
      </w:r>
      <w:r w:rsidRPr="001E6F64">
        <w:br/>
        <w:t>Adopción del informe</w:t>
      </w:r>
    </w:p>
    <w:p w14:paraId="0EC8A2E4" w14:textId="77777777" w:rsidR="00211E5C" w:rsidRPr="001E6F64" w:rsidRDefault="00211E5C" w:rsidP="00D465C3">
      <w:pPr>
        <w:pStyle w:val="CBDNormalNumber"/>
        <w:ind w:left="562"/>
      </w:pPr>
      <w:r w:rsidRPr="001E6F64">
        <w:t>[se completará]</w:t>
      </w:r>
    </w:p>
    <w:p w14:paraId="71EB340E" w14:textId="795EA3C4" w:rsidR="00E612A5" w:rsidRPr="001E6F64" w:rsidRDefault="00E612A5" w:rsidP="00D465C3">
      <w:pPr>
        <w:pStyle w:val="CBDAgendaItem"/>
        <w:rPr>
          <w:rFonts w:hint="eastAsia"/>
        </w:rPr>
      </w:pPr>
      <w:r w:rsidRPr="001E6F64">
        <w:t>Tema 20</w:t>
      </w:r>
      <w:r w:rsidRPr="001E6F64">
        <w:br/>
        <w:t>Clausura de la reunión</w:t>
      </w:r>
    </w:p>
    <w:p w14:paraId="451A2531" w14:textId="031D9188" w:rsidR="00211E5C" w:rsidRPr="001E6F64" w:rsidRDefault="00211E5C" w:rsidP="00D465C3">
      <w:pPr>
        <w:pStyle w:val="CBDNormalNumber"/>
      </w:pPr>
      <w:r w:rsidRPr="001E6F64">
        <w:t>[se completará]</w:t>
      </w:r>
    </w:p>
    <w:p w14:paraId="167E2AC5" w14:textId="0B7AF12D" w:rsidR="005557C6" w:rsidRPr="001E6F64" w:rsidRDefault="005557C6" w:rsidP="00D465C3">
      <w:pPr>
        <w:suppressLineNumbers/>
        <w:suppressAutoHyphens/>
        <w:jc w:val="center"/>
      </w:pPr>
      <w:r w:rsidRPr="001E6F64">
        <w:t>__________</w:t>
      </w:r>
    </w:p>
    <w:sectPr w:rsidR="005557C6" w:rsidRPr="001E6F64" w:rsidSect="00AE3058">
      <w:headerReference w:type="even" r:id="rId25"/>
      <w:headerReference w:type="default" r:id="rId26"/>
      <w:footerReference w:type="even" r:id="rId27"/>
      <w:footerReference w:type="default" r:id="rId28"/>
      <w:headerReference w:type="first" r:id="rId29"/>
      <w:pgSz w:w="12240" w:h="15840"/>
      <w:pgMar w:top="28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8F9BC" w14:textId="77777777" w:rsidR="00F2418F" w:rsidRPr="0025501A" w:rsidRDefault="00F2418F" w:rsidP="00CF1848">
      <w:r w:rsidRPr="0025501A">
        <w:separator/>
      </w:r>
    </w:p>
  </w:endnote>
  <w:endnote w:type="continuationSeparator" w:id="0">
    <w:p w14:paraId="5FC121C9" w14:textId="77777777" w:rsidR="00F2418F" w:rsidRPr="0025501A" w:rsidRDefault="00F2418F" w:rsidP="00CF1848">
      <w:r w:rsidRPr="00255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85F11D3" w14:textId="77777777" w:rsidR="00D75CA6" w:rsidRPr="0025501A" w:rsidRDefault="00D75CA6" w:rsidP="00D75CA6">
            <w:pPr>
              <w:pStyle w:val="Footer"/>
              <w:jc w:val="left"/>
            </w:pPr>
            <w:r w:rsidRPr="00947347">
              <w:fldChar w:fldCharType="begin"/>
            </w:r>
            <w:r w:rsidRPr="00947347">
              <w:instrText xml:space="preserve"> PAGE </w:instrText>
            </w:r>
            <w:r w:rsidRPr="00947347">
              <w:fldChar w:fldCharType="separate"/>
            </w:r>
            <w:r w:rsidRPr="00947347">
              <w:t>2</w:t>
            </w:r>
            <w:r w:rsidRPr="00947347">
              <w:fldChar w:fldCharType="end"/>
            </w:r>
            <w:r>
              <w:t>/</w:t>
            </w:r>
            <w:fldSimple w:instr=" NUMPAGES  ">
              <w:r w:rsidRPr="00947347">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1605174" w14:textId="77777777" w:rsidR="00D75CA6" w:rsidRPr="0025501A" w:rsidRDefault="00D75CA6" w:rsidP="00947347">
        <w:pPr>
          <w:pStyle w:val="Footer"/>
          <w:jc w:val="right"/>
        </w:pPr>
        <w:r w:rsidRPr="00947347">
          <w:fldChar w:fldCharType="begin"/>
        </w:r>
        <w:r w:rsidRPr="00947347">
          <w:instrText xml:space="preserve"> PAGE </w:instrText>
        </w:r>
        <w:r w:rsidRPr="00947347">
          <w:fldChar w:fldCharType="separate"/>
        </w:r>
        <w:r w:rsidRPr="00947347">
          <w:t>2</w:t>
        </w:r>
        <w:r w:rsidRPr="00947347">
          <w:fldChar w:fldCharType="end"/>
        </w:r>
        <w:r>
          <w:t>/</w:t>
        </w:r>
        <w:fldSimple w:instr=" NUMPAGES  ">
          <w:r w:rsidRPr="00947347">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48F60" w14:textId="77777777" w:rsidR="00F2418F" w:rsidRPr="0025501A" w:rsidRDefault="00F2418F" w:rsidP="00CF1848">
      <w:r w:rsidRPr="0025501A">
        <w:separator/>
      </w:r>
    </w:p>
  </w:footnote>
  <w:footnote w:type="continuationSeparator" w:id="0">
    <w:p w14:paraId="1B4FEDB8" w14:textId="77777777" w:rsidR="00F2418F" w:rsidRPr="0025501A" w:rsidRDefault="00F2418F" w:rsidP="00CF1848">
      <w:r w:rsidRPr="0025501A">
        <w:continuationSeparator/>
      </w:r>
    </w:p>
  </w:footnote>
  <w:footnote w:id="1">
    <w:p w14:paraId="68CC19CF" w14:textId="3A46B23B" w:rsidR="00AF0C14" w:rsidRPr="00793369" w:rsidRDefault="00AF0C14" w:rsidP="00AF0C14">
      <w:pPr>
        <w:pStyle w:val="FootnoteText"/>
      </w:pPr>
      <w:r>
        <w:rPr>
          <w:rStyle w:val="FootnoteReference"/>
        </w:rPr>
        <w:footnoteRef/>
      </w:r>
      <w:r>
        <w:t xml:space="preserve"> Las declaraciones formuladas durante la reunión y presentadas por escrito por los participantes pueden consultarse en </w:t>
      </w:r>
      <w:hyperlink r:id="rId1" w:history="1">
        <w:r>
          <w:rPr>
            <w:rStyle w:val="Hyperlink"/>
          </w:rPr>
          <w:t>www.cbd.int/meetings/CP-MOP-12</w:t>
        </w:r>
      </w:hyperlink>
      <w:r>
        <w:t xml:space="preserve">. </w:t>
      </w:r>
    </w:p>
  </w:footnote>
  <w:footnote w:id="2">
    <w:p w14:paraId="2507F2FC" w14:textId="6845AB8E" w:rsidR="00012DD6" w:rsidRPr="00012DD6" w:rsidRDefault="00012DD6">
      <w:pPr>
        <w:pStyle w:val="FootnoteText"/>
      </w:pPr>
      <w:r>
        <w:rPr>
          <w:rStyle w:val="FootnoteReference"/>
        </w:rPr>
        <w:footnoteRef/>
      </w:r>
      <w:r>
        <w:t xml:space="preserve"> En el documento CBD/COP/17/</w:t>
      </w:r>
      <w:proofErr w:type="spellStart"/>
      <w:r>
        <w:t>xx</w:t>
      </w:r>
      <w:proofErr w:type="spellEnd"/>
      <w:r>
        <w:t>, párr. [</w:t>
      </w:r>
      <w:proofErr w:type="spellStart"/>
      <w:r>
        <w:t>xx</w:t>
      </w:r>
      <w:proofErr w:type="spellEnd"/>
      <w:r>
        <w:t>], puede consultarse un resumen de los discursos de apertura.</w:t>
      </w:r>
    </w:p>
  </w:footnote>
  <w:footnote w:id="3">
    <w:p w14:paraId="254F0A84" w14:textId="489F98AD" w:rsidR="00B30C6B" w:rsidRPr="008E1212" w:rsidRDefault="00B30C6B" w:rsidP="00B30C6B">
      <w:pPr>
        <w:pStyle w:val="FootnoteText"/>
      </w:pPr>
      <w:r>
        <w:rPr>
          <w:rStyle w:val="FootnoteReference"/>
        </w:rPr>
        <w:footnoteRef/>
      </w:r>
      <w:r>
        <w:t xml:space="preserve"> En el documento CBD/COP/17/</w:t>
      </w:r>
      <w:proofErr w:type="spellStart"/>
      <w:r>
        <w:t>xx</w:t>
      </w:r>
      <w:proofErr w:type="spellEnd"/>
      <w:r>
        <w:t>, párr. [</w:t>
      </w:r>
      <w:proofErr w:type="spellStart"/>
      <w:r>
        <w:t>yy</w:t>
      </w:r>
      <w:proofErr w:type="spellEnd"/>
      <w:r>
        <w:t>], puede consultarse un resumen de los discursos de apertura.</w:t>
      </w:r>
    </w:p>
  </w:footnote>
  <w:footnote w:id="4">
    <w:p w14:paraId="0AF3EA42" w14:textId="69C5EE23" w:rsidR="008752A2" w:rsidRPr="00981A15" w:rsidRDefault="008752A2" w:rsidP="008752A2">
      <w:pPr>
        <w:pStyle w:val="FootnoteText"/>
      </w:pPr>
      <w:r>
        <w:rPr>
          <w:rStyle w:val="FootnoteReference"/>
        </w:rPr>
        <w:footnoteRef/>
      </w:r>
      <w:r>
        <w:t xml:space="preserve"> En </w:t>
      </w:r>
      <w:hyperlink r:id="rId2" w:history="1">
        <w:r>
          <w:rPr>
            <w:rStyle w:val="Hyperlink"/>
          </w:rPr>
          <w:t>www.cbd.int/meetings/IMP-OM-2026-02</w:t>
        </w:r>
      </w:hyperlink>
      <w:r>
        <w:t xml:space="preserve"> pueden consultarse los documentos del diálogo.</w:t>
      </w:r>
    </w:p>
  </w:footnote>
  <w:footnote w:id="5">
    <w:p w14:paraId="764123DF" w14:textId="6128DAD3" w:rsidR="008752A2" w:rsidRPr="00FC5355" w:rsidRDefault="008752A2" w:rsidP="008752A2">
      <w:pPr>
        <w:pStyle w:val="FootnoteText"/>
      </w:pPr>
      <w:r>
        <w:rPr>
          <w:rStyle w:val="FootnoteReference"/>
        </w:rPr>
        <w:footnoteRef/>
      </w:r>
      <w:r>
        <w:t xml:space="preserve"> </w:t>
      </w:r>
      <w:hyperlink r:id="rId3" w:history="1">
        <w:r>
          <w:rPr>
            <w:rStyle w:val="Hyperlink"/>
          </w:rPr>
          <w:t>CBD/CP/MOP/12/1</w:t>
        </w:r>
      </w:hyperlink>
      <w:r>
        <w:t>.</w:t>
      </w:r>
    </w:p>
  </w:footnote>
  <w:footnote w:id="6">
    <w:p w14:paraId="3C0A28BC" w14:textId="2C33746A" w:rsidR="008752A2" w:rsidRPr="00207786" w:rsidRDefault="008752A2" w:rsidP="008752A2">
      <w:pPr>
        <w:pStyle w:val="FootnoteText"/>
      </w:pPr>
      <w:r>
        <w:rPr>
          <w:rStyle w:val="FootnoteReference"/>
        </w:rPr>
        <w:footnoteRef/>
      </w:r>
      <w:r>
        <w:t xml:space="preserve"> </w:t>
      </w:r>
      <w:hyperlink r:id="rId4" w:history="1">
        <w:r>
          <w:rPr>
            <w:rStyle w:val="Hyperlink"/>
          </w:rPr>
          <w:t>CBD/CP/MOP/12/1/Add.1</w:t>
        </w:r>
      </w:hyperlink>
      <w:r>
        <w:t>.</w:t>
      </w:r>
    </w:p>
  </w:footnote>
  <w:footnote w:id="7">
    <w:p w14:paraId="6CC97E8C" w14:textId="7080416C" w:rsidR="008752A2" w:rsidRPr="00EA43E6" w:rsidRDefault="008752A2" w:rsidP="008752A2">
      <w:pPr>
        <w:pStyle w:val="FootnoteText"/>
      </w:pPr>
      <w:r>
        <w:rPr>
          <w:rStyle w:val="FootnoteReference"/>
        </w:rPr>
        <w:footnoteRef/>
      </w:r>
      <w:r w:rsidRPr="00EA43E6">
        <w:t xml:space="preserve"> </w:t>
      </w:r>
      <w:hyperlink r:id="rId5" w:history="1">
        <w:r w:rsidRPr="00EA43E6">
          <w:rPr>
            <w:rStyle w:val="Hyperlink"/>
          </w:rPr>
          <w:t>CBD/CP/MOP/12/1/Add.2/Rev.1</w:t>
        </w:r>
      </w:hyperlink>
      <w:r w:rsidRPr="00EA43E6">
        <w:t>.</w:t>
      </w:r>
    </w:p>
  </w:footnote>
  <w:footnote w:id="8">
    <w:p w14:paraId="1E9D6641" w14:textId="4B900B62" w:rsidR="007834B9" w:rsidRPr="00EA43E6" w:rsidRDefault="007834B9" w:rsidP="007834B9">
      <w:pPr>
        <w:pStyle w:val="FootnoteText"/>
      </w:pPr>
      <w:r>
        <w:rPr>
          <w:rStyle w:val="FootnoteReference"/>
        </w:rPr>
        <w:footnoteRef/>
      </w:r>
      <w:r w:rsidRPr="00EA43E6">
        <w:t xml:space="preserve"> </w:t>
      </w:r>
      <w:hyperlink r:id="rId6" w:history="1">
        <w:r w:rsidRPr="00EA43E6">
          <w:rPr>
            <w:rStyle w:val="Hyperlink"/>
          </w:rPr>
          <w:t>CBD/CP/MOP/12/INF/10</w:t>
        </w:r>
      </w:hyperlink>
      <w:r w:rsidRPr="00EA43E6">
        <w:t>.</w:t>
      </w:r>
    </w:p>
  </w:footnote>
  <w:footnote w:id="9">
    <w:p w14:paraId="0838F214" w14:textId="6EF662D4" w:rsidR="00702238" w:rsidRPr="00EA43E6" w:rsidRDefault="00702238" w:rsidP="00702238">
      <w:pPr>
        <w:pStyle w:val="FootnoteText"/>
      </w:pPr>
      <w:r>
        <w:rPr>
          <w:rStyle w:val="FootnoteReference"/>
        </w:rPr>
        <w:footnoteRef/>
      </w:r>
      <w:r w:rsidRPr="00EA43E6">
        <w:t xml:space="preserve"> </w:t>
      </w:r>
      <w:hyperlink r:id="rId7" w:history="1">
        <w:r w:rsidRPr="00EA43E6">
          <w:rPr>
            <w:rStyle w:val="Hyperlink"/>
          </w:rPr>
          <w:t>CBD/SBSTTA/27/10</w:t>
        </w:r>
      </w:hyperlink>
      <w:r w:rsidRPr="00EA43E6">
        <w:t>.</w:t>
      </w:r>
    </w:p>
  </w:footnote>
  <w:footnote w:id="10">
    <w:p w14:paraId="0BAB961D" w14:textId="3A386F2B" w:rsidR="00702238" w:rsidRPr="00793369" w:rsidRDefault="00702238" w:rsidP="00702238">
      <w:pPr>
        <w:pStyle w:val="FootnoteText"/>
      </w:pPr>
      <w:r>
        <w:rPr>
          <w:rStyle w:val="FootnoteReference"/>
        </w:rPr>
        <w:footnoteRef/>
      </w:r>
      <w:r>
        <w:t xml:space="preserve"> </w:t>
      </w:r>
      <w:hyperlink r:id="rId8" w:history="1">
        <w:r>
          <w:rPr>
            <w:rStyle w:val="Hyperlink"/>
          </w:rPr>
          <w:t>CBD/SBI/6/11</w:t>
        </w:r>
      </w:hyperlink>
      <w:r>
        <w:t xml:space="preserve"> y </w:t>
      </w:r>
      <w:hyperlink r:id="rId9" w:history="1">
        <w:r>
          <w:rPr>
            <w:rStyle w:val="Hyperlink"/>
          </w:rPr>
          <w:t>CBD/SBI/7/16</w:t>
        </w:r>
      </w:hyperlink>
      <w:r>
        <w:t>, respectivamente.</w:t>
      </w:r>
    </w:p>
  </w:footnote>
  <w:footnote w:id="11">
    <w:p w14:paraId="20A0F564" w14:textId="013F92A1" w:rsidR="00F22085" w:rsidRPr="003E45D7" w:rsidRDefault="00F22085" w:rsidP="00F22085">
      <w:pPr>
        <w:pStyle w:val="FootnoteText"/>
      </w:pPr>
      <w:r>
        <w:rPr>
          <w:rStyle w:val="FootnoteReference"/>
        </w:rPr>
        <w:footnoteRef/>
      </w:r>
      <w:r>
        <w:t xml:space="preserve"> </w:t>
      </w:r>
      <w:hyperlink r:id="rId10" w:history="1">
        <w:r>
          <w:rPr>
            <w:rStyle w:val="Hyperlink"/>
            <w:snapToGrid w:val="0"/>
          </w:rPr>
          <w:t>CBD/CP/MOP/12/2</w:t>
        </w:r>
      </w:hyperlink>
      <w:r>
        <w:rPr>
          <w:snapToGrid w:val="0"/>
        </w:rPr>
        <w:t>, tema 5.</w:t>
      </w:r>
    </w:p>
  </w:footnote>
  <w:footnote w:id="12">
    <w:p w14:paraId="59F2BE37" w14:textId="4367C322" w:rsidR="00F22085" w:rsidRPr="003E45D7" w:rsidRDefault="00F22085" w:rsidP="00F22085">
      <w:pPr>
        <w:pStyle w:val="FootnoteText"/>
      </w:pPr>
      <w:r>
        <w:rPr>
          <w:rStyle w:val="FootnoteReference"/>
        </w:rPr>
        <w:footnoteRef/>
      </w:r>
      <w:r>
        <w:t xml:space="preserve"> </w:t>
      </w:r>
      <w:hyperlink r:id="rId11" w:history="1">
        <w:r>
          <w:rPr>
            <w:rStyle w:val="Hyperlink"/>
          </w:rPr>
          <w:t>CBD/CP/MOP/12/3</w:t>
        </w:r>
      </w:hyperlink>
      <w:r>
        <w:t>.</w:t>
      </w:r>
    </w:p>
  </w:footnote>
  <w:footnote w:id="13">
    <w:p w14:paraId="09F5344B" w14:textId="1DC93BED" w:rsidR="003E634A" w:rsidRPr="00793369" w:rsidRDefault="003E634A" w:rsidP="003E634A">
      <w:pPr>
        <w:pStyle w:val="FootnoteText"/>
      </w:pPr>
      <w:r>
        <w:rPr>
          <w:rStyle w:val="FootnoteReference"/>
        </w:rPr>
        <w:footnoteRef/>
      </w:r>
      <w:r>
        <w:t xml:space="preserve"> </w:t>
      </w:r>
      <w:hyperlink r:id="rId12" w:history="1">
        <w:r>
          <w:rPr>
            <w:rStyle w:val="Hyperlink"/>
            <w:rFonts w:asciiTheme="majorBidi" w:hAnsiTheme="majorBidi"/>
          </w:rPr>
          <w:t>CBD/CP/MOP/12/2</w:t>
        </w:r>
      </w:hyperlink>
      <w:r>
        <w:rPr>
          <w:rFonts w:asciiTheme="majorBidi" w:hAnsiTheme="majorBidi"/>
          <w:color w:val="000000"/>
        </w:rPr>
        <w:t>, tema 6.</w:t>
      </w:r>
    </w:p>
  </w:footnote>
  <w:footnote w:id="14">
    <w:p w14:paraId="1EE3DFF7" w14:textId="1D509C37" w:rsidR="003E634A" w:rsidRPr="00793369" w:rsidRDefault="003E634A" w:rsidP="003E634A">
      <w:pPr>
        <w:pStyle w:val="FootnoteText"/>
      </w:pPr>
      <w:r>
        <w:rPr>
          <w:rStyle w:val="FootnoteReference"/>
        </w:rPr>
        <w:footnoteRef/>
      </w:r>
      <w:r>
        <w:rPr>
          <w:snapToGrid w:val="0"/>
        </w:rPr>
        <w:t xml:space="preserve"> </w:t>
      </w:r>
      <w:hyperlink r:id="rId13" w:history="1">
        <w:r>
          <w:rPr>
            <w:rStyle w:val="Hyperlink"/>
            <w:snapToGrid w:val="0"/>
          </w:rPr>
          <w:t>CBD/CP/MOP/12/4</w:t>
        </w:r>
      </w:hyperlink>
      <w:r>
        <w:rPr>
          <w:snapToGrid w:val="0"/>
        </w:rPr>
        <w:t>.</w:t>
      </w:r>
    </w:p>
  </w:footnote>
  <w:footnote w:id="15">
    <w:p w14:paraId="2713BB7B" w14:textId="78C2A580" w:rsidR="003E634A" w:rsidRPr="00793369" w:rsidRDefault="003E634A" w:rsidP="003E634A">
      <w:pPr>
        <w:pStyle w:val="FootnoteText"/>
      </w:pPr>
      <w:r>
        <w:rPr>
          <w:rStyle w:val="FootnoteReference"/>
        </w:rPr>
        <w:footnoteRef/>
      </w:r>
      <w:r>
        <w:t xml:space="preserve"> </w:t>
      </w:r>
      <w:hyperlink r:id="rId14" w:history="1">
        <w:r>
          <w:rPr>
            <w:rStyle w:val="Hyperlink"/>
          </w:rPr>
          <w:t>CBD/CP/MOP/12/5</w:t>
        </w:r>
      </w:hyperlink>
      <w:r>
        <w:rPr>
          <w:snapToGrid w:val="0"/>
        </w:rPr>
        <w:t>.</w:t>
      </w:r>
    </w:p>
  </w:footnote>
  <w:footnote w:id="16">
    <w:p w14:paraId="3B0C32BA" w14:textId="5BDE134F" w:rsidR="003E634A" w:rsidRPr="00C513D6" w:rsidRDefault="003E634A" w:rsidP="003E634A">
      <w:pPr>
        <w:pStyle w:val="FootnoteText"/>
      </w:pPr>
      <w:r>
        <w:rPr>
          <w:rStyle w:val="FootnoteReference"/>
        </w:rPr>
        <w:footnoteRef/>
      </w:r>
      <w:r>
        <w:t xml:space="preserve"> </w:t>
      </w:r>
      <w:hyperlink r:id="rId15" w:history="1">
        <w:r>
          <w:rPr>
            <w:rStyle w:val="Hyperlink"/>
          </w:rPr>
          <w:t>CBD/CP/MOP/12/5/Add.1</w:t>
        </w:r>
      </w:hyperlink>
    </w:p>
  </w:footnote>
  <w:footnote w:id="17">
    <w:p w14:paraId="5E02E9A0" w14:textId="624C5BE5" w:rsidR="003E634A" w:rsidRPr="00EA43E6" w:rsidRDefault="003E634A" w:rsidP="003E634A">
      <w:pPr>
        <w:pStyle w:val="FootnoteText"/>
      </w:pPr>
      <w:r>
        <w:rPr>
          <w:rStyle w:val="FootnoteReference"/>
        </w:rPr>
        <w:footnoteRef/>
      </w:r>
      <w:r w:rsidRPr="00EA43E6">
        <w:t xml:space="preserve"> </w:t>
      </w:r>
      <w:hyperlink r:id="rId16" w:history="1">
        <w:r w:rsidRPr="00EA43E6">
          <w:rPr>
            <w:rStyle w:val="Hyperlink"/>
          </w:rPr>
          <w:t>CBD/CP/MOP/12/5/Add.2</w:t>
        </w:r>
      </w:hyperlink>
      <w:r w:rsidRPr="00EA43E6">
        <w:rPr>
          <w:rFonts w:asciiTheme="majorBidi" w:hAnsiTheme="majorBidi"/>
          <w:color w:val="000000"/>
        </w:rPr>
        <w:t>.</w:t>
      </w:r>
    </w:p>
  </w:footnote>
  <w:footnote w:id="18">
    <w:p w14:paraId="73D760B5" w14:textId="6F86C1A0" w:rsidR="00241536" w:rsidRPr="00EB2407" w:rsidRDefault="00241536" w:rsidP="00241536">
      <w:pPr>
        <w:pStyle w:val="FootnoteText"/>
        <w:rPr>
          <w:lang w:val="en-US"/>
        </w:rPr>
      </w:pPr>
      <w:r>
        <w:rPr>
          <w:rStyle w:val="FootnoteReference"/>
        </w:rPr>
        <w:footnoteRef/>
      </w:r>
      <w:r w:rsidRPr="00EB2407">
        <w:rPr>
          <w:lang w:val="en-US"/>
        </w:rPr>
        <w:t xml:space="preserve"> </w:t>
      </w:r>
      <w:hyperlink r:id="rId17" w:history="1">
        <w:r w:rsidRPr="00EB2407">
          <w:rPr>
            <w:rStyle w:val="Hyperlink"/>
            <w:lang w:val="en-US"/>
          </w:rPr>
          <w:t>CBD/CP/MOP/12/INF/9</w:t>
        </w:r>
      </w:hyperlink>
      <w:r w:rsidRPr="00EB2407">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51134C8" w14:textId="6FEBFBD7" w:rsidR="00534681" w:rsidRPr="0025501A" w:rsidRDefault="0073151C" w:rsidP="007C4951">
        <w:pPr>
          <w:pStyle w:val="Header"/>
          <w:spacing w:after="240"/>
          <w:rPr>
            <w:szCs w:val="20"/>
          </w:rPr>
        </w:pPr>
        <w:r w:rsidRPr="0025501A">
          <w:rPr>
            <w:szCs w:val="20"/>
          </w:rPr>
          <w:t>CBD/CP/MOP/12/</w:t>
        </w:r>
        <w:r w:rsidR="00776D8B">
          <w:rPr>
            <w:szCs w:val="20"/>
          </w:rPr>
          <w:t>L.1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934B7" w14:textId="1BA21958" w:rsidR="009505C9" w:rsidRPr="00947347" w:rsidRDefault="00F2418F" w:rsidP="00947347">
    <w:pPr>
      <w:pStyle w:val="Header"/>
      <w:spacing w:after="240"/>
      <w:jc w:val="right"/>
      <w:rPr>
        <w:szCs w:val="20"/>
      </w:rPr>
    </w:pPr>
    <w:sdt>
      <w:sdtPr>
        <w:rPr>
          <w:szCs w:val="20"/>
        </w:rPr>
        <w:alias w:val="Subject"/>
        <w:tag w:val=""/>
        <w:id w:val="941192692"/>
        <w:dataBinding w:prefixMappings="xmlns:ns0='http://purl.org/dc/elements/1.1/' xmlns:ns1='http://schemas.openxmlformats.org/package/2006/metadata/core-properties' " w:xpath="/ns1:coreProperties[1]/ns0:subject[1]" w:storeItemID="{6C3C8BC8-F283-45AE-878A-BAB7291924A1}"/>
        <w:text/>
      </w:sdtPr>
      <w:sdtEndPr/>
      <w:sdtContent>
        <w:r w:rsidR="00776D8B">
          <w:rPr>
            <w:szCs w:val="20"/>
          </w:rPr>
          <w:t>CBD/CP/MOP/12/L.1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DC65B" w14:textId="77777777" w:rsidR="00290E89" w:rsidRPr="00026994" w:rsidRDefault="00290E89" w:rsidP="00BD6EA3">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E880595"/>
    <w:multiLevelType w:val="multilevel"/>
    <w:tmpl w:val="222A08B4"/>
    <w:numStyleLink w:val="ListCBD"/>
  </w:abstractNum>
  <w:abstractNum w:abstractNumId="33" w15:restartNumberingAfterBreak="0">
    <w:nsid w:val="52A66A9D"/>
    <w:multiLevelType w:val="multilevel"/>
    <w:tmpl w:val="222A08B4"/>
    <w:numStyleLink w:val="ListCBD"/>
  </w:abstractNum>
  <w:abstractNum w:abstractNumId="3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5C02727B"/>
    <w:multiLevelType w:val="hybridMultilevel"/>
    <w:tmpl w:val="CC488C60"/>
    <w:lvl w:ilvl="0" w:tplc="C89474DE">
      <w:start w:val="1"/>
      <w:numFmt w:val="decimal"/>
      <w:lvlText w:val="%1."/>
      <w:lvlJc w:val="left"/>
      <w:pPr>
        <w:ind w:left="337" w:hanging="360"/>
      </w:pPr>
      <w:rPr>
        <w:rFonts w:hint="default"/>
      </w:rPr>
    </w:lvl>
    <w:lvl w:ilvl="1" w:tplc="04090019" w:tentative="1">
      <w:start w:val="1"/>
      <w:numFmt w:val="lowerLetter"/>
      <w:lvlText w:val="%2."/>
      <w:lvlJc w:val="left"/>
      <w:pPr>
        <w:ind w:left="1057" w:hanging="360"/>
      </w:pPr>
    </w:lvl>
    <w:lvl w:ilvl="2" w:tplc="0409001B" w:tentative="1">
      <w:start w:val="1"/>
      <w:numFmt w:val="lowerRoman"/>
      <w:lvlText w:val="%3."/>
      <w:lvlJc w:val="right"/>
      <w:pPr>
        <w:ind w:left="1777" w:hanging="180"/>
      </w:pPr>
    </w:lvl>
    <w:lvl w:ilvl="3" w:tplc="0409000F" w:tentative="1">
      <w:start w:val="1"/>
      <w:numFmt w:val="decimal"/>
      <w:lvlText w:val="%4."/>
      <w:lvlJc w:val="left"/>
      <w:pPr>
        <w:ind w:left="2497" w:hanging="360"/>
      </w:pPr>
    </w:lvl>
    <w:lvl w:ilvl="4" w:tplc="04090019" w:tentative="1">
      <w:start w:val="1"/>
      <w:numFmt w:val="lowerLetter"/>
      <w:lvlText w:val="%5."/>
      <w:lvlJc w:val="left"/>
      <w:pPr>
        <w:ind w:left="3217" w:hanging="360"/>
      </w:pPr>
    </w:lvl>
    <w:lvl w:ilvl="5" w:tplc="0409001B" w:tentative="1">
      <w:start w:val="1"/>
      <w:numFmt w:val="lowerRoman"/>
      <w:lvlText w:val="%6."/>
      <w:lvlJc w:val="right"/>
      <w:pPr>
        <w:ind w:left="3937" w:hanging="180"/>
      </w:pPr>
    </w:lvl>
    <w:lvl w:ilvl="6" w:tplc="0409000F" w:tentative="1">
      <w:start w:val="1"/>
      <w:numFmt w:val="decimal"/>
      <w:lvlText w:val="%7."/>
      <w:lvlJc w:val="left"/>
      <w:pPr>
        <w:ind w:left="4657" w:hanging="360"/>
      </w:pPr>
    </w:lvl>
    <w:lvl w:ilvl="7" w:tplc="04090019" w:tentative="1">
      <w:start w:val="1"/>
      <w:numFmt w:val="lowerLetter"/>
      <w:lvlText w:val="%8."/>
      <w:lvlJc w:val="left"/>
      <w:pPr>
        <w:ind w:left="5377" w:hanging="360"/>
      </w:pPr>
    </w:lvl>
    <w:lvl w:ilvl="8" w:tplc="0409001B" w:tentative="1">
      <w:start w:val="1"/>
      <w:numFmt w:val="lowerRoman"/>
      <w:lvlText w:val="%9."/>
      <w:lvlJc w:val="right"/>
      <w:pPr>
        <w:ind w:left="6097" w:hanging="180"/>
      </w:pPr>
    </w:lvl>
  </w:abstractNum>
  <w:abstractNum w:abstractNumId="38" w15:restartNumberingAfterBreak="0">
    <w:nsid w:val="5D943BEE"/>
    <w:multiLevelType w:val="multilevel"/>
    <w:tmpl w:val="AB4E5FCE"/>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9" w15:restartNumberingAfterBreak="0">
    <w:nsid w:val="5FC42766"/>
    <w:multiLevelType w:val="multilevel"/>
    <w:tmpl w:val="3D1260A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8B70991"/>
    <w:multiLevelType w:val="multilevel"/>
    <w:tmpl w:val="222A08B4"/>
    <w:numStyleLink w:val="ListCBD"/>
  </w:abstractNum>
  <w:abstractNum w:abstractNumId="4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78C44860"/>
    <w:multiLevelType w:val="hybridMultilevel"/>
    <w:tmpl w:val="4E4AF152"/>
    <w:lvl w:ilvl="0" w:tplc="A0EAE212">
      <w:start w:val="1"/>
      <w:numFmt w:val="lowerLetter"/>
      <w:pStyle w:val="CBDAgendaItem-3i"/>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1"/>
  </w:num>
  <w:num w:numId="2" w16cid:durableId="1858829">
    <w:abstractNumId w:val="29"/>
  </w:num>
  <w:num w:numId="3" w16cid:durableId="1333221471">
    <w:abstractNumId w:val="42"/>
  </w:num>
  <w:num w:numId="4" w16cid:durableId="1072390599">
    <w:abstractNumId w:val="43"/>
  </w:num>
  <w:num w:numId="5" w16cid:durableId="893932166">
    <w:abstractNumId w:val="41"/>
  </w:num>
  <w:num w:numId="6" w16cid:durableId="323945383">
    <w:abstractNumId w:val="38"/>
  </w:num>
  <w:num w:numId="7" w16cid:durableId="7032136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6838060">
    <w:abstractNumId w:val="30"/>
  </w:num>
  <w:num w:numId="9" w16cid:durableId="1172067678">
    <w:abstractNumId w:val="38"/>
  </w:num>
  <w:num w:numId="10" w16cid:durableId="1870295601">
    <w:abstractNumId w:val="38"/>
  </w:num>
  <w:num w:numId="11" w16cid:durableId="562762432">
    <w:abstractNumId w:val="38"/>
  </w:num>
  <w:num w:numId="12" w16cid:durableId="1685982094">
    <w:abstractNumId w:val="38"/>
  </w:num>
  <w:num w:numId="13" w16cid:durableId="554052860">
    <w:abstractNumId w:val="38"/>
  </w:num>
  <w:num w:numId="14" w16cid:durableId="1887331490">
    <w:abstractNumId w:val="38"/>
  </w:num>
  <w:num w:numId="15" w16cid:durableId="1669744551">
    <w:abstractNumId w:val="38"/>
  </w:num>
  <w:num w:numId="16" w16cid:durableId="487551465">
    <w:abstractNumId w:val="38"/>
  </w:num>
  <w:num w:numId="17" w16cid:durableId="1644042249">
    <w:abstractNumId w:val="38"/>
  </w:num>
  <w:num w:numId="18" w16cid:durableId="19665719">
    <w:abstractNumId w:val="38"/>
  </w:num>
  <w:num w:numId="19" w16cid:durableId="1760715564">
    <w:abstractNumId w:val="38"/>
  </w:num>
  <w:num w:numId="20" w16cid:durableId="263610001">
    <w:abstractNumId w:val="38"/>
  </w:num>
  <w:num w:numId="21" w16cid:durableId="1891963603">
    <w:abstractNumId w:val="38"/>
  </w:num>
  <w:num w:numId="22" w16cid:durableId="1378435128">
    <w:abstractNumId w:val="38"/>
  </w:num>
  <w:num w:numId="23" w16cid:durableId="1188635984">
    <w:abstractNumId w:val="38"/>
  </w:num>
  <w:num w:numId="24" w16cid:durableId="1559970981">
    <w:abstractNumId w:val="38"/>
  </w:num>
  <w:num w:numId="25" w16cid:durableId="848058819">
    <w:abstractNumId w:val="38"/>
  </w:num>
  <w:num w:numId="26" w16cid:durableId="15906963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8453308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60672902">
    <w:abstractNumId w:val="14"/>
  </w:num>
  <w:num w:numId="29" w16cid:durableId="1933662228">
    <w:abstractNumId w:val="25"/>
  </w:num>
  <w:num w:numId="30" w16cid:durableId="1991909117">
    <w:abstractNumId w:val="11"/>
  </w:num>
  <w:num w:numId="31" w16cid:durableId="1138956019">
    <w:abstractNumId w:val="18"/>
  </w:num>
  <w:num w:numId="32" w16cid:durableId="607395260">
    <w:abstractNumId w:val="9"/>
  </w:num>
  <w:num w:numId="33" w16cid:durableId="98110136">
    <w:abstractNumId w:val="7"/>
  </w:num>
  <w:num w:numId="34" w16cid:durableId="920676582">
    <w:abstractNumId w:val="6"/>
  </w:num>
  <w:num w:numId="35" w16cid:durableId="447286378">
    <w:abstractNumId w:val="5"/>
  </w:num>
  <w:num w:numId="36" w16cid:durableId="1532258362">
    <w:abstractNumId w:val="4"/>
  </w:num>
  <w:num w:numId="37" w16cid:durableId="1587106058">
    <w:abstractNumId w:val="8"/>
  </w:num>
  <w:num w:numId="38" w16cid:durableId="1646355732">
    <w:abstractNumId w:val="3"/>
  </w:num>
  <w:num w:numId="39" w16cid:durableId="2006930253">
    <w:abstractNumId w:val="2"/>
  </w:num>
  <w:num w:numId="40" w16cid:durableId="1811677887">
    <w:abstractNumId w:val="1"/>
  </w:num>
  <w:num w:numId="41" w16cid:durableId="537353487">
    <w:abstractNumId w:val="0"/>
  </w:num>
  <w:num w:numId="42" w16cid:durableId="2069499237">
    <w:abstractNumId w:val="40"/>
  </w:num>
  <w:num w:numId="43" w16cid:durableId="158270868">
    <w:abstractNumId w:val="44"/>
  </w:num>
  <w:num w:numId="44" w16cid:durableId="159275565">
    <w:abstractNumId w:val="20"/>
  </w:num>
  <w:num w:numId="45" w16cid:durableId="271714945">
    <w:abstractNumId w:val="21"/>
  </w:num>
  <w:num w:numId="46" w16cid:durableId="1638680439">
    <w:abstractNumId w:val="40"/>
    <w:lvlOverride w:ilvl="0">
      <w:startOverride w:val="1"/>
    </w:lvlOverride>
  </w:num>
  <w:num w:numId="47" w16cid:durableId="1865050652">
    <w:abstractNumId w:val="33"/>
  </w:num>
  <w:num w:numId="48" w16cid:durableId="152986975">
    <w:abstractNumId w:val="28"/>
  </w:num>
  <w:num w:numId="49" w16cid:durableId="1295136099">
    <w:abstractNumId w:val="36"/>
  </w:num>
  <w:num w:numId="50" w16cid:durableId="80179172">
    <w:abstractNumId w:val="35"/>
  </w:num>
  <w:num w:numId="51" w16cid:durableId="20679887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71076976">
    <w:abstractNumId w:val="15"/>
  </w:num>
  <w:num w:numId="53" w16cid:durableId="939752621">
    <w:abstractNumId w:val="32"/>
  </w:num>
  <w:num w:numId="54" w16cid:durableId="915044361">
    <w:abstractNumId w:val="26"/>
  </w:num>
  <w:num w:numId="55" w16cid:durableId="855196379">
    <w:abstractNumId w:val="17"/>
  </w:num>
  <w:num w:numId="56" w16cid:durableId="14668533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01917413">
    <w:abstractNumId w:val="19"/>
  </w:num>
  <w:num w:numId="58" w16cid:durableId="708722651">
    <w:abstractNumId w:val="10"/>
  </w:num>
  <w:num w:numId="59" w16cid:durableId="21364124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6523128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8112374">
    <w:abstractNumId w:val="12"/>
  </w:num>
  <w:num w:numId="62" w16cid:durableId="1607615596">
    <w:abstractNumId w:val="22"/>
  </w:num>
  <w:num w:numId="63" w16cid:durableId="643118139">
    <w:abstractNumId w:val="22"/>
    <w:lvlOverride w:ilvl="0">
      <w:startOverride w:val="1"/>
    </w:lvlOverride>
  </w:num>
  <w:num w:numId="64" w16cid:durableId="820851909">
    <w:abstractNumId w:val="22"/>
    <w:lvlOverride w:ilvl="0">
      <w:startOverride w:val="1"/>
    </w:lvlOverride>
  </w:num>
  <w:num w:numId="65" w16cid:durableId="709648587">
    <w:abstractNumId w:val="22"/>
    <w:lvlOverride w:ilvl="0">
      <w:startOverride w:val="1"/>
    </w:lvlOverride>
  </w:num>
  <w:num w:numId="66" w16cid:durableId="1353799543">
    <w:abstractNumId w:val="24"/>
  </w:num>
  <w:num w:numId="67" w16cid:durableId="1570270110">
    <w:abstractNumId w:val="34"/>
  </w:num>
  <w:num w:numId="68" w16cid:durableId="2125995167">
    <w:abstractNumId w:val="27"/>
  </w:num>
  <w:num w:numId="69" w16cid:durableId="1627851340">
    <w:abstractNumId w:val="23"/>
  </w:num>
  <w:num w:numId="70" w16cid:durableId="1945532808">
    <w:abstractNumId w:val="16"/>
  </w:num>
  <w:num w:numId="71" w16cid:durableId="6844785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906494965">
    <w:abstractNumId w:val="13"/>
  </w:num>
  <w:num w:numId="73"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84899085">
    <w:abstractNumId w:val="45"/>
  </w:num>
  <w:num w:numId="76" w16cid:durableId="2044623938">
    <w:abstractNumId w:val="38"/>
  </w:num>
  <w:num w:numId="77" w16cid:durableId="152649496">
    <w:abstractNumId w:val="38"/>
  </w:num>
  <w:num w:numId="78" w16cid:durableId="100265717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75277468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45372126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16342728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380517836">
    <w:abstractNumId w:val="37"/>
  </w:num>
  <w:num w:numId="83" w16cid:durableId="141860035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01649818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93589226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7277983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52942008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0291840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6137570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58565613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05828080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958509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27797858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949123229">
    <w:abstractNumId w:val="39"/>
  </w:num>
  <w:num w:numId="95" w16cid:durableId="25941124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4741309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77837378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D7F"/>
    <w:rsid w:val="0000069F"/>
    <w:rsid w:val="00000E6C"/>
    <w:rsid w:val="00002073"/>
    <w:rsid w:val="00002A3D"/>
    <w:rsid w:val="00003AF5"/>
    <w:rsid w:val="000059CC"/>
    <w:rsid w:val="0000787B"/>
    <w:rsid w:val="00007EF8"/>
    <w:rsid w:val="00007F9C"/>
    <w:rsid w:val="00010212"/>
    <w:rsid w:val="00010D68"/>
    <w:rsid w:val="00012DD6"/>
    <w:rsid w:val="0001439B"/>
    <w:rsid w:val="000162AB"/>
    <w:rsid w:val="00016F52"/>
    <w:rsid w:val="000200E3"/>
    <w:rsid w:val="00022724"/>
    <w:rsid w:val="0002382C"/>
    <w:rsid w:val="00023A2E"/>
    <w:rsid w:val="00023B73"/>
    <w:rsid w:val="00023FF9"/>
    <w:rsid w:val="00024E1F"/>
    <w:rsid w:val="00025478"/>
    <w:rsid w:val="00026994"/>
    <w:rsid w:val="00026C47"/>
    <w:rsid w:val="00030011"/>
    <w:rsid w:val="0003236A"/>
    <w:rsid w:val="0003295B"/>
    <w:rsid w:val="00034FA0"/>
    <w:rsid w:val="0003503A"/>
    <w:rsid w:val="00035498"/>
    <w:rsid w:val="00035543"/>
    <w:rsid w:val="000363E2"/>
    <w:rsid w:val="00037458"/>
    <w:rsid w:val="0003776C"/>
    <w:rsid w:val="00040DD8"/>
    <w:rsid w:val="00041B94"/>
    <w:rsid w:val="00043985"/>
    <w:rsid w:val="000442C6"/>
    <w:rsid w:val="000450B1"/>
    <w:rsid w:val="00046155"/>
    <w:rsid w:val="00047CC0"/>
    <w:rsid w:val="00047DFA"/>
    <w:rsid w:val="00050391"/>
    <w:rsid w:val="00050A82"/>
    <w:rsid w:val="0005380E"/>
    <w:rsid w:val="00053D89"/>
    <w:rsid w:val="00054778"/>
    <w:rsid w:val="00054B61"/>
    <w:rsid w:val="00056EF6"/>
    <w:rsid w:val="000617E2"/>
    <w:rsid w:val="00063979"/>
    <w:rsid w:val="00065245"/>
    <w:rsid w:val="000668D0"/>
    <w:rsid w:val="00066EC6"/>
    <w:rsid w:val="00067706"/>
    <w:rsid w:val="000703BF"/>
    <w:rsid w:val="0007171B"/>
    <w:rsid w:val="000718AC"/>
    <w:rsid w:val="00072248"/>
    <w:rsid w:val="00074168"/>
    <w:rsid w:val="000746FB"/>
    <w:rsid w:val="0007473F"/>
    <w:rsid w:val="00074810"/>
    <w:rsid w:val="000748EA"/>
    <w:rsid w:val="00076228"/>
    <w:rsid w:val="0007644C"/>
    <w:rsid w:val="00076619"/>
    <w:rsid w:val="0007748D"/>
    <w:rsid w:val="00077D03"/>
    <w:rsid w:val="00081893"/>
    <w:rsid w:val="00082D10"/>
    <w:rsid w:val="000839B6"/>
    <w:rsid w:val="00083E14"/>
    <w:rsid w:val="0008692E"/>
    <w:rsid w:val="00087810"/>
    <w:rsid w:val="00091613"/>
    <w:rsid w:val="000919CA"/>
    <w:rsid w:val="00092881"/>
    <w:rsid w:val="000931D5"/>
    <w:rsid w:val="000953B0"/>
    <w:rsid w:val="00095B1A"/>
    <w:rsid w:val="00095F90"/>
    <w:rsid w:val="00096303"/>
    <w:rsid w:val="00096E87"/>
    <w:rsid w:val="000A1551"/>
    <w:rsid w:val="000A1B80"/>
    <w:rsid w:val="000A2645"/>
    <w:rsid w:val="000A2C0D"/>
    <w:rsid w:val="000A3641"/>
    <w:rsid w:val="000A459D"/>
    <w:rsid w:val="000A4EE8"/>
    <w:rsid w:val="000A603A"/>
    <w:rsid w:val="000A735D"/>
    <w:rsid w:val="000A7C11"/>
    <w:rsid w:val="000B14BE"/>
    <w:rsid w:val="000B2DA5"/>
    <w:rsid w:val="000B393D"/>
    <w:rsid w:val="000B3972"/>
    <w:rsid w:val="000B4008"/>
    <w:rsid w:val="000B4449"/>
    <w:rsid w:val="000B5581"/>
    <w:rsid w:val="000B7E4D"/>
    <w:rsid w:val="000C06BA"/>
    <w:rsid w:val="000C08A2"/>
    <w:rsid w:val="000C09B2"/>
    <w:rsid w:val="000C0E12"/>
    <w:rsid w:val="000C1236"/>
    <w:rsid w:val="000C1458"/>
    <w:rsid w:val="000C1672"/>
    <w:rsid w:val="000C414D"/>
    <w:rsid w:val="000C48A7"/>
    <w:rsid w:val="000C4AFB"/>
    <w:rsid w:val="000C4E7E"/>
    <w:rsid w:val="000C57BE"/>
    <w:rsid w:val="000C6140"/>
    <w:rsid w:val="000C6576"/>
    <w:rsid w:val="000C6FB0"/>
    <w:rsid w:val="000C6FBB"/>
    <w:rsid w:val="000D0040"/>
    <w:rsid w:val="000D0222"/>
    <w:rsid w:val="000D0377"/>
    <w:rsid w:val="000D0789"/>
    <w:rsid w:val="000D0A6E"/>
    <w:rsid w:val="000D0F68"/>
    <w:rsid w:val="000D1B3A"/>
    <w:rsid w:val="000D2B02"/>
    <w:rsid w:val="000D354E"/>
    <w:rsid w:val="000D3673"/>
    <w:rsid w:val="000D3AE7"/>
    <w:rsid w:val="000D3B16"/>
    <w:rsid w:val="000E0359"/>
    <w:rsid w:val="000E0EE0"/>
    <w:rsid w:val="000E1A69"/>
    <w:rsid w:val="000E2CE7"/>
    <w:rsid w:val="000E673A"/>
    <w:rsid w:val="000E6CDA"/>
    <w:rsid w:val="000F199B"/>
    <w:rsid w:val="000F2D23"/>
    <w:rsid w:val="000F305B"/>
    <w:rsid w:val="000F3894"/>
    <w:rsid w:val="000F4179"/>
    <w:rsid w:val="000F44DF"/>
    <w:rsid w:val="000F454D"/>
    <w:rsid w:val="000F6058"/>
    <w:rsid w:val="000F6945"/>
    <w:rsid w:val="000F74F5"/>
    <w:rsid w:val="000F78FC"/>
    <w:rsid w:val="000F7F44"/>
    <w:rsid w:val="001009B3"/>
    <w:rsid w:val="00100BF6"/>
    <w:rsid w:val="00102043"/>
    <w:rsid w:val="001021D7"/>
    <w:rsid w:val="00102A2F"/>
    <w:rsid w:val="001047EC"/>
    <w:rsid w:val="00104982"/>
    <w:rsid w:val="00105372"/>
    <w:rsid w:val="001054A6"/>
    <w:rsid w:val="001069D2"/>
    <w:rsid w:val="001078A1"/>
    <w:rsid w:val="00110443"/>
    <w:rsid w:val="00111347"/>
    <w:rsid w:val="0011270D"/>
    <w:rsid w:val="00113596"/>
    <w:rsid w:val="001148CE"/>
    <w:rsid w:val="00114E4B"/>
    <w:rsid w:val="00114E77"/>
    <w:rsid w:val="00116B43"/>
    <w:rsid w:val="001170FB"/>
    <w:rsid w:val="00117D16"/>
    <w:rsid w:val="00120703"/>
    <w:rsid w:val="00120BB3"/>
    <w:rsid w:val="00120F55"/>
    <w:rsid w:val="00122207"/>
    <w:rsid w:val="00125D00"/>
    <w:rsid w:val="001306EC"/>
    <w:rsid w:val="00130A5E"/>
    <w:rsid w:val="00130AB0"/>
    <w:rsid w:val="001311DA"/>
    <w:rsid w:val="001312AD"/>
    <w:rsid w:val="00131E7A"/>
    <w:rsid w:val="0013280B"/>
    <w:rsid w:val="00132A7D"/>
    <w:rsid w:val="00133DFF"/>
    <w:rsid w:val="00134846"/>
    <w:rsid w:val="001356AB"/>
    <w:rsid w:val="00135893"/>
    <w:rsid w:val="0013640D"/>
    <w:rsid w:val="001372EE"/>
    <w:rsid w:val="00137B7F"/>
    <w:rsid w:val="00142F47"/>
    <w:rsid w:val="001435CB"/>
    <w:rsid w:val="00146100"/>
    <w:rsid w:val="001468E4"/>
    <w:rsid w:val="00146E6A"/>
    <w:rsid w:val="00150B94"/>
    <w:rsid w:val="00151856"/>
    <w:rsid w:val="001538F6"/>
    <w:rsid w:val="00154090"/>
    <w:rsid w:val="001542D0"/>
    <w:rsid w:val="001556EA"/>
    <w:rsid w:val="00157C65"/>
    <w:rsid w:val="00160521"/>
    <w:rsid w:val="001618BA"/>
    <w:rsid w:val="00163791"/>
    <w:rsid w:val="0016410B"/>
    <w:rsid w:val="0016429D"/>
    <w:rsid w:val="00164A45"/>
    <w:rsid w:val="00164D72"/>
    <w:rsid w:val="00165576"/>
    <w:rsid w:val="00166A81"/>
    <w:rsid w:val="00167DCA"/>
    <w:rsid w:val="00171655"/>
    <w:rsid w:val="00171750"/>
    <w:rsid w:val="00171C16"/>
    <w:rsid w:val="00172074"/>
    <w:rsid w:val="00172AF6"/>
    <w:rsid w:val="00172F3F"/>
    <w:rsid w:val="001733D8"/>
    <w:rsid w:val="00174CBE"/>
    <w:rsid w:val="00175FD8"/>
    <w:rsid w:val="001764E6"/>
    <w:rsid w:val="00176CEE"/>
    <w:rsid w:val="00177AF2"/>
    <w:rsid w:val="00177E0C"/>
    <w:rsid w:val="00180ADB"/>
    <w:rsid w:val="00181B06"/>
    <w:rsid w:val="001827B3"/>
    <w:rsid w:val="00183246"/>
    <w:rsid w:val="001845E9"/>
    <w:rsid w:val="00185641"/>
    <w:rsid w:val="00185A12"/>
    <w:rsid w:val="00185B96"/>
    <w:rsid w:val="00186010"/>
    <w:rsid w:val="00186BCB"/>
    <w:rsid w:val="00186C02"/>
    <w:rsid w:val="00186DD8"/>
    <w:rsid w:val="001870FD"/>
    <w:rsid w:val="00190D53"/>
    <w:rsid w:val="00191204"/>
    <w:rsid w:val="00192D06"/>
    <w:rsid w:val="0019614A"/>
    <w:rsid w:val="00196314"/>
    <w:rsid w:val="00196CF1"/>
    <w:rsid w:val="00197E02"/>
    <w:rsid w:val="001A0163"/>
    <w:rsid w:val="001A101A"/>
    <w:rsid w:val="001A211C"/>
    <w:rsid w:val="001A2BB9"/>
    <w:rsid w:val="001A312C"/>
    <w:rsid w:val="001A32E5"/>
    <w:rsid w:val="001A3403"/>
    <w:rsid w:val="001A35EC"/>
    <w:rsid w:val="001A493D"/>
    <w:rsid w:val="001A7EA9"/>
    <w:rsid w:val="001B03A8"/>
    <w:rsid w:val="001B13FE"/>
    <w:rsid w:val="001B14ED"/>
    <w:rsid w:val="001B2F04"/>
    <w:rsid w:val="001B3A0F"/>
    <w:rsid w:val="001B6033"/>
    <w:rsid w:val="001B680C"/>
    <w:rsid w:val="001B7F64"/>
    <w:rsid w:val="001C0EC9"/>
    <w:rsid w:val="001C27E5"/>
    <w:rsid w:val="001C3699"/>
    <w:rsid w:val="001C5607"/>
    <w:rsid w:val="001C5804"/>
    <w:rsid w:val="001C6BAE"/>
    <w:rsid w:val="001C6FAB"/>
    <w:rsid w:val="001D1F7F"/>
    <w:rsid w:val="001D2966"/>
    <w:rsid w:val="001D2FA5"/>
    <w:rsid w:val="001D400B"/>
    <w:rsid w:val="001D4C94"/>
    <w:rsid w:val="001D5C03"/>
    <w:rsid w:val="001D74F3"/>
    <w:rsid w:val="001D770D"/>
    <w:rsid w:val="001D7842"/>
    <w:rsid w:val="001D7FA2"/>
    <w:rsid w:val="001E1173"/>
    <w:rsid w:val="001E6CD8"/>
    <w:rsid w:val="001E6F64"/>
    <w:rsid w:val="001E78FA"/>
    <w:rsid w:val="001F019E"/>
    <w:rsid w:val="001F054C"/>
    <w:rsid w:val="001F2614"/>
    <w:rsid w:val="001F3954"/>
    <w:rsid w:val="001F6FA0"/>
    <w:rsid w:val="001F7F65"/>
    <w:rsid w:val="0020225C"/>
    <w:rsid w:val="00202936"/>
    <w:rsid w:val="002043D0"/>
    <w:rsid w:val="002103D9"/>
    <w:rsid w:val="00211015"/>
    <w:rsid w:val="00211E5C"/>
    <w:rsid w:val="002120C5"/>
    <w:rsid w:val="00212280"/>
    <w:rsid w:val="002143E4"/>
    <w:rsid w:val="00215B3F"/>
    <w:rsid w:val="00216C0F"/>
    <w:rsid w:val="002213F5"/>
    <w:rsid w:val="002221D9"/>
    <w:rsid w:val="00222647"/>
    <w:rsid w:val="0022300A"/>
    <w:rsid w:val="002239CF"/>
    <w:rsid w:val="002255C0"/>
    <w:rsid w:val="00225D6E"/>
    <w:rsid w:val="0022699F"/>
    <w:rsid w:val="0023094B"/>
    <w:rsid w:val="00231EA1"/>
    <w:rsid w:val="00232B4A"/>
    <w:rsid w:val="002400E1"/>
    <w:rsid w:val="0024086D"/>
    <w:rsid w:val="002409F5"/>
    <w:rsid w:val="00241536"/>
    <w:rsid w:val="00241A57"/>
    <w:rsid w:val="002436EE"/>
    <w:rsid w:val="00243D20"/>
    <w:rsid w:val="00244112"/>
    <w:rsid w:val="002447EA"/>
    <w:rsid w:val="00245A85"/>
    <w:rsid w:val="0024605D"/>
    <w:rsid w:val="0025022D"/>
    <w:rsid w:val="00251109"/>
    <w:rsid w:val="00251B4B"/>
    <w:rsid w:val="002520BC"/>
    <w:rsid w:val="00253098"/>
    <w:rsid w:val="00254567"/>
    <w:rsid w:val="0025501A"/>
    <w:rsid w:val="00257B5F"/>
    <w:rsid w:val="00257E2E"/>
    <w:rsid w:val="00261F92"/>
    <w:rsid w:val="002628A9"/>
    <w:rsid w:val="002628CE"/>
    <w:rsid w:val="00263F1C"/>
    <w:rsid w:val="00264861"/>
    <w:rsid w:val="002652A3"/>
    <w:rsid w:val="00266100"/>
    <w:rsid w:val="0026619E"/>
    <w:rsid w:val="0026751F"/>
    <w:rsid w:val="00270A47"/>
    <w:rsid w:val="00270D15"/>
    <w:rsid w:val="002710B5"/>
    <w:rsid w:val="00272702"/>
    <w:rsid w:val="00272921"/>
    <w:rsid w:val="00272BAC"/>
    <w:rsid w:val="002736B3"/>
    <w:rsid w:val="002739EF"/>
    <w:rsid w:val="002749A9"/>
    <w:rsid w:val="00277419"/>
    <w:rsid w:val="00277B46"/>
    <w:rsid w:val="00277ECB"/>
    <w:rsid w:val="002813F9"/>
    <w:rsid w:val="002816B2"/>
    <w:rsid w:val="00284F1A"/>
    <w:rsid w:val="00285B39"/>
    <w:rsid w:val="00290E89"/>
    <w:rsid w:val="00291233"/>
    <w:rsid w:val="00292146"/>
    <w:rsid w:val="0029268A"/>
    <w:rsid w:val="00295ABC"/>
    <w:rsid w:val="00295BFC"/>
    <w:rsid w:val="00295CBF"/>
    <w:rsid w:val="002A17E2"/>
    <w:rsid w:val="002A31A1"/>
    <w:rsid w:val="002A3EF2"/>
    <w:rsid w:val="002A5205"/>
    <w:rsid w:val="002A7414"/>
    <w:rsid w:val="002A7E7B"/>
    <w:rsid w:val="002B1B00"/>
    <w:rsid w:val="002B1E13"/>
    <w:rsid w:val="002B279F"/>
    <w:rsid w:val="002B28AF"/>
    <w:rsid w:val="002B48F3"/>
    <w:rsid w:val="002B50A4"/>
    <w:rsid w:val="002B6D67"/>
    <w:rsid w:val="002B6DD9"/>
    <w:rsid w:val="002B7720"/>
    <w:rsid w:val="002C0464"/>
    <w:rsid w:val="002C1E93"/>
    <w:rsid w:val="002C2A06"/>
    <w:rsid w:val="002C2CD2"/>
    <w:rsid w:val="002C455E"/>
    <w:rsid w:val="002C484D"/>
    <w:rsid w:val="002C5C57"/>
    <w:rsid w:val="002C7988"/>
    <w:rsid w:val="002C7DFE"/>
    <w:rsid w:val="002D07B3"/>
    <w:rsid w:val="002D20E8"/>
    <w:rsid w:val="002D261E"/>
    <w:rsid w:val="002D2C1E"/>
    <w:rsid w:val="002D48EF"/>
    <w:rsid w:val="002D5BE3"/>
    <w:rsid w:val="002D61E0"/>
    <w:rsid w:val="002E13D6"/>
    <w:rsid w:val="002E4BD7"/>
    <w:rsid w:val="002E4D33"/>
    <w:rsid w:val="002E53DD"/>
    <w:rsid w:val="002F0AB7"/>
    <w:rsid w:val="002F2B81"/>
    <w:rsid w:val="002F4138"/>
    <w:rsid w:val="002F4455"/>
    <w:rsid w:val="002F550F"/>
    <w:rsid w:val="002F6887"/>
    <w:rsid w:val="00300379"/>
    <w:rsid w:val="003008FE"/>
    <w:rsid w:val="00301039"/>
    <w:rsid w:val="0030169D"/>
    <w:rsid w:val="00302518"/>
    <w:rsid w:val="003035A0"/>
    <w:rsid w:val="003047A9"/>
    <w:rsid w:val="00304A4E"/>
    <w:rsid w:val="00304E7C"/>
    <w:rsid w:val="00305561"/>
    <w:rsid w:val="003060EB"/>
    <w:rsid w:val="003074C9"/>
    <w:rsid w:val="00307D5C"/>
    <w:rsid w:val="003103AF"/>
    <w:rsid w:val="003107FF"/>
    <w:rsid w:val="00310F1E"/>
    <w:rsid w:val="0031232E"/>
    <w:rsid w:val="00313537"/>
    <w:rsid w:val="003135E8"/>
    <w:rsid w:val="00314CA7"/>
    <w:rsid w:val="003153EB"/>
    <w:rsid w:val="003162D9"/>
    <w:rsid w:val="00317A09"/>
    <w:rsid w:val="003210C2"/>
    <w:rsid w:val="00321985"/>
    <w:rsid w:val="00322B40"/>
    <w:rsid w:val="00323366"/>
    <w:rsid w:val="00323A0E"/>
    <w:rsid w:val="00323F26"/>
    <w:rsid w:val="00325D2B"/>
    <w:rsid w:val="00327CFA"/>
    <w:rsid w:val="00330700"/>
    <w:rsid w:val="00330D19"/>
    <w:rsid w:val="003318DD"/>
    <w:rsid w:val="00334081"/>
    <w:rsid w:val="0033412E"/>
    <w:rsid w:val="003349D2"/>
    <w:rsid w:val="00335E73"/>
    <w:rsid w:val="00336958"/>
    <w:rsid w:val="00337558"/>
    <w:rsid w:val="003433FF"/>
    <w:rsid w:val="00346AA2"/>
    <w:rsid w:val="003510EF"/>
    <w:rsid w:val="00351205"/>
    <w:rsid w:val="0035311B"/>
    <w:rsid w:val="00355B87"/>
    <w:rsid w:val="00355C6E"/>
    <w:rsid w:val="003562AC"/>
    <w:rsid w:val="00356630"/>
    <w:rsid w:val="003566B3"/>
    <w:rsid w:val="0035711A"/>
    <w:rsid w:val="00357D3E"/>
    <w:rsid w:val="00360B10"/>
    <w:rsid w:val="00360E40"/>
    <w:rsid w:val="00361133"/>
    <w:rsid w:val="003611B8"/>
    <w:rsid w:val="00361FC0"/>
    <w:rsid w:val="003629CD"/>
    <w:rsid w:val="00363D81"/>
    <w:rsid w:val="00364305"/>
    <w:rsid w:val="0037074D"/>
    <w:rsid w:val="00372E2E"/>
    <w:rsid w:val="00372F74"/>
    <w:rsid w:val="00373E6F"/>
    <w:rsid w:val="00373E70"/>
    <w:rsid w:val="00373EE9"/>
    <w:rsid w:val="0037512F"/>
    <w:rsid w:val="00375348"/>
    <w:rsid w:val="00375867"/>
    <w:rsid w:val="003775F8"/>
    <w:rsid w:val="003776FA"/>
    <w:rsid w:val="003807A0"/>
    <w:rsid w:val="0038175F"/>
    <w:rsid w:val="00382910"/>
    <w:rsid w:val="00383101"/>
    <w:rsid w:val="00383D57"/>
    <w:rsid w:val="00384191"/>
    <w:rsid w:val="00385513"/>
    <w:rsid w:val="003862AE"/>
    <w:rsid w:val="00386C66"/>
    <w:rsid w:val="00386CC8"/>
    <w:rsid w:val="00387871"/>
    <w:rsid w:val="00391529"/>
    <w:rsid w:val="003918F9"/>
    <w:rsid w:val="00391956"/>
    <w:rsid w:val="0039316F"/>
    <w:rsid w:val="003936D9"/>
    <w:rsid w:val="00394652"/>
    <w:rsid w:val="003947B5"/>
    <w:rsid w:val="003950DB"/>
    <w:rsid w:val="00396561"/>
    <w:rsid w:val="00396A58"/>
    <w:rsid w:val="00396DA1"/>
    <w:rsid w:val="0039772B"/>
    <w:rsid w:val="003A02CE"/>
    <w:rsid w:val="003A1F5E"/>
    <w:rsid w:val="003A2BD4"/>
    <w:rsid w:val="003A3DAB"/>
    <w:rsid w:val="003A41E1"/>
    <w:rsid w:val="003A5654"/>
    <w:rsid w:val="003A573A"/>
    <w:rsid w:val="003A5B78"/>
    <w:rsid w:val="003A67D8"/>
    <w:rsid w:val="003B03DA"/>
    <w:rsid w:val="003B0C4C"/>
    <w:rsid w:val="003B1CB5"/>
    <w:rsid w:val="003B28ED"/>
    <w:rsid w:val="003B5F10"/>
    <w:rsid w:val="003B798C"/>
    <w:rsid w:val="003C1AF4"/>
    <w:rsid w:val="003C2F7E"/>
    <w:rsid w:val="003C3251"/>
    <w:rsid w:val="003C3E18"/>
    <w:rsid w:val="003C52A2"/>
    <w:rsid w:val="003C5940"/>
    <w:rsid w:val="003C616B"/>
    <w:rsid w:val="003C7B14"/>
    <w:rsid w:val="003D0A79"/>
    <w:rsid w:val="003D113D"/>
    <w:rsid w:val="003D302D"/>
    <w:rsid w:val="003D3460"/>
    <w:rsid w:val="003D34D7"/>
    <w:rsid w:val="003D38AC"/>
    <w:rsid w:val="003D40E2"/>
    <w:rsid w:val="003D4B74"/>
    <w:rsid w:val="003D7CB3"/>
    <w:rsid w:val="003E15D6"/>
    <w:rsid w:val="003E1CD9"/>
    <w:rsid w:val="003E2B0E"/>
    <w:rsid w:val="003E31CA"/>
    <w:rsid w:val="003E31E6"/>
    <w:rsid w:val="003E39DA"/>
    <w:rsid w:val="003E42D9"/>
    <w:rsid w:val="003E46D1"/>
    <w:rsid w:val="003E5E8C"/>
    <w:rsid w:val="003E634A"/>
    <w:rsid w:val="003E648E"/>
    <w:rsid w:val="003F2ECC"/>
    <w:rsid w:val="003F321A"/>
    <w:rsid w:val="003F3E23"/>
    <w:rsid w:val="003F4525"/>
    <w:rsid w:val="003F49BA"/>
    <w:rsid w:val="003F4E72"/>
    <w:rsid w:val="003F57DC"/>
    <w:rsid w:val="003F70F0"/>
    <w:rsid w:val="003F7224"/>
    <w:rsid w:val="00400A55"/>
    <w:rsid w:val="00401F00"/>
    <w:rsid w:val="00402595"/>
    <w:rsid w:val="00403F60"/>
    <w:rsid w:val="0040581B"/>
    <w:rsid w:val="00406C85"/>
    <w:rsid w:val="004102F8"/>
    <w:rsid w:val="0041092B"/>
    <w:rsid w:val="004126B8"/>
    <w:rsid w:val="0041349F"/>
    <w:rsid w:val="00415BD0"/>
    <w:rsid w:val="00415F4D"/>
    <w:rsid w:val="004171F0"/>
    <w:rsid w:val="00417309"/>
    <w:rsid w:val="00421B8F"/>
    <w:rsid w:val="00423397"/>
    <w:rsid w:val="00424EFC"/>
    <w:rsid w:val="00424FA5"/>
    <w:rsid w:val="00427298"/>
    <w:rsid w:val="00427D21"/>
    <w:rsid w:val="004301C9"/>
    <w:rsid w:val="0043272B"/>
    <w:rsid w:val="004329C8"/>
    <w:rsid w:val="00433ECC"/>
    <w:rsid w:val="00435C4F"/>
    <w:rsid w:val="00440A66"/>
    <w:rsid w:val="00443109"/>
    <w:rsid w:val="004431DC"/>
    <w:rsid w:val="00443256"/>
    <w:rsid w:val="004438A2"/>
    <w:rsid w:val="00445B72"/>
    <w:rsid w:val="004473B7"/>
    <w:rsid w:val="004476A5"/>
    <w:rsid w:val="00447CF4"/>
    <w:rsid w:val="00447EA1"/>
    <w:rsid w:val="00447EE2"/>
    <w:rsid w:val="00447F4A"/>
    <w:rsid w:val="00450085"/>
    <w:rsid w:val="00450EC7"/>
    <w:rsid w:val="00451A23"/>
    <w:rsid w:val="00451BBF"/>
    <w:rsid w:val="004524D7"/>
    <w:rsid w:val="00453606"/>
    <w:rsid w:val="0045636C"/>
    <w:rsid w:val="00456C32"/>
    <w:rsid w:val="00456F67"/>
    <w:rsid w:val="00457C8D"/>
    <w:rsid w:val="00457E4B"/>
    <w:rsid w:val="004601A2"/>
    <w:rsid w:val="004603C7"/>
    <w:rsid w:val="00460951"/>
    <w:rsid w:val="00460C0D"/>
    <w:rsid w:val="00463F29"/>
    <w:rsid w:val="004644C2"/>
    <w:rsid w:val="00464DD3"/>
    <w:rsid w:val="00465BB5"/>
    <w:rsid w:val="00467006"/>
    <w:rsid w:val="00467F9C"/>
    <w:rsid w:val="0047063D"/>
    <w:rsid w:val="0047321D"/>
    <w:rsid w:val="00473FAD"/>
    <w:rsid w:val="00474639"/>
    <w:rsid w:val="00474EC1"/>
    <w:rsid w:val="004802A4"/>
    <w:rsid w:val="00481CC4"/>
    <w:rsid w:val="00483D51"/>
    <w:rsid w:val="00483DC8"/>
    <w:rsid w:val="004845C4"/>
    <w:rsid w:val="00486034"/>
    <w:rsid w:val="00486C3E"/>
    <w:rsid w:val="0048713E"/>
    <w:rsid w:val="0048776D"/>
    <w:rsid w:val="00487ABA"/>
    <w:rsid w:val="00490FF5"/>
    <w:rsid w:val="00492F4F"/>
    <w:rsid w:val="00495855"/>
    <w:rsid w:val="00496271"/>
    <w:rsid w:val="004962BB"/>
    <w:rsid w:val="00497421"/>
    <w:rsid w:val="004A02B0"/>
    <w:rsid w:val="004A078E"/>
    <w:rsid w:val="004A0C18"/>
    <w:rsid w:val="004A1990"/>
    <w:rsid w:val="004A5A17"/>
    <w:rsid w:val="004A6B8C"/>
    <w:rsid w:val="004A7776"/>
    <w:rsid w:val="004A79C4"/>
    <w:rsid w:val="004B0204"/>
    <w:rsid w:val="004B04FC"/>
    <w:rsid w:val="004B0707"/>
    <w:rsid w:val="004B0B84"/>
    <w:rsid w:val="004B0D1C"/>
    <w:rsid w:val="004B2562"/>
    <w:rsid w:val="004B40AC"/>
    <w:rsid w:val="004B4611"/>
    <w:rsid w:val="004B5100"/>
    <w:rsid w:val="004B5894"/>
    <w:rsid w:val="004C07F4"/>
    <w:rsid w:val="004C0F7F"/>
    <w:rsid w:val="004C1217"/>
    <w:rsid w:val="004C126D"/>
    <w:rsid w:val="004C1C4E"/>
    <w:rsid w:val="004C3B84"/>
    <w:rsid w:val="004C3C3E"/>
    <w:rsid w:val="004C3CAC"/>
    <w:rsid w:val="004C4DF3"/>
    <w:rsid w:val="004C5CA2"/>
    <w:rsid w:val="004C5D93"/>
    <w:rsid w:val="004C74D9"/>
    <w:rsid w:val="004C7B49"/>
    <w:rsid w:val="004C7C5C"/>
    <w:rsid w:val="004D07B9"/>
    <w:rsid w:val="004D0850"/>
    <w:rsid w:val="004D169B"/>
    <w:rsid w:val="004D2796"/>
    <w:rsid w:val="004D4A98"/>
    <w:rsid w:val="004E0D3A"/>
    <w:rsid w:val="004E1386"/>
    <w:rsid w:val="004E1D58"/>
    <w:rsid w:val="004E1D9D"/>
    <w:rsid w:val="004E3802"/>
    <w:rsid w:val="004E40DF"/>
    <w:rsid w:val="004E6811"/>
    <w:rsid w:val="004E7E6E"/>
    <w:rsid w:val="004F07D0"/>
    <w:rsid w:val="004F0817"/>
    <w:rsid w:val="004F086E"/>
    <w:rsid w:val="004F0970"/>
    <w:rsid w:val="004F1AD2"/>
    <w:rsid w:val="004F1AE4"/>
    <w:rsid w:val="004F4F65"/>
    <w:rsid w:val="004F6606"/>
    <w:rsid w:val="004F7474"/>
    <w:rsid w:val="005004EF"/>
    <w:rsid w:val="005006CC"/>
    <w:rsid w:val="00500A31"/>
    <w:rsid w:val="00501E4C"/>
    <w:rsid w:val="00502278"/>
    <w:rsid w:val="005024DC"/>
    <w:rsid w:val="00502565"/>
    <w:rsid w:val="00502B1C"/>
    <w:rsid w:val="00502C35"/>
    <w:rsid w:val="0050342F"/>
    <w:rsid w:val="00504255"/>
    <w:rsid w:val="00504660"/>
    <w:rsid w:val="005049F3"/>
    <w:rsid w:val="00505A0B"/>
    <w:rsid w:val="00505C91"/>
    <w:rsid w:val="00506ECC"/>
    <w:rsid w:val="005077F2"/>
    <w:rsid w:val="0051006C"/>
    <w:rsid w:val="00510362"/>
    <w:rsid w:val="00510C65"/>
    <w:rsid w:val="005114D1"/>
    <w:rsid w:val="0051205F"/>
    <w:rsid w:val="005140C1"/>
    <w:rsid w:val="00514153"/>
    <w:rsid w:val="005153C1"/>
    <w:rsid w:val="00516D82"/>
    <w:rsid w:val="00520A90"/>
    <w:rsid w:val="0052131A"/>
    <w:rsid w:val="00522613"/>
    <w:rsid w:val="005230B8"/>
    <w:rsid w:val="00524C52"/>
    <w:rsid w:val="00525590"/>
    <w:rsid w:val="00525961"/>
    <w:rsid w:val="00525D9D"/>
    <w:rsid w:val="005264F4"/>
    <w:rsid w:val="00526F1A"/>
    <w:rsid w:val="005314A1"/>
    <w:rsid w:val="00532DD0"/>
    <w:rsid w:val="00532FC2"/>
    <w:rsid w:val="00533804"/>
    <w:rsid w:val="0053417B"/>
    <w:rsid w:val="0053465F"/>
    <w:rsid w:val="00534681"/>
    <w:rsid w:val="0054070C"/>
    <w:rsid w:val="00541C60"/>
    <w:rsid w:val="005424DC"/>
    <w:rsid w:val="0054564C"/>
    <w:rsid w:val="005462E9"/>
    <w:rsid w:val="005479A5"/>
    <w:rsid w:val="00550536"/>
    <w:rsid w:val="00550586"/>
    <w:rsid w:val="005511EF"/>
    <w:rsid w:val="00551FBE"/>
    <w:rsid w:val="005524F7"/>
    <w:rsid w:val="00553121"/>
    <w:rsid w:val="00554950"/>
    <w:rsid w:val="005553E8"/>
    <w:rsid w:val="005557C6"/>
    <w:rsid w:val="0055626B"/>
    <w:rsid w:val="0055668C"/>
    <w:rsid w:val="005575E8"/>
    <w:rsid w:val="00557A26"/>
    <w:rsid w:val="00560529"/>
    <w:rsid w:val="0056068E"/>
    <w:rsid w:val="005607EC"/>
    <w:rsid w:val="0056105C"/>
    <w:rsid w:val="00561B69"/>
    <w:rsid w:val="00562AE0"/>
    <w:rsid w:val="0056308D"/>
    <w:rsid w:val="00563442"/>
    <w:rsid w:val="00563997"/>
    <w:rsid w:val="005640AF"/>
    <w:rsid w:val="00564890"/>
    <w:rsid w:val="00565B42"/>
    <w:rsid w:val="00565FD6"/>
    <w:rsid w:val="00566F1D"/>
    <w:rsid w:val="005673EE"/>
    <w:rsid w:val="00570064"/>
    <w:rsid w:val="005709D1"/>
    <w:rsid w:val="00570B10"/>
    <w:rsid w:val="0057283B"/>
    <w:rsid w:val="00572BF5"/>
    <w:rsid w:val="00572F6B"/>
    <w:rsid w:val="00575863"/>
    <w:rsid w:val="00575F2F"/>
    <w:rsid w:val="0057645E"/>
    <w:rsid w:val="00576F50"/>
    <w:rsid w:val="00581A48"/>
    <w:rsid w:val="00582B5C"/>
    <w:rsid w:val="00582CB7"/>
    <w:rsid w:val="0058385D"/>
    <w:rsid w:val="00584EEB"/>
    <w:rsid w:val="00585E10"/>
    <w:rsid w:val="00585E21"/>
    <w:rsid w:val="00586254"/>
    <w:rsid w:val="0058752A"/>
    <w:rsid w:val="00587C2A"/>
    <w:rsid w:val="005911A2"/>
    <w:rsid w:val="00591E88"/>
    <w:rsid w:val="00591F66"/>
    <w:rsid w:val="00593564"/>
    <w:rsid w:val="00593D67"/>
    <w:rsid w:val="005A0E93"/>
    <w:rsid w:val="005A1225"/>
    <w:rsid w:val="005A432E"/>
    <w:rsid w:val="005A50EA"/>
    <w:rsid w:val="005A523B"/>
    <w:rsid w:val="005A5259"/>
    <w:rsid w:val="005A689A"/>
    <w:rsid w:val="005A69C7"/>
    <w:rsid w:val="005A6E33"/>
    <w:rsid w:val="005B2893"/>
    <w:rsid w:val="005B35E2"/>
    <w:rsid w:val="005B3A56"/>
    <w:rsid w:val="005B5071"/>
    <w:rsid w:val="005B53C5"/>
    <w:rsid w:val="005B5C7D"/>
    <w:rsid w:val="005B5D07"/>
    <w:rsid w:val="005B6CED"/>
    <w:rsid w:val="005C2012"/>
    <w:rsid w:val="005C2234"/>
    <w:rsid w:val="005C378D"/>
    <w:rsid w:val="005C4CE6"/>
    <w:rsid w:val="005C501E"/>
    <w:rsid w:val="005C5DD2"/>
    <w:rsid w:val="005C7423"/>
    <w:rsid w:val="005D0CB7"/>
    <w:rsid w:val="005D0E01"/>
    <w:rsid w:val="005D1069"/>
    <w:rsid w:val="005D5543"/>
    <w:rsid w:val="005D66F3"/>
    <w:rsid w:val="005D69FF"/>
    <w:rsid w:val="005E0EA8"/>
    <w:rsid w:val="005E15C1"/>
    <w:rsid w:val="005E168B"/>
    <w:rsid w:val="005E2ACB"/>
    <w:rsid w:val="005E55C0"/>
    <w:rsid w:val="005E58BC"/>
    <w:rsid w:val="005E65EE"/>
    <w:rsid w:val="005E6C04"/>
    <w:rsid w:val="005E6EAD"/>
    <w:rsid w:val="005E77BC"/>
    <w:rsid w:val="005F0A3E"/>
    <w:rsid w:val="005F0C99"/>
    <w:rsid w:val="005F33EF"/>
    <w:rsid w:val="005F34F4"/>
    <w:rsid w:val="005F4AF4"/>
    <w:rsid w:val="005F62C9"/>
    <w:rsid w:val="005F630B"/>
    <w:rsid w:val="005F6C81"/>
    <w:rsid w:val="0060032B"/>
    <w:rsid w:val="00600589"/>
    <w:rsid w:val="00604600"/>
    <w:rsid w:val="0060496B"/>
    <w:rsid w:val="00604B9D"/>
    <w:rsid w:val="006064B9"/>
    <w:rsid w:val="006064FF"/>
    <w:rsid w:val="00606B99"/>
    <w:rsid w:val="00610078"/>
    <w:rsid w:val="00610FCB"/>
    <w:rsid w:val="006119BE"/>
    <w:rsid w:val="00611FAC"/>
    <w:rsid w:val="006122BA"/>
    <w:rsid w:val="006142E7"/>
    <w:rsid w:val="00615A61"/>
    <w:rsid w:val="00616268"/>
    <w:rsid w:val="00617507"/>
    <w:rsid w:val="00617627"/>
    <w:rsid w:val="0061782C"/>
    <w:rsid w:val="00620F09"/>
    <w:rsid w:val="00621B47"/>
    <w:rsid w:val="0062294E"/>
    <w:rsid w:val="00622D13"/>
    <w:rsid w:val="00623245"/>
    <w:rsid w:val="0062395F"/>
    <w:rsid w:val="00625100"/>
    <w:rsid w:val="006251CD"/>
    <w:rsid w:val="00626E7D"/>
    <w:rsid w:val="00630536"/>
    <w:rsid w:val="0063064A"/>
    <w:rsid w:val="00630B1C"/>
    <w:rsid w:val="00630D50"/>
    <w:rsid w:val="006333FA"/>
    <w:rsid w:val="0063519B"/>
    <w:rsid w:val="006366B5"/>
    <w:rsid w:val="00636BBE"/>
    <w:rsid w:val="006373BF"/>
    <w:rsid w:val="00637458"/>
    <w:rsid w:val="00640CA7"/>
    <w:rsid w:val="006416E0"/>
    <w:rsid w:val="0064363E"/>
    <w:rsid w:val="00644864"/>
    <w:rsid w:val="006451F9"/>
    <w:rsid w:val="00645727"/>
    <w:rsid w:val="00646C7C"/>
    <w:rsid w:val="00646E07"/>
    <w:rsid w:val="006473FC"/>
    <w:rsid w:val="006476B4"/>
    <w:rsid w:val="006478BF"/>
    <w:rsid w:val="006518D1"/>
    <w:rsid w:val="00651956"/>
    <w:rsid w:val="006537EB"/>
    <w:rsid w:val="00655421"/>
    <w:rsid w:val="0065625E"/>
    <w:rsid w:val="006575A7"/>
    <w:rsid w:val="0065770B"/>
    <w:rsid w:val="00660011"/>
    <w:rsid w:val="00660E46"/>
    <w:rsid w:val="00662693"/>
    <w:rsid w:val="00665220"/>
    <w:rsid w:val="00666D23"/>
    <w:rsid w:val="006672A3"/>
    <w:rsid w:val="006679EA"/>
    <w:rsid w:val="0067047F"/>
    <w:rsid w:val="00670C8A"/>
    <w:rsid w:val="00670FD1"/>
    <w:rsid w:val="0067185A"/>
    <w:rsid w:val="0067288E"/>
    <w:rsid w:val="006736EC"/>
    <w:rsid w:val="0067442E"/>
    <w:rsid w:val="006754C6"/>
    <w:rsid w:val="006755CC"/>
    <w:rsid w:val="0067624C"/>
    <w:rsid w:val="00676993"/>
    <w:rsid w:val="00676D1C"/>
    <w:rsid w:val="0067731F"/>
    <w:rsid w:val="00680526"/>
    <w:rsid w:val="006807C5"/>
    <w:rsid w:val="0068098D"/>
    <w:rsid w:val="00682012"/>
    <w:rsid w:val="0068215D"/>
    <w:rsid w:val="00682609"/>
    <w:rsid w:val="006838E7"/>
    <w:rsid w:val="00685732"/>
    <w:rsid w:val="00686189"/>
    <w:rsid w:val="00686292"/>
    <w:rsid w:val="0068663C"/>
    <w:rsid w:val="00686AC1"/>
    <w:rsid w:val="00686C72"/>
    <w:rsid w:val="00686E0C"/>
    <w:rsid w:val="0068799A"/>
    <w:rsid w:val="00687E1B"/>
    <w:rsid w:val="006935EA"/>
    <w:rsid w:val="00693F11"/>
    <w:rsid w:val="00694DF2"/>
    <w:rsid w:val="00695636"/>
    <w:rsid w:val="00696D2E"/>
    <w:rsid w:val="006A0A4C"/>
    <w:rsid w:val="006A1E58"/>
    <w:rsid w:val="006A20CC"/>
    <w:rsid w:val="006A55FE"/>
    <w:rsid w:val="006A6098"/>
    <w:rsid w:val="006A73C1"/>
    <w:rsid w:val="006B0853"/>
    <w:rsid w:val="006B0B39"/>
    <w:rsid w:val="006B0FA5"/>
    <w:rsid w:val="006B103C"/>
    <w:rsid w:val="006B2290"/>
    <w:rsid w:val="006B243A"/>
    <w:rsid w:val="006B2E34"/>
    <w:rsid w:val="006B51D4"/>
    <w:rsid w:val="006B55DB"/>
    <w:rsid w:val="006B58C0"/>
    <w:rsid w:val="006B5DFF"/>
    <w:rsid w:val="006B6A77"/>
    <w:rsid w:val="006C0145"/>
    <w:rsid w:val="006C369E"/>
    <w:rsid w:val="006C3A56"/>
    <w:rsid w:val="006C3AAF"/>
    <w:rsid w:val="006C4C67"/>
    <w:rsid w:val="006C5F4D"/>
    <w:rsid w:val="006C61AB"/>
    <w:rsid w:val="006C61B8"/>
    <w:rsid w:val="006C6DD6"/>
    <w:rsid w:val="006D0FFC"/>
    <w:rsid w:val="006D1264"/>
    <w:rsid w:val="006D2748"/>
    <w:rsid w:val="006D3DA3"/>
    <w:rsid w:val="006D7385"/>
    <w:rsid w:val="006D7935"/>
    <w:rsid w:val="006E0F34"/>
    <w:rsid w:val="006E2527"/>
    <w:rsid w:val="006E32B5"/>
    <w:rsid w:val="006E3C8D"/>
    <w:rsid w:val="006E425F"/>
    <w:rsid w:val="006E5BE8"/>
    <w:rsid w:val="006E638B"/>
    <w:rsid w:val="006E67DF"/>
    <w:rsid w:val="006F0392"/>
    <w:rsid w:val="006F0458"/>
    <w:rsid w:val="006F0763"/>
    <w:rsid w:val="006F1AA2"/>
    <w:rsid w:val="006F2373"/>
    <w:rsid w:val="006F2B75"/>
    <w:rsid w:val="006F3300"/>
    <w:rsid w:val="006F449F"/>
    <w:rsid w:val="006F4BCD"/>
    <w:rsid w:val="006F6AD1"/>
    <w:rsid w:val="006F6E3C"/>
    <w:rsid w:val="006F7D1F"/>
    <w:rsid w:val="00700DB7"/>
    <w:rsid w:val="00702238"/>
    <w:rsid w:val="00703743"/>
    <w:rsid w:val="00704293"/>
    <w:rsid w:val="00705973"/>
    <w:rsid w:val="00706209"/>
    <w:rsid w:val="00711A0E"/>
    <w:rsid w:val="00711A44"/>
    <w:rsid w:val="00712012"/>
    <w:rsid w:val="007120D3"/>
    <w:rsid w:val="0071218A"/>
    <w:rsid w:val="007147AE"/>
    <w:rsid w:val="007166EB"/>
    <w:rsid w:val="00717D88"/>
    <w:rsid w:val="00717E13"/>
    <w:rsid w:val="0072116D"/>
    <w:rsid w:val="00721D8C"/>
    <w:rsid w:val="007223B0"/>
    <w:rsid w:val="00723A06"/>
    <w:rsid w:val="007256ED"/>
    <w:rsid w:val="00725EE1"/>
    <w:rsid w:val="00726A43"/>
    <w:rsid w:val="00727BD5"/>
    <w:rsid w:val="00727D47"/>
    <w:rsid w:val="007309B2"/>
    <w:rsid w:val="0073151C"/>
    <w:rsid w:val="007316F2"/>
    <w:rsid w:val="00732527"/>
    <w:rsid w:val="0073261B"/>
    <w:rsid w:val="007329AB"/>
    <w:rsid w:val="00733356"/>
    <w:rsid w:val="00733D3F"/>
    <w:rsid w:val="00733EE3"/>
    <w:rsid w:val="0073460A"/>
    <w:rsid w:val="00734DDF"/>
    <w:rsid w:val="00735D42"/>
    <w:rsid w:val="00735DFA"/>
    <w:rsid w:val="00736378"/>
    <w:rsid w:val="00736706"/>
    <w:rsid w:val="00736F5E"/>
    <w:rsid w:val="00737B3D"/>
    <w:rsid w:val="00740ABF"/>
    <w:rsid w:val="00740C6A"/>
    <w:rsid w:val="00742525"/>
    <w:rsid w:val="00742575"/>
    <w:rsid w:val="00742A81"/>
    <w:rsid w:val="00743590"/>
    <w:rsid w:val="00744578"/>
    <w:rsid w:val="0074494B"/>
    <w:rsid w:val="00747793"/>
    <w:rsid w:val="0074789C"/>
    <w:rsid w:val="00747E45"/>
    <w:rsid w:val="007505CB"/>
    <w:rsid w:val="00750E69"/>
    <w:rsid w:val="00752048"/>
    <w:rsid w:val="007525E0"/>
    <w:rsid w:val="007525E4"/>
    <w:rsid w:val="007535FF"/>
    <w:rsid w:val="00756658"/>
    <w:rsid w:val="00757273"/>
    <w:rsid w:val="00757487"/>
    <w:rsid w:val="007617FE"/>
    <w:rsid w:val="00762350"/>
    <w:rsid w:val="00762AE0"/>
    <w:rsid w:val="00762DEB"/>
    <w:rsid w:val="007631FF"/>
    <w:rsid w:val="0076361A"/>
    <w:rsid w:val="0076386E"/>
    <w:rsid w:val="0076398E"/>
    <w:rsid w:val="00765A1D"/>
    <w:rsid w:val="00766B66"/>
    <w:rsid w:val="00766CCD"/>
    <w:rsid w:val="00770F23"/>
    <w:rsid w:val="00771B43"/>
    <w:rsid w:val="00771CFF"/>
    <w:rsid w:val="007722B4"/>
    <w:rsid w:val="0077239A"/>
    <w:rsid w:val="00773566"/>
    <w:rsid w:val="00774764"/>
    <w:rsid w:val="00775603"/>
    <w:rsid w:val="00775A21"/>
    <w:rsid w:val="00775B10"/>
    <w:rsid w:val="00776D8B"/>
    <w:rsid w:val="00776ECD"/>
    <w:rsid w:val="007808B2"/>
    <w:rsid w:val="00781598"/>
    <w:rsid w:val="007815F6"/>
    <w:rsid w:val="00782143"/>
    <w:rsid w:val="007834B9"/>
    <w:rsid w:val="007837CF"/>
    <w:rsid w:val="00784D29"/>
    <w:rsid w:val="00785334"/>
    <w:rsid w:val="00785652"/>
    <w:rsid w:val="00785F5B"/>
    <w:rsid w:val="00786056"/>
    <w:rsid w:val="0079035A"/>
    <w:rsid w:val="0079037A"/>
    <w:rsid w:val="00790DB2"/>
    <w:rsid w:val="00792BD7"/>
    <w:rsid w:val="007932BB"/>
    <w:rsid w:val="00793CA5"/>
    <w:rsid w:val="007942D3"/>
    <w:rsid w:val="00795B6B"/>
    <w:rsid w:val="00796A3F"/>
    <w:rsid w:val="00796D60"/>
    <w:rsid w:val="007A0AC8"/>
    <w:rsid w:val="007A2650"/>
    <w:rsid w:val="007A59FF"/>
    <w:rsid w:val="007A675E"/>
    <w:rsid w:val="007B0202"/>
    <w:rsid w:val="007B1762"/>
    <w:rsid w:val="007B2099"/>
    <w:rsid w:val="007B3F24"/>
    <w:rsid w:val="007B5F03"/>
    <w:rsid w:val="007B692A"/>
    <w:rsid w:val="007B6B11"/>
    <w:rsid w:val="007B6BA2"/>
    <w:rsid w:val="007B6C09"/>
    <w:rsid w:val="007B6C74"/>
    <w:rsid w:val="007B721F"/>
    <w:rsid w:val="007B7741"/>
    <w:rsid w:val="007B7742"/>
    <w:rsid w:val="007B7A1A"/>
    <w:rsid w:val="007B7A9A"/>
    <w:rsid w:val="007C02C2"/>
    <w:rsid w:val="007C0E8D"/>
    <w:rsid w:val="007C13A5"/>
    <w:rsid w:val="007C1871"/>
    <w:rsid w:val="007C18FA"/>
    <w:rsid w:val="007C1951"/>
    <w:rsid w:val="007C2925"/>
    <w:rsid w:val="007C4951"/>
    <w:rsid w:val="007C52DB"/>
    <w:rsid w:val="007C5468"/>
    <w:rsid w:val="007C65B3"/>
    <w:rsid w:val="007C70EE"/>
    <w:rsid w:val="007D0512"/>
    <w:rsid w:val="007D0808"/>
    <w:rsid w:val="007D0DC2"/>
    <w:rsid w:val="007D148F"/>
    <w:rsid w:val="007D15F4"/>
    <w:rsid w:val="007D2334"/>
    <w:rsid w:val="007D26A4"/>
    <w:rsid w:val="007D2F79"/>
    <w:rsid w:val="007D3015"/>
    <w:rsid w:val="007D49B3"/>
    <w:rsid w:val="007D4D00"/>
    <w:rsid w:val="007D7CB0"/>
    <w:rsid w:val="007E09DA"/>
    <w:rsid w:val="007E0F8A"/>
    <w:rsid w:val="007E3114"/>
    <w:rsid w:val="007E56FA"/>
    <w:rsid w:val="007E66B2"/>
    <w:rsid w:val="007E675C"/>
    <w:rsid w:val="007E6A3F"/>
    <w:rsid w:val="007E76F3"/>
    <w:rsid w:val="007F070F"/>
    <w:rsid w:val="007F10F6"/>
    <w:rsid w:val="007F2A3F"/>
    <w:rsid w:val="007F2C94"/>
    <w:rsid w:val="007F2CA9"/>
    <w:rsid w:val="007F30A7"/>
    <w:rsid w:val="007F447B"/>
    <w:rsid w:val="007F4C4B"/>
    <w:rsid w:val="007F4CBB"/>
    <w:rsid w:val="007F5F93"/>
    <w:rsid w:val="007F60D4"/>
    <w:rsid w:val="007F718D"/>
    <w:rsid w:val="0080016D"/>
    <w:rsid w:val="0080100B"/>
    <w:rsid w:val="0080146A"/>
    <w:rsid w:val="008017FE"/>
    <w:rsid w:val="00801B13"/>
    <w:rsid w:val="00801FAD"/>
    <w:rsid w:val="00802F1A"/>
    <w:rsid w:val="00807068"/>
    <w:rsid w:val="00807D37"/>
    <w:rsid w:val="00807EA8"/>
    <w:rsid w:val="008119EE"/>
    <w:rsid w:val="008123CD"/>
    <w:rsid w:val="00815E3D"/>
    <w:rsid w:val="008161AB"/>
    <w:rsid w:val="00816DF9"/>
    <w:rsid w:val="008178B6"/>
    <w:rsid w:val="00817C3F"/>
    <w:rsid w:val="008201D7"/>
    <w:rsid w:val="008217EC"/>
    <w:rsid w:val="00822146"/>
    <w:rsid w:val="00823349"/>
    <w:rsid w:val="00823C98"/>
    <w:rsid w:val="00824483"/>
    <w:rsid w:val="00824AE5"/>
    <w:rsid w:val="00826D51"/>
    <w:rsid w:val="00827A90"/>
    <w:rsid w:val="00827F38"/>
    <w:rsid w:val="00830F06"/>
    <w:rsid w:val="00830FB2"/>
    <w:rsid w:val="008314C5"/>
    <w:rsid w:val="00831AF6"/>
    <w:rsid w:val="0083234C"/>
    <w:rsid w:val="00832A9C"/>
    <w:rsid w:val="00832C50"/>
    <w:rsid w:val="0083314C"/>
    <w:rsid w:val="008333E9"/>
    <w:rsid w:val="00833776"/>
    <w:rsid w:val="00835996"/>
    <w:rsid w:val="00836498"/>
    <w:rsid w:val="00836BBD"/>
    <w:rsid w:val="00837138"/>
    <w:rsid w:val="0083727D"/>
    <w:rsid w:val="008377A9"/>
    <w:rsid w:val="00840048"/>
    <w:rsid w:val="0084076E"/>
    <w:rsid w:val="00842C5A"/>
    <w:rsid w:val="008431BD"/>
    <w:rsid w:val="00846BDD"/>
    <w:rsid w:val="00846C31"/>
    <w:rsid w:val="00847880"/>
    <w:rsid w:val="008517D7"/>
    <w:rsid w:val="00851A44"/>
    <w:rsid w:val="0085273C"/>
    <w:rsid w:val="00853A9E"/>
    <w:rsid w:val="008544E3"/>
    <w:rsid w:val="0085512B"/>
    <w:rsid w:val="00855F8D"/>
    <w:rsid w:val="00857C5D"/>
    <w:rsid w:val="00857CD6"/>
    <w:rsid w:val="00857E26"/>
    <w:rsid w:val="00860ED6"/>
    <w:rsid w:val="00862BE5"/>
    <w:rsid w:val="0086329A"/>
    <w:rsid w:val="0086383D"/>
    <w:rsid w:val="00865B74"/>
    <w:rsid w:val="00866063"/>
    <w:rsid w:val="00866495"/>
    <w:rsid w:val="00866C90"/>
    <w:rsid w:val="00867247"/>
    <w:rsid w:val="00867925"/>
    <w:rsid w:val="00867B1D"/>
    <w:rsid w:val="00867FAC"/>
    <w:rsid w:val="00870754"/>
    <w:rsid w:val="00870E5F"/>
    <w:rsid w:val="00871FAA"/>
    <w:rsid w:val="008722D7"/>
    <w:rsid w:val="008733CA"/>
    <w:rsid w:val="008752A2"/>
    <w:rsid w:val="00875692"/>
    <w:rsid w:val="0087580A"/>
    <w:rsid w:val="008769CC"/>
    <w:rsid w:val="00877E29"/>
    <w:rsid w:val="00880153"/>
    <w:rsid w:val="00880907"/>
    <w:rsid w:val="00880A58"/>
    <w:rsid w:val="00881926"/>
    <w:rsid w:val="0088665E"/>
    <w:rsid w:val="00886A0E"/>
    <w:rsid w:val="00886A7C"/>
    <w:rsid w:val="00886FF9"/>
    <w:rsid w:val="008871B6"/>
    <w:rsid w:val="0089045D"/>
    <w:rsid w:val="00894A61"/>
    <w:rsid w:val="00894FF6"/>
    <w:rsid w:val="008952C8"/>
    <w:rsid w:val="00895322"/>
    <w:rsid w:val="008958E1"/>
    <w:rsid w:val="00895FFD"/>
    <w:rsid w:val="00896749"/>
    <w:rsid w:val="008974F0"/>
    <w:rsid w:val="00897549"/>
    <w:rsid w:val="008A0807"/>
    <w:rsid w:val="008A1499"/>
    <w:rsid w:val="008A17DD"/>
    <w:rsid w:val="008A65C4"/>
    <w:rsid w:val="008B012A"/>
    <w:rsid w:val="008B05B1"/>
    <w:rsid w:val="008B0765"/>
    <w:rsid w:val="008B127E"/>
    <w:rsid w:val="008B1372"/>
    <w:rsid w:val="008B266D"/>
    <w:rsid w:val="008B2B4E"/>
    <w:rsid w:val="008B2E9D"/>
    <w:rsid w:val="008B4E43"/>
    <w:rsid w:val="008B5FE3"/>
    <w:rsid w:val="008C0A2C"/>
    <w:rsid w:val="008C133E"/>
    <w:rsid w:val="008C14D0"/>
    <w:rsid w:val="008C1754"/>
    <w:rsid w:val="008C3862"/>
    <w:rsid w:val="008C43EF"/>
    <w:rsid w:val="008C456B"/>
    <w:rsid w:val="008C465F"/>
    <w:rsid w:val="008C566E"/>
    <w:rsid w:val="008C6578"/>
    <w:rsid w:val="008C6FB6"/>
    <w:rsid w:val="008D02AB"/>
    <w:rsid w:val="008D0A72"/>
    <w:rsid w:val="008D18F2"/>
    <w:rsid w:val="008D2EC1"/>
    <w:rsid w:val="008D37E6"/>
    <w:rsid w:val="008D4725"/>
    <w:rsid w:val="008D6DD9"/>
    <w:rsid w:val="008D780B"/>
    <w:rsid w:val="008E56C6"/>
    <w:rsid w:val="008E573A"/>
    <w:rsid w:val="008E593E"/>
    <w:rsid w:val="008E5F24"/>
    <w:rsid w:val="008E721D"/>
    <w:rsid w:val="008F126E"/>
    <w:rsid w:val="008F1522"/>
    <w:rsid w:val="008F2075"/>
    <w:rsid w:val="008F30C3"/>
    <w:rsid w:val="008F5B54"/>
    <w:rsid w:val="008F6520"/>
    <w:rsid w:val="008F6842"/>
    <w:rsid w:val="008F6BEB"/>
    <w:rsid w:val="008F764A"/>
    <w:rsid w:val="008F79DD"/>
    <w:rsid w:val="008F7F66"/>
    <w:rsid w:val="009009E5"/>
    <w:rsid w:val="00903C73"/>
    <w:rsid w:val="00905032"/>
    <w:rsid w:val="0090590C"/>
    <w:rsid w:val="00905D27"/>
    <w:rsid w:val="00906E17"/>
    <w:rsid w:val="0090750C"/>
    <w:rsid w:val="009100F9"/>
    <w:rsid w:val="00910A01"/>
    <w:rsid w:val="00910D70"/>
    <w:rsid w:val="00910E5B"/>
    <w:rsid w:val="00911626"/>
    <w:rsid w:val="00911C92"/>
    <w:rsid w:val="009133DA"/>
    <w:rsid w:val="00914B62"/>
    <w:rsid w:val="00914D7D"/>
    <w:rsid w:val="00915940"/>
    <w:rsid w:val="00915D0F"/>
    <w:rsid w:val="00916CB3"/>
    <w:rsid w:val="0091756B"/>
    <w:rsid w:val="00917971"/>
    <w:rsid w:val="00917DD0"/>
    <w:rsid w:val="00921AC8"/>
    <w:rsid w:val="00921CCC"/>
    <w:rsid w:val="00925876"/>
    <w:rsid w:val="00930393"/>
    <w:rsid w:val="00930BA1"/>
    <w:rsid w:val="0093151F"/>
    <w:rsid w:val="0093169E"/>
    <w:rsid w:val="00931903"/>
    <w:rsid w:val="009324E9"/>
    <w:rsid w:val="0093390C"/>
    <w:rsid w:val="00933DCA"/>
    <w:rsid w:val="009358E5"/>
    <w:rsid w:val="00935936"/>
    <w:rsid w:val="00937729"/>
    <w:rsid w:val="00937D13"/>
    <w:rsid w:val="0094014F"/>
    <w:rsid w:val="00940261"/>
    <w:rsid w:val="00940FAB"/>
    <w:rsid w:val="00940FF3"/>
    <w:rsid w:val="00941313"/>
    <w:rsid w:val="00943B69"/>
    <w:rsid w:val="00944F29"/>
    <w:rsid w:val="0094506B"/>
    <w:rsid w:val="00945AC3"/>
    <w:rsid w:val="00947347"/>
    <w:rsid w:val="009475F0"/>
    <w:rsid w:val="009476D1"/>
    <w:rsid w:val="00947C90"/>
    <w:rsid w:val="009505C9"/>
    <w:rsid w:val="009505DD"/>
    <w:rsid w:val="00950752"/>
    <w:rsid w:val="009507C4"/>
    <w:rsid w:val="009515FA"/>
    <w:rsid w:val="009516E4"/>
    <w:rsid w:val="009520F7"/>
    <w:rsid w:val="00952AE6"/>
    <w:rsid w:val="00955255"/>
    <w:rsid w:val="00955719"/>
    <w:rsid w:val="00955C17"/>
    <w:rsid w:val="00956F6D"/>
    <w:rsid w:val="00960E36"/>
    <w:rsid w:val="00961005"/>
    <w:rsid w:val="00966424"/>
    <w:rsid w:val="0096674C"/>
    <w:rsid w:val="00966913"/>
    <w:rsid w:val="00967357"/>
    <w:rsid w:val="009677EB"/>
    <w:rsid w:val="0096796F"/>
    <w:rsid w:val="00967A90"/>
    <w:rsid w:val="009705E4"/>
    <w:rsid w:val="00970DF1"/>
    <w:rsid w:val="00971C15"/>
    <w:rsid w:val="00973B2A"/>
    <w:rsid w:val="0097406D"/>
    <w:rsid w:val="00974FE2"/>
    <w:rsid w:val="009754D6"/>
    <w:rsid w:val="00976AFD"/>
    <w:rsid w:val="009771ED"/>
    <w:rsid w:val="00983B7E"/>
    <w:rsid w:val="0098520D"/>
    <w:rsid w:val="00986E7B"/>
    <w:rsid w:val="00992667"/>
    <w:rsid w:val="009926DB"/>
    <w:rsid w:val="00992C3D"/>
    <w:rsid w:val="009934BF"/>
    <w:rsid w:val="00994A5A"/>
    <w:rsid w:val="00995EB3"/>
    <w:rsid w:val="00995FFD"/>
    <w:rsid w:val="00996B64"/>
    <w:rsid w:val="00997723"/>
    <w:rsid w:val="0099790F"/>
    <w:rsid w:val="009A1785"/>
    <w:rsid w:val="009A1B81"/>
    <w:rsid w:val="009A2300"/>
    <w:rsid w:val="009A28E5"/>
    <w:rsid w:val="009A2EC1"/>
    <w:rsid w:val="009A3245"/>
    <w:rsid w:val="009A36DD"/>
    <w:rsid w:val="009A5403"/>
    <w:rsid w:val="009A61FD"/>
    <w:rsid w:val="009A6C15"/>
    <w:rsid w:val="009A7179"/>
    <w:rsid w:val="009A7912"/>
    <w:rsid w:val="009B06A7"/>
    <w:rsid w:val="009B136C"/>
    <w:rsid w:val="009B1393"/>
    <w:rsid w:val="009B194A"/>
    <w:rsid w:val="009B1A4B"/>
    <w:rsid w:val="009B2D4A"/>
    <w:rsid w:val="009B6151"/>
    <w:rsid w:val="009B7DDF"/>
    <w:rsid w:val="009C13B2"/>
    <w:rsid w:val="009C2DE6"/>
    <w:rsid w:val="009C55C7"/>
    <w:rsid w:val="009C617B"/>
    <w:rsid w:val="009C6662"/>
    <w:rsid w:val="009C77F6"/>
    <w:rsid w:val="009D0516"/>
    <w:rsid w:val="009D0AE5"/>
    <w:rsid w:val="009D30C7"/>
    <w:rsid w:val="009D4F16"/>
    <w:rsid w:val="009D52E9"/>
    <w:rsid w:val="009D5983"/>
    <w:rsid w:val="009E0A91"/>
    <w:rsid w:val="009E1787"/>
    <w:rsid w:val="009E2736"/>
    <w:rsid w:val="009E287C"/>
    <w:rsid w:val="009E3E01"/>
    <w:rsid w:val="009E5944"/>
    <w:rsid w:val="009E5988"/>
    <w:rsid w:val="009E5E5B"/>
    <w:rsid w:val="009E6AF5"/>
    <w:rsid w:val="009E7756"/>
    <w:rsid w:val="009F0C3A"/>
    <w:rsid w:val="009F14F4"/>
    <w:rsid w:val="009F47C1"/>
    <w:rsid w:val="009F5BD2"/>
    <w:rsid w:val="009F61B1"/>
    <w:rsid w:val="009F679F"/>
    <w:rsid w:val="009F68F6"/>
    <w:rsid w:val="009F7441"/>
    <w:rsid w:val="009F7BC1"/>
    <w:rsid w:val="009F7CFB"/>
    <w:rsid w:val="00A0240C"/>
    <w:rsid w:val="00A030A9"/>
    <w:rsid w:val="00A03B12"/>
    <w:rsid w:val="00A03BB4"/>
    <w:rsid w:val="00A04564"/>
    <w:rsid w:val="00A05D53"/>
    <w:rsid w:val="00A064EC"/>
    <w:rsid w:val="00A07AEA"/>
    <w:rsid w:val="00A1079D"/>
    <w:rsid w:val="00A10D39"/>
    <w:rsid w:val="00A10F41"/>
    <w:rsid w:val="00A111D1"/>
    <w:rsid w:val="00A117BC"/>
    <w:rsid w:val="00A13A70"/>
    <w:rsid w:val="00A146BD"/>
    <w:rsid w:val="00A15382"/>
    <w:rsid w:val="00A167BB"/>
    <w:rsid w:val="00A2062D"/>
    <w:rsid w:val="00A237CD"/>
    <w:rsid w:val="00A23812"/>
    <w:rsid w:val="00A2396D"/>
    <w:rsid w:val="00A24818"/>
    <w:rsid w:val="00A303DB"/>
    <w:rsid w:val="00A31CB2"/>
    <w:rsid w:val="00A31D7F"/>
    <w:rsid w:val="00A329AA"/>
    <w:rsid w:val="00A33B7F"/>
    <w:rsid w:val="00A367F0"/>
    <w:rsid w:val="00A367F2"/>
    <w:rsid w:val="00A37A0B"/>
    <w:rsid w:val="00A37C99"/>
    <w:rsid w:val="00A400E6"/>
    <w:rsid w:val="00A41A65"/>
    <w:rsid w:val="00A41B98"/>
    <w:rsid w:val="00A4381F"/>
    <w:rsid w:val="00A456FE"/>
    <w:rsid w:val="00A45C17"/>
    <w:rsid w:val="00A47183"/>
    <w:rsid w:val="00A474B4"/>
    <w:rsid w:val="00A50AEC"/>
    <w:rsid w:val="00A50D41"/>
    <w:rsid w:val="00A52610"/>
    <w:rsid w:val="00A53BDB"/>
    <w:rsid w:val="00A53D2A"/>
    <w:rsid w:val="00A55290"/>
    <w:rsid w:val="00A5657D"/>
    <w:rsid w:val="00A574CF"/>
    <w:rsid w:val="00A57C7C"/>
    <w:rsid w:val="00A61FF6"/>
    <w:rsid w:val="00A621DB"/>
    <w:rsid w:val="00A624F5"/>
    <w:rsid w:val="00A626D3"/>
    <w:rsid w:val="00A63668"/>
    <w:rsid w:val="00A63EA6"/>
    <w:rsid w:val="00A64456"/>
    <w:rsid w:val="00A65518"/>
    <w:rsid w:val="00A700B2"/>
    <w:rsid w:val="00A707E6"/>
    <w:rsid w:val="00A70A30"/>
    <w:rsid w:val="00A7190D"/>
    <w:rsid w:val="00A72124"/>
    <w:rsid w:val="00A7357A"/>
    <w:rsid w:val="00A741B2"/>
    <w:rsid w:val="00A74F03"/>
    <w:rsid w:val="00A74F15"/>
    <w:rsid w:val="00A7572B"/>
    <w:rsid w:val="00A75AC4"/>
    <w:rsid w:val="00A80475"/>
    <w:rsid w:val="00A81397"/>
    <w:rsid w:val="00A82C04"/>
    <w:rsid w:val="00A8462E"/>
    <w:rsid w:val="00A84709"/>
    <w:rsid w:val="00A847C6"/>
    <w:rsid w:val="00A85565"/>
    <w:rsid w:val="00A8677E"/>
    <w:rsid w:val="00A87153"/>
    <w:rsid w:val="00A87EA5"/>
    <w:rsid w:val="00A9034A"/>
    <w:rsid w:val="00A91368"/>
    <w:rsid w:val="00A914FB"/>
    <w:rsid w:val="00A91FDB"/>
    <w:rsid w:val="00A92028"/>
    <w:rsid w:val="00A9440C"/>
    <w:rsid w:val="00A946D8"/>
    <w:rsid w:val="00A9498C"/>
    <w:rsid w:val="00AA0150"/>
    <w:rsid w:val="00AA0C4A"/>
    <w:rsid w:val="00AA0CEA"/>
    <w:rsid w:val="00AA0FAA"/>
    <w:rsid w:val="00AA6356"/>
    <w:rsid w:val="00AA6E3C"/>
    <w:rsid w:val="00AA6F92"/>
    <w:rsid w:val="00AB0286"/>
    <w:rsid w:val="00AB1ADE"/>
    <w:rsid w:val="00AB2418"/>
    <w:rsid w:val="00AB36C6"/>
    <w:rsid w:val="00AB6934"/>
    <w:rsid w:val="00AC1629"/>
    <w:rsid w:val="00AC2044"/>
    <w:rsid w:val="00AC2DB9"/>
    <w:rsid w:val="00AC6B90"/>
    <w:rsid w:val="00AC7B8E"/>
    <w:rsid w:val="00AC7DB0"/>
    <w:rsid w:val="00AC7DC0"/>
    <w:rsid w:val="00AD1E51"/>
    <w:rsid w:val="00AD3341"/>
    <w:rsid w:val="00AD3EE1"/>
    <w:rsid w:val="00AD4386"/>
    <w:rsid w:val="00AD4842"/>
    <w:rsid w:val="00AD501F"/>
    <w:rsid w:val="00AE1505"/>
    <w:rsid w:val="00AE1DDB"/>
    <w:rsid w:val="00AE3058"/>
    <w:rsid w:val="00AE30A8"/>
    <w:rsid w:val="00AE3520"/>
    <w:rsid w:val="00AE3A6B"/>
    <w:rsid w:val="00AE403B"/>
    <w:rsid w:val="00AE48FE"/>
    <w:rsid w:val="00AE63AF"/>
    <w:rsid w:val="00AE6F6F"/>
    <w:rsid w:val="00AF0C14"/>
    <w:rsid w:val="00AF2C50"/>
    <w:rsid w:val="00AF42DE"/>
    <w:rsid w:val="00AF46C9"/>
    <w:rsid w:val="00AF6182"/>
    <w:rsid w:val="00AF68B2"/>
    <w:rsid w:val="00AF7C13"/>
    <w:rsid w:val="00B00825"/>
    <w:rsid w:val="00B0158A"/>
    <w:rsid w:val="00B019D6"/>
    <w:rsid w:val="00B0271A"/>
    <w:rsid w:val="00B039C7"/>
    <w:rsid w:val="00B03B00"/>
    <w:rsid w:val="00B03F4A"/>
    <w:rsid w:val="00B04F08"/>
    <w:rsid w:val="00B056C3"/>
    <w:rsid w:val="00B05904"/>
    <w:rsid w:val="00B06533"/>
    <w:rsid w:val="00B0698F"/>
    <w:rsid w:val="00B06DC6"/>
    <w:rsid w:val="00B113B9"/>
    <w:rsid w:val="00B118AC"/>
    <w:rsid w:val="00B13DD3"/>
    <w:rsid w:val="00B16C33"/>
    <w:rsid w:val="00B2133E"/>
    <w:rsid w:val="00B21592"/>
    <w:rsid w:val="00B22781"/>
    <w:rsid w:val="00B227A4"/>
    <w:rsid w:val="00B22CF4"/>
    <w:rsid w:val="00B23C14"/>
    <w:rsid w:val="00B2521B"/>
    <w:rsid w:val="00B25312"/>
    <w:rsid w:val="00B271E0"/>
    <w:rsid w:val="00B30034"/>
    <w:rsid w:val="00B30A3A"/>
    <w:rsid w:val="00B30C6B"/>
    <w:rsid w:val="00B3369F"/>
    <w:rsid w:val="00B33A25"/>
    <w:rsid w:val="00B34F36"/>
    <w:rsid w:val="00B36EFF"/>
    <w:rsid w:val="00B4024E"/>
    <w:rsid w:val="00B4066D"/>
    <w:rsid w:val="00B41337"/>
    <w:rsid w:val="00B41D08"/>
    <w:rsid w:val="00B44651"/>
    <w:rsid w:val="00B447AF"/>
    <w:rsid w:val="00B47E4B"/>
    <w:rsid w:val="00B504D4"/>
    <w:rsid w:val="00B50FAE"/>
    <w:rsid w:val="00B51152"/>
    <w:rsid w:val="00B51C3D"/>
    <w:rsid w:val="00B53535"/>
    <w:rsid w:val="00B572E2"/>
    <w:rsid w:val="00B6288F"/>
    <w:rsid w:val="00B62FE9"/>
    <w:rsid w:val="00B62FED"/>
    <w:rsid w:val="00B63300"/>
    <w:rsid w:val="00B63D06"/>
    <w:rsid w:val="00B64193"/>
    <w:rsid w:val="00B712B1"/>
    <w:rsid w:val="00B74283"/>
    <w:rsid w:val="00B745A8"/>
    <w:rsid w:val="00B746CC"/>
    <w:rsid w:val="00B751C2"/>
    <w:rsid w:val="00B75387"/>
    <w:rsid w:val="00B85B8A"/>
    <w:rsid w:val="00B90149"/>
    <w:rsid w:val="00B90794"/>
    <w:rsid w:val="00B90DDB"/>
    <w:rsid w:val="00B919EC"/>
    <w:rsid w:val="00B92B26"/>
    <w:rsid w:val="00B92B6F"/>
    <w:rsid w:val="00B93395"/>
    <w:rsid w:val="00B94E6C"/>
    <w:rsid w:val="00B95099"/>
    <w:rsid w:val="00B950AA"/>
    <w:rsid w:val="00B966E4"/>
    <w:rsid w:val="00B96ECC"/>
    <w:rsid w:val="00B9754C"/>
    <w:rsid w:val="00B97F9A"/>
    <w:rsid w:val="00BA0B23"/>
    <w:rsid w:val="00BA2E83"/>
    <w:rsid w:val="00BA3ECB"/>
    <w:rsid w:val="00BA5018"/>
    <w:rsid w:val="00BA6C2F"/>
    <w:rsid w:val="00BA7E76"/>
    <w:rsid w:val="00BB0E04"/>
    <w:rsid w:val="00BB1D3F"/>
    <w:rsid w:val="00BB1E5A"/>
    <w:rsid w:val="00BB2152"/>
    <w:rsid w:val="00BB4606"/>
    <w:rsid w:val="00BB4994"/>
    <w:rsid w:val="00BB7766"/>
    <w:rsid w:val="00BC01E2"/>
    <w:rsid w:val="00BC0D3C"/>
    <w:rsid w:val="00BC0D52"/>
    <w:rsid w:val="00BC26E8"/>
    <w:rsid w:val="00BC2D65"/>
    <w:rsid w:val="00BC6886"/>
    <w:rsid w:val="00BD0D64"/>
    <w:rsid w:val="00BD25D3"/>
    <w:rsid w:val="00BD2A1D"/>
    <w:rsid w:val="00BD327E"/>
    <w:rsid w:val="00BD666A"/>
    <w:rsid w:val="00BD6EA3"/>
    <w:rsid w:val="00BD7D81"/>
    <w:rsid w:val="00BD7DD6"/>
    <w:rsid w:val="00BE08D4"/>
    <w:rsid w:val="00BE0C6D"/>
    <w:rsid w:val="00BE1D82"/>
    <w:rsid w:val="00BE24C4"/>
    <w:rsid w:val="00BE3F28"/>
    <w:rsid w:val="00BE4BD9"/>
    <w:rsid w:val="00BE6AF8"/>
    <w:rsid w:val="00BF11BB"/>
    <w:rsid w:val="00BF1264"/>
    <w:rsid w:val="00BF3C14"/>
    <w:rsid w:val="00BF401C"/>
    <w:rsid w:val="00BF4213"/>
    <w:rsid w:val="00BF5005"/>
    <w:rsid w:val="00BF56F1"/>
    <w:rsid w:val="00BF6443"/>
    <w:rsid w:val="00BF6868"/>
    <w:rsid w:val="00BF72D0"/>
    <w:rsid w:val="00BF741A"/>
    <w:rsid w:val="00C0065C"/>
    <w:rsid w:val="00C01158"/>
    <w:rsid w:val="00C01D21"/>
    <w:rsid w:val="00C10ABB"/>
    <w:rsid w:val="00C11649"/>
    <w:rsid w:val="00C12FCF"/>
    <w:rsid w:val="00C16ADB"/>
    <w:rsid w:val="00C176C8"/>
    <w:rsid w:val="00C17EF8"/>
    <w:rsid w:val="00C2052C"/>
    <w:rsid w:val="00C22B16"/>
    <w:rsid w:val="00C22CBA"/>
    <w:rsid w:val="00C23359"/>
    <w:rsid w:val="00C23778"/>
    <w:rsid w:val="00C23D2F"/>
    <w:rsid w:val="00C254E5"/>
    <w:rsid w:val="00C2735D"/>
    <w:rsid w:val="00C27853"/>
    <w:rsid w:val="00C31448"/>
    <w:rsid w:val="00C31F0E"/>
    <w:rsid w:val="00C3362B"/>
    <w:rsid w:val="00C3382F"/>
    <w:rsid w:val="00C36084"/>
    <w:rsid w:val="00C3680B"/>
    <w:rsid w:val="00C37B68"/>
    <w:rsid w:val="00C37BA9"/>
    <w:rsid w:val="00C37C3C"/>
    <w:rsid w:val="00C40B74"/>
    <w:rsid w:val="00C422FF"/>
    <w:rsid w:val="00C42922"/>
    <w:rsid w:val="00C443BD"/>
    <w:rsid w:val="00C44964"/>
    <w:rsid w:val="00C451C5"/>
    <w:rsid w:val="00C466B0"/>
    <w:rsid w:val="00C466CA"/>
    <w:rsid w:val="00C47316"/>
    <w:rsid w:val="00C47618"/>
    <w:rsid w:val="00C478BE"/>
    <w:rsid w:val="00C478CF"/>
    <w:rsid w:val="00C4790C"/>
    <w:rsid w:val="00C5337F"/>
    <w:rsid w:val="00C550EE"/>
    <w:rsid w:val="00C56344"/>
    <w:rsid w:val="00C56F71"/>
    <w:rsid w:val="00C60CD8"/>
    <w:rsid w:val="00C62728"/>
    <w:rsid w:val="00C64050"/>
    <w:rsid w:val="00C64070"/>
    <w:rsid w:val="00C649DA"/>
    <w:rsid w:val="00C65CF8"/>
    <w:rsid w:val="00C65F6A"/>
    <w:rsid w:val="00C6673C"/>
    <w:rsid w:val="00C66AF0"/>
    <w:rsid w:val="00C67541"/>
    <w:rsid w:val="00C70B3E"/>
    <w:rsid w:val="00C711BB"/>
    <w:rsid w:val="00C718EC"/>
    <w:rsid w:val="00C745AF"/>
    <w:rsid w:val="00C74629"/>
    <w:rsid w:val="00C74B75"/>
    <w:rsid w:val="00C75376"/>
    <w:rsid w:val="00C75CD8"/>
    <w:rsid w:val="00C76B1B"/>
    <w:rsid w:val="00C77FA4"/>
    <w:rsid w:val="00C81DC4"/>
    <w:rsid w:val="00C8274D"/>
    <w:rsid w:val="00C83FE6"/>
    <w:rsid w:val="00C843EE"/>
    <w:rsid w:val="00C84D60"/>
    <w:rsid w:val="00C850E6"/>
    <w:rsid w:val="00C85936"/>
    <w:rsid w:val="00C87CDD"/>
    <w:rsid w:val="00C87E41"/>
    <w:rsid w:val="00C903D6"/>
    <w:rsid w:val="00C909BB"/>
    <w:rsid w:val="00C9161D"/>
    <w:rsid w:val="00C91AE8"/>
    <w:rsid w:val="00C91C4B"/>
    <w:rsid w:val="00C92B0D"/>
    <w:rsid w:val="00C93CDC"/>
    <w:rsid w:val="00C952E5"/>
    <w:rsid w:val="00C957DD"/>
    <w:rsid w:val="00C96BC0"/>
    <w:rsid w:val="00C96C78"/>
    <w:rsid w:val="00C96FEC"/>
    <w:rsid w:val="00C97861"/>
    <w:rsid w:val="00CA0C1D"/>
    <w:rsid w:val="00CA1416"/>
    <w:rsid w:val="00CA26C9"/>
    <w:rsid w:val="00CA2DA6"/>
    <w:rsid w:val="00CA30B2"/>
    <w:rsid w:val="00CA33B7"/>
    <w:rsid w:val="00CA4044"/>
    <w:rsid w:val="00CA4DBB"/>
    <w:rsid w:val="00CA5BFA"/>
    <w:rsid w:val="00CA5CBA"/>
    <w:rsid w:val="00CA6F44"/>
    <w:rsid w:val="00CA750B"/>
    <w:rsid w:val="00CB075B"/>
    <w:rsid w:val="00CB2DEF"/>
    <w:rsid w:val="00CB2E9A"/>
    <w:rsid w:val="00CB35EB"/>
    <w:rsid w:val="00CB4386"/>
    <w:rsid w:val="00CB4678"/>
    <w:rsid w:val="00CB4974"/>
    <w:rsid w:val="00CB51A5"/>
    <w:rsid w:val="00CB662C"/>
    <w:rsid w:val="00CC1380"/>
    <w:rsid w:val="00CC2CC8"/>
    <w:rsid w:val="00CC3488"/>
    <w:rsid w:val="00CC4785"/>
    <w:rsid w:val="00CC4FF9"/>
    <w:rsid w:val="00CC6074"/>
    <w:rsid w:val="00CC66B6"/>
    <w:rsid w:val="00CD08A4"/>
    <w:rsid w:val="00CD2576"/>
    <w:rsid w:val="00CD2ADC"/>
    <w:rsid w:val="00CD669D"/>
    <w:rsid w:val="00CE1133"/>
    <w:rsid w:val="00CE17E9"/>
    <w:rsid w:val="00CE4355"/>
    <w:rsid w:val="00CE61D1"/>
    <w:rsid w:val="00CE65E6"/>
    <w:rsid w:val="00CE67A6"/>
    <w:rsid w:val="00CF16BA"/>
    <w:rsid w:val="00CF1848"/>
    <w:rsid w:val="00CF1CF8"/>
    <w:rsid w:val="00CF4270"/>
    <w:rsid w:val="00CF443D"/>
    <w:rsid w:val="00CF4849"/>
    <w:rsid w:val="00CF5138"/>
    <w:rsid w:val="00CF686B"/>
    <w:rsid w:val="00CF7317"/>
    <w:rsid w:val="00CF7EA8"/>
    <w:rsid w:val="00D011DE"/>
    <w:rsid w:val="00D01849"/>
    <w:rsid w:val="00D01C28"/>
    <w:rsid w:val="00D021D2"/>
    <w:rsid w:val="00D031AD"/>
    <w:rsid w:val="00D04AE8"/>
    <w:rsid w:val="00D056D9"/>
    <w:rsid w:val="00D06761"/>
    <w:rsid w:val="00D12044"/>
    <w:rsid w:val="00D121D3"/>
    <w:rsid w:val="00D13C8D"/>
    <w:rsid w:val="00D14C80"/>
    <w:rsid w:val="00D152A3"/>
    <w:rsid w:val="00D16ADD"/>
    <w:rsid w:val="00D170D9"/>
    <w:rsid w:val="00D1767C"/>
    <w:rsid w:val="00D1790C"/>
    <w:rsid w:val="00D17CBB"/>
    <w:rsid w:val="00D20EBF"/>
    <w:rsid w:val="00D22827"/>
    <w:rsid w:val="00D23197"/>
    <w:rsid w:val="00D233CC"/>
    <w:rsid w:val="00D26189"/>
    <w:rsid w:val="00D264E0"/>
    <w:rsid w:val="00D2654A"/>
    <w:rsid w:val="00D268AE"/>
    <w:rsid w:val="00D273B9"/>
    <w:rsid w:val="00D323CC"/>
    <w:rsid w:val="00D32CC3"/>
    <w:rsid w:val="00D33630"/>
    <w:rsid w:val="00D338B3"/>
    <w:rsid w:val="00D33EFC"/>
    <w:rsid w:val="00D349E4"/>
    <w:rsid w:val="00D36D2B"/>
    <w:rsid w:val="00D401D9"/>
    <w:rsid w:val="00D40DBC"/>
    <w:rsid w:val="00D410E7"/>
    <w:rsid w:val="00D42F88"/>
    <w:rsid w:val="00D42FD3"/>
    <w:rsid w:val="00D432C9"/>
    <w:rsid w:val="00D4540F"/>
    <w:rsid w:val="00D45B95"/>
    <w:rsid w:val="00D465C3"/>
    <w:rsid w:val="00D46E28"/>
    <w:rsid w:val="00D47581"/>
    <w:rsid w:val="00D5049D"/>
    <w:rsid w:val="00D512F6"/>
    <w:rsid w:val="00D51A0D"/>
    <w:rsid w:val="00D51B84"/>
    <w:rsid w:val="00D51E0E"/>
    <w:rsid w:val="00D52102"/>
    <w:rsid w:val="00D52EEB"/>
    <w:rsid w:val="00D52F8D"/>
    <w:rsid w:val="00D531EE"/>
    <w:rsid w:val="00D537F0"/>
    <w:rsid w:val="00D53F5B"/>
    <w:rsid w:val="00D54B27"/>
    <w:rsid w:val="00D54C33"/>
    <w:rsid w:val="00D55D3B"/>
    <w:rsid w:val="00D577AB"/>
    <w:rsid w:val="00D579F1"/>
    <w:rsid w:val="00D60349"/>
    <w:rsid w:val="00D60BB0"/>
    <w:rsid w:val="00D60E93"/>
    <w:rsid w:val="00D61483"/>
    <w:rsid w:val="00D61B59"/>
    <w:rsid w:val="00D61C85"/>
    <w:rsid w:val="00D6258A"/>
    <w:rsid w:val="00D62C17"/>
    <w:rsid w:val="00D6399C"/>
    <w:rsid w:val="00D659D2"/>
    <w:rsid w:val="00D65A26"/>
    <w:rsid w:val="00D70044"/>
    <w:rsid w:val="00D7086A"/>
    <w:rsid w:val="00D719B2"/>
    <w:rsid w:val="00D7306A"/>
    <w:rsid w:val="00D73EB7"/>
    <w:rsid w:val="00D74860"/>
    <w:rsid w:val="00D74FDD"/>
    <w:rsid w:val="00D757F0"/>
    <w:rsid w:val="00D75CA6"/>
    <w:rsid w:val="00D75D31"/>
    <w:rsid w:val="00D76A18"/>
    <w:rsid w:val="00D77332"/>
    <w:rsid w:val="00D77E88"/>
    <w:rsid w:val="00D80849"/>
    <w:rsid w:val="00D81E0B"/>
    <w:rsid w:val="00D82B33"/>
    <w:rsid w:val="00D82E8F"/>
    <w:rsid w:val="00D841F7"/>
    <w:rsid w:val="00D84C61"/>
    <w:rsid w:val="00D851C2"/>
    <w:rsid w:val="00D855BD"/>
    <w:rsid w:val="00D87027"/>
    <w:rsid w:val="00D872EC"/>
    <w:rsid w:val="00D873AC"/>
    <w:rsid w:val="00D87543"/>
    <w:rsid w:val="00D917A6"/>
    <w:rsid w:val="00D9225C"/>
    <w:rsid w:val="00D93698"/>
    <w:rsid w:val="00D93A3F"/>
    <w:rsid w:val="00D953DC"/>
    <w:rsid w:val="00DA1A6C"/>
    <w:rsid w:val="00DA229E"/>
    <w:rsid w:val="00DA3A27"/>
    <w:rsid w:val="00DA3CD8"/>
    <w:rsid w:val="00DA45C1"/>
    <w:rsid w:val="00DA53FE"/>
    <w:rsid w:val="00DA6564"/>
    <w:rsid w:val="00DA6886"/>
    <w:rsid w:val="00DA7E80"/>
    <w:rsid w:val="00DB0296"/>
    <w:rsid w:val="00DB1F80"/>
    <w:rsid w:val="00DB380D"/>
    <w:rsid w:val="00DB4612"/>
    <w:rsid w:val="00DB5110"/>
    <w:rsid w:val="00DB5E0F"/>
    <w:rsid w:val="00DB693B"/>
    <w:rsid w:val="00DB6A23"/>
    <w:rsid w:val="00DB6D21"/>
    <w:rsid w:val="00DC0048"/>
    <w:rsid w:val="00DC1163"/>
    <w:rsid w:val="00DC1F7D"/>
    <w:rsid w:val="00DC2A7C"/>
    <w:rsid w:val="00DC3093"/>
    <w:rsid w:val="00DC76AD"/>
    <w:rsid w:val="00DC7938"/>
    <w:rsid w:val="00DD0949"/>
    <w:rsid w:val="00DD118C"/>
    <w:rsid w:val="00DD1D0B"/>
    <w:rsid w:val="00DD286D"/>
    <w:rsid w:val="00DD3663"/>
    <w:rsid w:val="00DD7E92"/>
    <w:rsid w:val="00DE0218"/>
    <w:rsid w:val="00DE02A8"/>
    <w:rsid w:val="00DE0385"/>
    <w:rsid w:val="00DE08E8"/>
    <w:rsid w:val="00DE41C7"/>
    <w:rsid w:val="00DE4C7F"/>
    <w:rsid w:val="00DE6D16"/>
    <w:rsid w:val="00DE765C"/>
    <w:rsid w:val="00DF19A9"/>
    <w:rsid w:val="00DF1D69"/>
    <w:rsid w:val="00DF24A4"/>
    <w:rsid w:val="00DF2DFC"/>
    <w:rsid w:val="00DF3169"/>
    <w:rsid w:val="00DF3601"/>
    <w:rsid w:val="00DF4992"/>
    <w:rsid w:val="00DF54CD"/>
    <w:rsid w:val="00DF5587"/>
    <w:rsid w:val="00DF5A80"/>
    <w:rsid w:val="00DF65B7"/>
    <w:rsid w:val="00DF74C2"/>
    <w:rsid w:val="00DF7561"/>
    <w:rsid w:val="00E00661"/>
    <w:rsid w:val="00E0086A"/>
    <w:rsid w:val="00E014ED"/>
    <w:rsid w:val="00E01EC4"/>
    <w:rsid w:val="00E02371"/>
    <w:rsid w:val="00E02AD0"/>
    <w:rsid w:val="00E0359C"/>
    <w:rsid w:val="00E041C6"/>
    <w:rsid w:val="00E063AD"/>
    <w:rsid w:val="00E06954"/>
    <w:rsid w:val="00E101FC"/>
    <w:rsid w:val="00E10477"/>
    <w:rsid w:val="00E10D6F"/>
    <w:rsid w:val="00E111B2"/>
    <w:rsid w:val="00E11783"/>
    <w:rsid w:val="00E11C2A"/>
    <w:rsid w:val="00E12434"/>
    <w:rsid w:val="00E13202"/>
    <w:rsid w:val="00E134CE"/>
    <w:rsid w:val="00E14F8D"/>
    <w:rsid w:val="00E150D5"/>
    <w:rsid w:val="00E163AE"/>
    <w:rsid w:val="00E21F5A"/>
    <w:rsid w:val="00E21FF4"/>
    <w:rsid w:val="00E23AA8"/>
    <w:rsid w:val="00E25187"/>
    <w:rsid w:val="00E25AAB"/>
    <w:rsid w:val="00E27DF5"/>
    <w:rsid w:val="00E31A81"/>
    <w:rsid w:val="00E3283A"/>
    <w:rsid w:val="00E34AB2"/>
    <w:rsid w:val="00E3607D"/>
    <w:rsid w:val="00E360C3"/>
    <w:rsid w:val="00E364CB"/>
    <w:rsid w:val="00E36841"/>
    <w:rsid w:val="00E36C3E"/>
    <w:rsid w:val="00E40148"/>
    <w:rsid w:val="00E403A3"/>
    <w:rsid w:val="00E40C48"/>
    <w:rsid w:val="00E42D45"/>
    <w:rsid w:val="00E4315E"/>
    <w:rsid w:val="00E44932"/>
    <w:rsid w:val="00E45E44"/>
    <w:rsid w:val="00E522AC"/>
    <w:rsid w:val="00E5420C"/>
    <w:rsid w:val="00E55353"/>
    <w:rsid w:val="00E559A9"/>
    <w:rsid w:val="00E56958"/>
    <w:rsid w:val="00E57404"/>
    <w:rsid w:val="00E60909"/>
    <w:rsid w:val="00E612A5"/>
    <w:rsid w:val="00E61C9D"/>
    <w:rsid w:val="00E62369"/>
    <w:rsid w:val="00E625F2"/>
    <w:rsid w:val="00E639E1"/>
    <w:rsid w:val="00E6454D"/>
    <w:rsid w:val="00E65285"/>
    <w:rsid w:val="00E66235"/>
    <w:rsid w:val="00E6767D"/>
    <w:rsid w:val="00E678F8"/>
    <w:rsid w:val="00E67D4E"/>
    <w:rsid w:val="00E71013"/>
    <w:rsid w:val="00E71E2D"/>
    <w:rsid w:val="00E743BC"/>
    <w:rsid w:val="00E7566B"/>
    <w:rsid w:val="00E75CF4"/>
    <w:rsid w:val="00E75DA1"/>
    <w:rsid w:val="00E765FC"/>
    <w:rsid w:val="00E80E0F"/>
    <w:rsid w:val="00E81A49"/>
    <w:rsid w:val="00E83C24"/>
    <w:rsid w:val="00E851D7"/>
    <w:rsid w:val="00E85538"/>
    <w:rsid w:val="00E86769"/>
    <w:rsid w:val="00E87881"/>
    <w:rsid w:val="00E87B45"/>
    <w:rsid w:val="00E90021"/>
    <w:rsid w:val="00E91AC7"/>
    <w:rsid w:val="00E91EAF"/>
    <w:rsid w:val="00E91EBE"/>
    <w:rsid w:val="00E9318D"/>
    <w:rsid w:val="00E93546"/>
    <w:rsid w:val="00E93F3E"/>
    <w:rsid w:val="00E9556F"/>
    <w:rsid w:val="00E96948"/>
    <w:rsid w:val="00E96CA8"/>
    <w:rsid w:val="00E97048"/>
    <w:rsid w:val="00E9717A"/>
    <w:rsid w:val="00E97429"/>
    <w:rsid w:val="00EA25C2"/>
    <w:rsid w:val="00EA2C6F"/>
    <w:rsid w:val="00EA3733"/>
    <w:rsid w:val="00EA43E6"/>
    <w:rsid w:val="00EA4B1F"/>
    <w:rsid w:val="00EB2407"/>
    <w:rsid w:val="00EB426F"/>
    <w:rsid w:val="00EB496C"/>
    <w:rsid w:val="00EC169C"/>
    <w:rsid w:val="00EC23B0"/>
    <w:rsid w:val="00EC2A3A"/>
    <w:rsid w:val="00EC2C30"/>
    <w:rsid w:val="00EC3101"/>
    <w:rsid w:val="00EC420A"/>
    <w:rsid w:val="00EC44FB"/>
    <w:rsid w:val="00EC45C6"/>
    <w:rsid w:val="00EC48E2"/>
    <w:rsid w:val="00EC592B"/>
    <w:rsid w:val="00EC68E5"/>
    <w:rsid w:val="00ED0822"/>
    <w:rsid w:val="00ED0970"/>
    <w:rsid w:val="00ED15A3"/>
    <w:rsid w:val="00ED1E35"/>
    <w:rsid w:val="00ED242A"/>
    <w:rsid w:val="00ED30AA"/>
    <w:rsid w:val="00ED3A0B"/>
    <w:rsid w:val="00ED513E"/>
    <w:rsid w:val="00ED5690"/>
    <w:rsid w:val="00ED5D7A"/>
    <w:rsid w:val="00ED61AD"/>
    <w:rsid w:val="00ED664D"/>
    <w:rsid w:val="00EE04BF"/>
    <w:rsid w:val="00EE0630"/>
    <w:rsid w:val="00EE0761"/>
    <w:rsid w:val="00EE0C6F"/>
    <w:rsid w:val="00EE2D96"/>
    <w:rsid w:val="00EE6613"/>
    <w:rsid w:val="00EE76C7"/>
    <w:rsid w:val="00EF0B5F"/>
    <w:rsid w:val="00EF0C67"/>
    <w:rsid w:val="00EF13F2"/>
    <w:rsid w:val="00EF17DC"/>
    <w:rsid w:val="00EF23D5"/>
    <w:rsid w:val="00EF353A"/>
    <w:rsid w:val="00EF3BF9"/>
    <w:rsid w:val="00EF50F4"/>
    <w:rsid w:val="00EF59C9"/>
    <w:rsid w:val="00EF5B6A"/>
    <w:rsid w:val="00EF6D04"/>
    <w:rsid w:val="00EF714F"/>
    <w:rsid w:val="00F006CE"/>
    <w:rsid w:val="00F00E94"/>
    <w:rsid w:val="00F01D9C"/>
    <w:rsid w:val="00F04A54"/>
    <w:rsid w:val="00F05639"/>
    <w:rsid w:val="00F05AA7"/>
    <w:rsid w:val="00F06213"/>
    <w:rsid w:val="00F063C2"/>
    <w:rsid w:val="00F0726C"/>
    <w:rsid w:val="00F0731B"/>
    <w:rsid w:val="00F07E79"/>
    <w:rsid w:val="00F1070B"/>
    <w:rsid w:val="00F10FBE"/>
    <w:rsid w:val="00F115C9"/>
    <w:rsid w:val="00F15333"/>
    <w:rsid w:val="00F15887"/>
    <w:rsid w:val="00F161C5"/>
    <w:rsid w:val="00F16DB5"/>
    <w:rsid w:val="00F17416"/>
    <w:rsid w:val="00F17AEF"/>
    <w:rsid w:val="00F20AAC"/>
    <w:rsid w:val="00F22085"/>
    <w:rsid w:val="00F23FBA"/>
    <w:rsid w:val="00F2418F"/>
    <w:rsid w:val="00F24853"/>
    <w:rsid w:val="00F25C60"/>
    <w:rsid w:val="00F26205"/>
    <w:rsid w:val="00F26FCA"/>
    <w:rsid w:val="00F319A5"/>
    <w:rsid w:val="00F3279B"/>
    <w:rsid w:val="00F338A7"/>
    <w:rsid w:val="00F342C8"/>
    <w:rsid w:val="00F35A6B"/>
    <w:rsid w:val="00F36DAB"/>
    <w:rsid w:val="00F371A1"/>
    <w:rsid w:val="00F417D3"/>
    <w:rsid w:val="00F41FE7"/>
    <w:rsid w:val="00F42177"/>
    <w:rsid w:val="00F4334F"/>
    <w:rsid w:val="00F4348C"/>
    <w:rsid w:val="00F435B2"/>
    <w:rsid w:val="00F43E92"/>
    <w:rsid w:val="00F45400"/>
    <w:rsid w:val="00F45522"/>
    <w:rsid w:val="00F45D7B"/>
    <w:rsid w:val="00F46CF1"/>
    <w:rsid w:val="00F46D05"/>
    <w:rsid w:val="00F477DB"/>
    <w:rsid w:val="00F508D6"/>
    <w:rsid w:val="00F50FAC"/>
    <w:rsid w:val="00F512CF"/>
    <w:rsid w:val="00F51588"/>
    <w:rsid w:val="00F518A4"/>
    <w:rsid w:val="00F51950"/>
    <w:rsid w:val="00F525D9"/>
    <w:rsid w:val="00F53193"/>
    <w:rsid w:val="00F5357E"/>
    <w:rsid w:val="00F53C61"/>
    <w:rsid w:val="00F542C1"/>
    <w:rsid w:val="00F55FAC"/>
    <w:rsid w:val="00F563C7"/>
    <w:rsid w:val="00F5645C"/>
    <w:rsid w:val="00F56646"/>
    <w:rsid w:val="00F56B02"/>
    <w:rsid w:val="00F5788A"/>
    <w:rsid w:val="00F607FF"/>
    <w:rsid w:val="00F6131F"/>
    <w:rsid w:val="00F62E22"/>
    <w:rsid w:val="00F630FE"/>
    <w:rsid w:val="00F63502"/>
    <w:rsid w:val="00F6422C"/>
    <w:rsid w:val="00F65210"/>
    <w:rsid w:val="00F654DD"/>
    <w:rsid w:val="00F6586C"/>
    <w:rsid w:val="00F65AD3"/>
    <w:rsid w:val="00F65C2C"/>
    <w:rsid w:val="00F6778C"/>
    <w:rsid w:val="00F6779B"/>
    <w:rsid w:val="00F67869"/>
    <w:rsid w:val="00F70C63"/>
    <w:rsid w:val="00F7130B"/>
    <w:rsid w:val="00F75BE2"/>
    <w:rsid w:val="00F7653B"/>
    <w:rsid w:val="00F7691B"/>
    <w:rsid w:val="00F76D88"/>
    <w:rsid w:val="00F807AA"/>
    <w:rsid w:val="00F813BB"/>
    <w:rsid w:val="00F81FB8"/>
    <w:rsid w:val="00F827B1"/>
    <w:rsid w:val="00F83F8B"/>
    <w:rsid w:val="00F84839"/>
    <w:rsid w:val="00F857A4"/>
    <w:rsid w:val="00F86392"/>
    <w:rsid w:val="00F866CD"/>
    <w:rsid w:val="00F86BCE"/>
    <w:rsid w:val="00F9038B"/>
    <w:rsid w:val="00F906FD"/>
    <w:rsid w:val="00F90AB8"/>
    <w:rsid w:val="00F913E8"/>
    <w:rsid w:val="00F915D6"/>
    <w:rsid w:val="00F91F7B"/>
    <w:rsid w:val="00F922AB"/>
    <w:rsid w:val="00F9332E"/>
    <w:rsid w:val="00F93BBE"/>
    <w:rsid w:val="00F94774"/>
    <w:rsid w:val="00F97A59"/>
    <w:rsid w:val="00F97A5D"/>
    <w:rsid w:val="00FA0537"/>
    <w:rsid w:val="00FA06D4"/>
    <w:rsid w:val="00FA2BD0"/>
    <w:rsid w:val="00FA2D3A"/>
    <w:rsid w:val="00FA2EED"/>
    <w:rsid w:val="00FA322D"/>
    <w:rsid w:val="00FA369E"/>
    <w:rsid w:val="00FA3758"/>
    <w:rsid w:val="00FA43AE"/>
    <w:rsid w:val="00FA4639"/>
    <w:rsid w:val="00FA5C43"/>
    <w:rsid w:val="00FA6161"/>
    <w:rsid w:val="00FA663B"/>
    <w:rsid w:val="00FA7855"/>
    <w:rsid w:val="00FA7A8D"/>
    <w:rsid w:val="00FB0927"/>
    <w:rsid w:val="00FB1409"/>
    <w:rsid w:val="00FB1BA5"/>
    <w:rsid w:val="00FB2EB3"/>
    <w:rsid w:val="00FB32D8"/>
    <w:rsid w:val="00FB3E5C"/>
    <w:rsid w:val="00FB4E81"/>
    <w:rsid w:val="00FB4EF2"/>
    <w:rsid w:val="00FB5762"/>
    <w:rsid w:val="00FB580D"/>
    <w:rsid w:val="00FB5EAC"/>
    <w:rsid w:val="00FB777F"/>
    <w:rsid w:val="00FB7AAE"/>
    <w:rsid w:val="00FC1A2D"/>
    <w:rsid w:val="00FC1B7B"/>
    <w:rsid w:val="00FC1D72"/>
    <w:rsid w:val="00FC3D89"/>
    <w:rsid w:val="00FC4DC0"/>
    <w:rsid w:val="00FC5312"/>
    <w:rsid w:val="00FC53DB"/>
    <w:rsid w:val="00FC59BB"/>
    <w:rsid w:val="00FC5A9E"/>
    <w:rsid w:val="00FC68FE"/>
    <w:rsid w:val="00FC76CA"/>
    <w:rsid w:val="00FC7C1F"/>
    <w:rsid w:val="00FC7FDE"/>
    <w:rsid w:val="00FD02F7"/>
    <w:rsid w:val="00FD0BD5"/>
    <w:rsid w:val="00FD2144"/>
    <w:rsid w:val="00FD26E6"/>
    <w:rsid w:val="00FD356D"/>
    <w:rsid w:val="00FD4C4A"/>
    <w:rsid w:val="00FD4F54"/>
    <w:rsid w:val="00FD6CB6"/>
    <w:rsid w:val="00FD700F"/>
    <w:rsid w:val="00FE0520"/>
    <w:rsid w:val="00FE0A4E"/>
    <w:rsid w:val="00FE5AFE"/>
    <w:rsid w:val="00FE68F2"/>
    <w:rsid w:val="00FE6BCA"/>
    <w:rsid w:val="00FE71E3"/>
    <w:rsid w:val="00FF07E7"/>
    <w:rsid w:val="00FF0EB7"/>
    <w:rsid w:val="00FF24B5"/>
    <w:rsid w:val="00FF2953"/>
    <w:rsid w:val="00FF2A45"/>
    <w:rsid w:val="00FF39A7"/>
    <w:rsid w:val="00FF3CD4"/>
    <w:rsid w:val="00FF5712"/>
    <w:rsid w:val="00FF63E9"/>
    <w:rsid w:val="03F252F0"/>
    <w:rsid w:val="06F2D646"/>
    <w:rsid w:val="2B96AD05"/>
    <w:rsid w:val="39867D93"/>
    <w:rsid w:val="7746DE4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A0FDC2"/>
  <w15:docId w15:val="{2E2C3A7D-6332-4F03-A0AC-8AF47D9C2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1A"/>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25501A"/>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5501A"/>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5501A"/>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5501A"/>
    <w:pPr>
      <w:keepNext/>
      <w:numPr>
        <w:ilvl w:val="3"/>
        <w:numId w:val="5"/>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25501A"/>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25501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25501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25501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25501A"/>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25501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5501A"/>
    <w:rPr>
      <w:rFonts w:ascii="Times New Roman" w:eastAsia="SimSun" w:hAnsi="Times New Roman" w:cs="Times New Roman"/>
      <w:sz w:val="20"/>
      <w:szCs w:val="22"/>
      <w:lang w:val="es-ES"/>
    </w:rPr>
  </w:style>
  <w:style w:type="paragraph" w:styleId="Footer">
    <w:name w:val="footer"/>
    <w:basedOn w:val="Normal"/>
    <w:link w:val="FooterChar"/>
    <w:uiPriority w:val="99"/>
    <w:rsid w:val="0025501A"/>
    <w:pPr>
      <w:tabs>
        <w:tab w:val="center" w:pos="4680"/>
        <w:tab w:val="right" w:pos="9360"/>
      </w:tabs>
    </w:pPr>
    <w:rPr>
      <w:sz w:val="20"/>
    </w:rPr>
  </w:style>
  <w:style w:type="character" w:customStyle="1" w:styleId="FooterChar">
    <w:name w:val="Footer Char"/>
    <w:basedOn w:val="DefaultParagraphFont"/>
    <w:link w:val="Footer"/>
    <w:uiPriority w:val="99"/>
    <w:rsid w:val="0025501A"/>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25501A"/>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25501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25501A"/>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25501A"/>
    <w:rPr>
      <w:sz w:val="16"/>
      <w:szCs w:val="16"/>
      <w:lang w:val="es-ES"/>
    </w:rPr>
  </w:style>
  <w:style w:type="paragraph" w:styleId="CommentText">
    <w:name w:val="annotation text"/>
    <w:basedOn w:val="Normal"/>
    <w:link w:val="CommentTextChar"/>
    <w:uiPriority w:val="99"/>
    <w:semiHidden/>
    <w:rsid w:val="0025501A"/>
    <w:rPr>
      <w:sz w:val="20"/>
      <w:szCs w:val="20"/>
    </w:rPr>
  </w:style>
  <w:style w:type="character" w:customStyle="1" w:styleId="CommentTextChar">
    <w:name w:val="Comment Text Char"/>
    <w:basedOn w:val="DefaultParagraphFont"/>
    <w:link w:val="CommentText"/>
    <w:uiPriority w:val="99"/>
    <w:semiHidden/>
    <w:rsid w:val="0025501A"/>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25501A"/>
    <w:rPr>
      <w:vertAlign w:val="superscript"/>
      <w:lang w:val="es-E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unhideWhenUsed/>
    <w:qFormat/>
    <w:rsid w:val="0025501A"/>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25501A"/>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5501A"/>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25501A"/>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25501A"/>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
    <w:rsid w:val="0025501A"/>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25501A"/>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25501A"/>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25501A"/>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25501A"/>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25501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5501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qFormat/>
    <w:rsid w:val="0025501A"/>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25501A"/>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501A"/>
    <w:rPr>
      <w:rFonts w:ascii="Simplified Arabic" w:eastAsia="Times New Roman" w:hAnsi="Simplified Arabic" w:cs="Simplified Arabic"/>
      <w:noProof/>
    </w:rPr>
  </w:style>
  <w:style w:type="paragraph" w:customStyle="1" w:styleId="DarkList-Accent31">
    <w:name w:val="Dark List - Accent 31"/>
    <w:hidden/>
    <w:uiPriority w:val="99"/>
    <w:semiHidden/>
    <w:rsid w:val="0025501A"/>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25501A"/>
    <w:pPr>
      <w:spacing w:after="120"/>
      <w:ind w:left="567"/>
    </w:pPr>
  </w:style>
  <w:style w:type="paragraph" w:customStyle="1" w:styleId="Footnote">
    <w:name w:val="Footnote"/>
    <w:basedOn w:val="FootnoteText"/>
    <w:semiHidden/>
    <w:qFormat/>
    <w:rsid w:val="0025501A"/>
    <w:rPr>
      <w:szCs w:val="18"/>
    </w:rPr>
  </w:style>
  <w:style w:type="paragraph" w:customStyle="1" w:styleId="Annex">
    <w:name w:val="Annex"/>
    <w:basedOn w:val="Normal"/>
    <w:semiHidden/>
    <w:qFormat/>
    <w:rsid w:val="0025501A"/>
    <w:pPr>
      <w:spacing w:after="240"/>
    </w:pPr>
    <w:rPr>
      <w:b/>
      <w:sz w:val="28"/>
    </w:rPr>
  </w:style>
  <w:style w:type="paragraph" w:customStyle="1" w:styleId="ABSymbol">
    <w:name w:val="AB_Symbol"/>
    <w:basedOn w:val="Normal"/>
    <w:qFormat/>
    <w:rsid w:val="0025501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5501A"/>
    <w:pPr>
      <w:numPr>
        <w:numId w:val="6"/>
      </w:numPr>
      <w:tabs>
        <w:tab w:val="left" w:pos="3969"/>
      </w:tabs>
      <w:spacing w:before="120" w:after="120"/>
    </w:pPr>
  </w:style>
  <w:style w:type="paragraph" w:customStyle="1" w:styleId="AFCorNNormal">
    <w:name w:val="AF_CorNNormal"/>
    <w:basedOn w:val="Normal"/>
    <w:unhideWhenUsed/>
    <w:rsid w:val="0025501A"/>
    <w:pPr>
      <w:jc w:val="left"/>
    </w:pPr>
  </w:style>
  <w:style w:type="paragraph" w:customStyle="1" w:styleId="AEDistrNormal">
    <w:name w:val="AE_DistrNormal"/>
    <w:basedOn w:val="Normal"/>
    <w:unhideWhenUsed/>
    <w:rsid w:val="0025501A"/>
    <w:pPr>
      <w:jc w:val="left"/>
    </w:pPr>
  </w:style>
  <w:style w:type="paragraph" w:customStyle="1" w:styleId="AASmallLogo">
    <w:name w:val="AA_SmallLogo"/>
    <w:basedOn w:val="AEDistrNormal"/>
    <w:unhideWhenUsed/>
    <w:rsid w:val="0025501A"/>
    <w:pPr>
      <w:spacing w:before="40"/>
    </w:pPr>
    <w:rPr>
      <w:sz w:val="4"/>
    </w:rPr>
  </w:style>
  <w:style w:type="paragraph" w:customStyle="1" w:styleId="ACLargeLogo">
    <w:name w:val="AC_LargeLogo"/>
    <w:basedOn w:val="AFCorNNormal"/>
    <w:next w:val="AISpacer"/>
    <w:unhideWhenUsed/>
    <w:rsid w:val="0025501A"/>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25501A"/>
    <w:rPr>
      <w:b/>
      <w:bCs/>
    </w:rPr>
  </w:style>
  <w:style w:type="character" w:customStyle="1" w:styleId="CommentSubjectChar">
    <w:name w:val="Comment Subject Char"/>
    <w:basedOn w:val="CommentTextChar"/>
    <w:link w:val="CommentSubject"/>
    <w:uiPriority w:val="99"/>
    <w:semiHidden/>
    <w:rsid w:val="0025501A"/>
    <w:rPr>
      <w:rFonts w:ascii="Times New Roman" w:eastAsia="SimSun" w:hAnsi="Times New Roman" w:cs="Times New Roman"/>
      <w:b/>
      <w:bCs/>
      <w:sz w:val="20"/>
      <w:szCs w:val="20"/>
      <w:lang w:val="es-ES"/>
    </w:rPr>
  </w:style>
  <w:style w:type="paragraph" w:customStyle="1" w:styleId="Item">
    <w:name w:val="Item"/>
    <w:basedOn w:val="Normal"/>
    <w:semiHidden/>
    <w:qFormat/>
    <w:rsid w:val="0025501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5501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25501A"/>
    <w:pPr>
      <w:contextualSpacing/>
    </w:pPr>
  </w:style>
  <w:style w:type="numbering" w:customStyle="1" w:styleId="ListCBD">
    <w:name w:val="ListCBD"/>
    <w:basedOn w:val="NoList"/>
    <w:uiPriority w:val="99"/>
    <w:rsid w:val="0025501A"/>
    <w:pPr>
      <w:numPr>
        <w:numId w:val="8"/>
      </w:numPr>
    </w:pPr>
  </w:style>
  <w:style w:type="numbering" w:customStyle="1" w:styleId="CBDHeadings">
    <w:name w:val="CBD_Headings"/>
    <w:basedOn w:val="ListCBD"/>
    <w:uiPriority w:val="99"/>
    <w:rsid w:val="0025501A"/>
    <w:pPr>
      <w:numPr>
        <w:numId w:val="5"/>
      </w:numPr>
    </w:pPr>
  </w:style>
  <w:style w:type="paragraph" w:customStyle="1" w:styleId="AISpacer">
    <w:name w:val="AI_Spacer"/>
    <w:next w:val="Normal"/>
    <w:unhideWhenUsed/>
    <w:qFormat/>
    <w:rsid w:val="0025501A"/>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25501A"/>
    <w:pPr>
      <w:spacing w:before="120"/>
    </w:pPr>
  </w:style>
  <w:style w:type="paragraph" w:customStyle="1" w:styleId="AFCorNBold">
    <w:name w:val="AF_CorNBold"/>
    <w:basedOn w:val="AFCorNNormal"/>
    <w:next w:val="AFCorNNormal"/>
    <w:unhideWhenUsed/>
    <w:qFormat/>
    <w:rsid w:val="0025501A"/>
    <w:rPr>
      <w:b/>
    </w:rPr>
  </w:style>
  <w:style w:type="paragraph" w:customStyle="1" w:styleId="AFCorN12Bold">
    <w:name w:val="AF_CorN12Bold"/>
    <w:basedOn w:val="AFCorNNormal"/>
    <w:next w:val="AFCorNNormal"/>
    <w:unhideWhenUsed/>
    <w:qFormat/>
    <w:rsid w:val="0025501A"/>
    <w:rPr>
      <w:b/>
      <w:sz w:val="24"/>
    </w:rPr>
  </w:style>
  <w:style w:type="paragraph" w:customStyle="1" w:styleId="CBDAgendaItem">
    <w:name w:val="CBD_AgendaItem"/>
    <w:basedOn w:val="Normal"/>
    <w:qFormat/>
    <w:rsid w:val="0025501A"/>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5501A"/>
    <w:pPr>
      <w:spacing w:after="120"/>
      <w:ind w:left="1134" w:firstLine="567"/>
    </w:pPr>
  </w:style>
  <w:style w:type="paragraph" w:customStyle="1" w:styleId="CBDDesicionAnnex">
    <w:name w:val="CBD_DesicionAnnex"/>
    <w:basedOn w:val="CBDNormal"/>
    <w:next w:val="CBDDesicionText"/>
    <w:qFormat/>
    <w:rsid w:val="0025501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5501A"/>
    <w:pPr>
      <w:keepNext/>
      <w:keepLines/>
      <w:spacing w:after="240"/>
      <w:jc w:val="left"/>
    </w:pPr>
    <w:rPr>
      <w:b/>
      <w:sz w:val="28"/>
      <w:lang w:bidi="ar-SY"/>
    </w:rPr>
  </w:style>
  <w:style w:type="paragraph" w:customStyle="1" w:styleId="CBDSubTitle">
    <w:name w:val="CBD_SubTitle"/>
    <w:basedOn w:val="CBDNormal"/>
    <w:qFormat/>
    <w:rsid w:val="0025501A"/>
    <w:pPr>
      <w:keepNext/>
      <w:keepLines/>
      <w:spacing w:before="240" w:after="240"/>
      <w:ind w:left="567"/>
      <w:jc w:val="left"/>
    </w:pPr>
    <w:rPr>
      <w:b/>
    </w:rPr>
  </w:style>
  <w:style w:type="paragraph" w:customStyle="1" w:styleId="CBDTitle">
    <w:name w:val="CBD_Title"/>
    <w:basedOn w:val="CBDNormal"/>
    <w:next w:val="CBDSubTitle"/>
    <w:qFormat/>
    <w:rsid w:val="0025501A"/>
    <w:pPr>
      <w:keepNext/>
      <w:keepLines/>
      <w:spacing w:before="240" w:after="240"/>
      <w:ind w:left="567"/>
      <w:jc w:val="left"/>
    </w:pPr>
    <w:rPr>
      <w:b/>
      <w:sz w:val="28"/>
    </w:rPr>
  </w:style>
  <w:style w:type="paragraph" w:customStyle="1" w:styleId="AENormal">
    <w:name w:val="AE_Normal"/>
    <w:basedOn w:val="Normal"/>
    <w:rsid w:val="0025501A"/>
  </w:style>
  <w:style w:type="paragraph" w:customStyle="1" w:styleId="CBDH1">
    <w:name w:val="CBD_H1"/>
    <w:basedOn w:val="CBDNormal"/>
    <w:qFormat/>
    <w:rsid w:val="0025501A"/>
    <w:pPr>
      <w:keepNext/>
      <w:keepLines/>
      <w:spacing w:before="240" w:after="120"/>
      <w:ind w:left="567" w:hanging="567"/>
      <w:jc w:val="left"/>
      <w:outlineLvl w:val="0"/>
    </w:pPr>
    <w:rPr>
      <w:b/>
      <w:sz w:val="28"/>
    </w:rPr>
  </w:style>
  <w:style w:type="paragraph" w:customStyle="1" w:styleId="CBDH2">
    <w:name w:val="CBD_H2"/>
    <w:basedOn w:val="CBDNormal"/>
    <w:qFormat/>
    <w:rsid w:val="0025501A"/>
    <w:pPr>
      <w:keepNext/>
      <w:keepLines/>
      <w:ind w:left="567" w:hanging="567"/>
    </w:pPr>
    <w:rPr>
      <w:b/>
      <w:sz w:val="24"/>
    </w:rPr>
  </w:style>
  <w:style w:type="paragraph" w:customStyle="1" w:styleId="CBDFootnoteText">
    <w:name w:val="CBD_Footnote_Text"/>
    <w:basedOn w:val="CBDNormal"/>
    <w:qFormat/>
    <w:rsid w:val="0025501A"/>
    <w:pPr>
      <w:jc w:val="left"/>
    </w:pPr>
    <w:rPr>
      <w:sz w:val="18"/>
    </w:rPr>
  </w:style>
  <w:style w:type="paragraph" w:customStyle="1" w:styleId="CBDFooter">
    <w:name w:val="CBD_Footer"/>
    <w:basedOn w:val="CBDNormal"/>
    <w:qFormat/>
    <w:rsid w:val="0025501A"/>
    <w:rPr>
      <w:sz w:val="20"/>
    </w:rPr>
  </w:style>
  <w:style w:type="paragraph" w:customStyle="1" w:styleId="CBDHeader">
    <w:name w:val="CBD_Header"/>
    <w:basedOn w:val="CBDNormal"/>
    <w:next w:val="CBDFooter"/>
    <w:qFormat/>
    <w:rsid w:val="0025501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5501A"/>
    <w:pPr>
      <w:keepNext/>
      <w:keepLines/>
      <w:spacing w:before="120" w:after="120"/>
      <w:ind w:left="567" w:hanging="567"/>
      <w:jc w:val="left"/>
    </w:pPr>
    <w:rPr>
      <w:b/>
    </w:rPr>
  </w:style>
  <w:style w:type="paragraph" w:customStyle="1" w:styleId="CBDH4">
    <w:name w:val="CBD_H4"/>
    <w:basedOn w:val="CBDNormal"/>
    <w:rsid w:val="0025501A"/>
    <w:pPr>
      <w:keepNext/>
      <w:keepLines/>
      <w:spacing w:before="120" w:after="120"/>
      <w:ind w:left="567" w:hanging="567"/>
      <w:jc w:val="left"/>
    </w:pPr>
    <w:rPr>
      <w:b/>
    </w:rPr>
  </w:style>
  <w:style w:type="paragraph" w:customStyle="1" w:styleId="CBDH5">
    <w:name w:val="CBD_H5"/>
    <w:basedOn w:val="CBDNormal"/>
    <w:qFormat/>
    <w:rsid w:val="0025501A"/>
    <w:pPr>
      <w:keepNext/>
      <w:keepLines/>
      <w:spacing w:before="120" w:after="120"/>
      <w:ind w:left="567" w:hanging="567"/>
      <w:jc w:val="left"/>
    </w:pPr>
    <w:rPr>
      <w:i/>
    </w:rPr>
  </w:style>
  <w:style w:type="paragraph" w:customStyle="1" w:styleId="CBDTableNormal">
    <w:name w:val="CBD_TableNormal"/>
    <w:basedOn w:val="CBDNormal"/>
    <w:qFormat/>
    <w:rsid w:val="0025501A"/>
    <w:pPr>
      <w:spacing w:before="40" w:after="80"/>
      <w:jc w:val="left"/>
    </w:pPr>
    <w:rPr>
      <w:sz w:val="20"/>
    </w:rPr>
  </w:style>
  <w:style w:type="paragraph" w:customStyle="1" w:styleId="CBDTableTitle">
    <w:name w:val="CBD_TableTitle"/>
    <w:basedOn w:val="CBDNormal"/>
    <w:qFormat/>
    <w:rsid w:val="0025501A"/>
    <w:pPr>
      <w:keepNext/>
      <w:keepLines/>
      <w:spacing w:before="120" w:after="60"/>
      <w:ind w:left="567"/>
      <w:jc w:val="left"/>
    </w:pPr>
    <w:rPr>
      <w:b/>
    </w:rPr>
  </w:style>
  <w:style w:type="paragraph" w:customStyle="1" w:styleId="CBDFigureTitle">
    <w:name w:val="CBD_FigureTitle"/>
    <w:basedOn w:val="CBDNormal"/>
    <w:next w:val="CBDNormalNoNumber"/>
    <w:qFormat/>
    <w:rsid w:val="0025501A"/>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styleId="SmartHyperlink">
    <w:name w:val="Smart Hyperlink"/>
    <w:basedOn w:val="DefaultParagraphFont"/>
    <w:uiPriority w:val="99"/>
    <w:semiHidden/>
    <w:unhideWhenUsed/>
    <w:rsid w:val="00A111D1"/>
    <w:rPr>
      <w:u w:val="dotted"/>
      <w:lang w:val="es-ES"/>
    </w:rPr>
  </w:style>
  <w:style w:type="character"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25501A"/>
    <w:pPr>
      <w:keepNext/>
      <w:keepLines/>
      <w:spacing w:before="240" w:after="120"/>
      <w:jc w:val="left"/>
    </w:pPr>
    <w:rPr>
      <w:b/>
      <w:sz w:val="24"/>
    </w:rPr>
  </w:style>
  <w:style w:type="paragraph" w:customStyle="1" w:styleId="CBDagendaItem0">
    <w:name w:val="CBD_agenda_Item"/>
    <w:basedOn w:val="CBDNormalNumber"/>
    <w:qFormat/>
    <w:rsid w:val="0025501A"/>
  </w:style>
  <w:style w:type="paragraph" w:customStyle="1" w:styleId="CBDpara-item">
    <w:name w:val="CBD_para-item"/>
    <w:basedOn w:val="Normal"/>
    <w:qFormat/>
    <w:rsid w:val="0025501A"/>
    <w:pPr>
      <w:tabs>
        <w:tab w:val="clear" w:pos="567"/>
      </w:tabs>
      <w:spacing w:before="120" w:after="120"/>
      <w:ind w:left="1134" w:hanging="567"/>
      <w:jc w:val="left"/>
    </w:pPr>
  </w:style>
  <w:style w:type="paragraph" w:customStyle="1" w:styleId="CBDsubpara-item">
    <w:name w:val="CBD_subpara-item"/>
    <w:basedOn w:val="CBDpara-item"/>
    <w:qFormat/>
    <w:rsid w:val="0025501A"/>
    <w:pPr>
      <w:tabs>
        <w:tab w:val="clear" w:pos="1134"/>
      </w:tabs>
      <w:ind w:left="1701"/>
    </w:pPr>
  </w:style>
  <w:style w:type="paragraph" w:customStyle="1" w:styleId="Para10">
    <w:name w:val="Para 1"/>
    <w:basedOn w:val="Normal"/>
    <w:qFormat/>
    <w:rsid w:val="00E041C6"/>
    <w:pPr>
      <w:tabs>
        <w:tab w:val="clear" w:pos="567"/>
        <w:tab w:val="clear" w:pos="1701"/>
        <w:tab w:val="clear" w:pos="2268"/>
      </w:tabs>
      <w:spacing w:before="120" w:after="120"/>
      <w:ind w:left="567"/>
    </w:pPr>
    <w:rPr>
      <w:rFonts w:eastAsia="Times New Roman"/>
      <w:szCs w:val="24"/>
    </w:rPr>
  </w:style>
  <w:style w:type="paragraph" w:customStyle="1" w:styleId="Body">
    <w:name w:val="Body"/>
    <w:rsid w:val="007166EB"/>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eastAsia="en-CA"/>
      <w14:textOutline w14:w="0" w14:cap="flat" w14:cmpd="sng" w14:algn="ctr">
        <w14:noFill/>
        <w14:prstDash w14:val="solid"/>
        <w14:bevel/>
      </w14:textOutline>
    </w:rPr>
  </w:style>
  <w:style w:type="paragraph" w:customStyle="1" w:styleId="CBDRecommendText">
    <w:name w:val="CBD_RecommendText"/>
    <w:basedOn w:val="Normal"/>
    <w:qFormat/>
    <w:rsid w:val="0025501A"/>
    <w:pPr>
      <w:spacing w:after="120"/>
      <w:ind w:left="567"/>
    </w:pPr>
  </w:style>
  <w:style w:type="paragraph" w:customStyle="1" w:styleId="CBDAgendaItem-2a">
    <w:name w:val="CBD_AgendaItem-2(a)"/>
    <w:basedOn w:val="CBDAgendaItem"/>
    <w:qFormat/>
    <w:rsid w:val="0025501A"/>
    <w:pPr>
      <w:ind w:left="567" w:hanging="567"/>
    </w:pPr>
    <w:rPr>
      <w:sz w:val="22"/>
    </w:rPr>
  </w:style>
  <w:style w:type="paragraph" w:customStyle="1" w:styleId="CBDAgendaItem-3i">
    <w:name w:val="CBD_AgendaItem-3(i)"/>
    <w:basedOn w:val="CBDAgendaItem-2a"/>
    <w:qFormat/>
    <w:rsid w:val="0025501A"/>
    <w:pPr>
      <w:numPr>
        <w:numId w:val="75"/>
      </w:numPr>
      <w:ind w:left="567" w:hanging="567"/>
    </w:pPr>
    <w:rPr>
      <w:sz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F0C14"/>
    <w:pPr>
      <w:spacing w:after="160" w:line="240" w:lineRule="exact"/>
      <w:jc w:val="left"/>
    </w:pPr>
    <w:rPr>
      <w:rFonts w:asciiTheme="minorHAnsi" w:eastAsiaTheme="minorEastAsia" w:hAnsiTheme="minorHAnsi" w:cstheme="minorBidi"/>
      <w:sz w:val="24"/>
      <w:szCs w:val="24"/>
      <w:vertAlign w:val="superscript"/>
    </w:rPr>
  </w:style>
  <w:style w:type="paragraph" w:customStyle="1" w:styleId="Tabletextbold">
    <w:name w:val="Table text bold"/>
    <w:basedOn w:val="Normal"/>
    <w:qFormat/>
    <w:rsid w:val="00EC68E5"/>
    <w:pPr>
      <w:tabs>
        <w:tab w:val="clear" w:pos="567"/>
        <w:tab w:val="clear" w:pos="1134"/>
        <w:tab w:val="clear" w:pos="1701"/>
        <w:tab w:val="clear" w:pos="2268"/>
      </w:tabs>
      <w:spacing w:after="60"/>
      <w:jc w:val="left"/>
    </w:pPr>
    <w:rPr>
      <w:rFonts w:eastAsia="Times New Roman"/>
      <w:b/>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CP/MOP/12/L9"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uments/CBD/CP/MOP/12/L7"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CP/MOP/12/L10"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CP/MOP/12/L6" TargetMode="External"/><Relationship Id="rId20" Type="http://schemas.openxmlformats.org/officeDocument/2006/relationships/hyperlink" Target="https://www.cbd.int/documents/CBD/CP/MOP/12/L11"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CP/MOP/12/L3"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uments/CBD/CP/MOP/12/L2" TargetMode="External"/><Relationship Id="rId23" Type="http://schemas.openxmlformats.org/officeDocument/2006/relationships/hyperlink" Target="https://www.cbd.int/documents/CBD/CP/MOP/12/L8"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uments/CBD/CP/MOP/12/L5"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CP/MOP/12/L4" TargetMode="External"/><Relationship Id="rId27" Type="http://schemas.openxmlformats.org/officeDocument/2006/relationships/footer" Target="footer1.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11" TargetMode="External"/><Relationship Id="rId13" Type="http://schemas.openxmlformats.org/officeDocument/2006/relationships/hyperlink" Target="https://www.cbd.int/documents/CBD/CP/MOP/12/4" TargetMode="External"/><Relationship Id="rId3" Type="http://schemas.openxmlformats.org/officeDocument/2006/relationships/hyperlink" Target="https://www.cbd.int/documents/CBD/CP/MOP/12/1" TargetMode="External"/><Relationship Id="rId7" Type="http://schemas.openxmlformats.org/officeDocument/2006/relationships/hyperlink" Target="https://www.cbd.int/documents/CBD/SBSTTA/27/10" TargetMode="External"/><Relationship Id="rId12" Type="http://schemas.openxmlformats.org/officeDocument/2006/relationships/hyperlink" Target="https://www.cbd.int/documents/CBD/CP/MOP/12/2" TargetMode="External"/><Relationship Id="rId17" Type="http://schemas.openxmlformats.org/officeDocument/2006/relationships/hyperlink" Target="https://www.cbd.int/documents/CBD/CP/MOP/12/INF/9" TargetMode="External"/><Relationship Id="rId2" Type="http://schemas.openxmlformats.org/officeDocument/2006/relationships/hyperlink" Target="https://www.cbd.int/meetings/IMP-OM-2026-02" TargetMode="External"/><Relationship Id="rId16" Type="http://schemas.openxmlformats.org/officeDocument/2006/relationships/hyperlink" Target="https://www.cbd.int/documents/CBD/CP/MOP/12/5/ADD2" TargetMode="External"/><Relationship Id="rId1" Type="http://schemas.openxmlformats.org/officeDocument/2006/relationships/hyperlink" Target="https://www.cbd.int/meetings/CP-MOP-12" TargetMode="External"/><Relationship Id="rId6" Type="http://schemas.openxmlformats.org/officeDocument/2006/relationships/hyperlink" Target="https://www.cbd.int/documents/CBD/CP/MOP/12/INF/10" TargetMode="External"/><Relationship Id="rId11" Type="http://schemas.openxmlformats.org/officeDocument/2006/relationships/hyperlink" Target="https://www.cbd.int/documents/CBD/CP/MOP/12/3" TargetMode="External"/><Relationship Id="rId5" Type="http://schemas.openxmlformats.org/officeDocument/2006/relationships/hyperlink" Target="https://www.cbd.int/documents/CBD/COP/17/1/REV1/ADD2/REV1" TargetMode="External"/><Relationship Id="rId15" Type="http://schemas.openxmlformats.org/officeDocument/2006/relationships/hyperlink" Target="https://www.cbd.int/documents/CBD/CP/MOP/12/5/ADD1" TargetMode="External"/><Relationship Id="rId10" Type="http://schemas.openxmlformats.org/officeDocument/2006/relationships/hyperlink" Target="https://www.cbd.int/documents/CBD/CP/MOP/12/2" TargetMode="External"/><Relationship Id="rId4" Type="http://schemas.openxmlformats.org/officeDocument/2006/relationships/hyperlink" Target="https://www.cbd.int/documents/CBD/CP/MOP/12/1/ADD1" TargetMode="External"/><Relationship Id="rId9" Type="http://schemas.openxmlformats.org/officeDocument/2006/relationships/hyperlink" Target="https://www.cbd.int/documents/CBD/SBI/7/16" TargetMode="External"/><Relationship Id="rId14" Type="http://schemas.openxmlformats.org/officeDocument/2006/relationships/hyperlink" Target="https://www.cbd.int/documents/CBD/CP/MOP/1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F4229FB9114AD7BB0D32BC5F5A70FD"/>
        <w:category>
          <w:name w:val="General"/>
          <w:gallery w:val="placeholder"/>
        </w:category>
        <w:types>
          <w:type w:val="bbPlcHdr"/>
        </w:types>
        <w:behaviors>
          <w:behavior w:val="content"/>
        </w:behaviors>
        <w:guid w:val="{F654D486-55BC-4DF4-A072-2CE1B8F6C444}"/>
      </w:docPartPr>
      <w:docPartBody>
        <w:p w:rsidR="00851B14" w:rsidRDefault="002102C3" w:rsidP="002102C3">
          <w:pPr>
            <w:pStyle w:val="81F4229FB9114AD7BB0D32BC5F5A70F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2C3"/>
    <w:rsid w:val="00070C91"/>
    <w:rsid w:val="0012549F"/>
    <w:rsid w:val="00135893"/>
    <w:rsid w:val="00160BF2"/>
    <w:rsid w:val="00171C16"/>
    <w:rsid w:val="001E675C"/>
    <w:rsid w:val="0020749E"/>
    <w:rsid w:val="002102C3"/>
    <w:rsid w:val="002C659C"/>
    <w:rsid w:val="00301B09"/>
    <w:rsid w:val="003564DA"/>
    <w:rsid w:val="00361FC0"/>
    <w:rsid w:val="00383139"/>
    <w:rsid w:val="003F06DE"/>
    <w:rsid w:val="0041092B"/>
    <w:rsid w:val="00427F7A"/>
    <w:rsid w:val="00447CF4"/>
    <w:rsid w:val="00486C3E"/>
    <w:rsid w:val="004B0D1C"/>
    <w:rsid w:val="004B0D8E"/>
    <w:rsid w:val="004E0E01"/>
    <w:rsid w:val="004F1AD2"/>
    <w:rsid w:val="00516A7A"/>
    <w:rsid w:val="0053417B"/>
    <w:rsid w:val="00541DE5"/>
    <w:rsid w:val="006463FF"/>
    <w:rsid w:val="00655421"/>
    <w:rsid w:val="0067731F"/>
    <w:rsid w:val="006F0763"/>
    <w:rsid w:val="006F6AD1"/>
    <w:rsid w:val="0070324A"/>
    <w:rsid w:val="0071326F"/>
    <w:rsid w:val="007309B2"/>
    <w:rsid w:val="007715E8"/>
    <w:rsid w:val="007931BD"/>
    <w:rsid w:val="007D2F79"/>
    <w:rsid w:val="007F370D"/>
    <w:rsid w:val="00832A9C"/>
    <w:rsid w:val="00851B14"/>
    <w:rsid w:val="00867FAC"/>
    <w:rsid w:val="009100F9"/>
    <w:rsid w:val="009516E4"/>
    <w:rsid w:val="009A1B81"/>
    <w:rsid w:val="009B136C"/>
    <w:rsid w:val="00A05D70"/>
    <w:rsid w:val="00A47E2C"/>
    <w:rsid w:val="00A537FD"/>
    <w:rsid w:val="00AA4C9A"/>
    <w:rsid w:val="00AB0FAB"/>
    <w:rsid w:val="00AE48FE"/>
    <w:rsid w:val="00B03323"/>
    <w:rsid w:val="00B11213"/>
    <w:rsid w:val="00B207AD"/>
    <w:rsid w:val="00B227A4"/>
    <w:rsid w:val="00B50FAE"/>
    <w:rsid w:val="00BB41D3"/>
    <w:rsid w:val="00BC7063"/>
    <w:rsid w:val="00C67541"/>
    <w:rsid w:val="00CA2DA6"/>
    <w:rsid w:val="00CA30B2"/>
    <w:rsid w:val="00CA520A"/>
    <w:rsid w:val="00CD00BF"/>
    <w:rsid w:val="00D121D3"/>
    <w:rsid w:val="00D17CBB"/>
    <w:rsid w:val="00D54C33"/>
    <w:rsid w:val="00D74860"/>
    <w:rsid w:val="00DC33A5"/>
    <w:rsid w:val="00DD7E92"/>
    <w:rsid w:val="00DF3169"/>
    <w:rsid w:val="00E978F0"/>
    <w:rsid w:val="00F317EC"/>
    <w:rsid w:val="00F913E8"/>
    <w:rsid w:val="00FE55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02C3"/>
    <w:rPr>
      <w:color w:val="808080"/>
    </w:rPr>
  </w:style>
  <w:style w:type="paragraph" w:customStyle="1" w:styleId="81F4229FB9114AD7BB0D32BC5F5A70FD">
    <w:name w:val="81F4229FB9114AD7BB0D32BC5F5A70FD"/>
    <w:rsid w:val="002102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557E1810-2E97-4958-918E-59D6F20DE7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annotated-provisional-agenda-template.dotm</Template>
  <TotalTime>11</TotalTime>
  <Pages>9</Pages>
  <Words>3448</Words>
  <Characters>19659</Characters>
  <Application>Microsoft Office Word</Application>
  <DocSecurity>0</DocSecurity>
  <Lines>163</Lines>
  <Paragraphs>46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Proyecto de informe de la reunión</vt:lpstr>
      <vt:lpstr>Proyecto de informe de la reunión</vt:lpstr>
    </vt:vector>
  </TitlesOfParts>
  <Company>SCBD</Company>
  <LinksUpToDate>false</LinksUpToDate>
  <CharactersWithSpaces>23061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informe de la reunión</dc:title>
  <dc:subject>CBD/CP/MOP/12/L.1</dc:subject>
  <dc:creator>Secretariat of the Convention on Biological Diversity</dc:creator>
  <cp:keywords>Convention on Biological Diversity</cp:keywords>
  <cp:lastModifiedBy>Mariko Nishi</cp:lastModifiedBy>
  <cp:revision>12</cp:revision>
  <cp:lastPrinted>2020-01-22T16:56:00Z</cp:lastPrinted>
  <dcterms:created xsi:type="dcterms:W3CDTF">2026-10-30T10:47:00Z</dcterms:created>
  <dcterms:modified xsi:type="dcterms:W3CDTF">2026-10-30T11:14:00Z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