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0D6CA7" w14:paraId="61B2AC1A" w14:textId="77777777" w:rsidTr="004A3CE3">
        <w:trPr>
          <w:trHeight w:val="709"/>
        </w:trPr>
        <w:tc>
          <w:tcPr>
            <w:tcW w:w="976" w:type="dxa"/>
            <w:tcBorders>
              <w:bottom w:val="single" w:sz="12" w:space="0" w:color="auto"/>
            </w:tcBorders>
          </w:tcPr>
          <w:p w14:paraId="3FC2311A" w14:textId="77777777" w:rsidR="00C9161D" w:rsidRPr="000D6CA7" w:rsidRDefault="00C9161D" w:rsidP="00190CAF">
            <w:pPr>
              <w:kinsoku w:val="0"/>
              <w:overflowPunct w:val="0"/>
              <w:autoSpaceDE w:val="0"/>
              <w:autoSpaceDN w:val="0"/>
              <w:rPr>
                <w:kern w:val="22"/>
              </w:rPr>
            </w:pPr>
            <w:bookmarkStart w:id="0" w:name="_Hlk505247837"/>
            <w:r w:rsidRPr="000D6CA7">
              <w:rPr>
                <w:noProof/>
                <w:kern w:val="22"/>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77777777" w:rsidR="00C9161D" w:rsidRPr="000D6CA7" w:rsidRDefault="00C9161D" w:rsidP="00190CAF">
            <w:pPr>
              <w:kinsoku w:val="0"/>
              <w:overflowPunct w:val="0"/>
              <w:autoSpaceDE w:val="0"/>
              <w:autoSpaceDN w:val="0"/>
              <w:rPr>
                <w:kern w:val="22"/>
              </w:rPr>
            </w:pPr>
            <w:r w:rsidRPr="000D6CA7">
              <w:rPr>
                <w:noProof/>
                <w:kern w:val="22"/>
              </w:rPr>
              <w:drawing>
                <wp:inline distT="0" distB="0" distL="0" distR="0" wp14:anchorId="7C55ACBF" wp14:editId="7DD10E9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486" w:type="dxa"/>
            <w:tcBorders>
              <w:bottom w:val="single" w:sz="12" w:space="0" w:color="auto"/>
            </w:tcBorders>
          </w:tcPr>
          <w:p w14:paraId="6AB94C58" w14:textId="77777777" w:rsidR="00C9161D" w:rsidRPr="000D6CA7" w:rsidRDefault="00C9161D" w:rsidP="00190CAF">
            <w:pPr>
              <w:kinsoku w:val="0"/>
              <w:overflowPunct w:val="0"/>
              <w:autoSpaceDE w:val="0"/>
              <w:autoSpaceDN w:val="0"/>
              <w:jc w:val="right"/>
              <w:rPr>
                <w:rFonts w:ascii="Arial" w:hAnsi="Arial" w:cs="Arial"/>
                <w:b/>
                <w:kern w:val="22"/>
                <w:sz w:val="32"/>
                <w:szCs w:val="32"/>
              </w:rPr>
            </w:pPr>
            <w:r w:rsidRPr="000D6CA7">
              <w:rPr>
                <w:rFonts w:ascii="Arial" w:hAnsi="Arial" w:cs="Arial"/>
                <w:b/>
                <w:kern w:val="22"/>
                <w:sz w:val="32"/>
                <w:szCs w:val="32"/>
              </w:rPr>
              <w:t>CBD</w:t>
            </w:r>
          </w:p>
        </w:tc>
      </w:tr>
      <w:bookmarkEnd w:id="0"/>
      <w:tr w:rsidR="00C9161D" w:rsidRPr="000D6CA7"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0D6CA7" w:rsidRDefault="00C9161D" w:rsidP="00190CAF">
            <w:pPr>
              <w:kinsoku w:val="0"/>
              <w:overflowPunct w:val="0"/>
              <w:autoSpaceDE w:val="0"/>
              <w:autoSpaceDN w:val="0"/>
              <w:rPr>
                <w:kern w:val="22"/>
              </w:rPr>
            </w:pPr>
            <w:r w:rsidRPr="000D6CA7">
              <w:rPr>
                <w:noProof/>
                <w:kern w:val="22"/>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0D6CA7" w:rsidRDefault="00C9161D" w:rsidP="00574437">
            <w:pPr>
              <w:kinsoku w:val="0"/>
              <w:overflowPunct w:val="0"/>
              <w:autoSpaceDE w:val="0"/>
              <w:autoSpaceDN w:val="0"/>
              <w:ind w:left="1213"/>
              <w:jc w:val="left"/>
              <w:rPr>
                <w:kern w:val="22"/>
                <w:szCs w:val="22"/>
              </w:rPr>
            </w:pPr>
            <w:r w:rsidRPr="000D6CA7">
              <w:rPr>
                <w:kern w:val="22"/>
                <w:szCs w:val="22"/>
              </w:rPr>
              <w:t>Distr.</w:t>
            </w:r>
          </w:p>
          <w:p w14:paraId="42DB81AD" w14:textId="77777777" w:rsidR="00C9161D" w:rsidRPr="000D6CA7" w:rsidRDefault="00013C2C" w:rsidP="00574437">
            <w:pPr>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0D6CA7">
                  <w:rPr>
                    <w:kern w:val="22"/>
                    <w:szCs w:val="22"/>
                  </w:rPr>
                  <w:t>GENERAL</w:t>
                </w:r>
              </w:sdtContent>
            </w:sdt>
          </w:p>
          <w:p w14:paraId="7A0AA0B0" w14:textId="77777777" w:rsidR="00C9161D" w:rsidRPr="000D6CA7" w:rsidRDefault="00C9161D" w:rsidP="00574437">
            <w:pPr>
              <w:kinsoku w:val="0"/>
              <w:overflowPunct w:val="0"/>
              <w:autoSpaceDE w:val="0"/>
              <w:autoSpaceDN w:val="0"/>
              <w:ind w:left="1213"/>
              <w:jc w:val="left"/>
              <w:rPr>
                <w:kern w:val="22"/>
                <w:szCs w:val="22"/>
              </w:rPr>
            </w:pPr>
          </w:p>
          <w:p w14:paraId="04C36DC9" w14:textId="23E6627C" w:rsidR="00C9161D" w:rsidRPr="000D6CA7" w:rsidRDefault="00013C2C" w:rsidP="00574437">
            <w:pPr>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E5ACA" w:rsidRPr="000D6CA7">
                  <w:rPr>
                    <w:bCs/>
                    <w:kern w:val="22"/>
                  </w:rPr>
                  <w:t>CBD/</w:t>
                </w:r>
                <w:r w:rsidR="00432884" w:rsidRPr="000D6CA7">
                  <w:rPr>
                    <w:bCs/>
                    <w:kern w:val="22"/>
                  </w:rPr>
                  <w:t>CP</w:t>
                </w:r>
                <w:r w:rsidR="009E5ACA" w:rsidRPr="000D6CA7">
                  <w:rPr>
                    <w:bCs/>
                    <w:kern w:val="22"/>
                  </w:rPr>
                  <w:t>/</w:t>
                </w:r>
                <w:r w:rsidR="00432884" w:rsidRPr="000D6CA7">
                  <w:rPr>
                    <w:bCs/>
                    <w:kern w:val="22"/>
                  </w:rPr>
                  <w:t>LG/</w:t>
                </w:r>
                <w:r w:rsidR="009E5ACA" w:rsidRPr="000D6CA7">
                  <w:rPr>
                    <w:bCs/>
                    <w:kern w:val="22"/>
                  </w:rPr>
                  <w:t>2019/</w:t>
                </w:r>
                <w:r w:rsidR="0057433C" w:rsidRPr="000D6CA7">
                  <w:rPr>
                    <w:bCs/>
                    <w:kern w:val="22"/>
                  </w:rPr>
                  <w:t>1</w:t>
                </w:r>
                <w:r w:rsidR="009E5ACA" w:rsidRPr="000D6CA7">
                  <w:rPr>
                    <w:bCs/>
                    <w:kern w:val="22"/>
                  </w:rPr>
                  <w:t>/</w:t>
                </w:r>
                <w:r w:rsidR="00A25138" w:rsidRPr="000D6CA7">
                  <w:rPr>
                    <w:bCs/>
                    <w:kern w:val="22"/>
                  </w:rPr>
                  <w:t>5</w:t>
                </w:r>
              </w:sdtContent>
            </w:sdt>
          </w:p>
          <w:p w14:paraId="58577695" w14:textId="3EAC3C43" w:rsidR="00C9161D" w:rsidRPr="000D6CA7" w:rsidRDefault="00013C2C" w:rsidP="00574437">
            <w:pPr>
              <w:kinsoku w:val="0"/>
              <w:overflowPunct w:val="0"/>
              <w:autoSpaceDE w:val="0"/>
              <w:autoSpaceDN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9-23T00:00:00Z">
                  <w:dateFormat w:val="d MMMM yyyy"/>
                  <w:lid w:val="en-US"/>
                  <w:storeMappedDataAs w:val="dateTime"/>
                  <w:calendar w:val="gregorian"/>
                </w:date>
              </w:sdtPr>
              <w:sdtEndPr/>
              <w:sdtContent>
                <w:r w:rsidR="00533F51" w:rsidRPr="000D6CA7">
                  <w:rPr>
                    <w:kern w:val="22"/>
                    <w:szCs w:val="22"/>
                  </w:rPr>
                  <w:t>23 September</w:t>
                </w:r>
                <w:r w:rsidR="00B65434" w:rsidRPr="000D6CA7">
                  <w:rPr>
                    <w:kern w:val="22"/>
                    <w:szCs w:val="22"/>
                  </w:rPr>
                  <w:t xml:space="preserve"> 2019</w:t>
                </w:r>
              </w:sdtContent>
            </w:sdt>
          </w:p>
          <w:p w14:paraId="2E6D25AB" w14:textId="77777777" w:rsidR="00C9161D" w:rsidRPr="000D6CA7" w:rsidRDefault="00C9161D" w:rsidP="00574437">
            <w:pPr>
              <w:kinsoku w:val="0"/>
              <w:overflowPunct w:val="0"/>
              <w:autoSpaceDE w:val="0"/>
              <w:autoSpaceDN w:val="0"/>
              <w:ind w:left="1213"/>
              <w:jc w:val="left"/>
              <w:rPr>
                <w:kern w:val="22"/>
                <w:szCs w:val="22"/>
              </w:rPr>
            </w:pPr>
          </w:p>
          <w:p w14:paraId="2C4AEE69" w14:textId="5A076B98" w:rsidR="00C9161D" w:rsidRPr="000D6CA7" w:rsidRDefault="00C9161D" w:rsidP="00574437">
            <w:pPr>
              <w:kinsoku w:val="0"/>
              <w:overflowPunct w:val="0"/>
              <w:autoSpaceDE w:val="0"/>
              <w:autoSpaceDN w:val="0"/>
              <w:ind w:left="1213"/>
              <w:jc w:val="left"/>
              <w:rPr>
                <w:kern w:val="22"/>
                <w:szCs w:val="22"/>
              </w:rPr>
            </w:pPr>
            <w:r w:rsidRPr="000D6CA7">
              <w:rPr>
                <w:kern w:val="22"/>
                <w:szCs w:val="22"/>
              </w:rPr>
              <w:t>ENGLISH</w:t>
            </w:r>
            <w:r w:rsidR="00172AF6" w:rsidRPr="000D6CA7">
              <w:rPr>
                <w:kern w:val="22"/>
                <w:szCs w:val="22"/>
              </w:rPr>
              <w:t xml:space="preserve"> ONLY</w:t>
            </w:r>
          </w:p>
          <w:p w14:paraId="51A8EB17" w14:textId="77777777" w:rsidR="00C9161D" w:rsidRPr="000D6CA7" w:rsidRDefault="00C9161D" w:rsidP="00574437">
            <w:pPr>
              <w:kinsoku w:val="0"/>
              <w:overflowPunct w:val="0"/>
              <w:autoSpaceDE w:val="0"/>
              <w:autoSpaceDN w:val="0"/>
              <w:ind w:left="1213"/>
              <w:jc w:val="left"/>
              <w:rPr>
                <w:kern w:val="22"/>
              </w:rPr>
            </w:pPr>
          </w:p>
        </w:tc>
      </w:tr>
    </w:tbl>
    <w:p w14:paraId="03AC6BBC" w14:textId="5D786452" w:rsidR="00362642" w:rsidRPr="000D6CA7" w:rsidRDefault="00AE3619" w:rsidP="00EA046B">
      <w:pPr>
        <w:pStyle w:val="Cornernotation"/>
        <w:kinsoku w:val="0"/>
        <w:overflowPunct w:val="0"/>
        <w:autoSpaceDE w:val="0"/>
        <w:autoSpaceDN w:val="0"/>
        <w:ind w:left="227" w:right="4784" w:hanging="227"/>
        <w:rPr>
          <w:caps/>
          <w:kern w:val="22"/>
          <w:szCs w:val="22"/>
          <w:lang w:eastAsia="ko-KR"/>
        </w:rPr>
      </w:pPr>
      <w:bookmarkStart w:id="1" w:name="_Hlk2766040"/>
      <w:r w:rsidRPr="000D6CA7">
        <w:rPr>
          <w:caps/>
          <w:kern w:val="22"/>
          <w:szCs w:val="22"/>
          <w:lang w:eastAsia="ko-KR"/>
        </w:rPr>
        <w:t xml:space="preserve">liaison group </w:t>
      </w:r>
      <w:r w:rsidR="00C30FD5" w:rsidRPr="000D6CA7">
        <w:rPr>
          <w:caps/>
          <w:kern w:val="22"/>
          <w:szCs w:val="22"/>
          <w:lang w:eastAsia="ko-KR"/>
        </w:rPr>
        <w:t>ON</w:t>
      </w:r>
      <w:r w:rsidRPr="000D6CA7">
        <w:rPr>
          <w:caps/>
          <w:kern w:val="22"/>
          <w:szCs w:val="22"/>
          <w:lang w:eastAsia="ko-KR"/>
        </w:rPr>
        <w:t xml:space="preserve"> the cartagena protocol on biosafety </w:t>
      </w:r>
    </w:p>
    <w:p w14:paraId="4E1CC20F" w14:textId="77777777" w:rsidR="00A370CB" w:rsidRPr="000D6CA7" w:rsidRDefault="003C4BCC" w:rsidP="00362642">
      <w:pPr>
        <w:pStyle w:val="Cornernotation"/>
        <w:kinsoku w:val="0"/>
        <w:overflowPunct w:val="0"/>
        <w:autoSpaceDE w:val="0"/>
        <w:autoSpaceDN w:val="0"/>
        <w:ind w:left="227" w:right="4217" w:hanging="227"/>
        <w:rPr>
          <w:kern w:val="22"/>
          <w:szCs w:val="22"/>
          <w:lang w:eastAsia="ko-KR"/>
        </w:rPr>
      </w:pPr>
      <w:bookmarkStart w:id="2" w:name="_Hlk2766324"/>
      <w:bookmarkEnd w:id="1"/>
      <w:r w:rsidRPr="000D6CA7">
        <w:rPr>
          <w:kern w:val="22"/>
          <w:szCs w:val="22"/>
          <w:lang w:eastAsia="ko-KR"/>
        </w:rPr>
        <w:t>Thirteenth meeting</w:t>
      </w:r>
    </w:p>
    <w:p w14:paraId="08ADCE83" w14:textId="5DF5478C" w:rsidR="00C9161D" w:rsidRPr="000D6CA7" w:rsidRDefault="00AE3619" w:rsidP="00362642">
      <w:pPr>
        <w:pStyle w:val="Cornernotation"/>
        <w:kinsoku w:val="0"/>
        <w:overflowPunct w:val="0"/>
        <w:autoSpaceDE w:val="0"/>
        <w:autoSpaceDN w:val="0"/>
        <w:ind w:left="227" w:right="4217" w:hanging="227"/>
        <w:rPr>
          <w:kern w:val="22"/>
          <w:szCs w:val="22"/>
          <w:lang w:eastAsia="ko-KR"/>
        </w:rPr>
      </w:pPr>
      <w:r w:rsidRPr="000D6CA7">
        <w:rPr>
          <w:kern w:val="22"/>
          <w:szCs w:val="22"/>
          <w:lang w:eastAsia="ko-KR"/>
        </w:rPr>
        <w:t>Montreal</w:t>
      </w:r>
      <w:r w:rsidR="00B023FC" w:rsidRPr="000D6CA7">
        <w:rPr>
          <w:kern w:val="22"/>
          <w:szCs w:val="22"/>
          <w:lang w:eastAsia="ko-KR"/>
        </w:rPr>
        <w:t>, Canada</w:t>
      </w:r>
      <w:r w:rsidR="00362642" w:rsidRPr="000D6CA7">
        <w:rPr>
          <w:kern w:val="22"/>
          <w:szCs w:val="22"/>
          <w:lang w:eastAsia="ko-KR"/>
        </w:rPr>
        <w:t xml:space="preserve">, </w:t>
      </w:r>
      <w:r w:rsidR="002A3859" w:rsidRPr="000D6CA7">
        <w:rPr>
          <w:kern w:val="22"/>
          <w:szCs w:val="22"/>
          <w:lang w:eastAsia="ko-KR"/>
        </w:rPr>
        <w:t>22-25 October</w:t>
      </w:r>
      <w:r w:rsidRPr="000D6CA7">
        <w:rPr>
          <w:kern w:val="22"/>
          <w:szCs w:val="22"/>
          <w:lang w:eastAsia="ko-KR"/>
        </w:rPr>
        <w:t xml:space="preserve"> </w:t>
      </w:r>
      <w:r w:rsidR="00362642" w:rsidRPr="000D6CA7">
        <w:rPr>
          <w:rFonts w:eastAsia="Batang"/>
          <w:color w:val="000000"/>
          <w:kern w:val="22"/>
          <w:szCs w:val="22"/>
          <w:lang w:eastAsia="ko-KR"/>
        </w:rPr>
        <w:t>2019</w:t>
      </w:r>
    </w:p>
    <w:bookmarkEnd w:id="2" w:displacedByCustomXml="next"/>
    <w:sdt>
      <w:sdtPr>
        <w:rPr>
          <w:kern w:val="22"/>
          <w:szCs w:val="22"/>
        </w:rPr>
        <w:alias w:val="Title"/>
        <w:tag w:val=""/>
        <w:id w:val="911656101"/>
        <w:placeholder>
          <w:docPart w:val="E834C8F564604B3B9F241F453943B3CB"/>
        </w:placeholder>
        <w:dataBinding w:prefixMappings="xmlns:ns0='http://purl.org/dc/elements/1.1/' xmlns:ns1='http://schemas.openxmlformats.org/package/2006/metadata/core-properties' " w:xpath="/ns1:coreProperties[1]/ns0:title[1]" w:storeItemID="{6C3C8BC8-F283-45AE-878A-BAB7291924A1}"/>
        <w:text/>
      </w:sdtPr>
      <w:sdtEndPr/>
      <w:sdtContent>
        <w:p w14:paraId="43DE539D" w14:textId="1D6DA8D3" w:rsidR="00432884" w:rsidRPr="000D6CA7" w:rsidRDefault="00B023FC" w:rsidP="00512398">
          <w:pPr>
            <w:pStyle w:val="Heading1"/>
            <w:rPr>
              <w:kern w:val="22"/>
              <w:szCs w:val="22"/>
            </w:rPr>
          </w:pPr>
          <w:r w:rsidRPr="000D6CA7">
            <w:rPr>
              <w:kern w:val="22"/>
              <w:szCs w:val="22"/>
            </w:rPr>
            <w:t>Development of the draft biosafety component of the post-2020 global biodiversity framework</w:t>
          </w:r>
        </w:p>
      </w:sdtContent>
    </w:sdt>
    <w:p w14:paraId="60E9AB34" w14:textId="529BB056" w:rsidR="00432884" w:rsidRPr="000D6CA7" w:rsidRDefault="00CE4168" w:rsidP="009E5E84">
      <w:pPr>
        <w:pStyle w:val="Heading1"/>
        <w:tabs>
          <w:tab w:val="clear" w:pos="720"/>
          <w:tab w:val="left" w:pos="284"/>
        </w:tabs>
        <w:rPr>
          <w:kern w:val="22"/>
          <w:szCs w:val="22"/>
        </w:rPr>
      </w:pPr>
      <w:bookmarkStart w:id="3" w:name="_Hlk15402193"/>
      <w:r w:rsidRPr="000D6CA7">
        <w:rPr>
          <w:kern w:val="22"/>
          <w:szCs w:val="22"/>
        </w:rPr>
        <w:t>I.</w:t>
      </w:r>
      <w:r w:rsidRPr="000D6CA7">
        <w:rPr>
          <w:kern w:val="22"/>
          <w:szCs w:val="22"/>
        </w:rPr>
        <w:tab/>
      </w:r>
      <w:r w:rsidR="00735E7D" w:rsidRPr="000D6CA7">
        <w:rPr>
          <w:kern w:val="22"/>
          <w:szCs w:val="22"/>
        </w:rPr>
        <w:t>introduction</w:t>
      </w:r>
    </w:p>
    <w:bookmarkEnd w:id="3"/>
    <w:p w14:paraId="55A68EE2" w14:textId="582133D6" w:rsidR="0014466A" w:rsidRPr="000D6CA7" w:rsidRDefault="0014466A" w:rsidP="0014466A">
      <w:pPr>
        <w:pStyle w:val="Para1"/>
        <w:numPr>
          <w:ilvl w:val="0"/>
          <w:numId w:val="18"/>
        </w:numPr>
        <w:suppressLineNumbers/>
        <w:tabs>
          <w:tab w:val="clear" w:pos="360"/>
        </w:tabs>
        <w:suppressAutoHyphens/>
        <w:rPr>
          <w:kern w:val="22"/>
          <w:szCs w:val="22"/>
        </w:rPr>
      </w:pPr>
      <w:r w:rsidRPr="000D6CA7">
        <w:rPr>
          <w:kern w:val="22"/>
          <w:szCs w:val="22"/>
        </w:rPr>
        <w:t xml:space="preserve">In its decision </w:t>
      </w:r>
      <w:r w:rsidR="00F55E83" w:rsidRPr="000D6CA7">
        <w:rPr>
          <w:kern w:val="22"/>
          <w:szCs w:val="22"/>
        </w:rPr>
        <w:fldChar w:fldCharType="begin"/>
      </w:r>
      <w:r w:rsidR="00013C2C">
        <w:rPr>
          <w:kern w:val="22"/>
          <w:szCs w:val="22"/>
        </w:rPr>
        <w:instrText>HYPERLINK "https://www.cbd.int/doc/decisions/cop-14/cop-14-dec-34-en.pdf"</w:instrText>
      </w:r>
      <w:r w:rsidR="00013C2C" w:rsidRPr="000D6CA7">
        <w:rPr>
          <w:kern w:val="22"/>
          <w:szCs w:val="22"/>
        </w:rPr>
      </w:r>
      <w:r w:rsidR="00F55E83" w:rsidRPr="000D6CA7">
        <w:rPr>
          <w:kern w:val="22"/>
          <w:szCs w:val="22"/>
        </w:rPr>
        <w:fldChar w:fldCharType="separate"/>
      </w:r>
      <w:r w:rsidRPr="000D6CA7">
        <w:rPr>
          <w:rStyle w:val="Hyperlink"/>
          <w:kern w:val="22"/>
          <w:sz w:val="22"/>
          <w:szCs w:val="22"/>
        </w:rPr>
        <w:t>14/34</w:t>
      </w:r>
      <w:r w:rsidR="00F55E83" w:rsidRPr="000D6CA7">
        <w:rPr>
          <w:kern w:val="22"/>
          <w:szCs w:val="22"/>
        </w:rPr>
        <w:fldChar w:fldCharType="end"/>
      </w:r>
      <w:r w:rsidRPr="000D6CA7">
        <w:rPr>
          <w:kern w:val="22"/>
          <w:szCs w:val="22"/>
        </w:rPr>
        <w:t>, the Conference of the Parties agreed on a process for the development of the post-2020 global biodiversity framework. It also established the Open-ended Working Group on the Post</w:t>
      </w:r>
      <w:r w:rsidR="00F55E83" w:rsidRPr="000D6CA7">
        <w:rPr>
          <w:kern w:val="22"/>
          <w:szCs w:val="22"/>
        </w:rPr>
        <w:noBreakHyphen/>
      </w:r>
      <w:r w:rsidRPr="000D6CA7">
        <w:rPr>
          <w:kern w:val="22"/>
          <w:szCs w:val="22"/>
        </w:rPr>
        <w:t>2020 Global Biodiversity Framework</w:t>
      </w:r>
      <w:r w:rsidR="00CE4168" w:rsidRPr="000D6CA7">
        <w:rPr>
          <w:kern w:val="22"/>
          <w:szCs w:val="22"/>
        </w:rPr>
        <w:t xml:space="preserve"> </w:t>
      </w:r>
      <w:r w:rsidRPr="000D6CA7">
        <w:rPr>
          <w:kern w:val="22"/>
          <w:szCs w:val="22"/>
        </w:rPr>
        <w:t>to support the preparation of the post-2020 global biodiversity framework.</w:t>
      </w:r>
    </w:p>
    <w:p w14:paraId="4D8DC6D0" w14:textId="7C02BCA3" w:rsidR="007F0ABE" w:rsidRPr="000D6CA7" w:rsidRDefault="0014466A" w:rsidP="0014466A">
      <w:pPr>
        <w:pStyle w:val="Para1"/>
        <w:numPr>
          <w:ilvl w:val="0"/>
          <w:numId w:val="18"/>
        </w:numPr>
        <w:suppressLineNumbers/>
        <w:tabs>
          <w:tab w:val="clear" w:pos="360"/>
        </w:tabs>
        <w:suppressAutoHyphens/>
        <w:rPr>
          <w:kern w:val="22"/>
          <w:szCs w:val="22"/>
        </w:rPr>
      </w:pPr>
      <w:r w:rsidRPr="000D6CA7">
        <w:rPr>
          <w:kern w:val="22"/>
          <w:szCs w:val="22"/>
        </w:rPr>
        <w:t xml:space="preserve">In its decision </w:t>
      </w:r>
      <w:r w:rsidR="00F55E83" w:rsidRPr="000D6CA7">
        <w:rPr>
          <w:kern w:val="22"/>
          <w:szCs w:val="22"/>
        </w:rPr>
        <w:fldChar w:fldCharType="begin"/>
      </w:r>
      <w:r w:rsidR="00013C2C">
        <w:rPr>
          <w:kern w:val="22"/>
          <w:szCs w:val="22"/>
        </w:rPr>
        <w:instrText>HYPERLINK "https://www.cbd.int/doc/decisions/cp-mop-09/cp-mop-09-dec-07-en.pdf"</w:instrText>
      </w:r>
      <w:r w:rsidR="00013C2C" w:rsidRPr="000D6CA7">
        <w:rPr>
          <w:kern w:val="22"/>
          <w:szCs w:val="22"/>
        </w:rPr>
      </w:r>
      <w:r w:rsidR="00F55E83" w:rsidRPr="000D6CA7">
        <w:rPr>
          <w:kern w:val="22"/>
          <w:szCs w:val="22"/>
        </w:rPr>
        <w:fldChar w:fldCharType="separate"/>
      </w:r>
      <w:r w:rsidRPr="000D6CA7">
        <w:rPr>
          <w:rStyle w:val="Hyperlink"/>
          <w:kern w:val="22"/>
          <w:sz w:val="22"/>
          <w:szCs w:val="22"/>
        </w:rPr>
        <w:t>CP-9/7</w:t>
      </w:r>
      <w:r w:rsidR="00F55E83" w:rsidRPr="000D6CA7">
        <w:rPr>
          <w:kern w:val="22"/>
          <w:szCs w:val="22"/>
        </w:rPr>
        <w:fldChar w:fldCharType="end"/>
      </w:r>
      <w:r w:rsidRPr="000D6CA7">
        <w:rPr>
          <w:kern w:val="22"/>
          <w:szCs w:val="22"/>
        </w:rPr>
        <w:t>, the Conference of the Parties serving as the meeting of the Parties to the Cartagena Protocol</w:t>
      </w:r>
      <w:r w:rsidR="004133EB" w:rsidRPr="000D6CA7">
        <w:rPr>
          <w:kern w:val="22"/>
          <w:szCs w:val="22"/>
        </w:rPr>
        <w:t xml:space="preserve"> </w:t>
      </w:r>
      <w:r w:rsidRPr="000D6CA7">
        <w:rPr>
          <w:kern w:val="22"/>
          <w:szCs w:val="22"/>
        </w:rPr>
        <w:t xml:space="preserve">took note of the preparatory process for the post-2020 global biodiversity framework and welcomed decision 14/34. </w:t>
      </w:r>
      <w:r w:rsidR="007F0ABE" w:rsidRPr="000D6CA7">
        <w:rPr>
          <w:kern w:val="22"/>
          <w:szCs w:val="22"/>
        </w:rPr>
        <w:t xml:space="preserve">The </w:t>
      </w:r>
      <w:r w:rsidR="00F55E83" w:rsidRPr="000D6CA7">
        <w:rPr>
          <w:kern w:val="22"/>
          <w:szCs w:val="22"/>
        </w:rPr>
        <w:t>Conference of the Parties serving as the meeting of the Parties to the Protocol</w:t>
      </w:r>
      <w:r w:rsidR="00F55E83" w:rsidRPr="000D6CA7" w:rsidDel="00F55E83">
        <w:rPr>
          <w:kern w:val="22"/>
          <w:szCs w:val="22"/>
        </w:rPr>
        <w:t xml:space="preserve"> </w:t>
      </w:r>
      <w:r w:rsidR="007F0ABE" w:rsidRPr="000D6CA7">
        <w:rPr>
          <w:kern w:val="22"/>
          <w:szCs w:val="22"/>
        </w:rPr>
        <w:t xml:space="preserve">stressed the importance of including biosafety in the post-2020 global biodiversity framework as well as the necessity of developing a specific </w:t>
      </w:r>
      <w:r w:rsidR="006B7D08" w:rsidRPr="000D6CA7">
        <w:rPr>
          <w:kern w:val="22"/>
          <w:szCs w:val="22"/>
        </w:rPr>
        <w:t>i</w:t>
      </w:r>
      <w:r w:rsidR="007F0ABE" w:rsidRPr="000D6CA7">
        <w:rPr>
          <w:kern w:val="22"/>
          <w:szCs w:val="22"/>
        </w:rPr>
        <w:t xml:space="preserve">mplementation </w:t>
      </w:r>
      <w:r w:rsidR="006B7D08" w:rsidRPr="000D6CA7">
        <w:rPr>
          <w:kern w:val="22"/>
          <w:szCs w:val="22"/>
        </w:rPr>
        <w:t>p</w:t>
      </w:r>
      <w:r w:rsidR="007F0ABE" w:rsidRPr="000D6CA7">
        <w:rPr>
          <w:kern w:val="22"/>
          <w:szCs w:val="22"/>
        </w:rPr>
        <w:t>lan for the Cartagena Protocol on Biosafety.</w:t>
      </w:r>
    </w:p>
    <w:p w14:paraId="71C460F8" w14:textId="74B48FBD" w:rsidR="0014466A" w:rsidRPr="000D6CA7" w:rsidRDefault="0014466A" w:rsidP="0014466A">
      <w:pPr>
        <w:pStyle w:val="Para1"/>
        <w:numPr>
          <w:ilvl w:val="0"/>
          <w:numId w:val="18"/>
        </w:numPr>
        <w:suppressLineNumbers/>
        <w:tabs>
          <w:tab w:val="clear" w:pos="360"/>
        </w:tabs>
        <w:suppressAutoHyphens/>
        <w:rPr>
          <w:kern w:val="22"/>
          <w:szCs w:val="22"/>
        </w:rPr>
      </w:pPr>
      <w:r w:rsidRPr="000D6CA7">
        <w:rPr>
          <w:kern w:val="22"/>
          <w:szCs w:val="22"/>
        </w:rPr>
        <w:t xml:space="preserve">The </w:t>
      </w:r>
      <w:r w:rsidR="00F55E83" w:rsidRPr="000D6CA7">
        <w:rPr>
          <w:kern w:val="22"/>
          <w:szCs w:val="22"/>
        </w:rPr>
        <w:t>Conference of the Parties serving as the meeting of the Parties to the Protocol</w:t>
      </w:r>
      <w:r w:rsidR="00F55E83" w:rsidRPr="000D6CA7" w:rsidDel="00F55E83">
        <w:rPr>
          <w:kern w:val="22"/>
          <w:szCs w:val="22"/>
        </w:rPr>
        <w:t xml:space="preserve"> </w:t>
      </w:r>
      <w:r w:rsidR="00D303B8" w:rsidRPr="000D6CA7">
        <w:rPr>
          <w:kern w:val="22"/>
          <w:szCs w:val="22"/>
        </w:rPr>
        <w:t xml:space="preserve">invited Parties to participate in the process for developing the post-2020 global biodiversity framework and </w:t>
      </w:r>
      <w:r w:rsidRPr="000D6CA7">
        <w:rPr>
          <w:kern w:val="22"/>
          <w:szCs w:val="22"/>
        </w:rPr>
        <w:t>requested the Liaison Group to contribute to the development of the relevant elements of the biosafety component in the post-2020 global biodiversity framework, in consultation with the Co</w:t>
      </w:r>
      <w:r w:rsidRPr="000D6CA7">
        <w:rPr>
          <w:kern w:val="22"/>
          <w:szCs w:val="22"/>
        </w:rPr>
        <w:noBreakHyphen/>
        <w:t>Chairs of the Working Group</w:t>
      </w:r>
      <w:r w:rsidR="00763CE6" w:rsidRPr="000D6CA7">
        <w:rPr>
          <w:kern w:val="22"/>
          <w:szCs w:val="22"/>
        </w:rPr>
        <w:t>. It also requested the Liaison Group</w:t>
      </w:r>
      <w:r w:rsidR="007C70AD" w:rsidRPr="000D6CA7">
        <w:rPr>
          <w:kern w:val="22"/>
          <w:szCs w:val="22"/>
          <w:shd w:val="clear" w:color="auto" w:fill="FFFFFF"/>
        </w:rPr>
        <w:t xml:space="preserve"> to prepare</w:t>
      </w:r>
      <w:r w:rsidR="00297647" w:rsidRPr="000D6CA7">
        <w:rPr>
          <w:kern w:val="22"/>
          <w:szCs w:val="22"/>
          <w:shd w:val="clear" w:color="auto" w:fill="FFFFFF"/>
        </w:rPr>
        <w:t>, at its present meeting, a draft of the biosafety component of the post-2020 global biodiversity framework</w:t>
      </w:r>
      <w:r w:rsidRPr="000D6CA7">
        <w:rPr>
          <w:kern w:val="22"/>
          <w:szCs w:val="22"/>
        </w:rPr>
        <w:t>.</w:t>
      </w:r>
    </w:p>
    <w:p w14:paraId="7C09E81F" w14:textId="41222F12" w:rsidR="00930839" w:rsidRPr="000D6CA7" w:rsidRDefault="0014466A" w:rsidP="0014466A">
      <w:pPr>
        <w:pStyle w:val="Para1"/>
        <w:numPr>
          <w:ilvl w:val="0"/>
          <w:numId w:val="18"/>
        </w:numPr>
        <w:suppressLineNumbers/>
        <w:tabs>
          <w:tab w:val="clear" w:pos="360"/>
        </w:tabs>
        <w:suppressAutoHyphens/>
        <w:rPr>
          <w:kern w:val="22"/>
          <w:szCs w:val="22"/>
        </w:rPr>
      </w:pPr>
      <w:r w:rsidRPr="000D6CA7">
        <w:rPr>
          <w:kern w:val="22"/>
          <w:szCs w:val="22"/>
        </w:rPr>
        <w:t xml:space="preserve">The </w:t>
      </w:r>
      <w:r w:rsidR="00F55E83" w:rsidRPr="000D6CA7">
        <w:rPr>
          <w:kern w:val="22"/>
          <w:szCs w:val="22"/>
        </w:rPr>
        <w:t>Conference of the Parties serving as the meeting of the Parties to the Protocol</w:t>
      </w:r>
      <w:r w:rsidR="00F55E83" w:rsidRPr="000D6CA7" w:rsidDel="00F55E83">
        <w:rPr>
          <w:kern w:val="22"/>
          <w:szCs w:val="22"/>
        </w:rPr>
        <w:t xml:space="preserve"> </w:t>
      </w:r>
      <w:r w:rsidRPr="000D6CA7">
        <w:rPr>
          <w:kern w:val="22"/>
          <w:szCs w:val="22"/>
        </w:rPr>
        <w:t xml:space="preserve">requested the Executive Secretary to convene dedicated sessions to discuss biosafety matters during the global and regional consultation workshops referred to in decision 14/34. </w:t>
      </w:r>
      <w:r w:rsidR="009A6A95" w:rsidRPr="000D6CA7">
        <w:rPr>
          <w:kern w:val="22"/>
          <w:szCs w:val="22"/>
        </w:rPr>
        <w:t>In this context, t</w:t>
      </w:r>
      <w:r w:rsidRPr="000D6CA7">
        <w:rPr>
          <w:kern w:val="22"/>
          <w:szCs w:val="22"/>
        </w:rPr>
        <w:t>he Global Consultation Workshop on the Post-2020 Global Biodiversity Framework, Biosafety and the Cartagena Protocol</w:t>
      </w:r>
      <w:r w:rsidR="006F1597" w:rsidRPr="000D6CA7">
        <w:rPr>
          <w:kern w:val="22"/>
          <w:szCs w:val="22"/>
        </w:rPr>
        <w:t xml:space="preserve"> </w:t>
      </w:r>
      <w:r w:rsidR="00930839" w:rsidRPr="000D6CA7">
        <w:rPr>
          <w:kern w:val="22"/>
          <w:szCs w:val="22"/>
        </w:rPr>
        <w:t>was</w:t>
      </w:r>
      <w:r w:rsidRPr="000D6CA7">
        <w:rPr>
          <w:kern w:val="22"/>
          <w:szCs w:val="22"/>
        </w:rPr>
        <w:t xml:space="preserve"> held in Nairobi on 25 August 2019, immediately prior to the first meeting of the Working Group</w:t>
      </w:r>
      <w:r w:rsidR="00F55E83" w:rsidRPr="000D6CA7">
        <w:rPr>
          <w:kern w:val="22"/>
          <w:szCs w:val="22"/>
        </w:rPr>
        <w:t xml:space="preserve"> on </w:t>
      </w:r>
      <w:r w:rsidR="00CF2598" w:rsidRPr="000D6CA7">
        <w:rPr>
          <w:kern w:val="22"/>
          <w:szCs w:val="22"/>
        </w:rPr>
        <w:t xml:space="preserve">the </w:t>
      </w:r>
      <w:r w:rsidR="00F55E83" w:rsidRPr="000D6CA7">
        <w:rPr>
          <w:kern w:val="22"/>
          <w:szCs w:val="22"/>
        </w:rPr>
        <w:t>Post-2020</w:t>
      </w:r>
      <w:r w:rsidR="00CF2598" w:rsidRPr="000D6CA7">
        <w:rPr>
          <w:kern w:val="22"/>
          <w:szCs w:val="22"/>
        </w:rPr>
        <w:t xml:space="preserve"> Global Biodiversity Framework</w:t>
      </w:r>
      <w:r w:rsidRPr="000D6CA7">
        <w:rPr>
          <w:kern w:val="22"/>
          <w:szCs w:val="22"/>
        </w:rPr>
        <w:t>.</w:t>
      </w:r>
    </w:p>
    <w:p w14:paraId="3B419CCF" w14:textId="319A87E9" w:rsidR="0014466A" w:rsidRPr="000D6CA7" w:rsidRDefault="0014466A" w:rsidP="0014466A">
      <w:pPr>
        <w:pStyle w:val="Para1"/>
        <w:numPr>
          <w:ilvl w:val="0"/>
          <w:numId w:val="18"/>
        </w:numPr>
        <w:suppressLineNumbers/>
        <w:tabs>
          <w:tab w:val="clear" w:pos="360"/>
        </w:tabs>
        <w:suppressAutoHyphens/>
        <w:rPr>
          <w:kern w:val="22"/>
          <w:szCs w:val="22"/>
        </w:rPr>
      </w:pPr>
      <w:r w:rsidRPr="000D6CA7">
        <w:rPr>
          <w:kern w:val="22"/>
          <w:szCs w:val="22"/>
        </w:rPr>
        <w:t>Under this agenda item, the Liaison Group will be invited to prepar</w:t>
      </w:r>
      <w:r w:rsidR="00656E56" w:rsidRPr="000D6CA7">
        <w:rPr>
          <w:kern w:val="22"/>
          <w:szCs w:val="22"/>
        </w:rPr>
        <w:t>e</w:t>
      </w:r>
      <w:r w:rsidRPr="000D6CA7">
        <w:rPr>
          <w:kern w:val="22"/>
          <w:szCs w:val="22"/>
        </w:rPr>
        <w:t xml:space="preserve"> a draft of the biosafety component of the post-2020 global biodiversity framework and </w:t>
      </w:r>
      <w:r w:rsidR="00267623" w:rsidRPr="000D6CA7">
        <w:rPr>
          <w:kern w:val="22"/>
          <w:szCs w:val="22"/>
        </w:rPr>
        <w:t>outline</w:t>
      </w:r>
      <w:r w:rsidRPr="000D6CA7">
        <w:rPr>
          <w:kern w:val="22"/>
          <w:szCs w:val="22"/>
        </w:rPr>
        <w:t xml:space="preserve"> </w:t>
      </w:r>
      <w:r w:rsidR="00644185" w:rsidRPr="000D6CA7">
        <w:rPr>
          <w:kern w:val="22"/>
          <w:szCs w:val="22"/>
        </w:rPr>
        <w:t xml:space="preserve">the </w:t>
      </w:r>
      <w:r w:rsidRPr="000D6CA7">
        <w:rPr>
          <w:kern w:val="22"/>
          <w:szCs w:val="22"/>
        </w:rPr>
        <w:t>next steps in this regard.</w:t>
      </w:r>
      <w:r w:rsidR="007D77F4" w:rsidRPr="000D6CA7">
        <w:rPr>
          <w:kern w:val="22"/>
          <w:szCs w:val="22"/>
        </w:rPr>
        <w:t xml:space="preserve"> </w:t>
      </w:r>
      <w:r w:rsidR="002077EC" w:rsidRPr="000D6CA7">
        <w:rPr>
          <w:kern w:val="22"/>
          <w:szCs w:val="22"/>
        </w:rPr>
        <w:t>Section</w:t>
      </w:r>
      <w:r w:rsidR="006E78A4" w:rsidRPr="000D6CA7">
        <w:rPr>
          <w:kern w:val="22"/>
          <w:szCs w:val="22"/>
        </w:rPr>
        <w:t> </w:t>
      </w:r>
      <w:r w:rsidR="002077EC" w:rsidRPr="000D6CA7">
        <w:rPr>
          <w:kern w:val="22"/>
          <w:szCs w:val="22"/>
        </w:rPr>
        <w:t xml:space="preserve">II </w:t>
      </w:r>
      <w:r w:rsidR="006E78A4" w:rsidRPr="000D6CA7">
        <w:rPr>
          <w:kern w:val="22"/>
          <w:szCs w:val="22"/>
        </w:rPr>
        <w:t>below</w:t>
      </w:r>
      <w:r w:rsidR="005C590F" w:rsidRPr="000D6CA7">
        <w:rPr>
          <w:kern w:val="22"/>
          <w:szCs w:val="22"/>
        </w:rPr>
        <w:t xml:space="preserve"> </w:t>
      </w:r>
      <w:r w:rsidR="002077EC" w:rsidRPr="000D6CA7">
        <w:rPr>
          <w:kern w:val="22"/>
          <w:szCs w:val="22"/>
        </w:rPr>
        <w:t xml:space="preserve">provides an overview of the </w:t>
      </w:r>
      <w:r w:rsidR="00047772" w:rsidRPr="000D6CA7">
        <w:rPr>
          <w:kern w:val="22"/>
          <w:szCs w:val="22"/>
        </w:rPr>
        <w:t xml:space="preserve">process for the development of the </w:t>
      </w:r>
      <w:r w:rsidR="00153312" w:rsidRPr="000D6CA7">
        <w:rPr>
          <w:kern w:val="22"/>
          <w:szCs w:val="22"/>
        </w:rPr>
        <w:t>p</w:t>
      </w:r>
      <w:r w:rsidR="002077EC" w:rsidRPr="000D6CA7">
        <w:rPr>
          <w:kern w:val="22"/>
          <w:szCs w:val="22"/>
        </w:rPr>
        <w:t xml:space="preserve">ost-2020 </w:t>
      </w:r>
      <w:r w:rsidR="006F1597" w:rsidRPr="000D6CA7">
        <w:rPr>
          <w:kern w:val="22"/>
          <w:szCs w:val="22"/>
        </w:rPr>
        <w:t>g</w:t>
      </w:r>
      <w:r w:rsidR="002077EC" w:rsidRPr="000D6CA7">
        <w:rPr>
          <w:kern w:val="22"/>
          <w:szCs w:val="22"/>
        </w:rPr>
        <w:t xml:space="preserve">lobal </w:t>
      </w:r>
      <w:r w:rsidR="006F1597" w:rsidRPr="000D6CA7">
        <w:rPr>
          <w:kern w:val="22"/>
          <w:szCs w:val="22"/>
        </w:rPr>
        <w:t>b</w:t>
      </w:r>
      <w:r w:rsidR="002077EC" w:rsidRPr="000D6CA7">
        <w:rPr>
          <w:kern w:val="22"/>
          <w:szCs w:val="22"/>
        </w:rPr>
        <w:t xml:space="preserve">iodiversity </w:t>
      </w:r>
      <w:r w:rsidR="006F1597" w:rsidRPr="000D6CA7">
        <w:rPr>
          <w:kern w:val="22"/>
          <w:szCs w:val="22"/>
        </w:rPr>
        <w:t>f</w:t>
      </w:r>
      <w:r w:rsidR="002077EC" w:rsidRPr="000D6CA7">
        <w:rPr>
          <w:kern w:val="22"/>
          <w:szCs w:val="22"/>
        </w:rPr>
        <w:t xml:space="preserve">ramework. </w:t>
      </w:r>
      <w:r w:rsidR="00FD3B46" w:rsidRPr="000D6CA7">
        <w:rPr>
          <w:kern w:val="22"/>
          <w:szCs w:val="22"/>
        </w:rPr>
        <w:t>Section I</w:t>
      </w:r>
      <w:r w:rsidR="002077EC" w:rsidRPr="000D6CA7">
        <w:rPr>
          <w:kern w:val="22"/>
          <w:szCs w:val="22"/>
        </w:rPr>
        <w:t>I</w:t>
      </w:r>
      <w:r w:rsidR="00FD3B46" w:rsidRPr="000D6CA7">
        <w:rPr>
          <w:kern w:val="22"/>
          <w:szCs w:val="22"/>
        </w:rPr>
        <w:t xml:space="preserve">I provides </w:t>
      </w:r>
      <w:r w:rsidR="005B4C73" w:rsidRPr="000D6CA7">
        <w:rPr>
          <w:kern w:val="22"/>
          <w:szCs w:val="22"/>
        </w:rPr>
        <w:t xml:space="preserve">elements for the development of the biosafety component of the framework, including </w:t>
      </w:r>
      <w:r w:rsidR="00FD3B46" w:rsidRPr="000D6CA7">
        <w:rPr>
          <w:kern w:val="22"/>
          <w:szCs w:val="22"/>
        </w:rPr>
        <w:t>a summary description of the views submitted</w:t>
      </w:r>
      <w:r w:rsidR="0003538F" w:rsidRPr="000D6CA7">
        <w:rPr>
          <w:kern w:val="22"/>
          <w:szCs w:val="22"/>
        </w:rPr>
        <w:t>,</w:t>
      </w:r>
      <w:r w:rsidR="00FD3B46" w:rsidRPr="000D6CA7">
        <w:rPr>
          <w:kern w:val="22"/>
          <w:szCs w:val="22"/>
        </w:rPr>
        <w:t xml:space="preserve"> the outcom</w:t>
      </w:r>
      <w:r w:rsidR="00BB4E18" w:rsidRPr="000D6CA7">
        <w:rPr>
          <w:kern w:val="22"/>
          <w:szCs w:val="22"/>
        </w:rPr>
        <w:t>e</w:t>
      </w:r>
      <w:r w:rsidR="00FD3B46" w:rsidRPr="000D6CA7">
        <w:rPr>
          <w:kern w:val="22"/>
          <w:szCs w:val="22"/>
        </w:rPr>
        <w:t>s of the Global Consultation</w:t>
      </w:r>
      <w:r w:rsidR="0003538F" w:rsidRPr="000D6CA7">
        <w:rPr>
          <w:kern w:val="22"/>
          <w:szCs w:val="22"/>
        </w:rPr>
        <w:t xml:space="preserve"> and the first meeting of the Open-</w:t>
      </w:r>
      <w:r w:rsidR="00F55E83" w:rsidRPr="000D6CA7">
        <w:rPr>
          <w:kern w:val="22"/>
          <w:szCs w:val="22"/>
        </w:rPr>
        <w:t>e</w:t>
      </w:r>
      <w:r w:rsidR="0003538F" w:rsidRPr="000D6CA7">
        <w:rPr>
          <w:kern w:val="22"/>
          <w:szCs w:val="22"/>
        </w:rPr>
        <w:t>nded Working Group</w:t>
      </w:r>
      <w:r w:rsidR="00F55E83" w:rsidRPr="000D6CA7">
        <w:rPr>
          <w:kern w:val="22"/>
          <w:szCs w:val="22"/>
        </w:rPr>
        <w:t xml:space="preserve"> on the Post-2020 Global Biodiversity Framework</w:t>
      </w:r>
      <w:r w:rsidR="00FD3B46" w:rsidRPr="000D6CA7">
        <w:rPr>
          <w:kern w:val="22"/>
          <w:szCs w:val="22"/>
        </w:rPr>
        <w:t xml:space="preserve">. Section IV provides </w:t>
      </w:r>
      <w:r w:rsidR="00602BA7" w:rsidRPr="000D6CA7">
        <w:rPr>
          <w:kern w:val="22"/>
          <w:szCs w:val="22"/>
        </w:rPr>
        <w:t>s</w:t>
      </w:r>
      <w:r w:rsidR="00FD3B46" w:rsidRPr="000D6CA7">
        <w:rPr>
          <w:kern w:val="22"/>
          <w:szCs w:val="22"/>
        </w:rPr>
        <w:t>uggestions for consideration by the Liaison Group.</w:t>
      </w:r>
    </w:p>
    <w:p w14:paraId="1848895B" w14:textId="634A2346" w:rsidR="00CC748E" w:rsidRPr="000D6CA7" w:rsidRDefault="00CC748E" w:rsidP="006A02F7">
      <w:pPr>
        <w:rPr>
          <w:kern w:val="22"/>
          <w:szCs w:val="22"/>
        </w:rPr>
      </w:pPr>
    </w:p>
    <w:p w14:paraId="75406DB0" w14:textId="2109BF35" w:rsidR="00BE1413" w:rsidRPr="000D6CA7" w:rsidRDefault="00B62F67" w:rsidP="00EC10B6">
      <w:pPr>
        <w:pStyle w:val="Heading1"/>
        <w:tabs>
          <w:tab w:val="clear" w:pos="720"/>
        </w:tabs>
        <w:ind w:left="1701" w:hanging="708"/>
        <w:jc w:val="left"/>
        <w:rPr>
          <w:kern w:val="22"/>
          <w:szCs w:val="22"/>
        </w:rPr>
      </w:pPr>
      <w:r w:rsidRPr="000D6CA7">
        <w:rPr>
          <w:kern w:val="22"/>
          <w:szCs w:val="22"/>
        </w:rPr>
        <w:lastRenderedPageBreak/>
        <w:t xml:space="preserve">II. </w:t>
      </w:r>
      <w:r w:rsidR="00F55E83" w:rsidRPr="000D6CA7">
        <w:rPr>
          <w:kern w:val="22"/>
          <w:szCs w:val="22"/>
        </w:rPr>
        <w:tab/>
      </w:r>
      <w:r w:rsidRPr="000D6CA7">
        <w:rPr>
          <w:kern w:val="22"/>
          <w:szCs w:val="22"/>
        </w:rPr>
        <w:t>development of the post-2020 global biodiversity framework and intersessional work</w:t>
      </w:r>
    </w:p>
    <w:p w14:paraId="72A2BBB7" w14:textId="157220C9" w:rsidR="00FC2EC1" w:rsidRPr="000D6CA7" w:rsidRDefault="00936A4F" w:rsidP="003948C7">
      <w:pPr>
        <w:pStyle w:val="Para1"/>
        <w:keepNext/>
        <w:numPr>
          <w:ilvl w:val="0"/>
          <w:numId w:val="18"/>
        </w:numPr>
        <w:suppressLineNumbers/>
        <w:tabs>
          <w:tab w:val="clear" w:pos="360"/>
        </w:tabs>
        <w:suppressAutoHyphens/>
        <w:rPr>
          <w:kern w:val="22"/>
          <w:szCs w:val="22"/>
        </w:rPr>
      </w:pPr>
      <w:r w:rsidRPr="000D6CA7">
        <w:rPr>
          <w:kern w:val="22"/>
          <w:szCs w:val="22"/>
        </w:rPr>
        <w:t>The Working Group</w:t>
      </w:r>
      <w:r w:rsidR="00F55E83" w:rsidRPr="000D6CA7">
        <w:rPr>
          <w:kern w:val="22"/>
          <w:szCs w:val="22"/>
        </w:rPr>
        <w:t xml:space="preserve"> </w:t>
      </w:r>
      <w:r w:rsidR="007D66E1" w:rsidRPr="000D6CA7">
        <w:rPr>
          <w:kern w:val="22"/>
          <w:szCs w:val="22"/>
        </w:rPr>
        <w:t>on the Post-2020 Global Biodiversity Framework</w:t>
      </w:r>
      <w:r w:rsidRPr="000D6CA7">
        <w:rPr>
          <w:kern w:val="22"/>
          <w:szCs w:val="22"/>
        </w:rPr>
        <w:t xml:space="preserve"> at its first meeting</w:t>
      </w:r>
      <w:r w:rsidR="00754601" w:rsidRPr="000D6CA7">
        <w:rPr>
          <w:kern w:val="22"/>
          <w:szCs w:val="22"/>
        </w:rPr>
        <w:t>, held from 27 to 30 August 2019, discussed, among other</w:t>
      </w:r>
      <w:r w:rsidR="00157217" w:rsidRPr="000D6CA7">
        <w:rPr>
          <w:kern w:val="22"/>
          <w:szCs w:val="22"/>
        </w:rPr>
        <w:t xml:space="preserve"> thing</w:t>
      </w:r>
      <w:r w:rsidR="00754601" w:rsidRPr="000D6CA7">
        <w:rPr>
          <w:kern w:val="22"/>
          <w:szCs w:val="22"/>
        </w:rPr>
        <w:t>s, potential elements of the structure and scope of the post-2020 global biodiversity framework and the future work programme of the Working Group.</w:t>
      </w:r>
    </w:p>
    <w:p w14:paraId="2A4C7B2D" w14:textId="57E3140E" w:rsidR="00754601" w:rsidRPr="000D6CA7" w:rsidRDefault="00754601" w:rsidP="00FC2EC1">
      <w:pPr>
        <w:pStyle w:val="Para1"/>
        <w:numPr>
          <w:ilvl w:val="0"/>
          <w:numId w:val="18"/>
        </w:numPr>
        <w:suppressLineNumbers/>
        <w:tabs>
          <w:tab w:val="clear" w:pos="360"/>
        </w:tabs>
        <w:suppressAutoHyphens/>
        <w:rPr>
          <w:kern w:val="22"/>
          <w:szCs w:val="22"/>
        </w:rPr>
      </w:pPr>
      <w:r w:rsidRPr="000D6CA7">
        <w:rPr>
          <w:kern w:val="22"/>
          <w:szCs w:val="22"/>
        </w:rPr>
        <w:t xml:space="preserve">The Working Group welcomed the offer </w:t>
      </w:r>
      <w:r w:rsidR="00ED20E4" w:rsidRPr="000D6CA7">
        <w:rPr>
          <w:kern w:val="22"/>
          <w:szCs w:val="22"/>
        </w:rPr>
        <w:t>of</w:t>
      </w:r>
      <w:r w:rsidRPr="000D6CA7">
        <w:rPr>
          <w:kern w:val="22"/>
          <w:szCs w:val="22"/>
        </w:rPr>
        <w:t xml:space="preserve"> China to host an additional meeting of the </w:t>
      </w:r>
      <w:r w:rsidR="00ED20E4" w:rsidRPr="000D6CA7">
        <w:rPr>
          <w:kern w:val="22"/>
          <w:szCs w:val="22"/>
        </w:rPr>
        <w:t>Working Group in Kunming from 24 to 28 February 2020, and the offer of Colombia to host the third meeting of the Working Group in Cali from 27 to 31 July 2020.</w:t>
      </w:r>
    </w:p>
    <w:p w14:paraId="780C3F1D" w14:textId="3BCF65CE" w:rsidR="00ED20E4" w:rsidRPr="000D6CA7" w:rsidRDefault="00ED20E4" w:rsidP="00FC2EC1">
      <w:pPr>
        <w:pStyle w:val="Para1"/>
        <w:numPr>
          <w:ilvl w:val="0"/>
          <w:numId w:val="18"/>
        </w:numPr>
        <w:suppressLineNumbers/>
        <w:tabs>
          <w:tab w:val="clear" w:pos="360"/>
        </w:tabs>
        <w:suppressAutoHyphens/>
        <w:rPr>
          <w:kern w:val="22"/>
          <w:szCs w:val="22"/>
        </w:rPr>
      </w:pPr>
      <w:r w:rsidRPr="000D6CA7">
        <w:rPr>
          <w:kern w:val="22"/>
          <w:szCs w:val="22"/>
        </w:rPr>
        <w:t>The Working Group invited Parties, other Governments, relevant organizations and stakeholders to submit to the Executive Secretary proposals on the structure of the post-2020 global biodiversity framework by 15 September 2019.</w:t>
      </w:r>
      <w:r w:rsidR="00CB388A" w:rsidRPr="000D6CA7">
        <w:rPr>
          <w:rStyle w:val="FootnoteReference"/>
          <w:kern w:val="22"/>
          <w:sz w:val="22"/>
          <w:szCs w:val="22"/>
          <w:u w:val="none"/>
          <w:vertAlign w:val="superscript"/>
        </w:rPr>
        <w:footnoteReference w:id="1"/>
      </w:r>
    </w:p>
    <w:p w14:paraId="657FF004" w14:textId="5E566967" w:rsidR="00ED20E4" w:rsidRPr="000D6CA7" w:rsidRDefault="004A11E9" w:rsidP="00FC2EC1">
      <w:pPr>
        <w:pStyle w:val="Para1"/>
        <w:numPr>
          <w:ilvl w:val="0"/>
          <w:numId w:val="18"/>
        </w:numPr>
        <w:suppressLineNumbers/>
        <w:tabs>
          <w:tab w:val="clear" w:pos="360"/>
        </w:tabs>
        <w:suppressAutoHyphens/>
        <w:rPr>
          <w:kern w:val="22"/>
          <w:szCs w:val="22"/>
        </w:rPr>
      </w:pPr>
      <w:r w:rsidRPr="000D6CA7">
        <w:rPr>
          <w:kern w:val="22"/>
          <w:szCs w:val="22"/>
        </w:rPr>
        <w:t xml:space="preserve">The Working Group </w:t>
      </w:r>
      <w:r w:rsidR="00ED20E4" w:rsidRPr="000D6CA7">
        <w:rPr>
          <w:kern w:val="22"/>
          <w:szCs w:val="22"/>
        </w:rPr>
        <w:t xml:space="preserve">requested the Co-Chairs and the Executive Secretary, with the oversight of the Bureau, to continue the preparatory process in accordance with decisions 14/34, CP-9/7 and </w:t>
      </w:r>
      <w:r w:rsidR="00F93DC5" w:rsidRPr="000D6CA7">
        <w:rPr>
          <w:kern w:val="22"/>
          <w:szCs w:val="22"/>
        </w:rPr>
        <w:fldChar w:fldCharType="begin"/>
      </w:r>
      <w:r w:rsidR="00013C2C">
        <w:rPr>
          <w:kern w:val="22"/>
          <w:szCs w:val="22"/>
        </w:rPr>
        <w:instrText>HYPERLINK "https://www.cbd.int/doc/decisions/np-mop-03/np-mop-03-dec-15-en.pdf"</w:instrText>
      </w:r>
      <w:r w:rsidR="00013C2C" w:rsidRPr="000D6CA7">
        <w:rPr>
          <w:kern w:val="22"/>
          <w:szCs w:val="22"/>
        </w:rPr>
      </w:r>
      <w:r w:rsidR="00F93DC5" w:rsidRPr="000D6CA7">
        <w:rPr>
          <w:kern w:val="22"/>
          <w:szCs w:val="22"/>
        </w:rPr>
        <w:fldChar w:fldCharType="separate"/>
      </w:r>
      <w:r w:rsidR="00ED20E4" w:rsidRPr="000D6CA7">
        <w:rPr>
          <w:rStyle w:val="Hyperlink"/>
          <w:kern w:val="22"/>
          <w:sz w:val="22"/>
          <w:szCs w:val="22"/>
        </w:rPr>
        <w:t>NP-3/15</w:t>
      </w:r>
      <w:r w:rsidR="00F93DC5" w:rsidRPr="000D6CA7">
        <w:rPr>
          <w:kern w:val="22"/>
          <w:szCs w:val="22"/>
        </w:rPr>
        <w:fldChar w:fldCharType="end"/>
      </w:r>
      <w:r w:rsidR="00ED20E4" w:rsidRPr="000D6CA7">
        <w:rPr>
          <w:kern w:val="22"/>
          <w:szCs w:val="22"/>
        </w:rPr>
        <w:t>, and to prepare documentation, including a zero draft text of the post-2020 global biodiversity framework six weeks before the second meeting of the Working Group, drawing upon:</w:t>
      </w:r>
    </w:p>
    <w:p w14:paraId="0A341F60" w14:textId="16940BE8" w:rsidR="00ED20E4" w:rsidRPr="000D6CA7" w:rsidRDefault="00F93DC5" w:rsidP="00F93DC5">
      <w:pPr>
        <w:pStyle w:val="Para1"/>
        <w:numPr>
          <w:ilvl w:val="1"/>
          <w:numId w:val="18"/>
        </w:numPr>
        <w:suppressLineNumbers/>
        <w:tabs>
          <w:tab w:val="clear" w:pos="1080"/>
          <w:tab w:val="num" w:pos="1276"/>
        </w:tabs>
        <w:suppressAutoHyphens/>
        <w:rPr>
          <w:kern w:val="22"/>
          <w:szCs w:val="22"/>
        </w:rPr>
      </w:pPr>
      <w:r w:rsidRPr="000D6CA7">
        <w:rPr>
          <w:kern w:val="22"/>
          <w:szCs w:val="22"/>
        </w:rPr>
        <w:t>T</w:t>
      </w:r>
      <w:r w:rsidR="00ED20E4" w:rsidRPr="000D6CA7">
        <w:rPr>
          <w:kern w:val="22"/>
          <w:szCs w:val="22"/>
        </w:rPr>
        <w:t>he discussions at the first meeting of the Working Group, including the preliminary views as contained in annex I</w:t>
      </w:r>
      <w:r w:rsidR="00DF6B5A" w:rsidRPr="000D6CA7">
        <w:rPr>
          <w:kern w:val="22"/>
          <w:szCs w:val="22"/>
        </w:rPr>
        <w:t xml:space="preserve"> to the report o</w:t>
      </w:r>
      <w:r w:rsidR="00086C4F" w:rsidRPr="000D6CA7">
        <w:rPr>
          <w:kern w:val="22"/>
          <w:szCs w:val="22"/>
        </w:rPr>
        <w:t>n</w:t>
      </w:r>
      <w:r w:rsidR="00DF6B5A" w:rsidRPr="000D6CA7">
        <w:rPr>
          <w:kern w:val="22"/>
          <w:szCs w:val="22"/>
        </w:rPr>
        <w:t xml:space="preserve"> the meeting</w:t>
      </w:r>
      <w:r w:rsidR="00ED20E4" w:rsidRPr="000D6CA7">
        <w:rPr>
          <w:kern w:val="22"/>
          <w:szCs w:val="22"/>
        </w:rPr>
        <w:t>;</w:t>
      </w:r>
      <w:r w:rsidRPr="000D6CA7">
        <w:rPr>
          <w:rStyle w:val="FootnoteReference"/>
          <w:kern w:val="22"/>
          <w:sz w:val="22"/>
          <w:szCs w:val="22"/>
          <w:u w:val="none"/>
          <w:vertAlign w:val="superscript"/>
        </w:rPr>
        <w:footnoteReference w:id="2"/>
      </w:r>
    </w:p>
    <w:p w14:paraId="360AB0A0" w14:textId="14D0076E" w:rsidR="00ED20E4" w:rsidRPr="000D6CA7" w:rsidRDefault="00F93DC5" w:rsidP="00F93DC5">
      <w:pPr>
        <w:pStyle w:val="Para1"/>
        <w:numPr>
          <w:ilvl w:val="1"/>
          <w:numId w:val="18"/>
        </w:numPr>
        <w:suppressLineNumbers/>
        <w:tabs>
          <w:tab w:val="clear" w:pos="1080"/>
          <w:tab w:val="num" w:pos="1276"/>
        </w:tabs>
        <w:suppressAutoHyphens/>
        <w:rPr>
          <w:kern w:val="22"/>
          <w:szCs w:val="22"/>
        </w:rPr>
      </w:pPr>
      <w:r w:rsidRPr="000D6CA7">
        <w:rPr>
          <w:kern w:val="22"/>
          <w:szCs w:val="22"/>
        </w:rPr>
        <w:t>T</w:t>
      </w:r>
      <w:r w:rsidR="00ED20E4" w:rsidRPr="000D6CA7">
        <w:rPr>
          <w:kern w:val="22"/>
          <w:szCs w:val="22"/>
        </w:rPr>
        <w:t>he outcomes of the eleventh meeting of the Ad Hoc Open-ended Working Group on Article</w:t>
      </w:r>
      <w:r w:rsidR="00086C4F" w:rsidRPr="000D6CA7">
        <w:rPr>
          <w:kern w:val="22"/>
          <w:szCs w:val="22"/>
        </w:rPr>
        <w:t> </w:t>
      </w:r>
      <w:r w:rsidR="00ED20E4" w:rsidRPr="000D6CA7">
        <w:rPr>
          <w:kern w:val="22"/>
          <w:szCs w:val="22"/>
        </w:rPr>
        <w:t>8(j) and Related Provisions</w:t>
      </w:r>
      <w:r w:rsidR="00025CE8" w:rsidRPr="000D6CA7">
        <w:rPr>
          <w:kern w:val="22"/>
          <w:szCs w:val="22"/>
        </w:rPr>
        <w:t xml:space="preserve"> and </w:t>
      </w:r>
      <w:r w:rsidR="00ED20E4" w:rsidRPr="000D6CA7">
        <w:rPr>
          <w:kern w:val="22"/>
          <w:szCs w:val="22"/>
        </w:rPr>
        <w:t>the twenty-third meeting of the Subsidiary Body on Scientific, Technical and Technological Advice;</w:t>
      </w:r>
    </w:p>
    <w:p w14:paraId="0EDFE76F" w14:textId="71A7B009" w:rsidR="00ED20E4" w:rsidRPr="000D6CA7" w:rsidRDefault="00F93DC5" w:rsidP="00F93DC5">
      <w:pPr>
        <w:pStyle w:val="Para1"/>
        <w:numPr>
          <w:ilvl w:val="1"/>
          <w:numId w:val="18"/>
        </w:numPr>
        <w:suppressLineNumbers/>
        <w:tabs>
          <w:tab w:val="clear" w:pos="1080"/>
          <w:tab w:val="num" w:pos="1276"/>
        </w:tabs>
        <w:suppressAutoHyphens/>
        <w:rPr>
          <w:kern w:val="22"/>
          <w:szCs w:val="22"/>
        </w:rPr>
      </w:pPr>
      <w:r w:rsidRPr="000D6CA7">
        <w:rPr>
          <w:kern w:val="22"/>
          <w:szCs w:val="22"/>
        </w:rPr>
        <w:t>T</w:t>
      </w:r>
      <w:r w:rsidR="00ED20E4" w:rsidRPr="000D6CA7">
        <w:rPr>
          <w:kern w:val="22"/>
          <w:szCs w:val="22"/>
        </w:rPr>
        <w:t>he results of other relevant meetings, consultations and workshops</w:t>
      </w:r>
      <w:r w:rsidR="00201A40" w:rsidRPr="000D6CA7">
        <w:rPr>
          <w:kern w:val="22"/>
          <w:szCs w:val="22"/>
        </w:rPr>
        <w:t>;</w:t>
      </w:r>
    </w:p>
    <w:p w14:paraId="264F8D0C" w14:textId="670DFC31" w:rsidR="00ED20E4" w:rsidRPr="000D6CA7" w:rsidRDefault="00F93DC5" w:rsidP="00F93DC5">
      <w:pPr>
        <w:pStyle w:val="Para1"/>
        <w:numPr>
          <w:ilvl w:val="1"/>
          <w:numId w:val="18"/>
        </w:numPr>
        <w:suppressLineNumbers/>
        <w:tabs>
          <w:tab w:val="clear" w:pos="1080"/>
          <w:tab w:val="num" w:pos="1276"/>
        </w:tabs>
        <w:suppressAutoHyphens/>
        <w:rPr>
          <w:kern w:val="22"/>
          <w:szCs w:val="22"/>
        </w:rPr>
      </w:pPr>
      <w:r w:rsidRPr="000D6CA7">
        <w:rPr>
          <w:kern w:val="22"/>
          <w:szCs w:val="22"/>
        </w:rPr>
        <w:t>F</w:t>
      </w:r>
      <w:r w:rsidR="00ED20E4" w:rsidRPr="000D6CA7">
        <w:rPr>
          <w:kern w:val="22"/>
          <w:szCs w:val="22"/>
        </w:rPr>
        <w:t>urther submissions from Parties and observers</w:t>
      </w:r>
      <w:r w:rsidR="006B711D" w:rsidRPr="000D6CA7">
        <w:rPr>
          <w:kern w:val="22"/>
          <w:szCs w:val="22"/>
        </w:rPr>
        <w:t>.</w:t>
      </w:r>
    </w:p>
    <w:p w14:paraId="5CD9604F" w14:textId="7F1DF6C0" w:rsidR="00ED20E4" w:rsidRPr="000D6CA7" w:rsidRDefault="00ED20E4" w:rsidP="00482B3E">
      <w:pPr>
        <w:pStyle w:val="Para1"/>
        <w:numPr>
          <w:ilvl w:val="0"/>
          <w:numId w:val="18"/>
        </w:numPr>
        <w:suppressLineNumbers/>
        <w:tabs>
          <w:tab w:val="clear" w:pos="360"/>
        </w:tabs>
        <w:suppressAutoHyphens/>
        <w:rPr>
          <w:kern w:val="22"/>
          <w:szCs w:val="22"/>
        </w:rPr>
      </w:pPr>
      <w:r w:rsidRPr="000D6CA7">
        <w:rPr>
          <w:kern w:val="22"/>
          <w:szCs w:val="22"/>
        </w:rPr>
        <w:t xml:space="preserve">The Working Group also requested </w:t>
      </w:r>
      <w:r w:rsidR="002F22A8" w:rsidRPr="000D6CA7">
        <w:rPr>
          <w:kern w:val="22"/>
          <w:szCs w:val="22"/>
        </w:rPr>
        <w:t xml:space="preserve">that </w:t>
      </w:r>
      <w:r w:rsidRPr="000D6CA7">
        <w:rPr>
          <w:kern w:val="22"/>
          <w:szCs w:val="22"/>
        </w:rPr>
        <w:t xml:space="preserve">a preliminary overview of the zero draft </w:t>
      </w:r>
      <w:r w:rsidR="002F22A8" w:rsidRPr="000D6CA7">
        <w:rPr>
          <w:kern w:val="22"/>
          <w:szCs w:val="22"/>
        </w:rPr>
        <w:t xml:space="preserve">be presented </w:t>
      </w:r>
      <w:r w:rsidRPr="000D6CA7">
        <w:rPr>
          <w:kern w:val="22"/>
          <w:szCs w:val="22"/>
        </w:rPr>
        <w:t xml:space="preserve">at </w:t>
      </w:r>
      <w:r w:rsidR="005424B9" w:rsidRPr="000D6CA7">
        <w:rPr>
          <w:kern w:val="22"/>
          <w:szCs w:val="22"/>
        </w:rPr>
        <w:t>the</w:t>
      </w:r>
      <w:r w:rsidRPr="000D6CA7">
        <w:rPr>
          <w:kern w:val="22"/>
          <w:szCs w:val="22"/>
        </w:rPr>
        <w:t xml:space="preserve"> informal </w:t>
      </w:r>
      <w:r w:rsidR="006B711D" w:rsidRPr="000D6CA7">
        <w:rPr>
          <w:kern w:val="22"/>
          <w:szCs w:val="22"/>
        </w:rPr>
        <w:t xml:space="preserve">briefing by the Co-Chairs </w:t>
      </w:r>
      <w:r w:rsidR="00DF6B5A" w:rsidRPr="000D6CA7">
        <w:rPr>
          <w:kern w:val="22"/>
          <w:szCs w:val="22"/>
        </w:rPr>
        <w:t xml:space="preserve">to be held </w:t>
      </w:r>
      <w:r w:rsidRPr="000D6CA7">
        <w:rPr>
          <w:kern w:val="22"/>
          <w:szCs w:val="22"/>
        </w:rPr>
        <w:t>on 24 November 2019.</w:t>
      </w:r>
      <w:r w:rsidR="00330D6E" w:rsidRPr="000D6CA7">
        <w:rPr>
          <w:kern w:val="22"/>
          <w:szCs w:val="22"/>
        </w:rPr>
        <w:t xml:space="preserve"> In addition, the zero draft is to facilitate the work of the Working Group at its second meeting.</w:t>
      </w:r>
    </w:p>
    <w:p w14:paraId="0884568E" w14:textId="735F7153" w:rsidR="00465159" w:rsidRPr="000D6CA7" w:rsidRDefault="00465159" w:rsidP="00482B3E">
      <w:pPr>
        <w:pStyle w:val="Para1"/>
        <w:numPr>
          <w:ilvl w:val="0"/>
          <w:numId w:val="18"/>
        </w:numPr>
        <w:suppressLineNumbers/>
        <w:tabs>
          <w:tab w:val="clear" w:pos="360"/>
        </w:tabs>
        <w:suppressAutoHyphens/>
        <w:rPr>
          <w:kern w:val="22"/>
          <w:szCs w:val="22"/>
        </w:rPr>
      </w:pPr>
      <w:r w:rsidRPr="000D6CA7">
        <w:rPr>
          <w:kern w:val="22"/>
          <w:szCs w:val="22"/>
        </w:rPr>
        <w:t xml:space="preserve">The Working Group </w:t>
      </w:r>
      <w:r w:rsidR="00DC5054" w:rsidRPr="000D6CA7">
        <w:rPr>
          <w:kern w:val="22"/>
          <w:szCs w:val="22"/>
        </w:rPr>
        <w:t>took note of the preliminary list of meetings, consultations and workshops for the development of the post-2020 global biodiversity framework as contained in annex</w:t>
      </w:r>
      <w:r w:rsidR="003530BA" w:rsidRPr="000D6CA7">
        <w:rPr>
          <w:kern w:val="22"/>
          <w:szCs w:val="22"/>
        </w:rPr>
        <w:t> </w:t>
      </w:r>
      <w:r w:rsidR="00DC5054" w:rsidRPr="000D6CA7">
        <w:rPr>
          <w:kern w:val="22"/>
          <w:szCs w:val="22"/>
        </w:rPr>
        <w:t>II to the report o</w:t>
      </w:r>
      <w:r w:rsidR="003530BA" w:rsidRPr="000D6CA7">
        <w:rPr>
          <w:kern w:val="22"/>
          <w:szCs w:val="22"/>
        </w:rPr>
        <w:t>n</w:t>
      </w:r>
      <w:r w:rsidR="00DC5054" w:rsidRPr="000D6CA7">
        <w:rPr>
          <w:kern w:val="22"/>
          <w:szCs w:val="22"/>
        </w:rPr>
        <w:t xml:space="preserve"> the meeting. It </w:t>
      </w:r>
      <w:r w:rsidRPr="000D6CA7">
        <w:rPr>
          <w:kern w:val="22"/>
          <w:szCs w:val="22"/>
        </w:rPr>
        <w:t xml:space="preserve">requested the Co-Chairs and the Executive Secretary to </w:t>
      </w:r>
      <w:r w:rsidR="0097498C" w:rsidRPr="000D6CA7">
        <w:rPr>
          <w:kern w:val="22"/>
          <w:szCs w:val="22"/>
        </w:rPr>
        <w:t xml:space="preserve">prepare a detailed workplan and to present it </w:t>
      </w:r>
      <w:r w:rsidR="0097498C" w:rsidRPr="000D6CA7">
        <w:rPr>
          <w:rFonts w:eastAsia="Malgun Gothic"/>
          <w:kern w:val="22"/>
          <w:szCs w:val="22"/>
          <w:lang w:eastAsia="x-none"/>
        </w:rPr>
        <w:t xml:space="preserve">at the informal </w:t>
      </w:r>
      <w:r w:rsidR="006B711D" w:rsidRPr="000D6CA7">
        <w:rPr>
          <w:kern w:val="22"/>
          <w:szCs w:val="22"/>
        </w:rPr>
        <w:t xml:space="preserve">briefing by the Co-Chairs </w:t>
      </w:r>
      <w:r w:rsidR="0097498C" w:rsidRPr="000D6CA7">
        <w:rPr>
          <w:rFonts w:eastAsia="Malgun Gothic"/>
          <w:kern w:val="22"/>
          <w:szCs w:val="22"/>
          <w:lang w:eastAsia="x-none"/>
        </w:rPr>
        <w:t>on 24 November 2019.</w:t>
      </w:r>
    </w:p>
    <w:p w14:paraId="37D0714C" w14:textId="03436979" w:rsidR="006A02F7" w:rsidRPr="000D6CA7" w:rsidRDefault="00B62F67" w:rsidP="00DD20CF">
      <w:pPr>
        <w:pStyle w:val="Heading1"/>
        <w:tabs>
          <w:tab w:val="clear" w:pos="720"/>
        </w:tabs>
        <w:spacing w:before="120"/>
        <w:ind w:left="1276" w:hanging="567"/>
        <w:jc w:val="left"/>
        <w:rPr>
          <w:kern w:val="22"/>
          <w:szCs w:val="22"/>
        </w:rPr>
      </w:pPr>
      <w:r w:rsidRPr="000D6CA7">
        <w:rPr>
          <w:kern w:val="22"/>
          <w:szCs w:val="22"/>
        </w:rPr>
        <w:t>I</w:t>
      </w:r>
      <w:r w:rsidR="006A02F7" w:rsidRPr="000D6CA7">
        <w:rPr>
          <w:kern w:val="22"/>
          <w:szCs w:val="22"/>
        </w:rPr>
        <w:t>II.</w:t>
      </w:r>
      <w:r w:rsidR="006A02F7" w:rsidRPr="000D6CA7">
        <w:rPr>
          <w:kern w:val="22"/>
          <w:szCs w:val="22"/>
        </w:rPr>
        <w:tab/>
      </w:r>
      <w:r w:rsidRPr="000D6CA7">
        <w:rPr>
          <w:kern w:val="22"/>
          <w:szCs w:val="22"/>
        </w:rPr>
        <w:t>development of the bio</w:t>
      </w:r>
      <w:r w:rsidR="007B2622" w:rsidRPr="000D6CA7">
        <w:rPr>
          <w:kern w:val="22"/>
          <w:szCs w:val="22"/>
        </w:rPr>
        <w:t>s</w:t>
      </w:r>
      <w:r w:rsidRPr="000D6CA7">
        <w:rPr>
          <w:kern w:val="22"/>
          <w:szCs w:val="22"/>
        </w:rPr>
        <w:t>afety component of the post-2020 global biodiversity framework</w:t>
      </w:r>
    </w:p>
    <w:p w14:paraId="6FA14DE3" w14:textId="499415EE" w:rsidR="00CC18CC" w:rsidRPr="000D6CA7" w:rsidRDefault="00314112" w:rsidP="00CC18CC">
      <w:pPr>
        <w:pStyle w:val="Para1"/>
        <w:numPr>
          <w:ilvl w:val="0"/>
          <w:numId w:val="18"/>
        </w:numPr>
        <w:suppressLineNumbers/>
        <w:tabs>
          <w:tab w:val="clear" w:pos="360"/>
        </w:tabs>
        <w:suppressAutoHyphens/>
        <w:rPr>
          <w:kern w:val="22"/>
          <w:szCs w:val="22"/>
        </w:rPr>
      </w:pPr>
      <w:r w:rsidRPr="000D6CA7">
        <w:rPr>
          <w:kern w:val="22"/>
          <w:szCs w:val="22"/>
        </w:rPr>
        <w:t xml:space="preserve">The Global Consultation provided the first intersessional occasion for a discussion </w:t>
      </w:r>
      <w:r w:rsidR="00C05E8E" w:rsidRPr="000D6CA7">
        <w:rPr>
          <w:kern w:val="22"/>
          <w:szCs w:val="22"/>
        </w:rPr>
        <w:t>dedicated specifically to</w:t>
      </w:r>
      <w:r w:rsidR="0070631D" w:rsidRPr="000D6CA7">
        <w:rPr>
          <w:kern w:val="22"/>
          <w:szCs w:val="22"/>
        </w:rPr>
        <w:t xml:space="preserve"> </w:t>
      </w:r>
      <w:r w:rsidR="00A373A1" w:rsidRPr="000D6CA7">
        <w:rPr>
          <w:kern w:val="22"/>
          <w:szCs w:val="22"/>
        </w:rPr>
        <w:t>addressing</w:t>
      </w:r>
      <w:r w:rsidRPr="000D6CA7">
        <w:rPr>
          <w:kern w:val="22"/>
          <w:szCs w:val="22"/>
        </w:rPr>
        <w:t xml:space="preserve"> biosafety</w:t>
      </w:r>
      <w:r w:rsidR="00A373A1" w:rsidRPr="000D6CA7">
        <w:rPr>
          <w:kern w:val="22"/>
          <w:szCs w:val="22"/>
        </w:rPr>
        <w:t xml:space="preserve"> in</w:t>
      </w:r>
      <w:r w:rsidRPr="000D6CA7">
        <w:rPr>
          <w:kern w:val="22"/>
          <w:szCs w:val="22"/>
        </w:rPr>
        <w:t xml:space="preserve"> the post-2020 global biodiversity framework.</w:t>
      </w:r>
      <w:r w:rsidR="00CC18CC" w:rsidRPr="000D6CA7">
        <w:rPr>
          <w:kern w:val="22"/>
          <w:szCs w:val="22"/>
        </w:rPr>
        <w:t xml:space="preserve"> As a basis for </w:t>
      </w:r>
      <w:r w:rsidR="0070631D" w:rsidRPr="000D6CA7">
        <w:rPr>
          <w:kern w:val="22"/>
          <w:szCs w:val="22"/>
        </w:rPr>
        <w:t xml:space="preserve">the </w:t>
      </w:r>
      <w:r w:rsidR="00CC18CC" w:rsidRPr="000D6CA7">
        <w:rPr>
          <w:kern w:val="22"/>
          <w:szCs w:val="22"/>
        </w:rPr>
        <w:t xml:space="preserve">discussions, the Secretariat </w:t>
      </w:r>
      <w:r w:rsidR="004213DE" w:rsidRPr="000D6CA7">
        <w:rPr>
          <w:kern w:val="22"/>
          <w:szCs w:val="22"/>
        </w:rPr>
        <w:t xml:space="preserve">issued a </w:t>
      </w:r>
      <w:r w:rsidR="00CC18CC" w:rsidRPr="000D6CA7">
        <w:rPr>
          <w:kern w:val="22"/>
          <w:szCs w:val="22"/>
        </w:rPr>
        <w:t xml:space="preserve">document </w:t>
      </w:r>
      <w:r w:rsidR="004213DE" w:rsidRPr="000D6CA7">
        <w:rPr>
          <w:kern w:val="22"/>
          <w:szCs w:val="22"/>
        </w:rPr>
        <w:t>(</w:t>
      </w:r>
      <w:r w:rsidR="007A5618" w:rsidRPr="000D6CA7">
        <w:fldChar w:fldCharType="begin"/>
      </w:r>
      <w:r w:rsidR="00013C2C">
        <w:instrText>HYPERLINK "https://www.cbd.int/doc/c/1504/7605/e4ac81eb63af087451c2ed44/post2020-ws-2019-07-02-en.pdf"</w:instrText>
      </w:r>
      <w:r w:rsidR="007A5618" w:rsidRPr="000D6CA7">
        <w:fldChar w:fldCharType="separate"/>
      </w:r>
      <w:r w:rsidR="00CC18CC" w:rsidRPr="000D6CA7">
        <w:rPr>
          <w:rStyle w:val="Hyperlink"/>
          <w:kern w:val="22"/>
          <w:sz w:val="22"/>
          <w:szCs w:val="22"/>
        </w:rPr>
        <w:t>CBD/POST2020/</w:t>
      </w:r>
      <w:proofErr w:type="spellStart"/>
      <w:r w:rsidR="00CC18CC" w:rsidRPr="000D6CA7">
        <w:rPr>
          <w:rStyle w:val="Hyperlink"/>
          <w:kern w:val="22"/>
          <w:sz w:val="22"/>
          <w:szCs w:val="22"/>
        </w:rPr>
        <w:t>WS</w:t>
      </w:r>
      <w:proofErr w:type="spellEnd"/>
      <w:r w:rsidR="00CC18CC" w:rsidRPr="000D6CA7">
        <w:rPr>
          <w:rStyle w:val="Hyperlink"/>
          <w:kern w:val="22"/>
          <w:sz w:val="22"/>
          <w:szCs w:val="22"/>
        </w:rPr>
        <w:t>/2019/7/2</w:t>
      </w:r>
      <w:r w:rsidR="007A5618" w:rsidRPr="000D6CA7">
        <w:rPr>
          <w:rStyle w:val="Hyperlink"/>
          <w:kern w:val="22"/>
          <w:sz w:val="22"/>
          <w:szCs w:val="22"/>
        </w:rPr>
        <w:fldChar w:fldCharType="end"/>
      </w:r>
      <w:r w:rsidR="004213DE" w:rsidRPr="000D6CA7">
        <w:rPr>
          <w:kern w:val="22"/>
          <w:szCs w:val="22"/>
        </w:rPr>
        <w:t>)</w:t>
      </w:r>
      <w:r w:rsidR="00D654B8" w:rsidRPr="000D6CA7">
        <w:rPr>
          <w:kern w:val="22"/>
          <w:szCs w:val="22"/>
        </w:rPr>
        <w:t xml:space="preserve"> which</w:t>
      </w:r>
      <w:r w:rsidR="00CC18CC" w:rsidRPr="000D6CA7">
        <w:rPr>
          <w:kern w:val="22"/>
          <w:szCs w:val="22"/>
        </w:rPr>
        <w:t xml:space="preserve"> includ</w:t>
      </w:r>
      <w:r w:rsidR="00AE59CB" w:rsidRPr="000D6CA7">
        <w:rPr>
          <w:kern w:val="22"/>
          <w:szCs w:val="22"/>
        </w:rPr>
        <w:t>ed</w:t>
      </w:r>
      <w:r w:rsidR="00CC18CC" w:rsidRPr="000D6CA7">
        <w:rPr>
          <w:kern w:val="22"/>
          <w:szCs w:val="22"/>
        </w:rPr>
        <w:t xml:space="preserve"> a summary of views submitted relevant to the issue.</w:t>
      </w:r>
      <w:r w:rsidR="00CD3EE4" w:rsidRPr="000D6CA7">
        <w:rPr>
          <w:rStyle w:val="FootnoteReference"/>
          <w:kern w:val="22"/>
          <w:sz w:val="22"/>
          <w:szCs w:val="22"/>
          <w:u w:val="none"/>
          <w:vertAlign w:val="superscript"/>
        </w:rPr>
        <w:footnoteReference w:id="3"/>
      </w:r>
      <w:r w:rsidR="00CC18CC" w:rsidRPr="000D6CA7">
        <w:rPr>
          <w:kern w:val="22"/>
          <w:szCs w:val="22"/>
        </w:rPr>
        <w:t xml:space="preserve"> The summary is reproduced </w:t>
      </w:r>
      <w:r w:rsidR="00EE1F46" w:rsidRPr="000D6CA7">
        <w:rPr>
          <w:kern w:val="22"/>
          <w:szCs w:val="22"/>
        </w:rPr>
        <w:t>in subsection (a)</w:t>
      </w:r>
      <w:r w:rsidR="00753654" w:rsidRPr="000D6CA7">
        <w:rPr>
          <w:kern w:val="22"/>
          <w:szCs w:val="22"/>
        </w:rPr>
        <w:t xml:space="preserve"> below</w:t>
      </w:r>
      <w:r w:rsidR="009B0541" w:rsidRPr="000D6CA7">
        <w:rPr>
          <w:kern w:val="22"/>
          <w:szCs w:val="22"/>
        </w:rPr>
        <w:t>,</w:t>
      </w:r>
      <w:r w:rsidR="005C590F" w:rsidRPr="000D6CA7">
        <w:rPr>
          <w:kern w:val="22"/>
          <w:szCs w:val="22"/>
        </w:rPr>
        <w:t xml:space="preserve"> and a more detailed synthesis is available as an information document (CBD/CP/LG/2019/1/INF/1)</w:t>
      </w:r>
      <w:r w:rsidR="00B73DFB" w:rsidRPr="000D6CA7">
        <w:rPr>
          <w:kern w:val="22"/>
          <w:szCs w:val="22"/>
        </w:rPr>
        <w:t>.</w:t>
      </w:r>
      <w:r w:rsidR="006354DE" w:rsidRPr="000D6CA7">
        <w:rPr>
          <w:kern w:val="22"/>
          <w:szCs w:val="22"/>
        </w:rPr>
        <w:t xml:space="preserve"> Subsection (b) provides an overview of the outcomes of the </w:t>
      </w:r>
      <w:r w:rsidR="00366C15" w:rsidRPr="000D6CA7">
        <w:rPr>
          <w:kern w:val="22"/>
          <w:szCs w:val="22"/>
        </w:rPr>
        <w:t>G</w:t>
      </w:r>
      <w:r w:rsidR="006354DE" w:rsidRPr="000D6CA7">
        <w:rPr>
          <w:kern w:val="22"/>
          <w:szCs w:val="22"/>
        </w:rPr>
        <w:t xml:space="preserve">lobal </w:t>
      </w:r>
      <w:r w:rsidR="00366C15" w:rsidRPr="000D6CA7">
        <w:rPr>
          <w:kern w:val="22"/>
          <w:szCs w:val="22"/>
        </w:rPr>
        <w:t>C</w:t>
      </w:r>
      <w:r w:rsidR="006354DE" w:rsidRPr="000D6CA7">
        <w:rPr>
          <w:kern w:val="22"/>
          <w:szCs w:val="22"/>
        </w:rPr>
        <w:t>onsultation.</w:t>
      </w:r>
      <w:r w:rsidR="00A46EE9" w:rsidRPr="000D6CA7">
        <w:rPr>
          <w:kern w:val="22"/>
          <w:szCs w:val="22"/>
        </w:rPr>
        <w:t xml:space="preserve"> </w:t>
      </w:r>
      <w:r w:rsidR="00B47A45" w:rsidRPr="000D6CA7">
        <w:rPr>
          <w:kern w:val="22"/>
          <w:szCs w:val="22"/>
        </w:rPr>
        <w:t xml:space="preserve">Subsection (c) </w:t>
      </w:r>
      <w:r w:rsidR="00182748" w:rsidRPr="000D6CA7">
        <w:rPr>
          <w:kern w:val="22"/>
          <w:szCs w:val="22"/>
        </w:rPr>
        <w:t>presents a summary of relevant</w:t>
      </w:r>
      <w:r w:rsidR="00B47A45" w:rsidRPr="000D6CA7">
        <w:rPr>
          <w:kern w:val="22"/>
          <w:szCs w:val="22"/>
        </w:rPr>
        <w:t xml:space="preserve"> outcomes from the first meeting of the Working Group</w:t>
      </w:r>
      <w:r w:rsidR="006F7EFD" w:rsidRPr="000D6CA7">
        <w:rPr>
          <w:kern w:val="22"/>
          <w:szCs w:val="22"/>
        </w:rPr>
        <w:t xml:space="preserve"> on the Post-2020 Global Biodiversity Framework</w:t>
      </w:r>
      <w:r w:rsidR="00B47A45" w:rsidRPr="000D6CA7">
        <w:rPr>
          <w:kern w:val="22"/>
          <w:szCs w:val="22"/>
        </w:rPr>
        <w:t>.</w:t>
      </w:r>
    </w:p>
    <w:p w14:paraId="2756D6A6" w14:textId="63E911F2" w:rsidR="00CD3EE4" w:rsidRPr="000D6CA7" w:rsidRDefault="00EE1F46" w:rsidP="00547816">
      <w:pPr>
        <w:pStyle w:val="Heading2"/>
        <w:numPr>
          <w:ilvl w:val="0"/>
          <w:numId w:val="30"/>
        </w:numPr>
        <w:tabs>
          <w:tab w:val="clear" w:pos="720"/>
        </w:tabs>
        <w:rPr>
          <w:i w:val="0"/>
          <w:kern w:val="22"/>
          <w:szCs w:val="22"/>
          <w:shd w:val="clear" w:color="auto" w:fill="FFFFFF"/>
        </w:rPr>
      </w:pPr>
      <w:r w:rsidRPr="000D6CA7">
        <w:rPr>
          <w:i w:val="0"/>
          <w:kern w:val="22"/>
          <w:szCs w:val="22"/>
          <w:shd w:val="clear" w:color="auto" w:fill="FFFFFF"/>
        </w:rPr>
        <w:lastRenderedPageBreak/>
        <w:t>Summary of views submitted</w:t>
      </w:r>
    </w:p>
    <w:p w14:paraId="2C55AB82" w14:textId="794C43B6" w:rsidR="00CD3EE4" w:rsidRPr="000D6CA7" w:rsidRDefault="00CD3EE4" w:rsidP="00CD3EE4">
      <w:pPr>
        <w:pStyle w:val="Para1"/>
        <w:numPr>
          <w:ilvl w:val="0"/>
          <w:numId w:val="18"/>
        </w:numPr>
        <w:tabs>
          <w:tab w:val="clear" w:pos="360"/>
        </w:tabs>
        <w:rPr>
          <w:kern w:val="22"/>
          <w:szCs w:val="22"/>
          <w:shd w:val="clear" w:color="auto" w:fill="FFFFFF"/>
        </w:rPr>
      </w:pPr>
      <w:r w:rsidRPr="000D6CA7">
        <w:rPr>
          <w:kern w:val="22"/>
          <w:szCs w:val="22"/>
        </w:rPr>
        <w:t xml:space="preserve">While biosafety is relevant to several of its Strategic Goals and Targets, the </w:t>
      </w:r>
      <w:hyperlink r:id="rId15" w:history="1">
        <w:r w:rsidRPr="000D6CA7">
          <w:rPr>
            <w:rStyle w:val="Hyperlink"/>
            <w:kern w:val="22"/>
            <w:sz w:val="22"/>
            <w:szCs w:val="22"/>
          </w:rPr>
          <w:t>Strategic Plan for Biodiversity 2011-2020</w:t>
        </w:r>
      </w:hyperlink>
      <w:r w:rsidRPr="000D6CA7">
        <w:rPr>
          <w:kern w:val="22"/>
          <w:szCs w:val="22"/>
        </w:rPr>
        <w:t xml:space="preserve"> does not explicitly refer to biosafety. Rather, a specific instrument was dedicated to biosafety in the form of the </w:t>
      </w:r>
      <w:hyperlink r:id="rId16" w:history="1">
        <w:r w:rsidRPr="000D6CA7">
          <w:rPr>
            <w:rStyle w:val="Hyperlink"/>
            <w:kern w:val="22"/>
            <w:sz w:val="22"/>
            <w:szCs w:val="22"/>
          </w:rPr>
          <w:t>Strategic Plan for the Cartagena Protocol</w:t>
        </w:r>
      </w:hyperlink>
      <w:r w:rsidRPr="000D6CA7">
        <w:rPr>
          <w:kern w:val="22"/>
          <w:szCs w:val="22"/>
        </w:rPr>
        <w:t xml:space="preserve"> 2011-2020.</w:t>
      </w:r>
    </w:p>
    <w:p w14:paraId="6DA160CE" w14:textId="120D609B" w:rsidR="00CD3EE4" w:rsidRPr="000D6CA7" w:rsidRDefault="00CD3EE4" w:rsidP="00CD3EE4">
      <w:pPr>
        <w:pStyle w:val="Para1"/>
        <w:numPr>
          <w:ilvl w:val="0"/>
          <w:numId w:val="18"/>
        </w:numPr>
        <w:tabs>
          <w:tab w:val="clear" w:pos="360"/>
        </w:tabs>
        <w:rPr>
          <w:kern w:val="22"/>
          <w:szCs w:val="22"/>
          <w:shd w:val="clear" w:color="auto" w:fill="FFFFFF"/>
        </w:rPr>
      </w:pPr>
      <w:bookmarkStart w:id="4" w:name="_Ref14365059"/>
      <w:r w:rsidRPr="000D6CA7">
        <w:rPr>
          <w:kern w:val="22"/>
          <w:szCs w:val="22"/>
          <w:shd w:val="clear" w:color="auto" w:fill="FFFFFF"/>
        </w:rPr>
        <w:t xml:space="preserve">Similarly, no specific reference to biosafety is included in the </w:t>
      </w:r>
      <w:hyperlink r:id="rId17" w:history="1">
        <w:r w:rsidRPr="000D6CA7">
          <w:rPr>
            <w:rStyle w:val="Hyperlink"/>
            <w:kern w:val="22"/>
            <w:sz w:val="22"/>
            <w:szCs w:val="22"/>
            <w:shd w:val="clear" w:color="auto" w:fill="FFFFFF"/>
          </w:rPr>
          <w:t>Sustainable Development Goals</w:t>
        </w:r>
      </w:hyperlink>
      <w:r w:rsidRPr="000D6CA7">
        <w:rPr>
          <w:kern w:val="22"/>
          <w:szCs w:val="22"/>
          <w:shd w:val="clear" w:color="auto" w:fill="FFFFFF"/>
        </w:rPr>
        <w:t>.</w:t>
      </w:r>
      <w:r w:rsidRPr="000D6CA7">
        <w:rPr>
          <w:rStyle w:val="FootnoteReference"/>
          <w:kern w:val="22"/>
          <w:sz w:val="22"/>
          <w:szCs w:val="22"/>
          <w:u w:val="none"/>
          <w:shd w:val="clear" w:color="auto" w:fill="FFFFFF"/>
          <w:vertAlign w:val="superscript"/>
        </w:rPr>
        <w:footnoteReference w:id="4"/>
      </w:r>
      <w:r w:rsidRPr="000D6CA7">
        <w:rPr>
          <w:kern w:val="22"/>
          <w:szCs w:val="22"/>
          <w:shd w:val="clear" w:color="auto" w:fill="FFFFFF"/>
        </w:rPr>
        <w:t xml:space="preserve"> </w:t>
      </w:r>
      <w:r w:rsidR="00255DE9" w:rsidRPr="000D6CA7">
        <w:rPr>
          <w:kern w:val="22"/>
          <w:szCs w:val="22"/>
          <w:shd w:val="clear" w:color="auto" w:fill="FFFFFF"/>
        </w:rPr>
        <w:t>Nonetheless</w:t>
      </w:r>
      <w:r w:rsidRPr="000D6CA7">
        <w:rPr>
          <w:kern w:val="22"/>
          <w:szCs w:val="22"/>
          <w:shd w:val="clear" w:color="auto" w:fill="FFFFFF"/>
        </w:rPr>
        <w:t>, biosafety is of relevance to a number of the Sustainable Development Goals and their targets and the implementation of the Cartagena Protocol can contribute to the attainment of these Goals and Targets.</w:t>
      </w:r>
      <w:bookmarkEnd w:id="4"/>
    </w:p>
    <w:p w14:paraId="630BC315" w14:textId="02DD6D74" w:rsidR="00CD3EE4" w:rsidRPr="000D6CA7" w:rsidRDefault="00CD3EE4" w:rsidP="00CD3EE4">
      <w:pPr>
        <w:pStyle w:val="Para1"/>
        <w:numPr>
          <w:ilvl w:val="0"/>
          <w:numId w:val="18"/>
        </w:numPr>
        <w:tabs>
          <w:tab w:val="clear" w:pos="360"/>
        </w:tabs>
        <w:rPr>
          <w:kern w:val="22"/>
          <w:szCs w:val="22"/>
          <w:shd w:val="clear" w:color="auto" w:fill="FFFFFF"/>
        </w:rPr>
      </w:pPr>
      <w:bookmarkStart w:id="5" w:name="_Ref14365074"/>
      <w:r w:rsidRPr="000D6CA7">
        <w:rPr>
          <w:kern w:val="22"/>
          <w:szCs w:val="22"/>
        </w:rPr>
        <w:t>The submissions generally underscored the importance of ensuring that the post-2020 global biodiversity framework is aligned with the Sustainable Development Goals and referred in this context to the contribution of biosafety and the Protocol to areas such as food security and health.</w:t>
      </w:r>
      <w:bookmarkEnd w:id="5"/>
    </w:p>
    <w:p w14:paraId="5547ED65" w14:textId="0D70E6EC" w:rsidR="00CD3EE4" w:rsidRPr="000D6CA7" w:rsidRDefault="00CD3EE4" w:rsidP="00CD3EE4">
      <w:pPr>
        <w:pStyle w:val="Para1"/>
        <w:numPr>
          <w:ilvl w:val="0"/>
          <w:numId w:val="18"/>
        </w:numPr>
        <w:tabs>
          <w:tab w:val="clear" w:pos="360"/>
        </w:tabs>
        <w:rPr>
          <w:kern w:val="22"/>
          <w:szCs w:val="22"/>
          <w:shd w:val="clear" w:color="auto" w:fill="FFFFFF"/>
        </w:rPr>
      </w:pPr>
      <w:r w:rsidRPr="000D6CA7">
        <w:rPr>
          <w:kern w:val="22"/>
          <w:szCs w:val="22"/>
          <w:shd w:val="clear" w:color="auto" w:fill="FFFFFF"/>
        </w:rPr>
        <w:t>The submissions</w:t>
      </w:r>
      <w:r w:rsidRPr="000D6CA7">
        <w:rPr>
          <w:kern w:val="22"/>
          <w:szCs w:val="22"/>
        </w:rPr>
        <w:t xml:space="preserve"> suggested that biosafety is inextricably linked with the objectives of the Convention, </w:t>
      </w:r>
      <w:proofErr w:type="gramStart"/>
      <w:r w:rsidRPr="000D6CA7">
        <w:rPr>
          <w:kern w:val="22"/>
          <w:szCs w:val="22"/>
        </w:rPr>
        <w:t>in particular for</w:t>
      </w:r>
      <w:proofErr w:type="gramEnd"/>
      <w:r w:rsidRPr="000D6CA7">
        <w:rPr>
          <w:kern w:val="22"/>
          <w:szCs w:val="22"/>
        </w:rPr>
        <w:t xml:space="preserve"> its contribution to conservation and sustainable use of biological diversity, and that for this reason biosafety should be included in the post-2020 global biodiversity framework.</w:t>
      </w:r>
    </w:p>
    <w:p w14:paraId="436B23B1" w14:textId="76687670" w:rsidR="00CD3EE4" w:rsidRPr="000D6CA7" w:rsidRDefault="00CD3EE4" w:rsidP="00CD3EE4">
      <w:pPr>
        <w:pStyle w:val="Para1"/>
        <w:numPr>
          <w:ilvl w:val="0"/>
          <w:numId w:val="18"/>
        </w:numPr>
        <w:tabs>
          <w:tab w:val="clear" w:pos="360"/>
        </w:tabs>
        <w:rPr>
          <w:kern w:val="22"/>
          <w:szCs w:val="22"/>
          <w:shd w:val="clear" w:color="auto" w:fill="FFFFFF"/>
        </w:rPr>
      </w:pPr>
      <w:r w:rsidRPr="000D6CA7">
        <w:rPr>
          <w:kern w:val="22"/>
          <w:szCs w:val="22"/>
        </w:rPr>
        <w:t>It was suggested that any target related to biosafety should focus on commitments of Parties under the Convention. In this context, reference was made to focusing on issues addressed in the Articles of the Convention related to biosafety, in particular Article</w:t>
      </w:r>
      <w:r w:rsidR="001A11B6" w:rsidRPr="000D6CA7">
        <w:rPr>
          <w:kern w:val="22"/>
          <w:szCs w:val="22"/>
        </w:rPr>
        <w:t>s</w:t>
      </w:r>
      <w:r w:rsidRPr="000D6CA7">
        <w:rPr>
          <w:kern w:val="22"/>
          <w:szCs w:val="22"/>
        </w:rPr>
        <w:t xml:space="preserve"> 8(g) and 19.</w:t>
      </w:r>
    </w:p>
    <w:p w14:paraId="00451BA4" w14:textId="77777777" w:rsidR="00CD3EE4" w:rsidRPr="000D6CA7" w:rsidRDefault="00CD3EE4" w:rsidP="00CD3EE4">
      <w:pPr>
        <w:pStyle w:val="Para1"/>
        <w:numPr>
          <w:ilvl w:val="0"/>
          <w:numId w:val="18"/>
        </w:numPr>
        <w:tabs>
          <w:tab w:val="clear" w:pos="360"/>
        </w:tabs>
        <w:rPr>
          <w:kern w:val="22"/>
          <w:szCs w:val="22"/>
          <w:shd w:val="clear" w:color="auto" w:fill="FFFFFF"/>
        </w:rPr>
      </w:pPr>
      <w:r w:rsidRPr="000D6CA7">
        <w:rPr>
          <w:kern w:val="22"/>
          <w:szCs w:val="22"/>
        </w:rPr>
        <w:t>Including biosafety in the post-2020 global biodiversity framework was considered to contribute to the integration of the work under the Convention and the Protocols. Suggestions were made that targets and indicators developed under the Protocol should be supportive of the post-2020 global biodiversity framework and that this would contribute to integration and greater contribution of the Protocol to the achievement of the objectives of the Convention.</w:t>
      </w:r>
      <w:r w:rsidRPr="000D6CA7">
        <w:rPr>
          <w:kern w:val="22"/>
          <w:szCs w:val="22"/>
          <w:shd w:val="clear" w:color="auto" w:fill="FFFFFF"/>
        </w:rPr>
        <w:t xml:space="preserve"> The submissions generally highlighted the need to develop simple and specific, or SMART,</w:t>
      </w:r>
      <w:r w:rsidRPr="000D6CA7">
        <w:rPr>
          <w:rStyle w:val="FootnoteReference"/>
          <w:kern w:val="22"/>
          <w:sz w:val="22"/>
          <w:szCs w:val="22"/>
          <w:u w:val="none"/>
          <w:shd w:val="clear" w:color="auto" w:fill="FFFFFF"/>
          <w:vertAlign w:val="superscript"/>
        </w:rPr>
        <w:footnoteReference w:id="5"/>
      </w:r>
      <w:r w:rsidRPr="000D6CA7">
        <w:rPr>
          <w:kern w:val="22"/>
          <w:szCs w:val="22"/>
          <w:shd w:val="clear" w:color="auto" w:fill="FFFFFF"/>
        </w:rPr>
        <w:t xml:space="preserve"> biosafety indicators in the post-2020 global biodiversity framework.</w:t>
      </w:r>
    </w:p>
    <w:p w14:paraId="764209FD" w14:textId="77777777" w:rsidR="00CD3EE4" w:rsidRPr="000D6CA7" w:rsidRDefault="00CD3EE4" w:rsidP="00CD3EE4">
      <w:pPr>
        <w:pStyle w:val="Para1"/>
        <w:numPr>
          <w:ilvl w:val="0"/>
          <w:numId w:val="18"/>
        </w:numPr>
        <w:tabs>
          <w:tab w:val="clear" w:pos="360"/>
        </w:tabs>
        <w:rPr>
          <w:kern w:val="22"/>
          <w:szCs w:val="22"/>
          <w:shd w:val="clear" w:color="auto" w:fill="FFFFFF"/>
        </w:rPr>
      </w:pPr>
      <w:r w:rsidRPr="000D6CA7">
        <w:rPr>
          <w:kern w:val="22"/>
          <w:szCs w:val="22"/>
        </w:rPr>
        <w:t>Several submissions stressed the importance of considering new and emerging technologies, including synthetic biology and gene editing, in the development of the post-2020 global biodiversity framework and its biosafety component.</w:t>
      </w:r>
    </w:p>
    <w:p w14:paraId="5E861D94" w14:textId="77777777" w:rsidR="00CD3EE4" w:rsidRPr="000D6CA7" w:rsidRDefault="00CD3EE4" w:rsidP="00CD3EE4">
      <w:pPr>
        <w:pStyle w:val="Para1"/>
        <w:numPr>
          <w:ilvl w:val="0"/>
          <w:numId w:val="18"/>
        </w:numPr>
        <w:tabs>
          <w:tab w:val="clear" w:pos="360"/>
        </w:tabs>
        <w:rPr>
          <w:kern w:val="22"/>
          <w:szCs w:val="22"/>
          <w:shd w:val="clear" w:color="auto" w:fill="FFFFFF"/>
        </w:rPr>
      </w:pPr>
      <w:r w:rsidRPr="000D6CA7">
        <w:rPr>
          <w:kern w:val="22"/>
          <w:szCs w:val="22"/>
        </w:rPr>
        <w:t>It was suggested that addressing biosafety within the post-2020 global biodiversity framework would facilitate participation by developing countries in biotechnology research, as well as access, on mutually agreed terms, to the results and benefits arising from biotechnologies.</w:t>
      </w:r>
    </w:p>
    <w:p w14:paraId="5A29A9EE" w14:textId="77777777" w:rsidR="00CD3EE4" w:rsidRPr="000D6CA7" w:rsidRDefault="00CD3EE4" w:rsidP="00CD3EE4">
      <w:pPr>
        <w:pStyle w:val="Para1"/>
        <w:numPr>
          <w:ilvl w:val="0"/>
          <w:numId w:val="18"/>
        </w:numPr>
        <w:tabs>
          <w:tab w:val="clear" w:pos="360"/>
        </w:tabs>
        <w:rPr>
          <w:kern w:val="22"/>
          <w:szCs w:val="22"/>
          <w:shd w:val="clear" w:color="auto" w:fill="FFFFFF"/>
        </w:rPr>
      </w:pPr>
      <w:r w:rsidRPr="000D6CA7">
        <w:rPr>
          <w:kern w:val="22"/>
          <w:szCs w:val="22"/>
        </w:rPr>
        <w:t xml:space="preserve">It was also suggested that a biosafety </w:t>
      </w:r>
      <w:r w:rsidRPr="000D6CA7">
        <w:rPr>
          <w:kern w:val="22"/>
          <w:szCs w:val="22"/>
          <w:shd w:val="clear" w:color="auto" w:fill="FFFFFF"/>
        </w:rPr>
        <w:t>t</w:t>
      </w:r>
      <w:r w:rsidRPr="000D6CA7">
        <w:rPr>
          <w:kern w:val="22"/>
          <w:szCs w:val="22"/>
        </w:rPr>
        <w:t>arget should focus on advancement of the number of Parties having ratified the Cartagena Protocol and the Nagoya – Kuala Lumpur Supplementary Protocol on Liability and Redress.</w:t>
      </w:r>
    </w:p>
    <w:p w14:paraId="4EB3827C" w14:textId="20948D0B" w:rsidR="001E0EC9" w:rsidRPr="000D6CA7" w:rsidRDefault="006F7EFD" w:rsidP="00536119">
      <w:pPr>
        <w:pStyle w:val="Heading2"/>
        <w:tabs>
          <w:tab w:val="clear" w:pos="720"/>
          <w:tab w:val="left" w:pos="426"/>
        </w:tabs>
        <w:rPr>
          <w:i w:val="0"/>
          <w:kern w:val="22"/>
          <w:szCs w:val="22"/>
        </w:rPr>
      </w:pPr>
      <w:r w:rsidRPr="000D6CA7">
        <w:rPr>
          <w:i w:val="0"/>
          <w:kern w:val="22"/>
          <w:szCs w:val="22"/>
        </w:rPr>
        <w:t>B.</w:t>
      </w:r>
      <w:r w:rsidR="00E13033" w:rsidRPr="000D6CA7">
        <w:rPr>
          <w:i w:val="0"/>
          <w:kern w:val="22"/>
          <w:szCs w:val="22"/>
        </w:rPr>
        <w:tab/>
        <w:t>Summary of the outcomes of the Global Consultation</w:t>
      </w:r>
    </w:p>
    <w:p w14:paraId="73FFDEB8" w14:textId="4B564939" w:rsidR="001E0EC9" w:rsidRPr="000D6CA7" w:rsidRDefault="001E0EC9" w:rsidP="001E0EC9">
      <w:pPr>
        <w:pStyle w:val="Para1"/>
        <w:numPr>
          <w:ilvl w:val="0"/>
          <w:numId w:val="18"/>
        </w:numPr>
        <w:tabs>
          <w:tab w:val="clear" w:pos="360"/>
        </w:tabs>
        <w:rPr>
          <w:kern w:val="22"/>
          <w:szCs w:val="22"/>
          <w:shd w:val="clear" w:color="auto" w:fill="FFFFFF"/>
        </w:rPr>
      </w:pPr>
      <w:r w:rsidRPr="000D6CA7">
        <w:rPr>
          <w:kern w:val="22"/>
          <w:szCs w:val="22"/>
        </w:rPr>
        <w:t>The outcomes of the Global Consultation are captured in the report o</w:t>
      </w:r>
      <w:r w:rsidR="00840A63" w:rsidRPr="000D6CA7">
        <w:rPr>
          <w:kern w:val="22"/>
          <w:szCs w:val="22"/>
        </w:rPr>
        <w:t>n</w:t>
      </w:r>
      <w:r w:rsidRPr="000D6CA7">
        <w:rPr>
          <w:kern w:val="22"/>
          <w:szCs w:val="22"/>
        </w:rPr>
        <w:t xml:space="preserve"> the </w:t>
      </w:r>
      <w:r w:rsidR="00726242" w:rsidRPr="000D6CA7">
        <w:rPr>
          <w:kern w:val="22"/>
          <w:szCs w:val="22"/>
        </w:rPr>
        <w:t xml:space="preserve">workshop </w:t>
      </w:r>
      <w:r w:rsidRPr="000D6CA7">
        <w:rPr>
          <w:kern w:val="22"/>
          <w:szCs w:val="22"/>
        </w:rPr>
        <w:t>(</w:t>
      </w:r>
      <w:r w:rsidR="00616B08" w:rsidRPr="000D6CA7">
        <w:rPr>
          <w:kern w:val="22"/>
          <w:szCs w:val="22"/>
        </w:rPr>
        <w:t>CBD/POST2020/</w:t>
      </w:r>
      <w:proofErr w:type="spellStart"/>
      <w:r w:rsidR="00616B08" w:rsidRPr="000D6CA7">
        <w:rPr>
          <w:kern w:val="22"/>
          <w:szCs w:val="22"/>
        </w:rPr>
        <w:t>WS</w:t>
      </w:r>
      <w:proofErr w:type="spellEnd"/>
      <w:r w:rsidR="00616B08" w:rsidRPr="000D6CA7">
        <w:rPr>
          <w:kern w:val="22"/>
          <w:szCs w:val="22"/>
        </w:rPr>
        <w:t>/2019/7/3</w:t>
      </w:r>
      <w:r w:rsidRPr="000D6CA7">
        <w:rPr>
          <w:kern w:val="22"/>
          <w:szCs w:val="22"/>
        </w:rPr>
        <w:t xml:space="preserve">). </w:t>
      </w:r>
      <w:r w:rsidR="00FD5860" w:rsidRPr="000D6CA7">
        <w:rPr>
          <w:kern w:val="22"/>
          <w:szCs w:val="22"/>
        </w:rPr>
        <w:t xml:space="preserve">In addition, the rapporteur for the Global Consultation, Mr. </w:t>
      </w:r>
      <w:proofErr w:type="spellStart"/>
      <w:r w:rsidR="00FD5860" w:rsidRPr="000D6CA7">
        <w:rPr>
          <w:kern w:val="22"/>
          <w:szCs w:val="22"/>
        </w:rPr>
        <w:t>Dorington</w:t>
      </w:r>
      <w:proofErr w:type="spellEnd"/>
      <w:r w:rsidR="00FD5860" w:rsidRPr="000D6CA7">
        <w:rPr>
          <w:kern w:val="22"/>
          <w:szCs w:val="22"/>
        </w:rPr>
        <w:t xml:space="preserve"> </w:t>
      </w:r>
      <w:proofErr w:type="spellStart"/>
      <w:r w:rsidR="00FD5860" w:rsidRPr="000D6CA7">
        <w:rPr>
          <w:kern w:val="22"/>
          <w:szCs w:val="22"/>
        </w:rPr>
        <w:t>Ogoyi</w:t>
      </w:r>
      <w:proofErr w:type="spellEnd"/>
      <w:r w:rsidR="00FD5860" w:rsidRPr="000D6CA7">
        <w:rPr>
          <w:kern w:val="22"/>
          <w:szCs w:val="22"/>
        </w:rPr>
        <w:t xml:space="preserve"> </w:t>
      </w:r>
      <w:r w:rsidR="009C6DAA" w:rsidRPr="000D6CA7">
        <w:rPr>
          <w:kern w:val="22"/>
          <w:szCs w:val="22"/>
        </w:rPr>
        <w:t>(</w:t>
      </w:r>
      <w:r w:rsidR="00726242" w:rsidRPr="000D6CA7">
        <w:rPr>
          <w:kern w:val="22"/>
          <w:szCs w:val="22"/>
        </w:rPr>
        <w:t>Kenya</w:t>
      </w:r>
      <w:r w:rsidR="009C6DAA" w:rsidRPr="000D6CA7">
        <w:rPr>
          <w:kern w:val="22"/>
          <w:szCs w:val="22"/>
        </w:rPr>
        <w:t>)</w:t>
      </w:r>
      <w:r w:rsidR="00726242" w:rsidRPr="000D6CA7">
        <w:rPr>
          <w:kern w:val="22"/>
          <w:szCs w:val="22"/>
        </w:rPr>
        <w:t xml:space="preserve"> gave an oral report on the Global Consultation to the Working</w:t>
      </w:r>
      <w:r w:rsidR="00FD5860" w:rsidRPr="000D6CA7">
        <w:rPr>
          <w:kern w:val="22"/>
          <w:szCs w:val="22"/>
        </w:rPr>
        <w:t xml:space="preserve"> </w:t>
      </w:r>
      <w:r w:rsidR="00726242" w:rsidRPr="000D6CA7">
        <w:rPr>
          <w:kern w:val="22"/>
          <w:szCs w:val="22"/>
        </w:rPr>
        <w:t>Group</w:t>
      </w:r>
      <w:r w:rsidR="006F7EFD" w:rsidRPr="000D6CA7">
        <w:rPr>
          <w:kern w:val="22"/>
          <w:szCs w:val="22"/>
        </w:rPr>
        <w:t xml:space="preserve"> </w:t>
      </w:r>
      <w:r w:rsidR="007D66E1" w:rsidRPr="000D6CA7">
        <w:rPr>
          <w:kern w:val="22"/>
          <w:szCs w:val="22"/>
        </w:rPr>
        <w:t>on the Post-2020 Global Biodiversity Framework</w:t>
      </w:r>
      <w:r w:rsidR="00726242" w:rsidRPr="000D6CA7">
        <w:rPr>
          <w:kern w:val="22"/>
          <w:szCs w:val="22"/>
        </w:rPr>
        <w:t>, which is captured in the report o</w:t>
      </w:r>
      <w:r w:rsidR="002D6C86" w:rsidRPr="000D6CA7">
        <w:rPr>
          <w:kern w:val="22"/>
          <w:szCs w:val="22"/>
        </w:rPr>
        <w:t>n</w:t>
      </w:r>
      <w:r w:rsidR="00726242" w:rsidRPr="000D6CA7">
        <w:rPr>
          <w:kern w:val="22"/>
          <w:szCs w:val="22"/>
        </w:rPr>
        <w:t xml:space="preserve"> the meeting. </w:t>
      </w:r>
      <w:r w:rsidRPr="000D6CA7">
        <w:rPr>
          <w:kern w:val="22"/>
          <w:szCs w:val="22"/>
        </w:rPr>
        <w:t>A summary of the outcomes is provided in this subsection.</w:t>
      </w:r>
    </w:p>
    <w:p w14:paraId="4C6F05BC" w14:textId="0AB0F945" w:rsidR="00AE59CB" w:rsidRPr="000D6CA7" w:rsidRDefault="00ED11FD" w:rsidP="005A20D8">
      <w:pPr>
        <w:pStyle w:val="Para1"/>
        <w:numPr>
          <w:ilvl w:val="0"/>
          <w:numId w:val="18"/>
        </w:numPr>
        <w:tabs>
          <w:tab w:val="clear" w:pos="360"/>
        </w:tabs>
        <w:rPr>
          <w:kern w:val="22"/>
          <w:szCs w:val="22"/>
          <w:shd w:val="clear" w:color="auto" w:fill="FFFFFF"/>
        </w:rPr>
      </w:pPr>
      <w:r w:rsidRPr="000D6CA7">
        <w:rPr>
          <w:kern w:val="22"/>
          <w:szCs w:val="22"/>
          <w:shd w:val="clear" w:color="auto" w:fill="FFFFFF"/>
        </w:rPr>
        <w:t>P</w:t>
      </w:r>
      <w:r w:rsidR="001E0EC9" w:rsidRPr="000D6CA7">
        <w:rPr>
          <w:kern w:val="22"/>
          <w:szCs w:val="22"/>
          <w:shd w:val="clear" w:color="auto" w:fill="FFFFFF"/>
        </w:rPr>
        <w:t xml:space="preserve">articipants </w:t>
      </w:r>
      <w:r w:rsidR="000E370D" w:rsidRPr="000D6CA7">
        <w:rPr>
          <w:kern w:val="22"/>
          <w:szCs w:val="22"/>
          <w:shd w:val="clear" w:color="auto" w:fill="FFFFFF"/>
        </w:rPr>
        <w:t xml:space="preserve">emphasized </w:t>
      </w:r>
      <w:r w:rsidR="001E0EC9" w:rsidRPr="000D6CA7">
        <w:rPr>
          <w:kern w:val="22"/>
          <w:szCs w:val="22"/>
          <w:shd w:val="clear" w:color="auto" w:fill="FFFFFF"/>
        </w:rPr>
        <w:t xml:space="preserve">that </w:t>
      </w:r>
      <w:r w:rsidR="00AE13A7" w:rsidRPr="000D6CA7">
        <w:rPr>
          <w:kern w:val="22"/>
          <w:szCs w:val="22"/>
          <w:shd w:val="clear" w:color="auto" w:fill="FFFFFF"/>
        </w:rPr>
        <w:t>implementation of</w:t>
      </w:r>
      <w:r w:rsidR="001E0EC9" w:rsidRPr="000D6CA7">
        <w:rPr>
          <w:kern w:val="22"/>
          <w:szCs w:val="22"/>
          <w:shd w:val="clear" w:color="auto" w:fill="FFFFFF"/>
        </w:rPr>
        <w:t xml:space="preserve"> biosafety </w:t>
      </w:r>
      <w:r w:rsidRPr="000D6CA7">
        <w:rPr>
          <w:kern w:val="22"/>
          <w:szCs w:val="22"/>
          <w:shd w:val="clear" w:color="auto" w:fill="FFFFFF"/>
        </w:rPr>
        <w:t>contributes to</w:t>
      </w:r>
      <w:r w:rsidR="001E0EC9" w:rsidRPr="000D6CA7">
        <w:rPr>
          <w:kern w:val="22"/>
          <w:szCs w:val="22"/>
          <w:shd w:val="clear" w:color="auto" w:fill="FFFFFF"/>
        </w:rPr>
        <w:t xml:space="preserve"> </w:t>
      </w:r>
      <w:r w:rsidR="00222711" w:rsidRPr="000D6CA7">
        <w:rPr>
          <w:kern w:val="22"/>
          <w:szCs w:val="22"/>
          <w:shd w:val="clear" w:color="auto" w:fill="FFFFFF"/>
        </w:rPr>
        <w:t xml:space="preserve">the </w:t>
      </w:r>
      <w:r w:rsidR="001E0EC9" w:rsidRPr="000D6CA7">
        <w:rPr>
          <w:kern w:val="22"/>
          <w:szCs w:val="22"/>
          <w:shd w:val="clear" w:color="auto" w:fill="FFFFFF"/>
        </w:rPr>
        <w:t>conservation and sustainable use of biological diversity</w:t>
      </w:r>
      <w:r w:rsidRPr="000D6CA7">
        <w:rPr>
          <w:kern w:val="22"/>
          <w:szCs w:val="22"/>
          <w:shd w:val="clear" w:color="auto" w:fill="FFFFFF"/>
        </w:rPr>
        <w:t xml:space="preserve"> and thus to the achievement of the goals of the Convention </w:t>
      </w:r>
      <w:r w:rsidR="006C0E1A" w:rsidRPr="000D6CA7">
        <w:rPr>
          <w:kern w:val="22"/>
          <w:szCs w:val="22"/>
          <w:shd w:val="clear" w:color="auto" w:fill="FFFFFF"/>
        </w:rPr>
        <w:t xml:space="preserve">and the 2050 Vision of living in harmony with nature </w:t>
      </w:r>
      <w:r w:rsidRPr="000D6CA7">
        <w:rPr>
          <w:kern w:val="22"/>
          <w:szCs w:val="22"/>
          <w:shd w:val="clear" w:color="auto" w:fill="FFFFFF"/>
        </w:rPr>
        <w:t xml:space="preserve">as well as broader development goals, such as the Sustainable </w:t>
      </w:r>
      <w:r w:rsidRPr="000D6CA7">
        <w:rPr>
          <w:kern w:val="22"/>
          <w:szCs w:val="22"/>
          <w:shd w:val="clear" w:color="auto" w:fill="FFFFFF"/>
        </w:rPr>
        <w:lastRenderedPageBreak/>
        <w:t>Development Goals.</w:t>
      </w:r>
      <w:r w:rsidR="001E0EC9" w:rsidRPr="000D6CA7">
        <w:rPr>
          <w:kern w:val="22"/>
          <w:szCs w:val="22"/>
          <w:shd w:val="clear" w:color="auto" w:fill="FFFFFF"/>
        </w:rPr>
        <w:t xml:space="preserve"> </w:t>
      </w:r>
      <w:r w:rsidR="00AA3B49" w:rsidRPr="000D6CA7">
        <w:rPr>
          <w:kern w:val="22"/>
          <w:szCs w:val="22"/>
          <w:shd w:val="clear" w:color="auto" w:fill="FFFFFF"/>
        </w:rPr>
        <w:t xml:space="preserve">It was felt that </w:t>
      </w:r>
      <w:r w:rsidR="00E24EE7" w:rsidRPr="000D6CA7">
        <w:rPr>
          <w:kern w:val="22"/>
          <w:szCs w:val="22"/>
          <w:shd w:val="clear" w:color="auto" w:fill="FFFFFF"/>
        </w:rPr>
        <w:t>biosafety</w:t>
      </w:r>
      <w:r w:rsidR="00E709C6" w:rsidRPr="000D6CA7">
        <w:rPr>
          <w:kern w:val="22"/>
          <w:szCs w:val="22"/>
          <w:shd w:val="clear" w:color="auto" w:fill="FFFFFF"/>
        </w:rPr>
        <w:t xml:space="preserve"> was relevant to most of the Sustainable Development Goals and the Aichi </w:t>
      </w:r>
      <w:r w:rsidR="006F7EFD" w:rsidRPr="000D6CA7">
        <w:rPr>
          <w:kern w:val="22"/>
          <w:szCs w:val="22"/>
          <w:shd w:val="clear" w:color="auto" w:fill="FFFFFF"/>
        </w:rPr>
        <w:t>Biodiversity T</w:t>
      </w:r>
      <w:r w:rsidR="00E709C6" w:rsidRPr="000D6CA7">
        <w:rPr>
          <w:kern w:val="22"/>
          <w:szCs w:val="22"/>
          <w:shd w:val="clear" w:color="auto" w:fill="FFFFFF"/>
        </w:rPr>
        <w:t>argets.</w:t>
      </w:r>
    </w:p>
    <w:p w14:paraId="6E23F1CB" w14:textId="76C28ECC" w:rsidR="001E0EC9" w:rsidRPr="000D6CA7" w:rsidRDefault="00ED11FD" w:rsidP="001E0EC9">
      <w:pPr>
        <w:pStyle w:val="Para1"/>
        <w:numPr>
          <w:ilvl w:val="0"/>
          <w:numId w:val="18"/>
        </w:numPr>
        <w:tabs>
          <w:tab w:val="clear" w:pos="360"/>
        </w:tabs>
        <w:rPr>
          <w:kern w:val="22"/>
          <w:szCs w:val="22"/>
          <w:shd w:val="clear" w:color="auto" w:fill="FFFFFF"/>
        </w:rPr>
      </w:pPr>
      <w:r w:rsidRPr="000D6CA7">
        <w:rPr>
          <w:kern w:val="22"/>
          <w:szCs w:val="22"/>
          <w:shd w:val="clear" w:color="auto" w:fill="FFFFFF"/>
        </w:rPr>
        <w:t>P</w:t>
      </w:r>
      <w:r w:rsidR="001E0EC9" w:rsidRPr="000D6CA7">
        <w:rPr>
          <w:kern w:val="22"/>
          <w:szCs w:val="22"/>
          <w:shd w:val="clear" w:color="auto" w:fill="FFFFFF"/>
        </w:rPr>
        <w:t xml:space="preserve">articipants </w:t>
      </w:r>
      <w:r w:rsidR="000E370D" w:rsidRPr="000D6CA7">
        <w:rPr>
          <w:kern w:val="22"/>
          <w:szCs w:val="22"/>
          <w:shd w:val="clear" w:color="auto" w:fill="FFFFFF"/>
        </w:rPr>
        <w:t xml:space="preserve">stressed </w:t>
      </w:r>
      <w:r w:rsidR="001E0EC9" w:rsidRPr="000D6CA7">
        <w:rPr>
          <w:kern w:val="22"/>
          <w:szCs w:val="22"/>
          <w:shd w:val="clear" w:color="auto" w:fill="FFFFFF"/>
        </w:rPr>
        <w:t>that all Parties of the Convention have biosafety obligations, including through Articles 8(g) and 19</w:t>
      </w:r>
      <w:r w:rsidRPr="000D6CA7">
        <w:rPr>
          <w:kern w:val="22"/>
          <w:szCs w:val="22"/>
          <w:shd w:val="clear" w:color="auto" w:fill="FFFFFF"/>
        </w:rPr>
        <w:t xml:space="preserve"> of the Convention</w:t>
      </w:r>
      <w:r w:rsidR="00C975FC" w:rsidRPr="000D6CA7">
        <w:rPr>
          <w:kern w:val="22"/>
          <w:szCs w:val="22"/>
          <w:shd w:val="clear" w:color="auto" w:fill="FFFFFF"/>
        </w:rPr>
        <w:t xml:space="preserve"> and through the provisions related to research, technology and technical and scientific cooperation</w:t>
      </w:r>
      <w:r w:rsidRPr="000D6CA7">
        <w:rPr>
          <w:kern w:val="22"/>
          <w:szCs w:val="22"/>
          <w:shd w:val="clear" w:color="auto" w:fill="FFFFFF"/>
        </w:rPr>
        <w:t xml:space="preserve">. </w:t>
      </w:r>
      <w:r w:rsidRPr="000D6CA7">
        <w:rPr>
          <w:kern w:val="22"/>
          <w:szCs w:val="22"/>
        </w:rPr>
        <w:t xml:space="preserve">Participants noted that biosafety was relevant to </w:t>
      </w:r>
      <w:r w:rsidR="00AE59CB" w:rsidRPr="000D6CA7">
        <w:rPr>
          <w:kern w:val="22"/>
          <w:szCs w:val="22"/>
        </w:rPr>
        <w:t>most</w:t>
      </w:r>
      <w:r w:rsidRPr="000D6CA7">
        <w:rPr>
          <w:kern w:val="22"/>
          <w:szCs w:val="22"/>
        </w:rPr>
        <w:t xml:space="preserve"> Aichi Biodiversity Targets, but that</w:t>
      </w:r>
      <w:r w:rsidR="00961D9B" w:rsidRPr="000D6CA7">
        <w:rPr>
          <w:kern w:val="22"/>
          <w:szCs w:val="22"/>
        </w:rPr>
        <w:t>,</w:t>
      </w:r>
      <w:r w:rsidRPr="000D6CA7">
        <w:rPr>
          <w:kern w:val="22"/>
          <w:szCs w:val="22"/>
        </w:rPr>
        <w:t xml:space="preserve"> nonetheless</w:t>
      </w:r>
      <w:r w:rsidR="00961D9B" w:rsidRPr="000D6CA7">
        <w:rPr>
          <w:kern w:val="22"/>
          <w:szCs w:val="22"/>
        </w:rPr>
        <w:t>,</w:t>
      </w:r>
      <w:r w:rsidRPr="000D6CA7">
        <w:rPr>
          <w:kern w:val="22"/>
          <w:szCs w:val="22"/>
        </w:rPr>
        <w:t xml:space="preserve"> biosafety had not been explicitly included in the Strategic Plan for Biodiversity.</w:t>
      </w:r>
    </w:p>
    <w:p w14:paraId="047730D1" w14:textId="42D791EA" w:rsidR="00C975FC" w:rsidRPr="000D6CA7" w:rsidRDefault="00C975FC" w:rsidP="001E0EC9">
      <w:pPr>
        <w:pStyle w:val="Para1"/>
        <w:numPr>
          <w:ilvl w:val="0"/>
          <w:numId w:val="18"/>
        </w:numPr>
        <w:tabs>
          <w:tab w:val="clear" w:pos="360"/>
        </w:tabs>
        <w:rPr>
          <w:kern w:val="22"/>
          <w:szCs w:val="22"/>
          <w:shd w:val="clear" w:color="auto" w:fill="FFFFFF"/>
        </w:rPr>
      </w:pPr>
      <w:r w:rsidRPr="000D6CA7">
        <w:rPr>
          <w:kern w:val="22"/>
          <w:szCs w:val="22"/>
        </w:rPr>
        <w:t xml:space="preserve">Participants expressed the view that including a specific biosafety element in the post-2020 </w:t>
      </w:r>
      <w:r w:rsidR="00AE59CB" w:rsidRPr="000D6CA7">
        <w:rPr>
          <w:kern w:val="22"/>
          <w:szCs w:val="22"/>
        </w:rPr>
        <w:t>g</w:t>
      </w:r>
      <w:r w:rsidRPr="000D6CA7">
        <w:rPr>
          <w:kern w:val="22"/>
          <w:szCs w:val="22"/>
        </w:rPr>
        <w:t xml:space="preserve">lobal </w:t>
      </w:r>
      <w:r w:rsidR="00AE59CB" w:rsidRPr="000D6CA7">
        <w:rPr>
          <w:kern w:val="22"/>
          <w:szCs w:val="22"/>
        </w:rPr>
        <w:t>b</w:t>
      </w:r>
      <w:r w:rsidRPr="000D6CA7">
        <w:rPr>
          <w:kern w:val="22"/>
          <w:szCs w:val="22"/>
        </w:rPr>
        <w:t xml:space="preserve">iodiversity </w:t>
      </w:r>
      <w:r w:rsidR="00AE59CB" w:rsidRPr="000D6CA7">
        <w:rPr>
          <w:kern w:val="22"/>
          <w:szCs w:val="22"/>
        </w:rPr>
        <w:t>f</w:t>
      </w:r>
      <w:r w:rsidRPr="000D6CA7">
        <w:rPr>
          <w:kern w:val="22"/>
          <w:szCs w:val="22"/>
        </w:rPr>
        <w:t xml:space="preserve">ramework could support greater synergies in integrating biosafety and the Convention, including by helping with communication and coordination between focal points </w:t>
      </w:r>
      <w:r w:rsidR="00190DE8" w:rsidRPr="000D6CA7">
        <w:rPr>
          <w:kern w:val="22"/>
          <w:szCs w:val="22"/>
        </w:rPr>
        <w:t xml:space="preserve">and with other sectors </w:t>
      </w:r>
      <w:r w:rsidRPr="000D6CA7">
        <w:rPr>
          <w:kern w:val="22"/>
          <w:szCs w:val="22"/>
        </w:rPr>
        <w:t xml:space="preserve">at </w:t>
      </w:r>
      <w:r w:rsidR="00AE59CB" w:rsidRPr="000D6CA7">
        <w:rPr>
          <w:kern w:val="22"/>
          <w:szCs w:val="22"/>
        </w:rPr>
        <w:t>the national level</w:t>
      </w:r>
      <w:r w:rsidR="005F3EC2" w:rsidRPr="000D6CA7">
        <w:rPr>
          <w:kern w:val="22"/>
          <w:szCs w:val="22"/>
        </w:rPr>
        <w:t xml:space="preserve">. In this respect, </w:t>
      </w:r>
      <w:r w:rsidR="00844A87" w:rsidRPr="000D6CA7">
        <w:rPr>
          <w:kern w:val="22"/>
          <w:szCs w:val="22"/>
        </w:rPr>
        <w:t>p</w:t>
      </w:r>
      <w:r w:rsidR="005F3EC2" w:rsidRPr="000D6CA7">
        <w:rPr>
          <w:kern w:val="22"/>
          <w:szCs w:val="22"/>
        </w:rPr>
        <w:t>articipants also stressed the importance of biosafety mainstreaming.</w:t>
      </w:r>
    </w:p>
    <w:p w14:paraId="5C0043F3" w14:textId="3C73344C" w:rsidR="005B0E94" w:rsidRPr="000D6CA7" w:rsidRDefault="005B0E94" w:rsidP="001E0EC9">
      <w:pPr>
        <w:pStyle w:val="Para1"/>
        <w:numPr>
          <w:ilvl w:val="0"/>
          <w:numId w:val="18"/>
        </w:numPr>
        <w:tabs>
          <w:tab w:val="clear" w:pos="360"/>
        </w:tabs>
        <w:rPr>
          <w:kern w:val="22"/>
          <w:szCs w:val="22"/>
          <w:shd w:val="clear" w:color="auto" w:fill="FFFFFF"/>
        </w:rPr>
      </w:pPr>
      <w:r w:rsidRPr="000D6CA7">
        <w:rPr>
          <w:kern w:val="22"/>
          <w:szCs w:val="22"/>
        </w:rPr>
        <w:t xml:space="preserve">Some participants suggested that the biosafety-related provisions of the Convention should provide the basis for a specific biosafety element in the post-2020 framework but that it </w:t>
      </w:r>
      <w:r w:rsidR="008B626A" w:rsidRPr="000D6CA7">
        <w:rPr>
          <w:kern w:val="22"/>
          <w:szCs w:val="22"/>
        </w:rPr>
        <w:t xml:space="preserve">might </w:t>
      </w:r>
      <w:r w:rsidRPr="000D6CA7">
        <w:rPr>
          <w:kern w:val="22"/>
          <w:szCs w:val="22"/>
        </w:rPr>
        <w:t>be possible to include additional elements highlighting the role of the Protocol in achieving the objectives of the Convention. Others suggested that</w:t>
      </w:r>
      <w:r w:rsidR="001C1D76" w:rsidRPr="000D6CA7">
        <w:rPr>
          <w:kern w:val="22"/>
          <w:szCs w:val="22"/>
        </w:rPr>
        <w:t>,</w:t>
      </w:r>
      <w:r w:rsidRPr="000D6CA7">
        <w:rPr>
          <w:kern w:val="22"/>
          <w:szCs w:val="22"/>
        </w:rPr>
        <w:t xml:space="preserve"> if there </w:t>
      </w:r>
      <w:r w:rsidR="001C1D76" w:rsidRPr="000D6CA7">
        <w:rPr>
          <w:kern w:val="22"/>
          <w:szCs w:val="22"/>
        </w:rPr>
        <w:t xml:space="preserve">were to be </w:t>
      </w:r>
      <w:r w:rsidRPr="000D6CA7">
        <w:rPr>
          <w:kern w:val="22"/>
          <w:szCs w:val="22"/>
        </w:rPr>
        <w:t xml:space="preserve">a single biosafety element in the framework, it should encourage non-Parties to ratify the Protocol and implement their obligations </w:t>
      </w:r>
      <w:r w:rsidR="004E188C" w:rsidRPr="000D6CA7">
        <w:rPr>
          <w:kern w:val="22"/>
          <w:szCs w:val="22"/>
        </w:rPr>
        <w:t xml:space="preserve">under the Convention </w:t>
      </w:r>
      <w:r w:rsidRPr="000D6CA7">
        <w:rPr>
          <w:kern w:val="22"/>
          <w:szCs w:val="22"/>
        </w:rPr>
        <w:t>for biosafety.</w:t>
      </w:r>
    </w:p>
    <w:p w14:paraId="189D5139" w14:textId="1D763C9E" w:rsidR="00D965B6" w:rsidRPr="000D6CA7" w:rsidRDefault="00D965B6" w:rsidP="001E0EC9">
      <w:pPr>
        <w:pStyle w:val="Para1"/>
        <w:numPr>
          <w:ilvl w:val="0"/>
          <w:numId w:val="18"/>
        </w:numPr>
        <w:tabs>
          <w:tab w:val="clear" w:pos="360"/>
        </w:tabs>
        <w:rPr>
          <w:kern w:val="22"/>
          <w:szCs w:val="22"/>
          <w:shd w:val="clear" w:color="auto" w:fill="FFFFFF"/>
        </w:rPr>
      </w:pPr>
      <w:bookmarkStart w:id="6" w:name="_Ref21103628"/>
      <w:r w:rsidRPr="000D6CA7">
        <w:rPr>
          <w:kern w:val="22"/>
          <w:szCs w:val="22"/>
          <w:shd w:val="clear" w:color="auto" w:fill="FFFFFF"/>
        </w:rPr>
        <w:t>During the Global Consultation, participants considered two proposals, made through the submissions, containing language for a specific biosafety target for inclusion in the post-2020 global biodiversity framework</w:t>
      </w:r>
      <w:r w:rsidR="00143FEB" w:rsidRPr="000D6CA7">
        <w:rPr>
          <w:kern w:val="22"/>
          <w:szCs w:val="22"/>
          <w:shd w:val="clear" w:color="auto" w:fill="FFFFFF"/>
        </w:rPr>
        <w:t xml:space="preserve">, </w:t>
      </w:r>
      <w:r w:rsidR="00844A87" w:rsidRPr="000D6CA7">
        <w:rPr>
          <w:kern w:val="22"/>
          <w:szCs w:val="22"/>
          <w:shd w:val="clear" w:color="auto" w:fill="FFFFFF"/>
        </w:rPr>
        <w:t xml:space="preserve">as </w:t>
      </w:r>
      <w:r w:rsidR="00143FEB" w:rsidRPr="000D6CA7">
        <w:rPr>
          <w:kern w:val="22"/>
          <w:szCs w:val="22"/>
          <w:shd w:val="clear" w:color="auto" w:fill="FFFFFF"/>
        </w:rPr>
        <w:t>reproduced below:</w:t>
      </w:r>
      <w:bookmarkEnd w:id="6"/>
    </w:p>
    <w:p w14:paraId="2D4724D0" w14:textId="43925FF9" w:rsidR="00984C06" w:rsidRPr="000D6CA7" w:rsidRDefault="00C75417" w:rsidP="004E188C">
      <w:pPr>
        <w:pStyle w:val="Para1"/>
        <w:numPr>
          <w:ilvl w:val="1"/>
          <w:numId w:val="18"/>
        </w:numPr>
        <w:tabs>
          <w:tab w:val="clear" w:pos="1080"/>
        </w:tabs>
        <w:rPr>
          <w:kern w:val="22"/>
          <w:szCs w:val="22"/>
          <w:shd w:val="clear" w:color="auto" w:fill="FFFFFF"/>
        </w:rPr>
      </w:pPr>
      <w:r w:rsidRPr="000D6CA7">
        <w:rPr>
          <w:kern w:val="22"/>
          <w:szCs w:val="22"/>
          <w:shd w:val="clear" w:color="auto" w:fill="FFFFFF"/>
        </w:rPr>
        <w:t>“</w:t>
      </w:r>
      <w:r w:rsidR="00984C06" w:rsidRPr="000D6CA7">
        <w:rPr>
          <w:kern w:val="22"/>
          <w:szCs w:val="22"/>
          <w:shd w:val="clear" w:color="auto" w:fill="FFFFFF"/>
        </w:rPr>
        <w:t>All Parties possess and maintain the regulatory framework and the capacity to regulate, manage or control the risks associated with the use and release of living modified organisms which are likely to have adverse environmental impacts that could affect the conservation and sustainable use of biological diversity, taking also into account the risks to human health</w:t>
      </w:r>
      <w:r w:rsidRPr="000D6CA7">
        <w:rPr>
          <w:kern w:val="22"/>
          <w:szCs w:val="22"/>
          <w:shd w:val="clear" w:color="auto" w:fill="FFFFFF"/>
        </w:rPr>
        <w:t>;</w:t>
      </w:r>
    </w:p>
    <w:p w14:paraId="5F24C94C" w14:textId="6E5DA59D" w:rsidR="00984C06" w:rsidRPr="000D6CA7" w:rsidRDefault="00984C06" w:rsidP="004E188C">
      <w:pPr>
        <w:pStyle w:val="Para1"/>
        <w:numPr>
          <w:ilvl w:val="1"/>
          <w:numId w:val="18"/>
        </w:numPr>
        <w:tabs>
          <w:tab w:val="clear" w:pos="1080"/>
        </w:tabs>
        <w:rPr>
          <w:kern w:val="22"/>
          <w:szCs w:val="22"/>
          <w:shd w:val="clear" w:color="auto" w:fill="FFFFFF"/>
        </w:rPr>
      </w:pPr>
      <w:r w:rsidRPr="000D6CA7">
        <w:rPr>
          <w:kern w:val="22"/>
          <w:szCs w:val="22"/>
          <w:shd w:val="clear" w:color="auto" w:fill="FFFFFF"/>
        </w:rPr>
        <w:t>By 2030, all Parties have in place means to regulate, manage or control the risks associated with the use and release of living modified organisms which are likely to have adverse environmental impacts that could affect the conservation and sustainable use of biological diversity, taking also into account the risks to human health. This can be achieved by implementing different approaches and modalities, an important one being the Cartagena Protocol on Biosafety and its specific Implementation Plan.</w:t>
      </w:r>
      <w:r w:rsidR="00C75417" w:rsidRPr="000D6CA7">
        <w:rPr>
          <w:kern w:val="22"/>
          <w:szCs w:val="22"/>
          <w:shd w:val="clear" w:color="auto" w:fill="FFFFFF"/>
        </w:rPr>
        <w:t>”</w:t>
      </w:r>
    </w:p>
    <w:p w14:paraId="0173739C" w14:textId="0C53FF18" w:rsidR="00984C06" w:rsidRPr="000D6CA7" w:rsidRDefault="00984C06" w:rsidP="001E0EC9">
      <w:pPr>
        <w:pStyle w:val="Para1"/>
        <w:numPr>
          <w:ilvl w:val="0"/>
          <w:numId w:val="18"/>
        </w:numPr>
        <w:tabs>
          <w:tab w:val="clear" w:pos="360"/>
        </w:tabs>
        <w:rPr>
          <w:kern w:val="22"/>
          <w:szCs w:val="22"/>
          <w:shd w:val="clear" w:color="auto" w:fill="FFFFFF"/>
        </w:rPr>
      </w:pPr>
      <w:r w:rsidRPr="000D6CA7">
        <w:rPr>
          <w:kern w:val="22"/>
          <w:szCs w:val="22"/>
          <w:shd w:val="clear" w:color="auto" w:fill="FFFFFF"/>
        </w:rPr>
        <w:t xml:space="preserve">In discussing these specific proposals, participants </w:t>
      </w:r>
      <w:r w:rsidR="00CF7916" w:rsidRPr="000D6CA7">
        <w:rPr>
          <w:kern w:val="22"/>
          <w:szCs w:val="22"/>
          <w:shd w:val="clear" w:color="auto" w:fill="FFFFFF"/>
        </w:rPr>
        <w:t>suggested</w:t>
      </w:r>
      <w:r w:rsidR="00FD428E" w:rsidRPr="000D6CA7">
        <w:rPr>
          <w:kern w:val="22"/>
          <w:szCs w:val="22"/>
          <w:shd w:val="clear" w:color="auto" w:fill="FFFFFF"/>
        </w:rPr>
        <w:t xml:space="preserve"> adding</w:t>
      </w:r>
      <w:r w:rsidRPr="000D6CA7">
        <w:rPr>
          <w:kern w:val="22"/>
          <w:szCs w:val="22"/>
          <w:shd w:val="clear" w:color="auto" w:fill="FFFFFF"/>
        </w:rPr>
        <w:t xml:space="preserve"> language related to the need to ratify the Cartagena Protocol</w:t>
      </w:r>
      <w:r w:rsidR="00DB1397" w:rsidRPr="000D6CA7">
        <w:rPr>
          <w:kern w:val="22"/>
          <w:szCs w:val="22"/>
          <w:shd w:val="clear" w:color="auto" w:fill="FFFFFF"/>
        </w:rPr>
        <w:t>,</w:t>
      </w:r>
      <w:r w:rsidRPr="000D6CA7">
        <w:rPr>
          <w:kern w:val="22"/>
          <w:szCs w:val="22"/>
          <w:shd w:val="clear" w:color="auto" w:fill="FFFFFF"/>
        </w:rPr>
        <w:t xml:space="preserve"> the benefits of biotechnologies</w:t>
      </w:r>
      <w:r w:rsidR="00DB1397" w:rsidRPr="000D6CA7">
        <w:rPr>
          <w:kern w:val="22"/>
          <w:szCs w:val="22"/>
          <w:shd w:val="clear" w:color="auto" w:fill="FFFFFF"/>
        </w:rPr>
        <w:t>,</w:t>
      </w:r>
      <w:r w:rsidRPr="000D6CA7">
        <w:rPr>
          <w:kern w:val="22"/>
          <w:szCs w:val="22"/>
          <w:shd w:val="clear" w:color="auto" w:fill="FFFFFF"/>
        </w:rPr>
        <w:t xml:space="preserve"> information exchange</w:t>
      </w:r>
      <w:r w:rsidR="00DB1397" w:rsidRPr="000D6CA7">
        <w:rPr>
          <w:kern w:val="22"/>
          <w:szCs w:val="22"/>
          <w:shd w:val="clear" w:color="auto" w:fill="FFFFFF"/>
        </w:rPr>
        <w:t>,</w:t>
      </w:r>
      <w:r w:rsidR="005612E0" w:rsidRPr="000D6CA7">
        <w:rPr>
          <w:kern w:val="22"/>
          <w:szCs w:val="22"/>
          <w:shd w:val="clear" w:color="auto" w:fill="FFFFFF"/>
        </w:rPr>
        <w:t xml:space="preserve"> regulatory frameworks</w:t>
      </w:r>
      <w:r w:rsidR="00DB1397" w:rsidRPr="000D6CA7">
        <w:rPr>
          <w:kern w:val="22"/>
          <w:szCs w:val="22"/>
          <w:shd w:val="clear" w:color="auto" w:fill="FFFFFF"/>
        </w:rPr>
        <w:t>,</w:t>
      </w:r>
      <w:r w:rsidR="005612E0" w:rsidRPr="000D6CA7">
        <w:rPr>
          <w:kern w:val="22"/>
          <w:szCs w:val="22"/>
          <w:shd w:val="clear" w:color="auto" w:fill="FFFFFF"/>
        </w:rPr>
        <w:t xml:space="preserve"> financial resources</w:t>
      </w:r>
      <w:r w:rsidRPr="000D6CA7">
        <w:rPr>
          <w:kern w:val="22"/>
          <w:szCs w:val="22"/>
          <w:shd w:val="clear" w:color="auto" w:fill="FFFFFF"/>
        </w:rPr>
        <w:t xml:space="preserve"> and text related to the Nagoya</w:t>
      </w:r>
      <w:r w:rsidR="00D90BC6" w:rsidRPr="000D6CA7">
        <w:rPr>
          <w:kern w:val="22"/>
          <w:szCs w:val="22"/>
        </w:rPr>
        <w:t>–</w:t>
      </w:r>
      <w:r w:rsidRPr="000D6CA7">
        <w:rPr>
          <w:kern w:val="22"/>
          <w:szCs w:val="22"/>
          <w:shd w:val="clear" w:color="auto" w:fill="FFFFFF"/>
        </w:rPr>
        <w:t>Kuala Lumpur Supplementary Protocol on Liability and Redress.</w:t>
      </w:r>
    </w:p>
    <w:p w14:paraId="1AB5FC3B" w14:textId="0D6DFA5D" w:rsidR="005612E0" w:rsidRPr="000D6CA7" w:rsidRDefault="005612E0" w:rsidP="005612E0">
      <w:pPr>
        <w:pStyle w:val="Para1"/>
        <w:numPr>
          <w:ilvl w:val="0"/>
          <w:numId w:val="18"/>
        </w:numPr>
        <w:tabs>
          <w:tab w:val="clear" w:pos="360"/>
        </w:tabs>
        <w:rPr>
          <w:kern w:val="22"/>
          <w:szCs w:val="22"/>
          <w:shd w:val="clear" w:color="auto" w:fill="FFFFFF"/>
        </w:rPr>
      </w:pPr>
      <w:r w:rsidRPr="000D6CA7">
        <w:rPr>
          <w:kern w:val="22"/>
          <w:szCs w:val="22"/>
          <w:shd w:val="clear" w:color="auto" w:fill="FFFFFF"/>
        </w:rPr>
        <w:t xml:space="preserve">Some participants </w:t>
      </w:r>
      <w:r w:rsidR="006101DE" w:rsidRPr="000D6CA7">
        <w:rPr>
          <w:kern w:val="22"/>
          <w:szCs w:val="22"/>
          <w:shd w:val="clear" w:color="auto" w:fill="FFFFFF"/>
        </w:rPr>
        <w:t xml:space="preserve">considered </w:t>
      </w:r>
      <w:r w:rsidRPr="000D6CA7">
        <w:rPr>
          <w:kern w:val="22"/>
          <w:szCs w:val="22"/>
          <w:shd w:val="clear" w:color="auto" w:fill="FFFFFF"/>
        </w:rPr>
        <w:t>alternative wording</w:t>
      </w:r>
      <w:r w:rsidR="006101DE" w:rsidRPr="000D6CA7">
        <w:rPr>
          <w:kern w:val="22"/>
          <w:szCs w:val="22"/>
          <w:shd w:val="clear" w:color="auto" w:fill="FFFFFF"/>
        </w:rPr>
        <w:t xml:space="preserve"> to</w:t>
      </w:r>
      <w:r w:rsidR="00F13514" w:rsidRPr="000D6CA7">
        <w:rPr>
          <w:kern w:val="22"/>
          <w:szCs w:val="22"/>
          <w:shd w:val="clear" w:color="auto" w:fill="FFFFFF"/>
        </w:rPr>
        <w:t xml:space="preserve"> </w:t>
      </w:r>
      <w:r w:rsidR="000E457F" w:rsidRPr="000D6CA7">
        <w:rPr>
          <w:kern w:val="22"/>
          <w:szCs w:val="22"/>
          <w:shd w:val="clear" w:color="auto" w:fill="FFFFFF"/>
        </w:rPr>
        <w:t>combin</w:t>
      </w:r>
      <w:r w:rsidR="006101DE" w:rsidRPr="000D6CA7">
        <w:rPr>
          <w:kern w:val="22"/>
          <w:szCs w:val="22"/>
          <w:shd w:val="clear" w:color="auto" w:fill="FFFFFF"/>
        </w:rPr>
        <w:t>e</w:t>
      </w:r>
      <w:r w:rsidR="000E457F" w:rsidRPr="000D6CA7">
        <w:rPr>
          <w:kern w:val="22"/>
          <w:szCs w:val="22"/>
          <w:shd w:val="clear" w:color="auto" w:fill="FFFFFF"/>
        </w:rPr>
        <w:t xml:space="preserve"> elements of the two proposals</w:t>
      </w:r>
      <w:r w:rsidR="006101DE" w:rsidRPr="000D6CA7">
        <w:rPr>
          <w:kern w:val="22"/>
          <w:szCs w:val="22"/>
          <w:shd w:val="clear" w:color="auto" w:fill="FFFFFF"/>
        </w:rPr>
        <w:t>.</w:t>
      </w:r>
    </w:p>
    <w:p w14:paraId="5B12F8F8" w14:textId="4F2A6F91" w:rsidR="00833C14" w:rsidRPr="000D6CA7" w:rsidRDefault="00A74EEA" w:rsidP="001E0EC9">
      <w:pPr>
        <w:pStyle w:val="Para1"/>
        <w:numPr>
          <w:ilvl w:val="0"/>
          <w:numId w:val="18"/>
        </w:numPr>
        <w:tabs>
          <w:tab w:val="clear" w:pos="360"/>
        </w:tabs>
        <w:rPr>
          <w:kern w:val="22"/>
          <w:szCs w:val="22"/>
          <w:shd w:val="clear" w:color="auto" w:fill="FFFFFF"/>
        </w:rPr>
      </w:pPr>
      <w:r w:rsidRPr="000D6CA7">
        <w:rPr>
          <w:kern w:val="22"/>
          <w:szCs w:val="22"/>
        </w:rPr>
        <w:t>It was pointed out that new technologies fall at the interface of the Cartagena and Nagoya Protocols and that coordination between the two instruments is needed. It was also noted that coordination with other conventions is needed as there are many areas in common.</w:t>
      </w:r>
      <w:r w:rsidR="00C25201" w:rsidRPr="000D6CA7">
        <w:rPr>
          <w:kern w:val="22"/>
          <w:szCs w:val="22"/>
          <w:shd w:val="clear" w:color="auto" w:fill="FFFFFF"/>
        </w:rPr>
        <w:t xml:space="preserve"> </w:t>
      </w:r>
      <w:r w:rsidR="00C25201" w:rsidRPr="000D6CA7">
        <w:rPr>
          <w:kern w:val="22"/>
          <w:szCs w:val="22"/>
        </w:rPr>
        <w:t>It was suggested that living modified organisms were already addressed by the Protocol so perhaps the post-2020 global biodiversity framework should instead focus on other products developed by new technologies that lack a framework and so may need to be addressed under the Convention.</w:t>
      </w:r>
    </w:p>
    <w:p w14:paraId="0A81222B" w14:textId="2A06E6D8" w:rsidR="00BD0ABB" w:rsidRPr="000D6CA7" w:rsidRDefault="00A32891" w:rsidP="00EE7CB4">
      <w:pPr>
        <w:pStyle w:val="Para1"/>
        <w:numPr>
          <w:ilvl w:val="0"/>
          <w:numId w:val="18"/>
        </w:numPr>
        <w:tabs>
          <w:tab w:val="clear" w:pos="360"/>
        </w:tabs>
        <w:rPr>
          <w:kern w:val="22"/>
          <w:szCs w:val="22"/>
          <w:shd w:val="clear" w:color="auto" w:fill="FFFFFF"/>
        </w:rPr>
      </w:pPr>
      <w:r w:rsidRPr="000D6CA7">
        <w:rPr>
          <w:kern w:val="22"/>
          <w:szCs w:val="22"/>
          <w:shd w:val="clear" w:color="auto" w:fill="FFFFFF"/>
        </w:rPr>
        <w:t>From among the areas that might be addressed in the post-2020 global biodiversity framework, p</w:t>
      </w:r>
      <w:r w:rsidR="00BD0ABB" w:rsidRPr="000D6CA7">
        <w:rPr>
          <w:kern w:val="22"/>
          <w:szCs w:val="22"/>
          <w:shd w:val="clear" w:color="auto" w:fill="FFFFFF"/>
        </w:rPr>
        <w:t xml:space="preserve">articipants </w:t>
      </w:r>
      <w:r w:rsidR="004843BB" w:rsidRPr="000D6CA7">
        <w:rPr>
          <w:kern w:val="22"/>
          <w:szCs w:val="22"/>
          <w:shd w:val="clear" w:color="auto" w:fill="FFFFFF"/>
        </w:rPr>
        <w:t xml:space="preserve">in </w:t>
      </w:r>
      <w:r w:rsidR="00BD0ABB" w:rsidRPr="000D6CA7">
        <w:rPr>
          <w:kern w:val="22"/>
          <w:szCs w:val="22"/>
          <w:shd w:val="clear" w:color="auto" w:fill="FFFFFF"/>
        </w:rPr>
        <w:t>the Global Consultation identified</w:t>
      </w:r>
      <w:r w:rsidR="00BF2399" w:rsidRPr="000D6CA7">
        <w:rPr>
          <w:kern w:val="22"/>
          <w:szCs w:val="22"/>
          <w:shd w:val="clear" w:color="auto" w:fill="FFFFFF"/>
        </w:rPr>
        <w:t xml:space="preserve"> those </w:t>
      </w:r>
      <w:r w:rsidR="00BD0ABB" w:rsidRPr="000D6CA7">
        <w:rPr>
          <w:kern w:val="22"/>
          <w:szCs w:val="22"/>
          <w:shd w:val="clear" w:color="auto" w:fill="FFFFFF"/>
        </w:rPr>
        <w:t xml:space="preserve">to which biosafety might be of particular relevance: new and emerging technologies; human health; climate change adaptation and mitigation; ecosystem health; artificial intelligence and big data analysis; urban issues (greening); </w:t>
      </w:r>
      <w:r w:rsidR="00EE7CB4" w:rsidRPr="000D6CA7">
        <w:rPr>
          <w:kern w:val="22"/>
          <w:szCs w:val="22"/>
          <w:shd w:val="clear" w:color="auto" w:fill="FFFFFF"/>
        </w:rPr>
        <w:t>s</w:t>
      </w:r>
      <w:r w:rsidR="00BD0ABB" w:rsidRPr="000D6CA7">
        <w:rPr>
          <w:kern w:val="22"/>
          <w:szCs w:val="22"/>
          <w:shd w:val="clear" w:color="auto" w:fill="FFFFFF"/>
        </w:rPr>
        <w:t>oil biodiversity as a component of agricultural biodiversity;</w:t>
      </w:r>
      <w:r w:rsidR="00CD47BC" w:rsidRPr="000D6CA7">
        <w:rPr>
          <w:kern w:val="22"/>
          <w:szCs w:val="22"/>
          <w:shd w:val="clear" w:color="auto" w:fill="FFFFFF"/>
        </w:rPr>
        <w:t xml:space="preserve"> and</w:t>
      </w:r>
      <w:r w:rsidR="00BD0ABB" w:rsidRPr="000D6CA7">
        <w:rPr>
          <w:kern w:val="22"/>
          <w:szCs w:val="22"/>
          <w:shd w:val="clear" w:color="auto" w:fill="FFFFFF"/>
        </w:rPr>
        <w:t xml:space="preserve"> migratory species as a component of ecosystems</w:t>
      </w:r>
      <w:r w:rsidR="00EE7CB4" w:rsidRPr="000D6CA7">
        <w:rPr>
          <w:kern w:val="22"/>
          <w:szCs w:val="22"/>
          <w:shd w:val="clear" w:color="auto" w:fill="FFFFFF"/>
        </w:rPr>
        <w:t>.</w:t>
      </w:r>
    </w:p>
    <w:p w14:paraId="4BAF0025" w14:textId="714C0F5A" w:rsidR="00C36708" w:rsidRPr="000D6CA7" w:rsidRDefault="00755246" w:rsidP="00755246">
      <w:pPr>
        <w:pStyle w:val="Heading2"/>
        <w:tabs>
          <w:tab w:val="clear" w:pos="720"/>
        </w:tabs>
        <w:ind w:left="1134" w:hanging="425"/>
        <w:jc w:val="left"/>
        <w:rPr>
          <w:i w:val="0"/>
          <w:kern w:val="22"/>
          <w:szCs w:val="22"/>
        </w:rPr>
      </w:pPr>
      <w:r w:rsidRPr="000D6CA7">
        <w:rPr>
          <w:i w:val="0"/>
          <w:kern w:val="22"/>
          <w:szCs w:val="22"/>
        </w:rPr>
        <w:t>C.</w:t>
      </w:r>
      <w:r w:rsidRPr="000D6CA7">
        <w:rPr>
          <w:i w:val="0"/>
          <w:kern w:val="22"/>
          <w:szCs w:val="22"/>
        </w:rPr>
        <w:tab/>
      </w:r>
      <w:r w:rsidR="00C36708" w:rsidRPr="000D6CA7">
        <w:rPr>
          <w:i w:val="0"/>
          <w:kern w:val="22"/>
          <w:szCs w:val="22"/>
        </w:rPr>
        <w:t xml:space="preserve">Summary of outcomes of the Working Group </w:t>
      </w:r>
      <w:r w:rsidR="007D66E1" w:rsidRPr="000D6CA7">
        <w:rPr>
          <w:i w:val="0"/>
          <w:kern w:val="22"/>
          <w:szCs w:val="22"/>
        </w:rPr>
        <w:t>on the Post-2020 Global Biodiversity Framework</w:t>
      </w:r>
      <w:r w:rsidR="00D90BC6" w:rsidRPr="000D6CA7">
        <w:rPr>
          <w:i w:val="0"/>
          <w:kern w:val="22"/>
          <w:szCs w:val="22"/>
        </w:rPr>
        <w:t xml:space="preserve"> </w:t>
      </w:r>
      <w:r w:rsidR="00C36708" w:rsidRPr="000D6CA7">
        <w:rPr>
          <w:i w:val="0"/>
          <w:kern w:val="22"/>
          <w:szCs w:val="22"/>
        </w:rPr>
        <w:t>relevant to</w:t>
      </w:r>
      <w:r w:rsidR="00450C61" w:rsidRPr="000D6CA7">
        <w:rPr>
          <w:i w:val="0"/>
          <w:kern w:val="22"/>
          <w:szCs w:val="22"/>
        </w:rPr>
        <w:t xml:space="preserve"> </w:t>
      </w:r>
      <w:r w:rsidR="002D6002" w:rsidRPr="000D6CA7">
        <w:rPr>
          <w:i w:val="0"/>
          <w:kern w:val="22"/>
          <w:szCs w:val="22"/>
        </w:rPr>
        <w:t xml:space="preserve">the </w:t>
      </w:r>
      <w:r w:rsidR="000B216B" w:rsidRPr="000D6CA7">
        <w:rPr>
          <w:i w:val="0"/>
          <w:kern w:val="22"/>
          <w:szCs w:val="22"/>
        </w:rPr>
        <w:t xml:space="preserve">development of the </w:t>
      </w:r>
      <w:r w:rsidR="00C36708" w:rsidRPr="000D6CA7">
        <w:rPr>
          <w:i w:val="0"/>
          <w:kern w:val="22"/>
          <w:szCs w:val="22"/>
        </w:rPr>
        <w:t>biosafety</w:t>
      </w:r>
      <w:r w:rsidR="00450C61" w:rsidRPr="000D6CA7">
        <w:rPr>
          <w:i w:val="0"/>
          <w:kern w:val="22"/>
          <w:szCs w:val="22"/>
        </w:rPr>
        <w:t xml:space="preserve"> component</w:t>
      </w:r>
    </w:p>
    <w:p w14:paraId="525FB593" w14:textId="32B167EC" w:rsidR="00C9203F" w:rsidRPr="000D6CA7" w:rsidRDefault="00F62219" w:rsidP="00EC6F76">
      <w:pPr>
        <w:pStyle w:val="Para1"/>
        <w:numPr>
          <w:ilvl w:val="0"/>
          <w:numId w:val="18"/>
        </w:numPr>
        <w:tabs>
          <w:tab w:val="clear" w:pos="360"/>
        </w:tabs>
        <w:rPr>
          <w:kern w:val="22"/>
          <w:szCs w:val="22"/>
          <w:shd w:val="clear" w:color="auto" w:fill="FFFFFF"/>
        </w:rPr>
      </w:pPr>
      <w:r w:rsidRPr="000D6CA7">
        <w:rPr>
          <w:kern w:val="22"/>
          <w:szCs w:val="22"/>
        </w:rPr>
        <w:t xml:space="preserve">The outcomes of the first meeting of the Working Group </w:t>
      </w:r>
      <w:r w:rsidR="00D90BC6" w:rsidRPr="000D6CA7">
        <w:rPr>
          <w:kern w:val="22"/>
          <w:szCs w:val="22"/>
        </w:rPr>
        <w:t xml:space="preserve">on the Post-2020 Global Biodiversity Framework </w:t>
      </w:r>
      <w:r w:rsidRPr="000D6CA7">
        <w:rPr>
          <w:kern w:val="22"/>
          <w:szCs w:val="22"/>
        </w:rPr>
        <w:t>are captured in the report o</w:t>
      </w:r>
      <w:r w:rsidR="0040543F" w:rsidRPr="000D6CA7">
        <w:rPr>
          <w:kern w:val="22"/>
          <w:szCs w:val="22"/>
        </w:rPr>
        <w:t>n</w:t>
      </w:r>
      <w:r w:rsidRPr="000D6CA7">
        <w:rPr>
          <w:kern w:val="22"/>
          <w:szCs w:val="22"/>
        </w:rPr>
        <w:t xml:space="preserve"> the meeting (CBD/</w:t>
      </w:r>
      <w:r w:rsidR="007A6B73" w:rsidRPr="000D6CA7">
        <w:rPr>
          <w:kern w:val="22"/>
          <w:szCs w:val="22"/>
        </w:rPr>
        <w:t>WG</w:t>
      </w:r>
      <w:r w:rsidRPr="000D6CA7">
        <w:rPr>
          <w:kern w:val="22"/>
          <w:szCs w:val="22"/>
        </w:rPr>
        <w:t>2020/</w:t>
      </w:r>
      <w:r w:rsidR="0024039A" w:rsidRPr="000D6CA7">
        <w:rPr>
          <w:kern w:val="22"/>
          <w:szCs w:val="22"/>
        </w:rPr>
        <w:t>1/5</w:t>
      </w:r>
      <w:r w:rsidRPr="000D6CA7">
        <w:rPr>
          <w:kern w:val="22"/>
          <w:szCs w:val="22"/>
        </w:rPr>
        <w:t xml:space="preserve">). </w:t>
      </w:r>
      <w:r w:rsidR="000924B2" w:rsidRPr="000D6CA7">
        <w:rPr>
          <w:kern w:val="22"/>
          <w:szCs w:val="22"/>
        </w:rPr>
        <w:t xml:space="preserve">The Working Group developed </w:t>
      </w:r>
      <w:r w:rsidR="00EB4BC1" w:rsidRPr="000D6CA7">
        <w:rPr>
          <w:kern w:val="22"/>
          <w:szCs w:val="22"/>
        </w:rPr>
        <w:t>“</w:t>
      </w:r>
      <w:r w:rsidR="007624C1" w:rsidRPr="000D6CA7">
        <w:rPr>
          <w:kern w:val="22"/>
          <w:szCs w:val="22"/>
        </w:rPr>
        <w:t xml:space="preserve">possible </w:t>
      </w:r>
      <w:r w:rsidR="007A6B73" w:rsidRPr="000D6CA7">
        <w:rPr>
          <w:kern w:val="22"/>
          <w:szCs w:val="22"/>
        </w:rPr>
        <w:t xml:space="preserve">elements </w:t>
      </w:r>
      <w:r w:rsidR="007624C1" w:rsidRPr="000D6CA7">
        <w:rPr>
          <w:kern w:val="22"/>
          <w:szCs w:val="22"/>
        </w:rPr>
        <w:t>of a post-2020 global biodiversity framework</w:t>
      </w:r>
      <w:r w:rsidR="00EB4BC1" w:rsidRPr="000D6CA7">
        <w:rPr>
          <w:kern w:val="22"/>
          <w:szCs w:val="22"/>
        </w:rPr>
        <w:t xml:space="preserve"> for further discussion”</w:t>
      </w:r>
      <w:r w:rsidR="007624C1" w:rsidRPr="000D6CA7">
        <w:rPr>
          <w:kern w:val="22"/>
          <w:szCs w:val="22"/>
        </w:rPr>
        <w:t xml:space="preserve">, </w:t>
      </w:r>
      <w:r w:rsidR="00C36C13" w:rsidRPr="000D6CA7">
        <w:rPr>
          <w:kern w:val="22"/>
          <w:szCs w:val="22"/>
        </w:rPr>
        <w:t>as</w:t>
      </w:r>
      <w:r w:rsidR="007624C1" w:rsidRPr="000D6CA7">
        <w:rPr>
          <w:kern w:val="22"/>
          <w:szCs w:val="22"/>
        </w:rPr>
        <w:t xml:space="preserve"> contained in </w:t>
      </w:r>
      <w:r w:rsidR="00D90BC6" w:rsidRPr="000D6CA7">
        <w:rPr>
          <w:kern w:val="22"/>
          <w:szCs w:val="22"/>
        </w:rPr>
        <w:t>a</w:t>
      </w:r>
      <w:r w:rsidR="007624C1" w:rsidRPr="000D6CA7">
        <w:rPr>
          <w:kern w:val="22"/>
          <w:szCs w:val="22"/>
        </w:rPr>
        <w:t xml:space="preserve">nnex I </w:t>
      </w:r>
      <w:r w:rsidR="00D90BC6" w:rsidRPr="000D6CA7">
        <w:rPr>
          <w:kern w:val="22"/>
          <w:szCs w:val="22"/>
        </w:rPr>
        <w:t xml:space="preserve">to </w:t>
      </w:r>
      <w:r w:rsidR="00C36C13" w:rsidRPr="000D6CA7">
        <w:rPr>
          <w:kern w:val="22"/>
          <w:szCs w:val="22"/>
        </w:rPr>
        <w:t>the</w:t>
      </w:r>
      <w:r w:rsidR="007624C1" w:rsidRPr="000D6CA7">
        <w:rPr>
          <w:kern w:val="22"/>
          <w:szCs w:val="22"/>
        </w:rPr>
        <w:t xml:space="preserve"> report</w:t>
      </w:r>
      <w:r w:rsidR="00EB4BC1" w:rsidRPr="000D6CA7">
        <w:rPr>
          <w:kern w:val="22"/>
          <w:szCs w:val="22"/>
        </w:rPr>
        <w:t>, while recognizing that the issues raised should not be taken to mean that agreement was reached on any particular issue</w:t>
      </w:r>
      <w:r w:rsidR="007624C1" w:rsidRPr="000D6CA7">
        <w:rPr>
          <w:kern w:val="22"/>
          <w:szCs w:val="22"/>
        </w:rPr>
        <w:t>.</w:t>
      </w:r>
      <w:r w:rsidR="007A6B73" w:rsidRPr="000D6CA7">
        <w:rPr>
          <w:rStyle w:val="FootnoteReference"/>
          <w:kern w:val="22"/>
          <w:sz w:val="22"/>
          <w:szCs w:val="22"/>
          <w:u w:val="none"/>
          <w:vertAlign w:val="superscript"/>
        </w:rPr>
        <w:footnoteReference w:id="6"/>
      </w:r>
    </w:p>
    <w:p w14:paraId="11E2C30E" w14:textId="5AEC93E3" w:rsidR="00947B90" w:rsidRPr="000D6CA7" w:rsidRDefault="004D5F36" w:rsidP="00EB4BC1">
      <w:pPr>
        <w:pStyle w:val="Para1"/>
        <w:numPr>
          <w:ilvl w:val="0"/>
          <w:numId w:val="18"/>
        </w:numPr>
        <w:tabs>
          <w:tab w:val="clear" w:pos="360"/>
        </w:tabs>
        <w:rPr>
          <w:kern w:val="22"/>
          <w:szCs w:val="22"/>
          <w:shd w:val="clear" w:color="auto" w:fill="FFFFFF"/>
        </w:rPr>
      </w:pPr>
      <w:r w:rsidRPr="000D6CA7">
        <w:rPr>
          <w:kern w:val="22"/>
          <w:szCs w:val="22"/>
          <w:shd w:val="clear" w:color="auto" w:fill="FFFFFF"/>
        </w:rPr>
        <w:t xml:space="preserve">While biosafety was not explicitly addressed in the </w:t>
      </w:r>
      <w:r w:rsidR="009A455A" w:rsidRPr="000D6CA7">
        <w:rPr>
          <w:kern w:val="22"/>
          <w:szCs w:val="22"/>
          <w:shd w:val="clear" w:color="auto" w:fill="FFFFFF"/>
        </w:rPr>
        <w:t xml:space="preserve">possible elements of the post-2020 biodiversity framework, explicit reference to the Protocols </w:t>
      </w:r>
      <w:r w:rsidR="00982C5F" w:rsidRPr="000D6CA7">
        <w:rPr>
          <w:kern w:val="22"/>
          <w:szCs w:val="22"/>
          <w:shd w:val="clear" w:color="auto" w:fill="FFFFFF"/>
        </w:rPr>
        <w:t xml:space="preserve">to </w:t>
      </w:r>
      <w:r w:rsidR="009A455A" w:rsidRPr="000D6CA7">
        <w:rPr>
          <w:kern w:val="22"/>
          <w:szCs w:val="22"/>
          <w:shd w:val="clear" w:color="auto" w:fill="FFFFFF"/>
        </w:rPr>
        <w:t>the Convention was made at various levels</w:t>
      </w:r>
      <w:r w:rsidR="00E21EAD" w:rsidRPr="000D6CA7">
        <w:rPr>
          <w:kern w:val="22"/>
          <w:szCs w:val="22"/>
          <w:shd w:val="clear" w:color="auto" w:fill="FFFFFF"/>
        </w:rPr>
        <w:t>.</w:t>
      </w:r>
    </w:p>
    <w:p w14:paraId="1609E06F" w14:textId="61A94962" w:rsidR="004E067C" w:rsidRPr="000D6CA7" w:rsidRDefault="00E21EAD" w:rsidP="00EC6F76">
      <w:pPr>
        <w:pStyle w:val="Para1"/>
        <w:numPr>
          <w:ilvl w:val="0"/>
          <w:numId w:val="18"/>
        </w:numPr>
        <w:tabs>
          <w:tab w:val="clear" w:pos="360"/>
        </w:tabs>
        <w:rPr>
          <w:kern w:val="22"/>
          <w:szCs w:val="22"/>
          <w:shd w:val="clear" w:color="auto" w:fill="FFFFFF"/>
        </w:rPr>
      </w:pPr>
      <w:r w:rsidRPr="000D6CA7">
        <w:rPr>
          <w:kern w:val="22"/>
          <w:szCs w:val="22"/>
          <w:shd w:val="clear" w:color="auto" w:fill="FFFFFF"/>
        </w:rPr>
        <w:t xml:space="preserve">As part of the possible issues to reflect in the mission and/or apex and milestones of the post-2020 global biodiversity framework, reference was made to the three objectives of the Convention and the Protocols. The Protocols were also included in the list of possible issues to be reflected in the goals. While at the target level no specific reference was made to the Protocols, one of the issues that could be reflected at the target level </w:t>
      </w:r>
      <w:r w:rsidR="00104F05" w:rsidRPr="000D6CA7">
        <w:rPr>
          <w:kern w:val="22"/>
          <w:szCs w:val="22"/>
          <w:shd w:val="clear" w:color="auto" w:fill="FFFFFF"/>
        </w:rPr>
        <w:t>wa</w:t>
      </w:r>
      <w:r w:rsidRPr="000D6CA7">
        <w:rPr>
          <w:kern w:val="22"/>
          <w:szCs w:val="22"/>
          <w:shd w:val="clear" w:color="auto" w:fill="FFFFFF"/>
        </w:rPr>
        <w:t>s described as follows</w:t>
      </w:r>
      <w:r w:rsidR="000043B6" w:rsidRPr="000D6CA7">
        <w:rPr>
          <w:kern w:val="22"/>
          <w:szCs w:val="22"/>
          <w:shd w:val="clear" w:color="auto" w:fill="FFFFFF"/>
        </w:rPr>
        <w:t>:</w:t>
      </w:r>
      <w:r w:rsidRPr="000D6CA7">
        <w:rPr>
          <w:kern w:val="22"/>
          <w:szCs w:val="22"/>
          <w:shd w:val="clear" w:color="auto" w:fill="FFFFFF"/>
        </w:rPr>
        <w:t xml:space="preserve"> </w:t>
      </w:r>
      <w:r w:rsidR="002515F2" w:rsidRPr="000D6CA7">
        <w:rPr>
          <w:kern w:val="22"/>
          <w:szCs w:val="22"/>
          <w:shd w:val="clear" w:color="auto" w:fill="FFFFFF"/>
        </w:rPr>
        <w:t>“</w:t>
      </w:r>
      <w:r w:rsidRPr="000D6CA7">
        <w:rPr>
          <w:kern w:val="22"/>
          <w:szCs w:val="22"/>
          <w:shd w:val="clear" w:color="auto" w:fill="FFFFFF"/>
        </w:rPr>
        <w:t>consistent, coherent, compatible and mutual supportive of other relevant multilateral environmental agreements and processes</w:t>
      </w:r>
      <w:r w:rsidR="002515F2" w:rsidRPr="000D6CA7">
        <w:rPr>
          <w:kern w:val="22"/>
          <w:szCs w:val="22"/>
          <w:shd w:val="clear" w:color="auto" w:fill="FFFFFF"/>
        </w:rPr>
        <w:t>”</w:t>
      </w:r>
      <w:r w:rsidRPr="000D6CA7">
        <w:rPr>
          <w:kern w:val="22"/>
          <w:szCs w:val="22"/>
          <w:shd w:val="clear" w:color="auto" w:fill="FFFFFF"/>
        </w:rPr>
        <w:t>.</w:t>
      </w:r>
      <w:r w:rsidR="003A33E6" w:rsidRPr="000D6CA7">
        <w:rPr>
          <w:kern w:val="22"/>
          <w:szCs w:val="22"/>
          <w:shd w:val="clear" w:color="auto" w:fill="FFFFFF"/>
        </w:rPr>
        <w:t xml:space="preserve"> While no specific reference was made to the Protocols under the description of possible issues to be reflected in the indicators, </w:t>
      </w:r>
      <w:r w:rsidR="00DE53E7" w:rsidRPr="000D6CA7">
        <w:rPr>
          <w:kern w:val="22"/>
          <w:szCs w:val="22"/>
          <w:shd w:val="clear" w:color="auto" w:fill="FFFFFF"/>
        </w:rPr>
        <w:t>a</w:t>
      </w:r>
      <w:r w:rsidR="003A33E6" w:rsidRPr="000D6CA7">
        <w:rPr>
          <w:kern w:val="22"/>
          <w:szCs w:val="22"/>
          <w:shd w:val="clear" w:color="auto" w:fill="FFFFFF"/>
        </w:rPr>
        <w:t xml:space="preserve">nnex I </w:t>
      </w:r>
      <w:proofErr w:type="gramStart"/>
      <w:r w:rsidR="003A33E6" w:rsidRPr="000D6CA7">
        <w:rPr>
          <w:kern w:val="22"/>
          <w:szCs w:val="22"/>
          <w:shd w:val="clear" w:color="auto" w:fill="FFFFFF"/>
        </w:rPr>
        <w:t>states</w:t>
      </w:r>
      <w:proofErr w:type="gramEnd"/>
      <w:r w:rsidR="003A33E6" w:rsidRPr="000D6CA7">
        <w:rPr>
          <w:kern w:val="22"/>
          <w:szCs w:val="22"/>
          <w:shd w:val="clear" w:color="auto" w:fill="FFFFFF"/>
        </w:rPr>
        <w:t xml:space="preserve"> that indicators and baselines should be identified at the same time as the targets of the post-2020 global biodiversity framework.</w:t>
      </w:r>
    </w:p>
    <w:p w14:paraId="67BDB0DB" w14:textId="71041A7F" w:rsidR="00CD2C3F" w:rsidRPr="000D6CA7" w:rsidRDefault="00CD2C3F" w:rsidP="00CD2C3F">
      <w:pPr>
        <w:pStyle w:val="Para1"/>
        <w:numPr>
          <w:ilvl w:val="0"/>
          <w:numId w:val="18"/>
        </w:numPr>
        <w:tabs>
          <w:tab w:val="clear" w:pos="360"/>
        </w:tabs>
        <w:rPr>
          <w:kern w:val="22"/>
          <w:szCs w:val="22"/>
          <w:shd w:val="clear" w:color="auto" w:fill="FFFFFF"/>
        </w:rPr>
      </w:pPr>
      <w:r w:rsidRPr="000D6CA7">
        <w:rPr>
          <w:kern w:val="22"/>
          <w:szCs w:val="22"/>
          <w:shd w:val="clear" w:color="auto" w:fill="FFFFFF"/>
        </w:rPr>
        <w:t>Reference to the Protocol</w:t>
      </w:r>
      <w:r w:rsidR="00EB4BC1" w:rsidRPr="000D6CA7">
        <w:rPr>
          <w:kern w:val="22"/>
          <w:szCs w:val="22"/>
          <w:shd w:val="clear" w:color="auto" w:fill="FFFFFF"/>
        </w:rPr>
        <w:t>s</w:t>
      </w:r>
      <w:r w:rsidRPr="000D6CA7">
        <w:rPr>
          <w:kern w:val="22"/>
          <w:szCs w:val="22"/>
          <w:shd w:val="clear" w:color="auto" w:fill="FFFFFF"/>
        </w:rPr>
        <w:t xml:space="preserve"> was also made in the context of the description of </w:t>
      </w:r>
      <w:r w:rsidR="00001DAB" w:rsidRPr="000D6CA7">
        <w:rPr>
          <w:kern w:val="22"/>
          <w:szCs w:val="22"/>
          <w:shd w:val="clear" w:color="auto" w:fill="FFFFFF"/>
        </w:rPr>
        <w:t>“</w:t>
      </w:r>
      <w:r w:rsidRPr="000D6CA7">
        <w:rPr>
          <w:kern w:val="22"/>
          <w:szCs w:val="22"/>
          <w:shd w:val="clear" w:color="auto" w:fill="FFFFFF"/>
        </w:rPr>
        <w:t>means of implementation and enabling conditions</w:t>
      </w:r>
      <w:r w:rsidR="00001DAB" w:rsidRPr="000D6CA7">
        <w:rPr>
          <w:kern w:val="22"/>
          <w:szCs w:val="22"/>
          <w:shd w:val="clear" w:color="auto" w:fill="FFFFFF"/>
        </w:rPr>
        <w:t>”</w:t>
      </w:r>
      <w:r w:rsidRPr="000D6CA7">
        <w:rPr>
          <w:kern w:val="22"/>
          <w:szCs w:val="22"/>
          <w:shd w:val="clear" w:color="auto" w:fill="FFFFFF"/>
        </w:rPr>
        <w:t xml:space="preserve">, where one of the possible issues to reflect is </w:t>
      </w:r>
      <w:r w:rsidR="00001DAB" w:rsidRPr="000D6CA7">
        <w:rPr>
          <w:kern w:val="22"/>
          <w:szCs w:val="22"/>
          <w:shd w:val="clear" w:color="auto" w:fill="FFFFFF"/>
        </w:rPr>
        <w:t>“</w:t>
      </w:r>
      <w:r w:rsidRPr="000D6CA7">
        <w:rPr>
          <w:kern w:val="22"/>
          <w:szCs w:val="22"/>
          <w:shd w:val="clear" w:color="auto" w:fill="FFFFFF"/>
        </w:rPr>
        <w:t>lessons learned from the implementation to date of the Convention and its Protocols</w:t>
      </w:r>
      <w:r w:rsidR="00001DAB" w:rsidRPr="000D6CA7">
        <w:rPr>
          <w:kern w:val="22"/>
          <w:szCs w:val="22"/>
          <w:shd w:val="clear" w:color="auto" w:fill="FFFFFF"/>
        </w:rPr>
        <w:t>”</w:t>
      </w:r>
      <w:r w:rsidRPr="000D6CA7">
        <w:rPr>
          <w:kern w:val="22"/>
          <w:szCs w:val="22"/>
          <w:shd w:val="clear" w:color="auto" w:fill="FFFFFF"/>
        </w:rPr>
        <w:t>.</w:t>
      </w:r>
    </w:p>
    <w:p w14:paraId="0289A66E" w14:textId="63C356EF" w:rsidR="00F77C14" w:rsidRPr="000D6CA7" w:rsidRDefault="00F77C14" w:rsidP="004B200B">
      <w:pPr>
        <w:pStyle w:val="Heading1"/>
        <w:tabs>
          <w:tab w:val="clear" w:pos="720"/>
        </w:tabs>
        <w:spacing w:before="120"/>
        <w:ind w:left="1276" w:hanging="709"/>
        <w:jc w:val="left"/>
        <w:rPr>
          <w:kern w:val="22"/>
          <w:szCs w:val="22"/>
          <w:shd w:val="clear" w:color="auto" w:fill="FFFFFF"/>
        </w:rPr>
      </w:pPr>
      <w:r w:rsidRPr="000D6CA7">
        <w:rPr>
          <w:kern w:val="22"/>
          <w:szCs w:val="22"/>
        </w:rPr>
        <w:t>IV.</w:t>
      </w:r>
      <w:r w:rsidRPr="000D6CA7">
        <w:rPr>
          <w:kern w:val="22"/>
          <w:szCs w:val="22"/>
        </w:rPr>
        <w:tab/>
      </w:r>
      <w:r w:rsidR="008D326C" w:rsidRPr="000D6CA7">
        <w:rPr>
          <w:kern w:val="22"/>
          <w:szCs w:val="22"/>
        </w:rPr>
        <w:t>suggestions for the further development of the biosafety component</w:t>
      </w:r>
    </w:p>
    <w:p w14:paraId="55D30972" w14:textId="11928C07" w:rsidR="00330D6E" w:rsidRPr="000D6CA7" w:rsidRDefault="006C6C8E" w:rsidP="00C21D77">
      <w:pPr>
        <w:pStyle w:val="Para1"/>
        <w:numPr>
          <w:ilvl w:val="0"/>
          <w:numId w:val="18"/>
        </w:numPr>
        <w:tabs>
          <w:tab w:val="clear" w:pos="360"/>
        </w:tabs>
        <w:rPr>
          <w:kern w:val="22"/>
          <w:szCs w:val="22"/>
          <w:shd w:val="clear" w:color="auto" w:fill="FFFFFF"/>
        </w:rPr>
      </w:pPr>
      <w:r w:rsidRPr="000D6CA7">
        <w:rPr>
          <w:kern w:val="22"/>
          <w:szCs w:val="22"/>
          <w:shd w:val="clear" w:color="auto" w:fill="FFFFFF"/>
        </w:rPr>
        <w:t xml:space="preserve">Considering the </w:t>
      </w:r>
      <w:r w:rsidR="000C6851" w:rsidRPr="000D6CA7">
        <w:rPr>
          <w:kern w:val="22"/>
          <w:szCs w:val="22"/>
          <w:shd w:val="clear" w:color="auto" w:fill="FFFFFF"/>
        </w:rPr>
        <w:t>early</w:t>
      </w:r>
      <w:r w:rsidRPr="000D6CA7">
        <w:rPr>
          <w:kern w:val="22"/>
          <w:szCs w:val="22"/>
          <w:shd w:val="clear" w:color="auto" w:fill="FFFFFF"/>
        </w:rPr>
        <w:t xml:space="preserve"> stage of preparation of the post-2020 global biodiversity framework to date and bearing in mind that important </w:t>
      </w:r>
      <w:r w:rsidR="00995D7C" w:rsidRPr="000D6CA7">
        <w:rPr>
          <w:kern w:val="22"/>
          <w:szCs w:val="22"/>
          <w:shd w:val="clear" w:color="auto" w:fill="FFFFFF"/>
        </w:rPr>
        <w:t>advances</w:t>
      </w:r>
      <w:r w:rsidRPr="000D6CA7">
        <w:rPr>
          <w:kern w:val="22"/>
          <w:szCs w:val="22"/>
          <w:shd w:val="clear" w:color="auto" w:fill="FFFFFF"/>
        </w:rPr>
        <w:t xml:space="preserve"> in the preparation of the post-2020 global biodiversity framework </w:t>
      </w:r>
      <w:r w:rsidR="00A7013C" w:rsidRPr="000D6CA7">
        <w:rPr>
          <w:kern w:val="22"/>
          <w:szCs w:val="22"/>
          <w:shd w:val="clear" w:color="auto" w:fill="FFFFFF"/>
        </w:rPr>
        <w:t xml:space="preserve">are expected </w:t>
      </w:r>
      <w:r w:rsidR="009275A0" w:rsidRPr="000D6CA7">
        <w:rPr>
          <w:kern w:val="22"/>
          <w:szCs w:val="22"/>
          <w:shd w:val="clear" w:color="auto" w:fill="FFFFFF"/>
        </w:rPr>
        <w:t>in</w:t>
      </w:r>
      <w:r w:rsidR="00C45372" w:rsidRPr="000D6CA7">
        <w:rPr>
          <w:kern w:val="22"/>
          <w:szCs w:val="22"/>
          <w:shd w:val="clear" w:color="auto" w:fill="FFFFFF"/>
        </w:rPr>
        <w:t xml:space="preserve"> </w:t>
      </w:r>
      <w:r w:rsidR="00ED650E" w:rsidRPr="000D6CA7">
        <w:rPr>
          <w:kern w:val="22"/>
          <w:szCs w:val="22"/>
          <w:shd w:val="clear" w:color="auto" w:fill="FFFFFF"/>
        </w:rPr>
        <w:t xml:space="preserve">the </w:t>
      </w:r>
      <w:r w:rsidRPr="000D6CA7">
        <w:rPr>
          <w:kern w:val="22"/>
          <w:szCs w:val="22"/>
          <w:shd w:val="clear" w:color="auto" w:fill="FFFFFF"/>
        </w:rPr>
        <w:t>coming months,</w:t>
      </w:r>
      <w:r w:rsidR="00995D7C" w:rsidRPr="000D6CA7">
        <w:rPr>
          <w:kern w:val="22"/>
          <w:szCs w:val="22"/>
          <w:shd w:val="clear" w:color="auto" w:fill="FFFFFF"/>
        </w:rPr>
        <w:t xml:space="preserve"> </w:t>
      </w:r>
      <w:r w:rsidR="00084F29" w:rsidRPr="000D6CA7">
        <w:rPr>
          <w:kern w:val="22"/>
          <w:szCs w:val="22"/>
          <w:shd w:val="clear" w:color="auto" w:fill="FFFFFF"/>
        </w:rPr>
        <w:t>the Liaison Group may wish</w:t>
      </w:r>
      <w:r w:rsidR="00ED650E" w:rsidRPr="000D6CA7">
        <w:rPr>
          <w:kern w:val="22"/>
          <w:szCs w:val="22"/>
          <w:shd w:val="clear" w:color="auto" w:fill="FFFFFF"/>
        </w:rPr>
        <w:t xml:space="preserve">, at its </w:t>
      </w:r>
      <w:r w:rsidR="00DE53E7" w:rsidRPr="000D6CA7">
        <w:rPr>
          <w:kern w:val="22"/>
          <w:szCs w:val="22"/>
          <w:shd w:val="clear" w:color="auto" w:fill="FFFFFF"/>
        </w:rPr>
        <w:t xml:space="preserve">thirteenth </w:t>
      </w:r>
      <w:r w:rsidR="00ED650E" w:rsidRPr="000D6CA7">
        <w:rPr>
          <w:kern w:val="22"/>
          <w:szCs w:val="22"/>
          <w:shd w:val="clear" w:color="auto" w:fill="FFFFFF"/>
        </w:rPr>
        <w:t>meeting,</w:t>
      </w:r>
      <w:r w:rsidR="00084F29" w:rsidRPr="000D6CA7">
        <w:rPr>
          <w:kern w:val="22"/>
          <w:szCs w:val="22"/>
          <w:shd w:val="clear" w:color="auto" w:fill="FFFFFF"/>
        </w:rPr>
        <w:t xml:space="preserve"> to develop a preliminary biosafety component of the post-2020 global biodiversity framework</w:t>
      </w:r>
      <w:r w:rsidR="00C21D77" w:rsidRPr="000D6CA7">
        <w:rPr>
          <w:kern w:val="22"/>
          <w:szCs w:val="22"/>
          <w:shd w:val="clear" w:color="auto" w:fill="FFFFFF"/>
        </w:rPr>
        <w:t xml:space="preserve"> taking into account</w:t>
      </w:r>
      <w:r w:rsidR="00C656E7" w:rsidRPr="000D6CA7">
        <w:rPr>
          <w:kern w:val="22"/>
          <w:szCs w:val="22"/>
          <w:shd w:val="clear" w:color="auto" w:fill="FFFFFF"/>
        </w:rPr>
        <w:t xml:space="preserve"> </w:t>
      </w:r>
      <w:r w:rsidR="00330D6E" w:rsidRPr="000D6CA7">
        <w:rPr>
          <w:kern w:val="22"/>
          <w:szCs w:val="22"/>
          <w:shd w:val="clear" w:color="auto" w:fill="FFFFFF"/>
        </w:rPr>
        <w:t xml:space="preserve">the proposals for a </w:t>
      </w:r>
      <w:r w:rsidR="000043B6" w:rsidRPr="000D6CA7">
        <w:rPr>
          <w:kern w:val="22"/>
          <w:szCs w:val="22"/>
          <w:shd w:val="clear" w:color="auto" w:fill="FFFFFF"/>
        </w:rPr>
        <w:t xml:space="preserve">specific </w:t>
      </w:r>
      <w:r w:rsidR="00330D6E" w:rsidRPr="000D6CA7">
        <w:rPr>
          <w:kern w:val="22"/>
          <w:szCs w:val="22"/>
          <w:shd w:val="clear" w:color="auto" w:fill="FFFFFF"/>
        </w:rPr>
        <w:t xml:space="preserve">biosafety </w:t>
      </w:r>
      <w:r w:rsidR="000043B6" w:rsidRPr="000D6CA7">
        <w:rPr>
          <w:kern w:val="22"/>
          <w:szCs w:val="22"/>
          <w:shd w:val="clear" w:color="auto" w:fill="FFFFFF"/>
        </w:rPr>
        <w:t xml:space="preserve">target contained </w:t>
      </w:r>
      <w:r w:rsidR="00330D6E" w:rsidRPr="000D6CA7">
        <w:rPr>
          <w:kern w:val="22"/>
          <w:szCs w:val="22"/>
          <w:shd w:val="clear" w:color="auto" w:fill="FFFFFF"/>
        </w:rPr>
        <w:t>in the submissions, as reproduced in paragraph</w:t>
      </w:r>
      <w:r w:rsidR="00DE53E7" w:rsidRPr="000D6CA7">
        <w:rPr>
          <w:kern w:val="22"/>
          <w:szCs w:val="22"/>
          <w:shd w:val="clear" w:color="auto" w:fill="FFFFFF"/>
        </w:rPr>
        <w:t> </w:t>
      </w:r>
      <w:r w:rsidR="0087254E" w:rsidRPr="000D6CA7">
        <w:rPr>
          <w:kern w:val="22"/>
          <w:szCs w:val="22"/>
          <w:shd w:val="clear" w:color="auto" w:fill="FFFFFF"/>
        </w:rPr>
        <w:fldChar w:fldCharType="begin"/>
      </w:r>
      <w:r w:rsidR="0087254E" w:rsidRPr="000D6CA7">
        <w:rPr>
          <w:kern w:val="22"/>
          <w:szCs w:val="22"/>
          <w:shd w:val="clear" w:color="auto" w:fill="FFFFFF"/>
        </w:rPr>
        <w:instrText xml:space="preserve"> REF _Ref21103628 \r \h </w:instrText>
      </w:r>
      <w:r w:rsidR="0087254E" w:rsidRPr="000D6CA7">
        <w:rPr>
          <w:kern w:val="22"/>
          <w:szCs w:val="22"/>
          <w:shd w:val="clear" w:color="auto" w:fill="FFFFFF"/>
        </w:rPr>
      </w:r>
      <w:r w:rsidR="000D6CA7">
        <w:rPr>
          <w:kern w:val="22"/>
          <w:szCs w:val="22"/>
          <w:shd w:val="clear" w:color="auto" w:fill="FFFFFF"/>
        </w:rPr>
        <w:instrText xml:space="preserve"> \* MERGEFORMAT </w:instrText>
      </w:r>
      <w:r w:rsidR="0087254E" w:rsidRPr="000D6CA7">
        <w:rPr>
          <w:kern w:val="22"/>
          <w:szCs w:val="22"/>
          <w:shd w:val="clear" w:color="auto" w:fill="FFFFFF"/>
        </w:rPr>
        <w:fldChar w:fldCharType="separate"/>
      </w:r>
      <w:r w:rsidR="00271D9E" w:rsidRPr="000D6CA7">
        <w:rPr>
          <w:kern w:val="22"/>
          <w:szCs w:val="22"/>
          <w:shd w:val="clear" w:color="auto" w:fill="FFFFFF"/>
        </w:rPr>
        <w:t>27</w:t>
      </w:r>
      <w:r w:rsidR="0087254E" w:rsidRPr="000D6CA7">
        <w:rPr>
          <w:kern w:val="22"/>
          <w:szCs w:val="22"/>
          <w:shd w:val="clear" w:color="auto" w:fill="FFFFFF"/>
        </w:rPr>
        <w:fldChar w:fldCharType="end"/>
      </w:r>
      <w:r w:rsidR="00330D6E" w:rsidRPr="000D6CA7">
        <w:rPr>
          <w:kern w:val="22"/>
          <w:szCs w:val="22"/>
          <w:shd w:val="clear" w:color="auto" w:fill="FFFFFF"/>
        </w:rPr>
        <w:t xml:space="preserve"> above, the</w:t>
      </w:r>
      <w:r w:rsidR="000043B6" w:rsidRPr="000D6CA7">
        <w:rPr>
          <w:kern w:val="22"/>
          <w:szCs w:val="22"/>
          <w:shd w:val="clear" w:color="auto" w:fill="FFFFFF"/>
        </w:rPr>
        <w:t xml:space="preserve"> other</w:t>
      </w:r>
      <w:r w:rsidR="00330D6E" w:rsidRPr="000D6CA7">
        <w:rPr>
          <w:kern w:val="22"/>
          <w:szCs w:val="22"/>
          <w:shd w:val="clear" w:color="auto" w:fill="FFFFFF"/>
        </w:rPr>
        <w:t xml:space="preserve"> </w:t>
      </w:r>
      <w:r w:rsidR="0074508B" w:rsidRPr="000D6CA7">
        <w:rPr>
          <w:kern w:val="22"/>
          <w:szCs w:val="22"/>
          <w:shd w:val="clear" w:color="auto" w:fill="FFFFFF"/>
        </w:rPr>
        <w:t>views expressed</w:t>
      </w:r>
      <w:r w:rsidR="000043B6" w:rsidRPr="000D6CA7">
        <w:rPr>
          <w:kern w:val="22"/>
          <w:szCs w:val="22"/>
          <w:shd w:val="clear" w:color="auto" w:fill="FFFFFF"/>
        </w:rPr>
        <w:t xml:space="preserve"> through the submissions</w:t>
      </w:r>
      <w:r w:rsidR="00287D6A" w:rsidRPr="000D6CA7">
        <w:rPr>
          <w:kern w:val="22"/>
          <w:szCs w:val="22"/>
          <w:shd w:val="clear" w:color="auto" w:fill="FFFFFF"/>
        </w:rPr>
        <w:t xml:space="preserve"> </w:t>
      </w:r>
      <w:r w:rsidR="00873200" w:rsidRPr="000D6CA7">
        <w:rPr>
          <w:kern w:val="22"/>
          <w:szCs w:val="22"/>
          <w:shd w:val="clear" w:color="auto" w:fill="FFFFFF"/>
        </w:rPr>
        <w:t>(</w:t>
      </w:r>
      <w:r w:rsidR="00287D6A" w:rsidRPr="000D6CA7">
        <w:rPr>
          <w:kern w:val="22"/>
          <w:szCs w:val="22"/>
          <w:shd w:val="clear" w:color="auto" w:fill="FFFFFF"/>
        </w:rPr>
        <w:t xml:space="preserve">summarized in section </w:t>
      </w:r>
      <w:proofErr w:type="spellStart"/>
      <w:r w:rsidR="00287D6A" w:rsidRPr="000D6CA7">
        <w:rPr>
          <w:kern w:val="22"/>
          <w:szCs w:val="22"/>
          <w:shd w:val="clear" w:color="auto" w:fill="FFFFFF"/>
        </w:rPr>
        <w:t>III</w:t>
      </w:r>
      <w:r w:rsidR="00830757" w:rsidRPr="000D6CA7">
        <w:rPr>
          <w:kern w:val="22"/>
          <w:szCs w:val="22"/>
          <w:shd w:val="clear" w:color="auto" w:fill="FFFFFF"/>
        </w:rPr>
        <w:t>.A</w:t>
      </w:r>
      <w:proofErr w:type="spellEnd"/>
      <w:r w:rsidR="00287D6A" w:rsidRPr="000D6CA7">
        <w:rPr>
          <w:kern w:val="22"/>
          <w:szCs w:val="22"/>
          <w:shd w:val="clear" w:color="auto" w:fill="FFFFFF"/>
        </w:rPr>
        <w:t xml:space="preserve"> above</w:t>
      </w:r>
      <w:r w:rsidR="00873200" w:rsidRPr="000D6CA7">
        <w:rPr>
          <w:kern w:val="22"/>
          <w:szCs w:val="22"/>
          <w:shd w:val="clear" w:color="auto" w:fill="FFFFFF"/>
        </w:rPr>
        <w:t xml:space="preserve">) and the additional input made during the Global Consultation (summarized in section </w:t>
      </w:r>
      <w:proofErr w:type="spellStart"/>
      <w:r w:rsidR="00873200" w:rsidRPr="000D6CA7">
        <w:rPr>
          <w:kern w:val="22"/>
          <w:szCs w:val="22"/>
          <w:shd w:val="clear" w:color="auto" w:fill="FFFFFF"/>
        </w:rPr>
        <w:t>III</w:t>
      </w:r>
      <w:r w:rsidR="00830757" w:rsidRPr="000D6CA7">
        <w:rPr>
          <w:kern w:val="22"/>
          <w:szCs w:val="22"/>
          <w:shd w:val="clear" w:color="auto" w:fill="FFFFFF"/>
        </w:rPr>
        <w:t>.B</w:t>
      </w:r>
      <w:proofErr w:type="spellEnd"/>
      <w:r w:rsidR="00873200" w:rsidRPr="000D6CA7">
        <w:rPr>
          <w:kern w:val="22"/>
          <w:szCs w:val="22"/>
          <w:shd w:val="clear" w:color="auto" w:fill="FFFFFF"/>
        </w:rPr>
        <w:t>)</w:t>
      </w:r>
      <w:r w:rsidR="00287D6A" w:rsidRPr="000D6CA7">
        <w:rPr>
          <w:kern w:val="22"/>
          <w:szCs w:val="22"/>
          <w:shd w:val="clear" w:color="auto" w:fill="FFFFFF"/>
        </w:rPr>
        <w:t>.</w:t>
      </w:r>
    </w:p>
    <w:p w14:paraId="1C1E335B" w14:textId="67773D3E" w:rsidR="00330D6E" w:rsidRPr="000D6CA7" w:rsidRDefault="00330D6E" w:rsidP="00330D6E">
      <w:pPr>
        <w:pStyle w:val="Para1"/>
        <w:numPr>
          <w:ilvl w:val="0"/>
          <w:numId w:val="18"/>
        </w:numPr>
        <w:tabs>
          <w:tab w:val="clear" w:pos="360"/>
        </w:tabs>
        <w:rPr>
          <w:kern w:val="22"/>
          <w:szCs w:val="22"/>
          <w:shd w:val="clear" w:color="auto" w:fill="FFFFFF"/>
        </w:rPr>
      </w:pPr>
      <w:r w:rsidRPr="000D6CA7">
        <w:rPr>
          <w:kern w:val="22"/>
          <w:szCs w:val="22"/>
          <w:shd w:val="clear" w:color="auto" w:fill="FFFFFF"/>
        </w:rPr>
        <w:t xml:space="preserve">In this context, the Liaison Group may wish to reflect on possible </w:t>
      </w:r>
      <w:r w:rsidR="00FC20CF" w:rsidRPr="000D6CA7">
        <w:rPr>
          <w:kern w:val="22"/>
          <w:szCs w:val="22"/>
          <w:shd w:val="clear" w:color="auto" w:fill="FFFFFF"/>
        </w:rPr>
        <w:t>specific</w:t>
      </w:r>
      <w:r w:rsidRPr="000D6CA7">
        <w:rPr>
          <w:kern w:val="22"/>
          <w:szCs w:val="22"/>
          <w:shd w:val="clear" w:color="auto" w:fill="FFFFFF"/>
        </w:rPr>
        <w:t xml:space="preserve"> elements, </w:t>
      </w:r>
      <w:r w:rsidR="00C9203F" w:rsidRPr="000D6CA7">
        <w:rPr>
          <w:kern w:val="22"/>
          <w:szCs w:val="22"/>
          <w:shd w:val="clear" w:color="auto" w:fill="FFFFFF"/>
        </w:rPr>
        <w:t xml:space="preserve">which may include, </w:t>
      </w:r>
      <w:r w:rsidRPr="000D6CA7">
        <w:rPr>
          <w:kern w:val="22"/>
          <w:szCs w:val="22"/>
          <w:shd w:val="clear" w:color="auto" w:fill="FFFFFF"/>
        </w:rPr>
        <w:t xml:space="preserve">for example, </w:t>
      </w:r>
      <w:r w:rsidR="00FC20CF" w:rsidRPr="000D6CA7">
        <w:rPr>
          <w:kern w:val="22"/>
          <w:szCs w:val="22"/>
          <w:shd w:val="clear" w:color="auto" w:fill="FFFFFF"/>
        </w:rPr>
        <w:t xml:space="preserve">a </w:t>
      </w:r>
      <w:r w:rsidRPr="000D6CA7">
        <w:rPr>
          <w:kern w:val="22"/>
          <w:szCs w:val="22"/>
          <w:shd w:val="clear" w:color="auto" w:fill="FFFFFF"/>
        </w:rPr>
        <w:t xml:space="preserve">possible </w:t>
      </w:r>
      <w:r w:rsidR="00FC20CF" w:rsidRPr="000D6CA7">
        <w:rPr>
          <w:kern w:val="22"/>
          <w:szCs w:val="22"/>
          <w:shd w:val="clear" w:color="auto" w:fill="FFFFFF"/>
        </w:rPr>
        <w:t>goal</w:t>
      </w:r>
      <w:r w:rsidR="0092262B" w:rsidRPr="000D6CA7">
        <w:rPr>
          <w:kern w:val="22"/>
          <w:szCs w:val="22"/>
          <w:shd w:val="clear" w:color="auto" w:fill="FFFFFF"/>
        </w:rPr>
        <w:t xml:space="preserve"> and</w:t>
      </w:r>
      <w:r w:rsidR="00FC20CF" w:rsidRPr="000D6CA7">
        <w:rPr>
          <w:kern w:val="22"/>
          <w:szCs w:val="22"/>
          <w:shd w:val="clear" w:color="auto" w:fill="FFFFFF"/>
        </w:rPr>
        <w:t xml:space="preserve"> target</w:t>
      </w:r>
      <w:r w:rsidR="0092262B" w:rsidRPr="000D6CA7">
        <w:rPr>
          <w:kern w:val="22"/>
          <w:szCs w:val="22"/>
          <w:shd w:val="clear" w:color="auto" w:fill="FFFFFF"/>
        </w:rPr>
        <w:t xml:space="preserve"> as well as</w:t>
      </w:r>
      <w:r w:rsidR="004F0D10" w:rsidRPr="000D6CA7">
        <w:rPr>
          <w:kern w:val="22"/>
          <w:szCs w:val="22"/>
          <w:shd w:val="clear" w:color="auto" w:fill="FFFFFF"/>
        </w:rPr>
        <w:t xml:space="preserve"> po</w:t>
      </w:r>
      <w:r w:rsidR="0092262B" w:rsidRPr="000D6CA7">
        <w:rPr>
          <w:kern w:val="22"/>
          <w:szCs w:val="22"/>
          <w:shd w:val="clear" w:color="auto" w:fill="FFFFFF"/>
        </w:rPr>
        <w:t>tential</w:t>
      </w:r>
      <w:r w:rsidR="004F0D10" w:rsidRPr="000D6CA7">
        <w:rPr>
          <w:kern w:val="22"/>
          <w:szCs w:val="22"/>
          <w:shd w:val="clear" w:color="auto" w:fill="FFFFFF"/>
        </w:rPr>
        <w:t xml:space="preserve"> sub-targets</w:t>
      </w:r>
      <w:r w:rsidR="00FC20CF" w:rsidRPr="000D6CA7">
        <w:rPr>
          <w:kern w:val="22"/>
          <w:szCs w:val="22"/>
          <w:shd w:val="clear" w:color="auto" w:fill="FFFFFF"/>
        </w:rPr>
        <w:t xml:space="preserve"> and </w:t>
      </w:r>
      <w:r w:rsidRPr="000D6CA7">
        <w:rPr>
          <w:kern w:val="22"/>
          <w:szCs w:val="22"/>
          <w:shd w:val="clear" w:color="auto" w:fill="FFFFFF"/>
        </w:rPr>
        <w:t xml:space="preserve">indicators. </w:t>
      </w:r>
      <w:r w:rsidR="00C9203F" w:rsidRPr="000D6CA7">
        <w:rPr>
          <w:kern w:val="22"/>
          <w:szCs w:val="22"/>
          <w:shd w:val="clear" w:color="auto" w:fill="FFFFFF"/>
        </w:rPr>
        <w:t>This</w:t>
      </w:r>
      <w:r w:rsidR="004F0D10" w:rsidRPr="000D6CA7">
        <w:rPr>
          <w:kern w:val="22"/>
          <w:szCs w:val="22"/>
          <w:shd w:val="clear" w:color="auto" w:fill="FFFFFF"/>
        </w:rPr>
        <w:t xml:space="preserve"> may facilitate the </w:t>
      </w:r>
      <w:r w:rsidR="00C9203F" w:rsidRPr="000D6CA7">
        <w:rPr>
          <w:kern w:val="22"/>
          <w:szCs w:val="22"/>
          <w:shd w:val="clear" w:color="auto" w:fill="FFFFFF"/>
        </w:rPr>
        <w:t xml:space="preserve">incorporation </w:t>
      </w:r>
      <w:r w:rsidR="004F0D10" w:rsidRPr="000D6CA7">
        <w:rPr>
          <w:kern w:val="22"/>
          <w:szCs w:val="22"/>
          <w:shd w:val="clear" w:color="auto" w:fill="FFFFFF"/>
        </w:rPr>
        <w:t xml:space="preserve">of some or </w:t>
      </w:r>
      <w:proofErr w:type="gramStart"/>
      <w:r w:rsidR="004F0D10" w:rsidRPr="000D6CA7">
        <w:rPr>
          <w:kern w:val="22"/>
          <w:szCs w:val="22"/>
          <w:shd w:val="clear" w:color="auto" w:fill="FFFFFF"/>
        </w:rPr>
        <w:t>all of</w:t>
      </w:r>
      <w:proofErr w:type="gramEnd"/>
      <w:r w:rsidR="004F0D10" w:rsidRPr="000D6CA7">
        <w:rPr>
          <w:kern w:val="22"/>
          <w:szCs w:val="22"/>
          <w:shd w:val="clear" w:color="auto" w:fill="FFFFFF"/>
        </w:rPr>
        <w:t xml:space="preserve"> these elements in the post-2020 global biodiversity framework, </w:t>
      </w:r>
      <w:r w:rsidR="00350A95" w:rsidRPr="000D6CA7">
        <w:rPr>
          <w:kern w:val="22"/>
          <w:szCs w:val="22"/>
          <w:shd w:val="clear" w:color="auto" w:fill="FFFFFF"/>
        </w:rPr>
        <w:t>as</w:t>
      </w:r>
      <w:r w:rsidR="004F0D10" w:rsidRPr="000D6CA7">
        <w:rPr>
          <w:kern w:val="22"/>
          <w:szCs w:val="22"/>
          <w:shd w:val="clear" w:color="auto" w:fill="FFFFFF"/>
        </w:rPr>
        <w:t xml:space="preserve"> the final format </w:t>
      </w:r>
      <w:r w:rsidR="00350A95" w:rsidRPr="000D6CA7">
        <w:rPr>
          <w:kern w:val="22"/>
          <w:szCs w:val="22"/>
          <w:shd w:val="clear" w:color="auto" w:fill="FFFFFF"/>
        </w:rPr>
        <w:t xml:space="preserve">and structure </w:t>
      </w:r>
      <w:r w:rsidR="004F0D10" w:rsidRPr="000D6CA7">
        <w:rPr>
          <w:kern w:val="22"/>
          <w:szCs w:val="22"/>
          <w:shd w:val="clear" w:color="auto" w:fill="FFFFFF"/>
        </w:rPr>
        <w:t>of the framework</w:t>
      </w:r>
      <w:r w:rsidR="00350A95" w:rsidRPr="000D6CA7">
        <w:rPr>
          <w:kern w:val="22"/>
          <w:szCs w:val="22"/>
          <w:shd w:val="clear" w:color="auto" w:fill="FFFFFF"/>
        </w:rPr>
        <w:t xml:space="preserve"> is developed further</w:t>
      </w:r>
      <w:r w:rsidR="004F0D10" w:rsidRPr="000D6CA7">
        <w:rPr>
          <w:kern w:val="22"/>
          <w:szCs w:val="22"/>
          <w:shd w:val="clear" w:color="auto" w:fill="FFFFFF"/>
        </w:rPr>
        <w:t xml:space="preserve">. </w:t>
      </w:r>
      <w:bookmarkStart w:id="7" w:name="_Hlk20835175"/>
      <w:r w:rsidR="00D1138F" w:rsidRPr="000D6CA7">
        <w:rPr>
          <w:kern w:val="22"/>
          <w:szCs w:val="22"/>
          <w:shd w:val="clear" w:color="auto" w:fill="FFFFFF"/>
        </w:rPr>
        <w:t xml:space="preserve">The Liaison Group may also wish to consider the </w:t>
      </w:r>
      <w:r w:rsidR="000F01F8" w:rsidRPr="000D6CA7">
        <w:rPr>
          <w:kern w:val="22"/>
          <w:szCs w:val="22"/>
          <w:shd w:val="clear" w:color="auto" w:fill="FFFFFF"/>
        </w:rPr>
        <w:t>interlinkages among</w:t>
      </w:r>
      <w:r w:rsidR="00D1138F" w:rsidRPr="000D6CA7">
        <w:rPr>
          <w:kern w:val="22"/>
          <w:szCs w:val="22"/>
          <w:shd w:val="clear" w:color="auto" w:fill="FFFFFF"/>
        </w:rPr>
        <w:t xml:space="preserve"> the post-2020 </w:t>
      </w:r>
      <w:r w:rsidR="00422C7C" w:rsidRPr="000D6CA7">
        <w:rPr>
          <w:kern w:val="22"/>
          <w:szCs w:val="22"/>
          <w:shd w:val="clear" w:color="auto" w:fill="FFFFFF"/>
        </w:rPr>
        <w:t>i</w:t>
      </w:r>
      <w:r w:rsidR="00D1138F" w:rsidRPr="000D6CA7">
        <w:rPr>
          <w:kern w:val="22"/>
          <w:szCs w:val="22"/>
          <w:shd w:val="clear" w:color="auto" w:fill="FFFFFF"/>
        </w:rPr>
        <w:t xml:space="preserve">mplementation </w:t>
      </w:r>
      <w:r w:rsidR="00422C7C" w:rsidRPr="000D6CA7">
        <w:rPr>
          <w:kern w:val="22"/>
          <w:szCs w:val="22"/>
          <w:shd w:val="clear" w:color="auto" w:fill="FFFFFF"/>
        </w:rPr>
        <w:t>p</w:t>
      </w:r>
      <w:r w:rsidR="00D1138F" w:rsidRPr="000D6CA7">
        <w:rPr>
          <w:kern w:val="22"/>
          <w:szCs w:val="22"/>
          <w:shd w:val="clear" w:color="auto" w:fill="FFFFFF"/>
        </w:rPr>
        <w:t>lan for the Protocol</w:t>
      </w:r>
      <w:r w:rsidR="000F01F8" w:rsidRPr="000D6CA7">
        <w:rPr>
          <w:kern w:val="22"/>
          <w:szCs w:val="22"/>
          <w:shd w:val="clear" w:color="auto" w:fill="FFFFFF"/>
        </w:rPr>
        <w:t>, the biosafety elements of the post-2020 global biodiversity framework, and the post-2020 framework as a whole</w:t>
      </w:r>
      <w:r w:rsidR="00D1138F" w:rsidRPr="000D6CA7">
        <w:rPr>
          <w:kern w:val="22"/>
          <w:szCs w:val="22"/>
          <w:shd w:val="clear" w:color="auto" w:fill="FFFFFF"/>
        </w:rPr>
        <w:t>.</w:t>
      </w:r>
      <w:bookmarkEnd w:id="7"/>
    </w:p>
    <w:p w14:paraId="3E868328" w14:textId="457136BD" w:rsidR="006B7483" w:rsidRPr="000D6CA7" w:rsidRDefault="00330D6E" w:rsidP="001E0EC9">
      <w:pPr>
        <w:pStyle w:val="Para1"/>
        <w:numPr>
          <w:ilvl w:val="0"/>
          <w:numId w:val="18"/>
        </w:numPr>
        <w:tabs>
          <w:tab w:val="clear" w:pos="360"/>
        </w:tabs>
        <w:rPr>
          <w:kern w:val="22"/>
          <w:szCs w:val="22"/>
          <w:shd w:val="clear" w:color="auto" w:fill="FFFFFF"/>
        </w:rPr>
      </w:pPr>
      <w:r w:rsidRPr="000D6CA7">
        <w:rPr>
          <w:kern w:val="22"/>
          <w:szCs w:val="22"/>
          <w:shd w:val="clear" w:color="auto" w:fill="FFFFFF"/>
        </w:rPr>
        <w:t xml:space="preserve">The Liaison Group may also wish to consider the next steps in the process for developing the biosafety component of the post-2020 global biodiversity framework. </w:t>
      </w:r>
      <w:r w:rsidR="006B7483" w:rsidRPr="000D6CA7">
        <w:rPr>
          <w:kern w:val="22"/>
          <w:szCs w:val="22"/>
          <w:shd w:val="clear" w:color="auto" w:fill="FFFFFF"/>
        </w:rPr>
        <w:t xml:space="preserve">As currently foreseen, the timing of the meetings of the Liaison Group and the Working Group </w:t>
      </w:r>
      <w:r w:rsidR="007D66E1" w:rsidRPr="000D6CA7">
        <w:rPr>
          <w:kern w:val="22"/>
          <w:szCs w:val="22"/>
          <w:shd w:val="clear" w:color="auto" w:fill="FFFFFF"/>
        </w:rPr>
        <w:t>on the Post-2020 Global Biodiversity Framework</w:t>
      </w:r>
      <w:r w:rsidR="00DE53E7" w:rsidRPr="000D6CA7">
        <w:rPr>
          <w:kern w:val="22"/>
          <w:szCs w:val="22"/>
          <w:shd w:val="clear" w:color="auto" w:fill="FFFFFF"/>
        </w:rPr>
        <w:t xml:space="preserve"> </w:t>
      </w:r>
      <w:r w:rsidR="006B7483" w:rsidRPr="000D6CA7">
        <w:rPr>
          <w:kern w:val="22"/>
          <w:szCs w:val="22"/>
          <w:shd w:val="clear" w:color="auto" w:fill="FFFFFF"/>
        </w:rPr>
        <w:t>is as follows:</w:t>
      </w:r>
    </w:p>
    <w:p w14:paraId="49625B4A" w14:textId="377EFD5E" w:rsidR="006B7483" w:rsidRPr="000D6CA7" w:rsidRDefault="006B7483" w:rsidP="00DE53E7">
      <w:pPr>
        <w:pStyle w:val="Para1"/>
        <w:numPr>
          <w:ilvl w:val="1"/>
          <w:numId w:val="18"/>
        </w:numPr>
        <w:tabs>
          <w:tab w:val="clear" w:pos="1080"/>
          <w:tab w:val="num" w:pos="1276"/>
        </w:tabs>
        <w:rPr>
          <w:kern w:val="22"/>
          <w:szCs w:val="22"/>
          <w:shd w:val="clear" w:color="auto" w:fill="FFFFFF"/>
        </w:rPr>
      </w:pPr>
      <w:r w:rsidRPr="000D6CA7">
        <w:rPr>
          <w:kern w:val="22"/>
          <w:szCs w:val="22"/>
          <w:shd w:val="clear" w:color="auto" w:fill="FFFFFF"/>
        </w:rPr>
        <w:t>22-25 October 2019: thirteenth meeting of the Liaison Group;</w:t>
      </w:r>
    </w:p>
    <w:p w14:paraId="218146C5" w14:textId="7C528BAA" w:rsidR="006B7483" w:rsidRPr="000D6CA7" w:rsidRDefault="006B7483" w:rsidP="00DE53E7">
      <w:pPr>
        <w:pStyle w:val="Para1"/>
        <w:numPr>
          <w:ilvl w:val="1"/>
          <w:numId w:val="18"/>
        </w:numPr>
        <w:tabs>
          <w:tab w:val="clear" w:pos="1080"/>
          <w:tab w:val="num" w:pos="1276"/>
        </w:tabs>
        <w:rPr>
          <w:kern w:val="22"/>
          <w:szCs w:val="22"/>
          <w:shd w:val="clear" w:color="auto" w:fill="FFFFFF"/>
        </w:rPr>
      </w:pPr>
      <w:r w:rsidRPr="000D6CA7">
        <w:rPr>
          <w:kern w:val="22"/>
          <w:szCs w:val="22"/>
        </w:rPr>
        <w:t>24-28 February 2020: second meeting of the Working Group;</w:t>
      </w:r>
    </w:p>
    <w:p w14:paraId="4F31A835" w14:textId="5E9A2B6C" w:rsidR="006B7483" w:rsidRPr="000D6CA7" w:rsidRDefault="006B7483" w:rsidP="00DE53E7">
      <w:pPr>
        <w:pStyle w:val="Para1"/>
        <w:numPr>
          <w:ilvl w:val="1"/>
          <w:numId w:val="18"/>
        </w:numPr>
        <w:tabs>
          <w:tab w:val="clear" w:pos="1080"/>
          <w:tab w:val="num" w:pos="1276"/>
        </w:tabs>
        <w:rPr>
          <w:kern w:val="22"/>
          <w:szCs w:val="22"/>
          <w:shd w:val="clear" w:color="auto" w:fill="FFFFFF"/>
        </w:rPr>
      </w:pPr>
      <w:r w:rsidRPr="000D6CA7">
        <w:rPr>
          <w:kern w:val="22"/>
          <w:szCs w:val="22"/>
        </w:rPr>
        <w:t>April 2020 (tentative): fourteenth meeting of the Liaison Group;</w:t>
      </w:r>
    </w:p>
    <w:p w14:paraId="6D00DC01" w14:textId="73DE5143" w:rsidR="006B7483" w:rsidRPr="000D6CA7" w:rsidRDefault="006B7483" w:rsidP="00DE53E7">
      <w:pPr>
        <w:pStyle w:val="Para1"/>
        <w:numPr>
          <w:ilvl w:val="1"/>
          <w:numId w:val="18"/>
        </w:numPr>
        <w:tabs>
          <w:tab w:val="clear" w:pos="1080"/>
          <w:tab w:val="num" w:pos="1276"/>
        </w:tabs>
        <w:rPr>
          <w:kern w:val="22"/>
          <w:szCs w:val="22"/>
          <w:shd w:val="clear" w:color="auto" w:fill="FFFFFF"/>
        </w:rPr>
      </w:pPr>
      <w:r w:rsidRPr="000D6CA7">
        <w:rPr>
          <w:kern w:val="22"/>
          <w:szCs w:val="22"/>
        </w:rPr>
        <w:t>27-31 July 2020: third meeting of the Working Group.</w:t>
      </w:r>
    </w:p>
    <w:p w14:paraId="6BC4289B" w14:textId="731E7291" w:rsidR="006B7483" w:rsidRPr="000D6CA7" w:rsidRDefault="006B7483" w:rsidP="001E0EC9">
      <w:pPr>
        <w:pStyle w:val="Para1"/>
        <w:numPr>
          <w:ilvl w:val="0"/>
          <w:numId w:val="18"/>
        </w:numPr>
        <w:tabs>
          <w:tab w:val="clear" w:pos="360"/>
        </w:tabs>
        <w:rPr>
          <w:kern w:val="22"/>
          <w:szCs w:val="22"/>
          <w:shd w:val="clear" w:color="auto" w:fill="FFFFFF"/>
        </w:rPr>
      </w:pPr>
      <w:r w:rsidRPr="000D6CA7">
        <w:rPr>
          <w:kern w:val="22"/>
          <w:szCs w:val="22"/>
          <w:shd w:val="clear" w:color="auto" w:fill="FFFFFF"/>
        </w:rPr>
        <w:t xml:space="preserve">The preliminary list of meetings, consultations and workshops for the development of the post-2020 global biodiversity framework </w:t>
      </w:r>
      <w:r w:rsidR="00032D34" w:rsidRPr="000D6CA7">
        <w:rPr>
          <w:kern w:val="22"/>
          <w:szCs w:val="22"/>
          <w:shd w:val="clear" w:color="auto" w:fill="FFFFFF"/>
        </w:rPr>
        <w:t xml:space="preserve">contained </w:t>
      </w:r>
      <w:r w:rsidRPr="000D6CA7">
        <w:rPr>
          <w:kern w:val="22"/>
          <w:szCs w:val="22"/>
          <w:shd w:val="clear" w:color="auto" w:fill="FFFFFF"/>
        </w:rPr>
        <w:t>in annex II of the report o</w:t>
      </w:r>
      <w:r w:rsidR="00032D34" w:rsidRPr="000D6CA7">
        <w:rPr>
          <w:kern w:val="22"/>
          <w:szCs w:val="22"/>
          <w:shd w:val="clear" w:color="auto" w:fill="FFFFFF"/>
        </w:rPr>
        <w:t>n</w:t>
      </w:r>
      <w:r w:rsidRPr="000D6CA7">
        <w:rPr>
          <w:kern w:val="22"/>
          <w:szCs w:val="22"/>
          <w:shd w:val="clear" w:color="auto" w:fill="FFFFFF"/>
        </w:rPr>
        <w:t xml:space="preserve"> the first meeting of the Working Group </w:t>
      </w:r>
      <w:r w:rsidR="00826490" w:rsidRPr="000D6CA7">
        <w:rPr>
          <w:kern w:val="22"/>
          <w:szCs w:val="22"/>
          <w:shd w:val="clear" w:color="auto" w:fill="FFFFFF"/>
        </w:rPr>
        <w:t xml:space="preserve">on the Post-2020 Global Biodiversity Framework </w:t>
      </w:r>
      <w:r w:rsidRPr="000D6CA7">
        <w:rPr>
          <w:kern w:val="22"/>
          <w:szCs w:val="22"/>
          <w:shd w:val="clear" w:color="auto" w:fill="FFFFFF"/>
        </w:rPr>
        <w:t>indicates that the Liaison Group is to prepare a draft of the biosafety component of the post-2020 global biodiversity framework which will be submitted to the Working Group</w:t>
      </w:r>
      <w:r w:rsidR="00F13CDB" w:rsidRPr="000D6CA7">
        <w:rPr>
          <w:kern w:val="22"/>
          <w:szCs w:val="22"/>
          <w:shd w:val="clear" w:color="auto" w:fill="FFFFFF"/>
        </w:rPr>
        <w:t xml:space="preserve"> at its second meeting</w:t>
      </w:r>
      <w:r w:rsidRPr="000D6CA7">
        <w:rPr>
          <w:kern w:val="22"/>
          <w:szCs w:val="22"/>
          <w:shd w:val="clear" w:color="auto" w:fill="FFFFFF"/>
        </w:rPr>
        <w:t>.</w:t>
      </w:r>
    </w:p>
    <w:p w14:paraId="4A6DA806" w14:textId="721E2B8B" w:rsidR="00084F29" w:rsidRPr="000D6CA7" w:rsidRDefault="00F816B1" w:rsidP="001E0EC9">
      <w:pPr>
        <w:pStyle w:val="Para1"/>
        <w:numPr>
          <w:ilvl w:val="0"/>
          <w:numId w:val="18"/>
        </w:numPr>
        <w:tabs>
          <w:tab w:val="clear" w:pos="360"/>
        </w:tabs>
        <w:rPr>
          <w:kern w:val="22"/>
          <w:szCs w:val="22"/>
          <w:shd w:val="clear" w:color="auto" w:fill="FFFFFF"/>
        </w:rPr>
      </w:pPr>
      <w:r w:rsidRPr="000D6CA7">
        <w:rPr>
          <w:kern w:val="22"/>
          <w:szCs w:val="22"/>
          <w:shd w:val="clear" w:color="auto" w:fill="FFFFFF"/>
        </w:rPr>
        <w:t xml:space="preserve">In this regard, the Liaison Group may wish to </w:t>
      </w:r>
      <w:r w:rsidR="00A14144" w:rsidRPr="000D6CA7">
        <w:rPr>
          <w:kern w:val="22"/>
          <w:szCs w:val="22"/>
          <w:shd w:val="clear" w:color="auto" w:fill="FFFFFF"/>
        </w:rPr>
        <w:t xml:space="preserve">explore whether further consideration of this </w:t>
      </w:r>
      <w:r w:rsidR="006B7483" w:rsidRPr="000D6CA7">
        <w:rPr>
          <w:kern w:val="22"/>
          <w:szCs w:val="22"/>
          <w:shd w:val="clear" w:color="auto" w:fill="FFFFFF"/>
        </w:rPr>
        <w:t xml:space="preserve">matter </w:t>
      </w:r>
      <w:r w:rsidR="00A14144" w:rsidRPr="000D6CA7">
        <w:rPr>
          <w:kern w:val="22"/>
          <w:szCs w:val="22"/>
          <w:shd w:val="clear" w:color="auto" w:fill="FFFFFF"/>
        </w:rPr>
        <w:t>at its fourteenth meeting would be opportune.</w:t>
      </w:r>
    </w:p>
    <w:p w14:paraId="5BFC7A88" w14:textId="776D3795" w:rsidR="00F77C14" w:rsidRPr="000D6CA7" w:rsidRDefault="00BB267B" w:rsidP="001E0EC9">
      <w:pPr>
        <w:pStyle w:val="Para1"/>
        <w:numPr>
          <w:ilvl w:val="0"/>
          <w:numId w:val="18"/>
        </w:numPr>
        <w:tabs>
          <w:tab w:val="clear" w:pos="360"/>
        </w:tabs>
        <w:rPr>
          <w:kern w:val="22"/>
          <w:szCs w:val="22"/>
          <w:shd w:val="clear" w:color="auto" w:fill="FFFFFF"/>
        </w:rPr>
      </w:pPr>
      <w:r w:rsidRPr="000D6CA7">
        <w:rPr>
          <w:kern w:val="22"/>
          <w:szCs w:val="22"/>
          <w:shd w:val="clear" w:color="auto" w:fill="FFFFFF"/>
        </w:rPr>
        <w:t xml:space="preserve">The Liaison Group may also wish to consider opportunities </w:t>
      </w:r>
      <w:r w:rsidR="006D2464" w:rsidRPr="000D6CA7">
        <w:rPr>
          <w:kern w:val="22"/>
          <w:szCs w:val="22"/>
          <w:shd w:val="clear" w:color="auto" w:fill="FFFFFF"/>
        </w:rPr>
        <w:t xml:space="preserve">for </w:t>
      </w:r>
      <w:r w:rsidRPr="000D6CA7">
        <w:rPr>
          <w:kern w:val="22"/>
          <w:szCs w:val="22"/>
          <w:shd w:val="clear" w:color="auto" w:fill="FFFFFF"/>
        </w:rPr>
        <w:t>and timing of coordination with the Co</w:t>
      </w:r>
      <w:r w:rsidR="00826490" w:rsidRPr="000D6CA7">
        <w:rPr>
          <w:kern w:val="22"/>
          <w:szCs w:val="22"/>
          <w:shd w:val="clear" w:color="auto" w:fill="FFFFFF"/>
        </w:rPr>
        <w:noBreakHyphen/>
      </w:r>
      <w:r w:rsidRPr="000D6CA7">
        <w:rPr>
          <w:kern w:val="22"/>
          <w:szCs w:val="22"/>
          <w:shd w:val="clear" w:color="auto" w:fill="FFFFFF"/>
        </w:rPr>
        <w:t xml:space="preserve">Chairs of the Working Group </w:t>
      </w:r>
      <w:r w:rsidR="007D66E1" w:rsidRPr="000D6CA7">
        <w:rPr>
          <w:kern w:val="22"/>
          <w:szCs w:val="22"/>
          <w:shd w:val="clear" w:color="auto" w:fill="FFFFFF"/>
        </w:rPr>
        <w:t>on the Post-2020 Global Biodiversity Framework</w:t>
      </w:r>
      <w:r w:rsidR="004452A2" w:rsidRPr="000D6CA7">
        <w:rPr>
          <w:kern w:val="22"/>
          <w:szCs w:val="22"/>
          <w:shd w:val="clear" w:color="auto" w:fill="FFFFFF"/>
        </w:rPr>
        <w:t xml:space="preserve"> in </w:t>
      </w:r>
      <w:r w:rsidR="00B23B0E" w:rsidRPr="000D6CA7">
        <w:rPr>
          <w:kern w:val="22"/>
          <w:szCs w:val="22"/>
          <w:shd w:val="clear" w:color="auto" w:fill="FFFFFF"/>
        </w:rPr>
        <w:t xml:space="preserve">the </w:t>
      </w:r>
      <w:r w:rsidR="004452A2" w:rsidRPr="000D6CA7">
        <w:rPr>
          <w:kern w:val="22"/>
          <w:szCs w:val="22"/>
          <w:shd w:val="clear" w:color="auto" w:fill="FFFFFF"/>
        </w:rPr>
        <w:t xml:space="preserve">light of decision CP-9/7, </w:t>
      </w:r>
      <w:r w:rsidR="0028723B" w:rsidRPr="000D6CA7">
        <w:rPr>
          <w:kern w:val="22"/>
          <w:szCs w:val="22"/>
          <w:shd w:val="clear" w:color="auto" w:fill="FFFFFF"/>
        </w:rPr>
        <w:t xml:space="preserve">in </w:t>
      </w:r>
      <w:r w:rsidR="004452A2" w:rsidRPr="000D6CA7">
        <w:rPr>
          <w:kern w:val="22"/>
          <w:szCs w:val="22"/>
          <w:shd w:val="clear" w:color="auto" w:fill="FFFFFF"/>
        </w:rPr>
        <w:t xml:space="preserve">which the Liaison Group </w:t>
      </w:r>
      <w:r w:rsidR="0028723B" w:rsidRPr="000D6CA7">
        <w:rPr>
          <w:kern w:val="22"/>
          <w:szCs w:val="22"/>
          <w:shd w:val="clear" w:color="auto" w:fill="FFFFFF"/>
        </w:rPr>
        <w:t xml:space="preserve">was requested </w:t>
      </w:r>
      <w:r w:rsidR="004452A2" w:rsidRPr="000D6CA7">
        <w:rPr>
          <w:kern w:val="22"/>
          <w:szCs w:val="22"/>
          <w:shd w:val="clear" w:color="auto" w:fill="FFFFFF"/>
        </w:rPr>
        <w:t>to develop the elements of the biosafety component of the post-2020 global biodiversity framework in consultation with the Co-Chairs of the Working Group</w:t>
      </w:r>
      <w:r w:rsidR="00826490" w:rsidRPr="000D6CA7">
        <w:rPr>
          <w:kern w:val="22"/>
          <w:szCs w:val="22"/>
          <w:shd w:val="clear" w:color="auto" w:fill="FFFFFF"/>
        </w:rPr>
        <w:t xml:space="preserve"> </w:t>
      </w:r>
      <w:r w:rsidR="007D66E1" w:rsidRPr="000D6CA7">
        <w:rPr>
          <w:kern w:val="22"/>
          <w:szCs w:val="22"/>
          <w:shd w:val="clear" w:color="auto" w:fill="FFFFFF"/>
        </w:rPr>
        <w:t>on the Post-2020 Global Biodiversity Framework</w:t>
      </w:r>
      <w:r w:rsidRPr="000D6CA7">
        <w:rPr>
          <w:kern w:val="22"/>
          <w:szCs w:val="22"/>
          <w:shd w:val="clear" w:color="auto" w:fill="FFFFFF"/>
        </w:rPr>
        <w:t>.</w:t>
      </w:r>
    </w:p>
    <w:p w14:paraId="78881254" w14:textId="1734290A" w:rsidR="00BF3E34" w:rsidRPr="000D6CA7" w:rsidRDefault="00BF3E34" w:rsidP="00BF3E34">
      <w:pPr>
        <w:pStyle w:val="Para1"/>
        <w:rPr>
          <w:kern w:val="22"/>
          <w:szCs w:val="22"/>
          <w:shd w:val="clear" w:color="auto" w:fill="FFFFFF"/>
        </w:rPr>
      </w:pPr>
    </w:p>
    <w:p w14:paraId="58E3912C" w14:textId="4AA6D810" w:rsidR="00BF3E34" w:rsidRPr="00536119" w:rsidRDefault="00826490" w:rsidP="00BF3E34">
      <w:pPr>
        <w:pStyle w:val="Para1"/>
        <w:jc w:val="center"/>
        <w:rPr>
          <w:kern w:val="22"/>
          <w:szCs w:val="22"/>
          <w:shd w:val="clear" w:color="auto" w:fill="FFFFFF"/>
        </w:rPr>
      </w:pPr>
      <w:r w:rsidRPr="000D6CA7">
        <w:rPr>
          <w:kern w:val="22"/>
          <w:szCs w:val="22"/>
          <w:shd w:val="clear" w:color="auto" w:fill="FFFFFF"/>
        </w:rPr>
        <w:t>__________</w:t>
      </w:r>
      <w:bookmarkStart w:id="8" w:name="_GoBack"/>
      <w:bookmarkEnd w:id="8"/>
    </w:p>
    <w:sectPr w:rsidR="00BF3E34" w:rsidRPr="00536119" w:rsidSect="008E5DB7">
      <w:headerReference w:type="even" r:id="rId18"/>
      <w:headerReference w:type="defaul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558D" w14:textId="77777777" w:rsidR="002C5C23" w:rsidRDefault="002C5C23" w:rsidP="00CF1848">
      <w:r>
        <w:separator/>
      </w:r>
    </w:p>
  </w:endnote>
  <w:endnote w:type="continuationSeparator" w:id="0">
    <w:p w14:paraId="3A0D46DA" w14:textId="77777777" w:rsidR="002C5C23" w:rsidRDefault="002C5C2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2093D" w14:textId="77777777" w:rsidR="002C5C23" w:rsidRDefault="002C5C23" w:rsidP="00CF1848">
      <w:r>
        <w:separator/>
      </w:r>
    </w:p>
  </w:footnote>
  <w:footnote w:type="continuationSeparator" w:id="0">
    <w:p w14:paraId="42BD1B6E" w14:textId="77777777" w:rsidR="002C5C23" w:rsidRDefault="002C5C23" w:rsidP="00CF1848">
      <w:r>
        <w:continuationSeparator/>
      </w:r>
    </w:p>
  </w:footnote>
  <w:footnote w:id="1">
    <w:p w14:paraId="4DEF33A5" w14:textId="211067D9" w:rsidR="007A6B73" w:rsidRPr="007A32CB" w:rsidRDefault="007A6B73" w:rsidP="007A32CB">
      <w:pPr>
        <w:pStyle w:val="FootnoteText"/>
        <w:ind w:firstLine="0"/>
        <w:jc w:val="left"/>
        <w:rPr>
          <w:kern w:val="18"/>
        </w:rPr>
      </w:pPr>
      <w:r w:rsidRPr="007A32CB">
        <w:rPr>
          <w:rStyle w:val="FootnoteReference"/>
          <w:kern w:val="18"/>
          <w:u w:val="none"/>
          <w:vertAlign w:val="superscript"/>
        </w:rPr>
        <w:footnoteRef/>
      </w:r>
      <w:r w:rsidRPr="007A32CB">
        <w:rPr>
          <w:kern w:val="18"/>
        </w:rPr>
        <w:t xml:space="preserve"> Submissions received are being made available online</w:t>
      </w:r>
      <w:r w:rsidR="00410806">
        <w:rPr>
          <w:kern w:val="18"/>
        </w:rPr>
        <w:t xml:space="preserve"> at</w:t>
      </w:r>
      <w:r w:rsidRPr="007A32CB">
        <w:rPr>
          <w:kern w:val="18"/>
        </w:rPr>
        <w:t xml:space="preserve"> </w:t>
      </w:r>
      <w:hyperlink r:id="rId1" w:history="1">
        <w:r w:rsidRPr="007A32CB">
          <w:rPr>
            <w:rStyle w:val="Hyperlink"/>
            <w:kern w:val="18"/>
          </w:rPr>
          <w:t>https://www.cbd.int/conferences/post2020/submissions/2019-075</w:t>
        </w:r>
      </w:hyperlink>
      <w:r w:rsidRPr="007A32CB">
        <w:rPr>
          <w:kern w:val="18"/>
        </w:rPr>
        <w:t>. An update on any relevant submissions will be provided during the meeting of the Liaison Group.</w:t>
      </w:r>
    </w:p>
  </w:footnote>
  <w:footnote w:id="2">
    <w:p w14:paraId="1A05B8DC" w14:textId="6D8D7E5D" w:rsidR="00F93DC5" w:rsidRPr="007A32CB" w:rsidRDefault="00F93DC5" w:rsidP="007A32CB">
      <w:pPr>
        <w:pStyle w:val="FootnoteText"/>
        <w:ind w:firstLine="0"/>
        <w:jc w:val="left"/>
        <w:rPr>
          <w:kern w:val="18"/>
        </w:rPr>
      </w:pPr>
      <w:r w:rsidRPr="007A32CB">
        <w:rPr>
          <w:rStyle w:val="FootnoteReference"/>
          <w:kern w:val="18"/>
          <w:u w:val="none"/>
          <w:vertAlign w:val="superscript"/>
        </w:rPr>
        <w:footnoteRef/>
      </w:r>
      <w:r w:rsidRPr="007A32CB">
        <w:rPr>
          <w:kern w:val="18"/>
        </w:rPr>
        <w:t xml:space="preserve"> CBD/WG2020/1/5.</w:t>
      </w:r>
    </w:p>
  </w:footnote>
  <w:footnote w:id="3">
    <w:p w14:paraId="36BDA116" w14:textId="591A00B7" w:rsidR="007A6B73" w:rsidRPr="007A32CB" w:rsidRDefault="007A6B73" w:rsidP="007A32CB">
      <w:pPr>
        <w:pStyle w:val="FootnoteText"/>
        <w:ind w:firstLine="0"/>
        <w:jc w:val="left"/>
        <w:rPr>
          <w:kern w:val="18"/>
        </w:rPr>
      </w:pPr>
      <w:r w:rsidRPr="007A32CB">
        <w:rPr>
          <w:rStyle w:val="FootnoteReference"/>
          <w:kern w:val="18"/>
          <w:u w:val="none"/>
          <w:vertAlign w:val="superscript"/>
        </w:rPr>
        <w:footnoteRef/>
      </w:r>
      <w:r w:rsidRPr="007A32CB">
        <w:rPr>
          <w:kern w:val="18"/>
        </w:rPr>
        <w:t xml:space="preserve"> This includes both views submitted in response to notification 2019-008, on the post-2020 global biodiversity framework, and in response to notification 2019-027, on the post-2020 process under the Cartagena Protocol, that touch on fundamental linkages between biosafety and biodiversity.</w:t>
      </w:r>
    </w:p>
  </w:footnote>
  <w:footnote w:id="4">
    <w:p w14:paraId="0B68F046" w14:textId="77777777" w:rsidR="007A6B73" w:rsidRPr="007A32CB" w:rsidRDefault="007A6B73" w:rsidP="007A32CB">
      <w:pPr>
        <w:pStyle w:val="FootnoteText"/>
        <w:ind w:firstLine="0"/>
        <w:jc w:val="left"/>
        <w:rPr>
          <w:kern w:val="18"/>
        </w:rPr>
      </w:pPr>
      <w:r w:rsidRPr="007A32CB">
        <w:rPr>
          <w:rStyle w:val="FootnoteReference"/>
          <w:kern w:val="18"/>
          <w:u w:val="none"/>
          <w:vertAlign w:val="superscript"/>
        </w:rPr>
        <w:footnoteRef/>
      </w:r>
      <w:r w:rsidRPr="007A32CB">
        <w:rPr>
          <w:kern w:val="18"/>
        </w:rPr>
        <w:t xml:space="preserve"> In contrast, biodiversity and access and benefit-sharing are reflected explicitly. Goal 15 relates, among other things, to halting biodiversity loss, and several related targets address biodiversity. Both target 5 under Goal 2 and target 6 under Goal 15 are dedicated specifically to the</w:t>
      </w:r>
      <w:r w:rsidRPr="007A32CB">
        <w:rPr>
          <w:kern w:val="18"/>
          <w:shd w:val="clear" w:color="auto" w:fill="FFFFFF"/>
        </w:rPr>
        <w:t xml:space="preserve"> promotion of access to genetic resources and fair and equitable sharing of benefits arising from the utilization of genetic resources.</w:t>
      </w:r>
    </w:p>
  </w:footnote>
  <w:footnote w:id="5">
    <w:p w14:paraId="53D6549E" w14:textId="77777777" w:rsidR="007A6B73" w:rsidRPr="007A32CB" w:rsidRDefault="007A6B73" w:rsidP="007A32CB">
      <w:pPr>
        <w:pStyle w:val="FootnoteText"/>
        <w:ind w:firstLine="0"/>
        <w:jc w:val="left"/>
        <w:rPr>
          <w:kern w:val="18"/>
        </w:rPr>
      </w:pPr>
      <w:r w:rsidRPr="007A32CB">
        <w:rPr>
          <w:rStyle w:val="FootnoteReference"/>
          <w:kern w:val="18"/>
          <w:u w:val="none"/>
          <w:vertAlign w:val="superscript"/>
        </w:rPr>
        <w:footnoteRef/>
      </w:r>
      <w:r w:rsidRPr="007A32CB">
        <w:rPr>
          <w:kern w:val="18"/>
          <w:vertAlign w:val="superscript"/>
        </w:rPr>
        <w:t xml:space="preserve"> </w:t>
      </w:r>
      <w:r w:rsidRPr="007A32CB">
        <w:rPr>
          <w:kern w:val="18"/>
        </w:rPr>
        <w:t>Specific, measurable, attainable, realistic and timely.</w:t>
      </w:r>
    </w:p>
  </w:footnote>
  <w:footnote w:id="6">
    <w:p w14:paraId="402C729F" w14:textId="280C1FDD" w:rsidR="007A6B73" w:rsidRPr="007A32CB" w:rsidRDefault="007A6B73" w:rsidP="007A32CB">
      <w:pPr>
        <w:pStyle w:val="FootnoteText"/>
        <w:ind w:firstLine="0"/>
        <w:jc w:val="left"/>
        <w:rPr>
          <w:kern w:val="18"/>
        </w:rPr>
      </w:pPr>
      <w:r w:rsidRPr="007A32CB">
        <w:rPr>
          <w:rStyle w:val="FootnoteReference"/>
          <w:kern w:val="18"/>
          <w:u w:val="none"/>
          <w:vertAlign w:val="superscript"/>
        </w:rPr>
        <w:footnoteRef/>
      </w:r>
      <w:r w:rsidRPr="007A32CB">
        <w:rPr>
          <w:kern w:val="18"/>
        </w:rPr>
        <w:t xml:space="preserve"> Annex I, paragraph </w:t>
      </w:r>
      <w:r w:rsidR="00211EEA">
        <w:rPr>
          <w:kern w:val="18"/>
        </w:rPr>
        <w:t>1</w:t>
      </w:r>
      <w:r w:rsidRPr="007A32CB">
        <w:rPr>
          <w:kern w:val="18"/>
        </w:rPr>
        <w:t>, of the report o</w:t>
      </w:r>
      <w:r w:rsidR="00A13F77">
        <w:rPr>
          <w:kern w:val="18"/>
        </w:rPr>
        <w:t>n</w:t>
      </w:r>
      <w:r w:rsidRPr="007A32CB">
        <w:rPr>
          <w:kern w:val="18"/>
        </w:rPr>
        <w:t xml:space="preserve"> the first meeting of the Working Group </w:t>
      </w:r>
      <w:r w:rsidR="00826490" w:rsidRPr="007A32CB">
        <w:rPr>
          <w:kern w:val="18"/>
        </w:rPr>
        <w:t xml:space="preserve">on the Post-2020 Global Biodiversity Framework </w:t>
      </w:r>
      <w:r w:rsidRPr="007A32CB">
        <w:rPr>
          <w:kern w:val="18"/>
        </w:rPr>
        <w:t>(CBD/WG2020/1/5) states:  “</w:t>
      </w:r>
      <w:r w:rsidRPr="007A32CB">
        <w:rPr>
          <w:iCs/>
          <w:kern w:val="18"/>
          <w:szCs w:val="22"/>
        </w:rPr>
        <w:t>The views expressed herein should be considered by the Co</w:t>
      </w:r>
      <w:r w:rsidRPr="007A32CB">
        <w:rPr>
          <w:iCs/>
          <w:kern w:val="18"/>
          <w:szCs w:val="22"/>
        </w:rPr>
        <w:noBreakHyphen/>
        <w:t xml:space="preserve">Chairs of the Open-ended Working Group </w:t>
      </w:r>
      <w:r w:rsidR="00AD06CB" w:rsidRPr="00AD06CB">
        <w:rPr>
          <w:iCs/>
          <w:kern w:val="18"/>
          <w:szCs w:val="22"/>
        </w:rPr>
        <w:t xml:space="preserve">on the Post-2020 Global Biodiversity Framework </w:t>
      </w:r>
      <w:r w:rsidRPr="007A32CB">
        <w:rPr>
          <w:iCs/>
          <w:kern w:val="18"/>
          <w:szCs w:val="22"/>
        </w:rPr>
        <w:t>when preparing further documentation related to the post</w:t>
      </w:r>
      <w:r w:rsidRPr="007A32CB">
        <w:rPr>
          <w:iCs/>
          <w:kern w:val="18"/>
          <w:szCs w:val="22"/>
        </w:rPr>
        <w:noBreakHyphen/>
        <w:t xml:space="preserve">2020 global biodiversity framework for the Working Group. However, the issues raised in the present note should not be taken to mean that an agreement was reached on any </w:t>
      </w:r>
      <w:proofErr w:type="gramStart"/>
      <w:r w:rsidRPr="007A32CB">
        <w:rPr>
          <w:iCs/>
          <w:kern w:val="18"/>
          <w:szCs w:val="22"/>
        </w:rPr>
        <w:t>particular issue</w:t>
      </w:r>
      <w:proofErr w:type="gramEnd"/>
      <w:r w:rsidRPr="007A32CB">
        <w:rPr>
          <w:iCs/>
          <w:kern w:val="18"/>
          <w:szCs w:val="22"/>
        </w:rPr>
        <w:t>. Further, the present note should be considered alongside the official statements made by Parties during the first meeting of the Working Group and is not intended to replace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6F08805D" w:rsidR="007A6B73" w:rsidRPr="004B200B" w:rsidRDefault="007A6B73" w:rsidP="004B200B">
        <w:pPr>
          <w:pStyle w:val="Header"/>
          <w:tabs>
            <w:tab w:val="clear" w:pos="4320"/>
            <w:tab w:val="clear" w:pos="8640"/>
          </w:tabs>
          <w:jc w:val="left"/>
          <w:rPr>
            <w:noProof/>
            <w:kern w:val="22"/>
          </w:rPr>
        </w:pPr>
        <w:r w:rsidRPr="004B200B">
          <w:rPr>
            <w:noProof/>
            <w:kern w:val="22"/>
          </w:rPr>
          <w:t>CBD/CP/LG/2019/1/5</w:t>
        </w:r>
      </w:p>
    </w:sdtContent>
  </w:sdt>
  <w:p w14:paraId="19E31C39" w14:textId="77777777" w:rsidR="007A6B73" w:rsidRPr="004B200B" w:rsidRDefault="007A6B73" w:rsidP="004B200B">
    <w:pPr>
      <w:pStyle w:val="Header"/>
      <w:tabs>
        <w:tab w:val="clear" w:pos="4320"/>
        <w:tab w:val="clear" w:pos="8640"/>
      </w:tabs>
      <w:jc w:val="left"/>
      <w:rPr>
        <w:noProof/>
        <w:kern w:val="22"/>
      </w:rPr>
    </w:pPr>
    <w:r w:rsidRPr="004B200B">
      <w:rPr>
        <w:noProof/>
        <w:kern w:val="22"/>
      </w:rPr>
      <w:t xml:space="preserve">Page </w:t>
    </w:r>
    <w:r w:rsidRPr="004B200B">
      <w:rPr>
        <w:noProof/>
        <w:kern w:val="22"/>
      </w:rPr>
      <w:fldChar w:fldCharType="begin"/>
    </w:r>
    <w:r w:rsidRPr="004B200B">
      <w:rPr>
        <w:noProof/>
        <w:kern w:val="22"/>
      </w:rPr>
      <w:instrText xml:space="preserve"> PAGE   \* MERGEFORMAT </w:instrText>
    </w:r>
    <w:r w:rsidRPr="004B200B">
      <w:rPr>
        <w:noProof/>
        <w:kern w:val="22"/>
      </w:rPr>
      <w:fldChar w:fldCharType="separate"/>
    </w:r>
    <w:r w:rsidR="00EB4BC1" w:rsidRPr="004B200B">
      <w:rPr>
        <w:noProof/>
        <w:kern w:val="22"/>
      </w:rPr>
      <w:t>2</w:t>
    </w:r>
    <w:r w:rsidRPr="004B200B">
      <w:rPr>
        <w:noProof/>
        <w:kern w:val="22"/>
      </w:rPr>
      <w:fldChar w:fldCharType="end"/>
    </w:r>
  </w:p>
  <w:p w14:paraId="38BE883B" w14:textId="77777777" w:rsidR="007A6B73" w:rsidRPr="004B200B" w:rsidRDefault="007A6B73" w:rsidP="004B200B">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62DC65B2" w:rsidR="007A6B73" w:rsidRPr="004B200B" w:rsidRDefault="007A6B73" w:rsidP="004B200B">
        <w:pPr>
          <w:pStyle w:val="Header"/>
          <w:tabs>
            <w:tab w:val="clear" w:pos="4320"/>
            <w:tab w:val="clear" w:pos="8640"/>
          </w:tabs>
          <w:jc w:val="right"/>
          <w:rPr>
            <w:noProof/>
            <w:kern w:val="22"/>
          </w:rPr>
        </w:pPr>
        <w:r w:rsidRPr="004B200B">
          <w:rPr>
            <w:noProof/>
            <w:kern w:val="22"/>
          </w:rPr>
          <w:t>CBD/CP/LG/2019/1/5</w:t>
        </w:r>
      </w:p>
    </w:sdtContent>
  </w:sdt>
  <w:p w14:paraId="1820A7D5" w14:textId="77777777" w:rsidR="007A6B73" w:rsidRPr="004B200B" w:rsidRDefault="007A6B73" w:rsidP="004B200B">
    <w:pPr>
      <w:pStyle w:val="Header"/>
      <w:tabs>
        <w:tab w:val="clear" w:pos="4320"/>
        <w:tab w:val="clear" w:pos="8640"/>
      </w:tabs>
      <w:jc w:val="right"/>
      <w:rPr>
        <w:noProof/>
        <w:kern w:val="22"/>
      </w:rPr>
    </w:pPr>
    <w:r w:rsidRPr="004B200B">
      <w:rPr>
        <w:noProof/>
        <w:kern w:val="22"/>
      </w:rPr>
      <w:t xml:space="preserve">Page </w:t>
    </w:r>
    <w:r w:rsidRPr="004B200B">
      <w:rPr>
        <w:noProof/>
        <w:kern w:val="22"/>
      </w:rPr>
      <w:fldChar w:fldCharType="begin"/>
    </w:r>
    <w:r w:rsidRPr="004B200B">
      <w:rPr>
        <w:noProof/>
        <w:kern w:val="22"/>
      </w:rPr>
      <w:instrText xml:space="preserve"> PAGE   \* MERGEFORMAT </w:instrText>
    </w:r>
    <w:r w:rsidRPr="004B200B">
      <w:rPr>
        <w:noProof/>
        <w:kern w:val="22"/>
      </w:rPr>
      <w:fldChar w:fldCharType="separate"/>
    </w:r>
    <w:r w:rsidR="00EB4BC1" w:rsidRPr="004B200B">
      <w:rPr>
        <w:noProof/>
        <w:kern w:val="22"/>
      </w:rPr>
      <w:t>3</w:t>
    </w:r>
    <w:r w:rsidRPr="004B200B">
      <w:rPr>
        <w:noProof/>
        <w:kern w:val="22"/>
      </w:rPr>
      <w:fldChar w:fldCharType="end"/>
    </w:r>
  </w:p>
  <w:p w14:paraId="37D34E80" w14:textId="77777777" w:rsidR="007A6B73" w:rsidRPr="004B200B" w:rsidRDefault="007A6B73" w:rsidP="004B200B">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0A"/>
    <w:multiLevelType w:val="hybridMultilevel"/>
    <w:tmpl w:val="393AB474"/>
    <w:lvl w:ilvl="0" w:tplc="A9942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1582"/>
    <w:multiLevelType w:val="hybridMultilevel"/>
    <w:tmpl w:val="196A428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E14260"/>
    <w:multiLevelType w:val="hybridMultilevel"/>
    <w:tmpl w:val="EB4C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6"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975AD0"/>
    <w:multiLevelType w:val="hybridMultilevel"/>
    <w:tmpl w:val="179C1B2C"/>
    <w:lvl w:ilvl="0" w:tplc="F140E412">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C52FB"/>
    <w:multiLevelType w:val="hybridMultilevel"/>
    <w:tmpl w:val="ACBE98C8"/>
    <w:lvl w:ilvl="0" w:tplc="234A2BA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306ADC"/>
    <w:multiLevelType w:val="hybridMultilevel"/>
    <w:tmpl w:val="6C86BC74"/>
    <w:lvl w:ilvl="0" w:tplc="FB6E56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47BCF"/>
    <w:multiLevelType w:val="hybridMultilevel"/>
    <w:tmpl w:val="7B68DD32"/>
    <w:lvl w:ilvl="0" w:tplc="CA2C8A7A">
      <w:start w:val="1"/>
      <w:numFmt w:val="decimal"/>
      <w:lvlText w:val="%1."/>
      <w:lvlJc w:val="left"/>
      <w:pPr>
        <w:ind w:left="720" w:hanging="360"/>
      </w:pPr>
      <w:rPr>
        <w:rFonts w:hint="default"/>
      </w:rPr>
    </w:lvl>
    <w:lvl w:ilvl="1" w:tplc="998280A4">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14D50"/>
    <w:multiLevelType w:val="hybridMultilevel"/>
    <w:tmpl w:val="84C6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E02202"/>
    <w:multiLevelType w:val="hybridMultilevel"/>
    <w:tmpl w:val="E83E3A44"/>
    <w:lvl w:ilvl="0" w:tplc="CA2C8A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A4675"/>
    <w:multiLevelType w:val="hybridMultilevel"/>
    <w:tmpl w:val="AE44D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94563"/>
    <w:multiLevelType w:val="hybridMultilevel"/>
    <w:tmpl w:val="69601424"/>
    <w:lvl w:ilvl="0" w:tplc="F17247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27" w15:restartNumberingAfterBreak="0">
    <w:nsid w:val="6B8779AF"/>
    <w:multiLevelType w:val="hybridMultilevel"/>
    <w:tmpl w:val="FBDA86B0"/>
    <w:lvl w:ilvl="0" w:tplc="02BAEC68">
      <w:start w:val="7"/>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23244"/>
    <w:multiLevelType w:val="multilevel"/>
    <w:tmpl w:val="9F2E1BB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6"/>
  </w:num>
  <w:num w:numId="3">
    <w:abstractNumId w:val="14"/>
  </w:num>
  <w:num w:numId="4">
    <w:abstractNumId w:val="28"/>
  </w:num>
  <w:num w:numId="5">
    <w:abstractNumId w:val="5"/>
  </w:num>
  <w:num w:numId="6">
    <w:abstractNumId w:val="6"/>
  </w:num>
  <w:num w:numId="7">
    <w:abstractNumId w:val="8"/>
  </w:num>
  <w:num w:numId="8">
    <w:abstractNumId w:val="1"/>
  </w:num>
  <w:num w:numId="9">
    <w:abstractNumId w:val="18"/>
  </w:num>
  <w:num w:numId="10">
    <w:abstractNumId w:val="12"/>
  </w:num>
  <w:num w:numId="11">
    <w:abstractNumId w:val="19"/>
  </w:num>
  <w:num w:numId="12">
    <w:abstractNumId w:val="13"/>
  </w:num>
  <w:num w:numId="13">
    <w:abstractNumId w:val="2"/>
  </w:num>
  <w:num w:numId="14">
    <w:abstractNumId w:val="15"/>
  </w:num>
  <w:num w:numId="15">
    <w:abstractNumId w:val="22"/>
  </w:num>
  <w:num w:numId="16">
    <w:abstractNumId w:val="17"/>
  </w:num>
  <w:num w:numId="17">
    <w:abstractNumId w:val="0"/>
  </w:num>
  <w:num w:numId="18">
    <w:abstractNumId w:val="29"/>
  </w:num>
  <w:num w:numId="19">
    <w:abstractNumId w:val="26"/>
  </w:num>
  <w:num w:numId="20">
    <w:abstractNumId w:val="20"/>
  </w:num>
  <w:num w:numId="21">
    <w:abstractNumId w:val="24"/>
  </w:num>
  <w:num w:numId="22">
    <w:abstractNumId w:val="9"/>
  </w:num>
  <w:num w:numId="23">
    <w:abstractNumId w:val="27"/>
  </w:num>
  <w:num w:numId="24">
    <w:abstractNumId w:val="21"/>
  </w:num>
  <w:num w:numId="25">
    <w:abstractNumId w:val="23"/>
  </w:num>
  <w:num w:numId="26">
    <w:abstractNumId w:val="7"/>
  </w:num>
  <w:num w:numId="27">
    <w:abstractNumId w:val="11"/>
  </w:num>
  <w:num w:numId="28">
    <w:abstractNumId w:val="4"/>
  </w:num>
  <w:num w:numId="29">
    <w:abstractNumId w:val="25"/>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oNotTrackFormatting/>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D01"/>
    <w:rsid w:val="00001B4A"/>
    <w:rsid w:val="00001DAB"/>
    <w:rsid w:val="000043B6"/>
    <w:rsid w:val="000073E0"/>
    <w:rsid w:val="00010070"/>
    <w:rsid w:val="000102EC"/>
    <w:rsid w:val="0001039B"/>
    <w:rsid w:val="00012053"/>
    <w:rsid w:val="00012E13"/>
    <w:rsid w:val="0001318B"/>
    <w:rsid w:val="00013C2C"/>
    <w:rsid w:val="00013E76"/>
    <w:rsid w:val="00016985"/>
    <w:rsid w:val="00016CDB"/>
    <w:rsid w:val="0001747B"/>
    <w:rsid w:val="00017A45"/>
    <w:rsid w:val="00020D58"/>
    <w:rsid w:val="000210D7"/>
    <w:rsid w:val="000222FE"/>
    <w:rsid w:val="00022309"/>
    <w:rsid w:val="00024623"/>
    <w:rsid w:val="00025997"/>
    <w:rsid w:val="00025CE8"/>
    <w:rsid w:val="00026E41"/>
    <w:rsid w:val="00027D21"/>
    <w:rsid w:val="000323DD"/>
    <w:rsid w:val="00032557"/>
    <w:rsid w:val="00032D34"/>
    <w:rsid w:val="0003387B"/>
    <w:rsid w:val="00033D10"/>
    <w:rsid w:val="0003538F"/>
    <w:rsid w:val="00036ABF"/>
    <w:rsid w:val="00037A62"/>
    <w:rsid w:val="00040AA1"/>
    <w:rsid w:val="000427FA"/>
    <w:rsid w:val="000459E5"/>
    <w:rsid w:val="000463F7"/>
    <w:rsid w:val="00046ABD"/>
    <w:rsid w:val="00047772"/>
    <w:rsid w:val="00047F7B"/>
    <w:rsid w:val="00051250"/>
    <w:rsid w:val="00051E58"/>
    <w:rsid w:val="00051ED1"/>
    <w:rsid w:val="000531DF"/>
    <w:rsid w:val="000551E8"/>
    <w:rsid w:val="00055B0E"/>
    <w:rsid w:val="00055E6B"/>
    <w:rsid w:val="00057422"/>
    <w:rsid w:val="00060131"/>
    <w:rsid w:val="000605BD"/>
    <w:rsid w:val="000642BA"/>
    <w:rsid w:val="000656B3"/>
    <w:rsid w:val="00071A1D"/>
    <w:rsid w:val="00071CB0"/>
    <w:rsid w:val="000725EA"/>
    <w:rsid w:val="00077373"/>
    <w:rsid w:val="00080208"/>
    <w:rsid w:val="00084F29"/>
    <w:rsid w:val="00085801"/>
    <w:rsid w:val="00085C09"/>
    <w:rsid w:val="00086C4F"/>
    <w:rsid w:val="00087A3F"/>
    <w:rsid w:val="00090DA4"/>
    <w:rsid w:val="0009247F"/>
    <w:rsid w:val="000924B2"/>
    <w:rsid w:val="0009291D"/>
    <w:rsid w:val="00092D48"/>
    <w:rsid w:val="000942F9"/>
    <w:rsid w:val="00094386"/>
    <w:rsid w:val="0009463F"/>
    <w:rsid w:val="000947C4"/>
    <w:rsid w:val="00094979"/>
    <w:rsid w:val="00095A8F"/>
    <w:rsid w:val="000979CF"/>
    <w:rsid w:val="000A0285"/>
    <w:rsid w:val="000A02A4"/>
    <w:rsid w:val="000A04CC"/>
    <w:rsid w:val="000A0AC1"/>
    <w:rsid w:val="000A16AE"/>
    <w:rsid w:val="000A16B2"/>
    <w:rsid w:val="000A1714"/>
    <w:rsid w:val="000A1B92"/>
    <w:rsid w:val="000A5ACB"/>
    <w:rsid w:val="000A690B"/>
    <w:rsid w:val="000A7CC4"/>
    <w:rsid w:val="000B02F8"/>
    <w:rsid w:val="000B216B"/>
    <w:rsid w:val="000B3973"/>
    <w:rsid w:val="000B45FE"/>
    <w:rsid w:val="000B6038"/>
    <w:rsid w:val="000B630F"/>
    <w:rsid w:val="000B69CB"/>
    <w:rsid w:val="000B77F2"/>
    <w:rsid w:val="000B78E2"/>
    <w:rsid w:val="000C0306"/>
    <w:rsid w:val="000C1992"/>
    <w:rsid w:val="000C23E5"/>
    <w:rsid w:val="000C4352"/>
    <w:rsid w:val="000C43A3"/>
    <w:rsid w:val="000C4429"/>
    <w:rsid w:val="000C4D27"/>
    <w:rsid w:val="000C5595"/>
    <w:rsid w:val="000C58DC"/>
    <w:rsid w:val="000C6851"/>
    <w:rsid w:val="000C6923"/>
    <w:rsid w:val="000C73CC"/>
    <w:rsid w:val="000C7450"/>
    <w:rsid w:val="000D06C7"/>
    <w:rsid w:val="000D169C"/>
    <w:rsid w:val="000D29F5"/>
    <w:rsid w:val="000D2CA8"/>
    <w:rsid w:val="000D4CD6"/>
    <w:rsid w:val="000D5221"/>
    <w:rsid w:val="000D5256"/>
    <w:rsid w:val="000D5FF8"/>
    <w:rsid w:val="000D6CA7"/>
    <w:rsid w:val="000D7226"/>
    <w:rsid w:val="000D74E4"/>
    <w:rsid w:val="000D773C"/>
    <w:rsid w:val="000E1BD1"/>
    <w:rsid w:val="000E2958"/>
    <w:rsid w:val="000E370D"/>
    <w:rsid w:val="000E457F"/>
    <w:rsid w:val="000E4999"/>
    <w:rsid w:val="000E4FAC"/>
    <w:rsid w:val="000E673A"/>
    <w:rsid w:val="000E6B82"/>
    <w:rsid w:val="000F01F8"/>
    <w:rsid w:val="000F0539"/>
    <w:rsid w:val="000F068C"/>
    <w:rsid w:val="000F2887"/>
    <w:rsid w:val="000F4C91"/>
    <w:rsid w:val="000F512E"/>
    <w:rsid w:val="000F59C3"/>
    <w:rsid w:val="000F5E32"/>
    <w:rsid w:val="000F74F5"/>
    <w:rsid w:val="001020B2"/>
    <w:rsid w:val="00102268"/>
    <w:rsid w:val="00102C75"/>
    <w:rsid w:val="001036A8"/>
    <w:rsid w:val="00104F05"/>
    <w:rsid w:val="00105372"/>
    <w:rsid w:val="00106708"/>
    <w:rsid w:val="001115C8"/>
    <w:rsid w:val="00112442"/>
    <w:rsid w:val="00114CCC"/>
    <w:rsid w:val="00116287"/>
    <w:rsid w:val="00116CA4"/>
    <w:rsid w:val="00117CEE"/>
    <w:rsid w:val="00120339"/>
    <w:rsid w:val="001215CE"/>
    <w:rsid w:val="00122FE5"/>
    <w:rsid w:val="0012406C"/>
    <w:rsid w:val="001240C1"/>
    <w:rsid w:val="001250CA"/>
    <w:rsid w:val="00126463"/>
    <w:rsid w:val="00127BE5"/>
    <w:rsid w:val="00130BB2"/>
    <w:rsid w:val="00130DDD"/>
    <w:rsid w:val="00130F6C"/>
    <w:rsid w:val="00130FB6"/>
    <w:rsid w:val="00131E7A"/>
    <w:rsid w:val="00132ED4"/>
    <w:rsid w:val="00133251"/>
    <w:rsid w:val="00133CF4"/>
    <w:rsid w:val="001344F8"/>
    <w:rsid w:val="00134682"/>
    <w:rsid w:val="0013577C"/>
    <w:rsid w:val="00141B93"/>
    <w:rsid w:val="00143174"/>
    <w:rsid w:val="001434E3"/>
    <w:rsid w:val="00143FEB"/>
    <w:rsid w:val="0014466A"/>
    <w:rsid w:val="00144AA8"/>
    <w:rsid w:val="0014562A"/>
    <w:rsid w:val="001467C1"/>
    <w:rsid w:val="00146BAB"/>
    <w:rsid w:val="00147EB7"/>
    <w:rsid w:val="001505DD"/>
    <w:rsid w:val="00150E19"/>
    <w:rsid w:val="0015140E"/>
    <w:rsid w:val="0015263A"/>
    <w:rsid w:val="001527E0"/>
    <w:rsid w:val="0015282F"/>
    <w:rsid w:val="001531EA"/>
    <w:rsid w:val="00153312"/>
    <w:rsid w:val="001553F7"/>
    <w:rsid w:val="00157217"/>
    <w:rsid w:val="001577C4"/>
    <w:rsid w:val="001577D2"/>
    <w:rsid w:val="00157BE0"/>
    <w:rsid w:val="00157CA3"/>
    <w:rsid w:val="00157DE4"/>
    <w:rsid w:val="0016793C"/>
    <w:rsid w:val="001679D9"/>
    <w:rsid w:val="00167BAD"/>
    <w:rsid w:val="00167C0A"/>
    <w:rsid w:val="001717BC"/>
    <w:rsid w:val="00172AF6"/>
    <w:rsid w:val="001737C8"/>
    <w:rsid w:val="00174BF1"/>
    <w:rsid w:val="00176069"/>
    <w:rsid w:val="001760A2"/>
    <w:rsid w:val="001765DD"/>
    <w:rsid w:val="00176CEE"/>
    <w:rsid w:val="001808A0"/>
    <w:rsid w:val="0018263C"/>
    <w:rsid w:val="00182656"/>
    <w:rsid w:val="00182748"/>
    <w:rsid w:val="00184F4D"/>
    <w:rsid w:val="0018693E"/>
    <w:rsid w:val="00190CAF"/>
    <w:rsid w:val="00190DE8"/>
    <w:rsid w:val="00192D31"/>
    <w:rsid w:val="00193D38"/>
    <w:rsid w:val="00195BE5"/>
    <w:rsid w:val="00196282"/>
    <w:rsid w:val="001A11B6"/>
    <w:rsid w:val="001A2AC8"/>
    <w:rsid w:val="001A4A82"/>
    <w:rsid w:val="001A4F63"/>
    <w:rsid w:val="001A5415"/>
    <w:rsid w:val="001A5C62"/>
    <w:rsid w:val="001B054D"/>
    <w:rsid w:val="001B147E"/>
    <w:rsid w:val="001B150F"/>
    <w:rsid w:val="001B15B7"/>
    <w:rsid w:val="001B3F34"/>
    <w:rsid w:val="001B641B"/>
    <w:rsid w:val="001B71D9"/>
    <w:rsid w:val="001B7398"/>
    <w:rsid w:val="001B7DFB"/>
    <w:rsid w:val="001C083C"/>
    <w:rsid w:val="001C1417"/>
    <w:rsid w:val="001C1D76"/>
    <w:rsid w:val="001C2960"/>
    <w:rsid w:val="001C7688"/>
    <w:rsid w:val="001C7A6D"/>
    <w:rsid w:val="001D04ED"/>
    <w:rsid w:val="001D4114"/>
    <w:rsid w:val="001D4512"/>
    <w:rsid w:val="001D46A2"/>
    <w:rsid w:val="001D7DE1"/>
    <w:rsid w:val="001E0223"/>
    <w:rsid w:val="001E0EC9"/>
    <w:rsid w:val="001E2F97"/>
    <w:rsid w:val="001E505B"/>
    <w:rsid w:val="001E618B"/>
    <w:rsid w:val="001E66BA"/>
    <w:rsid w:val="001E66BC"/>
    <w:rsid w:val="001E7855"/>
    <w:rsid w:val="001E7C00"/>
    <w:rsid w:val="001F3F36"/>
    <w:rsid w:val="002000ED"/>
    <w:rsid w:val="00201A40"/>
    <w:rsid w:val="002026A2"/>
    <w:rsid w:val="002045AC"/>
    <w:rsid w:val="00204D24"/>
    <w:rsid w:val="002076EA"/>
    <w:rsid w:val="002077EC"/>
    <w:rsid w:val="00210D05"/>
    <w:rsid w:val="00211450"/>
    <w:rsid w:val="00211EEA"/>
    <w:rsid w:val="002122DD"/>
    <w:rsid w:val="002169B1"/>
    <w:rsid w:val="002178C5"/>
    <w:rsid w:val="00221585"/>
    <w:rsid w:val="00221CB5"/>
    <w:rsid w:val="00222711"/>
    <w:rsid w:val="002269FE"/>
    <w:rsid w:val="002279CC"/>
    <w:rsid w:val="0023107E"/>
    <w:rsid w:val="00231AC3"/>
    <w:rsid w:val="00233AB0"/>
    <w:rsid w:val="00234F34"/>
    <w:rsid w:val="002353BF"/>
    <w:rsid w:val="00235731"/>
    <w:rsid w:val="00235F25"/>
    <w:rsid w:val="002369DC"/>
    <w:rsid w:val="00236AAC"/>
    <w:rsid w:val="00236C53"/>
    <w:rsid w:val="0024039A"/>
    <w:rsid w:val="00241B9E"/>
    <w:rsid w:val="00243E37"/>
    <w:rsid w:val="00244FDE"/>
    <w:rsid w:val="00247464"/>
    <w:rsid w:val="002515F2"/>
    <w:rsid w:val="00251B30"/>
    <w:rsid w:val="002533E8"/>
    <w:rsid w:val="00255DE9"/>
    <w:rsid w:val="00257216"/>
    <w:rsid w:val="00257251"/>
    <w:rsid w:val="00257947"/>
    <w:rsid w:val="0026032E"/>
    <w:rsid w:val="00261FDB"/>
    <w:rsid w:val="0026378F"/>
    <w:rsid w:val="00264979"/>
    <w:rsid w:val="00266379"/>
    <w:rsid w:val="002672E0"/>
    <w:rsid w:val="00267623"/>
    <w:rsid w:val="00270E0C"/>
    <w:rsid w:val="00271A0A"/>
    <w:rsid w:val="00271D9E"/>
    <w:rsid w:val="002726FF"/>
    <w:rsid w:val="00273C4B"/>
    <w:rsid w:val="0027575A"/>
    <w:rsid w:val="00275769"/>
    <w:rsid w:val="00275D96"/>
    <w:rsid w:val="00275FAA"/>
    <w:rsid w:val="00276264"/>
    <w:rsid w:val="0028086B"/>
    <w:rsid w:val="00283E95"/>
    <w:rsid w:val="00285833"/>
    <w:rsid w:val="0028723B"/>
    <w:rsid w:val="0028781E"/>
    <w:rsid w:val="00287D6A"/>
    <w:rsid w:val="002913C7"/>
    <w:rsid w:val="00291BFD"/>
    <w:rsid w:val="00291FBF"/>
    <w:rsid w:val="0029432C"/>
    <w:rsid w:val="0029574F"/>
    <w:rsid w:val="00296F82"/>
    <w:rsid w:val="0029761A"/>
    <w:rsid w:val="00297647"/>
    <w:rsid w:val="002978CF"/>
    <w:rsid w:val="00297CA2"/>
    <w:rsid w:val="002A34FA"/>
    <w:rsid w:val="002A37BF"/>
    <w:rsid w:val="002A3859"/>
    <w:rsid w:val="002A62D5"/>
    <w:rsid w:val="002A712F"/>
    <w:rsid w:val="002A76B6"/>
    <w:rsid w:val="002B03CA"/>
    <w:rsid w:val="002B3995"/>
    <w:rsid w:val="002B4C9A"/>
    <w:rsid w:val="002B56DF"/>
    <w:rsid w:val="002C1AB3"/>
    <w:rsid w:val="002C30EE"/>
    <w:rsid w:val="002C5C23"/>
    <w:rsid w:val="002C747E"/>
    <w:rsid w:val="002C7CE9"/>
    <w:rsid w:val="002D1D65"/>
    <w:rsid w:val="002D2150"/>
    <w:rsid w:val="002D2DDF"/>
    <w:rsid w:val="002D4958"/>
    <w:rsid w:val="002D6002"/>
    <w:rsid w:val="002D6C86"/>
    <w:rsid w:val="002E0B49"/>
    <w:rsid w:val="002E1664"/>
    <w:rsid w:val="002E3B70"/>
    <w:rsid w:val="002E526A"/>
    <w:rsid w:val="002E7578"/>
    <w:rsid w:val="002F00CC"/>
    <w:rsid w:val="002F129F"/>
    <w:rsid w:val="002F173A"/>
    <w:rsid w:val="002F22A8"/>
    <w:rsid w:val="002F271D"/>
    <w:rsid w:val="002F3B8E"/>
    <w:rsid w:val="002F4943"/>
    <w:rsid w:val="002F4C1C"/>
    <w:rsid w:val="002F4E9A"/>
    <w:rsid w:val="00300B59"/>
    <w:rsid w:val="003025F0"/>
    <w:rsid w:val="00303FF1"/>
    <w:rsid w:val="00304E02"/>
    <w:rsid w:val="00307856"/>
    <w:rsid w:val="00307F28"/>
    <w:rsid w:val="00312051"/>
    <w:rsid w:val="003127C6"/>
    <w:rsid w:val="003129DF"/>
    <w:rsid w:val="00312B7F"/>
    <w:rsid w:val="00314112"/>
    <w:rsid w:val="00315337"/>
    <w:rsid w:val="00315996"/>
    <w:rsid w:val="00315DD8"/>
    <w:rsid w:val="0032344D"/>
    <w:rsid w:val="00324147"/>
    <w:rsid w:val="00324A7D"/>
    <w:rsid w:val="00324C97"/>
    <w:rsid w:val="00330D6E"/>
    <w:rsid w:val="00332720"/>
    <w:rsid w:val="00332AF9"/>
    <w:rsid w:val="003331DD"/>
    <w:rsid w:val="003333C2"/>
    <w:rsid w:val="00333F24"/>
    <w:rsid w:val="00336EA0"/>
    <w:rsid w:val="0033725A"/>
    <w:rsid w:val="00337D8C"/>
    <w:rsid w:val="00343A09"/>
    <w:rsid w:val="00343A0E"/>
    <w:rsid w:val="00343E56"/>
    <w:rsid w:val="00344346"/>
    <w:rsid w:val="00344C6A"/>
    <w:rsid w:val="00344D28"/>
    <w:rsid w:val="00345015"/>
    <w:rsid w:val="003454DD"/>
    <w:rsid w:val="0034621A"/>
    <w:rsid w:val="0034655B"/>
    <w:rsid w:val="003467DC"/>
    <w:rsid w:val="003500AD"/>
    <w:rsid w:val="00350183"/>
    <w:rsid w:val="00350A95"/>
    <w:rsid w:val="003526F8"/>
    <w:rsid w:val="003530BA"/>
    <w:rsid w:val="00357B3A"/>
    <w:rsid w:val="003600AA"/>
    <w:rsid w:val="00360435"/>
    <w:rsid w:val="00362642"/>
    <w:rsid w:val="00365B82"/>
    <w:rsid w:val="003662CA"/>
    <w:rsid w:val="003668E5"/>
    <w:rsid w:val="003669CE"/>
    <w:rsid w:val="00366C15"/>
    <w:rsid w:val="0036713E"/>
    <w:rsid w:val="00371C34"/>
    <w:rsid w:val="00372F74"/>
    <w:rsid w:val="00375458"/>
    <w:rsid w:val="00375C5C"/>
    <w:rsid w:val="00376BF1"/>
    <w:rsid w:val="003772B2"/>
    <w:rsid w:val="003774F3"/>
    <w:rsid w:val="003835A5"/>
    <w:rsid w:val="00384E10"/>
    <w:rsid w:val="0038548A"/>
    <w:rsid w:val="003864A4"/>
    <w:rsid w:val="00386D59"/>
    <w:rsid w:val="00393EA7"/>
    <w:rsid w:val="003948C7"/>
    <w:rsid w:val="003A01DE"/>
    <w:rsid w:val="003A093C"/>
    <w:rsid w:val="003A0A16"/>
    <w:rsid w:val="003A1CF3"/>
    <w:rsid w:val="003A3046"/>
    <w:rsid w:val="003A33E6"/>
    <w:rsid w:val="003A4B4E"/>
    <w:rsid w:val="003A6813"/>
    <w:rsid w:val="003A7619"/>
    <w:rsid w:val="003B2A31"/>
    <w:rsid w:val="003B3D0B"/>
    <w:rsid w:val="003B4821"/>
    <w:rsid w:val="003B58A0"/>
    <w:rsid w:val="003B75B6"/>
    <w:rsid w:val="003C240B"/>
    <w:rsid w:val="003C4BCC"/>
    <w:rsid w:val="003C5468"/>
    <w:rsid w:val="003C566E"/>
    <w:rsid w:val="003C568F"/>
    <w:rsid w:val="003C752F"/>
    <w:rsid w:val="003D0597"/>
    <w:rsid w:val="003D2F51"/>
    <w:rsid w:val="003D3130"/>
    <w:rsid w:val="003D3C9B"/>
    <w:rsid w:val="003D47AC"/>
    <w:rsid w:val="003D6FF4"/>
    <w:rsid w:val="003D7AD3"/>
    <w:rsid w:val="003E0994"/>
    <w:rsid w:val="003E1809"/>
    <w:rsid w:val="003E216F"/>
    <w:rsid w:val="003E483F"/>
    <w:rsid w:val="003E51CA"/>
    <w:rsid w:val="003E70AE"/>
    <w:rsid w:val="003F13B9"/>
    <w:rsid w:val="003F34BA"/>
    <w:rsid w:val="003F44F7"/>
    <w:rsid w:val="003F5895"/>
    <w:rsid w:val="003F680B"/>
    <w:rsid w:val="004028AB"/>
    <w:rsid w:val="00404FE8"/>
    <w:rsid w:val="0040543F"/>
    <w:rsid w:val="0040549E"/>
    <w:rsid w:val="00406A5A"/>
    <w:rsid w:val="00406FEE"/>
    <w:rsid w:val="0040792A"/>
    <w:rsid w:val="00407E1C"/>
    <w:rsid w:val="00410806"/>
    <w:rsid w:val="004110B0"/>
    <w:rsid w:val="00411A66"/>
    <w:rsid w:val="00412428"/>
    <w:rsid w:val="00412CEB"/>
    <w:rsid w:val="004133EB"/>
    <w:rsid w:val="00413B67"/>
    <w:rsid w:val="00415390"/>
    <w:rsid w:val="0041730F"/>
    <w:rsid w:val="00417513"/>
    <w:rsid w:val="004213DE"/>
    <w:rsid w:val="0042210F"/>
    <w:rsid w:val="00422AAE"/>
    <w:rsid w:val="00422C7C"/>
    <w:rsid w:val="00423D29"/>
    <w:rsid w:val="00423F65"/>
    <w:rsid w:val="00424983"/>
    <w:rsid w:val="004254E1"/>
    <w:rsid w:val="00425C8C"/>
    <w:rsid w:val="004265AB"/>
    <w:rsid w:val="004266C6"/>
    <w:rsid w:val="004273C9"/>
    <w:rsid w:val="00431957"/>
    <w:rsid w:val="00431FBE"/>
    <w:rsid w:val="00432884"/>
    <w:rsid w:val="00432C06"/>
    <w:rsid w:val="00434079"/>
    <w:rsid w:val="00434C02"/>
    <w:rsid w:val="00435F37"/>
    <w:rsid w:val="00436EEF"/>
    <w:rsid w:val="00440F69"/>
    <w:rsid w:val="0044360A"/>
    <w:rsid w:val="00443F9B"/>
    <w:rsid w:val="004441DF"/>
    <w:rsid w:val="00444E73"/>
    <w:rsid w:val="004452A2"/>
    <w:rsid w:val="00445345"/>
    <w:rsid w:val="00446792"/>
    <w:rsid w:val="00446DB2"/>
    <w:rsid w:val="004473FA"/>
    <w:rsid w:val="0044754D"/>
    <w:rsid w:val="00447B88"/>
    <w:rsid w:val="00447CBE"/>
    <w:rsid w:val="004508B4"/>
    <w:rsid w:val="00450C61"/>
    <w:rsid w:val="0045128A"/>
    <w:rsid w:val="0045238A"/>
    <w:rsid w:val="00455755"/>
    <w:rsid w:val="00456D80"/>
    <w:rsid w:val="004621E4"/>
    <w:rsid w:val="00462D0D"/>
    <w:rsid w:val="004644C2"/>
    <w:rsid w:val="00465159"/>
    <w:rsid w:val="00465A0A"/>
    <w:rsid w:val="00473925"/>
    <w:rsid w:val="00475F1A"/>
    <w:rsid w:val="004762DB"/>
    <w:rsid w:val="00480F7F"/>
    <w:rsid w:val="00482B3E"/>
    <w:rsid w:val="004843BB"/>
    <w:rsid w:val="00485F24"/>
    <w:rsid w:val="00486784"/>
    <w:rsid w:val="00490B15"/>
    <w:rsid w:val="004940E3"/>
    <w:rsid w:val="004943F8"/>
    <w:rsid w:val="004960F8"/>
    <w:rsid w:val="004A11E9"/>
    <w:rsid w:val="004A35CB"/>
    <w:rsid w:val="004A3CE3"/>
    <w:rsid w:val="004A4611"/>
    <w:rsid w:val="004A58F4"/>
    <w:rsid w:val="004B1051"/>
    <w:rsid w:val="004B1989"/>
    <w:rsid w:val="004B200B"/>
    <w:rsid w:val="004B3F3C"/>
    <w:rsid w:val="004B69F9"/>
    <w:rsid w:val="004C3AD5"/>
    <w:rsid w:val="004C3BB4"/>
    <w:rsid w:val="004C56D6"/>
    <w:rsid w:val="004C5EB1"/>
    <w:rsid w:val="004C6156"/>
    <w:rsid w:val="004D2B97"/>
    <w:rsid w:val="004D3BFC"/>
    <w:rsid w:val="004D5F36"/>
    <w:rsid w:val="004E067C"/>
    <w:rsid w:val="004E0D13"/>
    <w:rsid w:val="004E188C"/>
    <w:rsid w:val="004E223C"/>
    <w:rsid w:val="004E28C9"/>
    <w:rsid w:val="004E37B3"/>
    <w:rsid w:val="004E3A08"/>
    <w:rsid w:val="004E6EB1"/>
    <w:rsid w:val="004E7C05"/>
    <w:rsid w:val="004F05A8"/>
    <w:rsid w:val="004F0D10"/>
    <w:rsid w:val="004F1DCA"/>
    <w:rsid w:val="004F5B0B"/>
    <w:rsid w:val="0050402B"/>
    <w:rsid w:val="00504DE7"/>
    <w:rsid w:val="00506628"/>
    <w:rsid w:val="00512398"/>
    <w:rsid w:val="00513DDE"/>
    <w:rsid w:val="0051417A"/>
    <w:rsid w:val="005157A3"/>
    <w:rsid w:val="00516058"/>
    <w:rsid w:val="005211D1"/>
    <w:rsid w:val="00521285"/>
    <w:rsid w:val="00521974"/>
    <w:rsid w:val="00525625"/>
    <w:rsid w:val="005257FA"/>
    <w:rsid w:val="00525FD8"/>
    <w:rsid w:val="00527C5E"/>
    <w:rsid w:val="00531B61"/>
    <w:rsid w:val="00533F51"/>
    <w:rsid w:val="005340A8"/>
    <w:rsid w:val="00534681"/>
    <w:rsid w:val="0053507E"/>
    <w:rsid w:val="00535644"/>
    <w:rsid w:val="00536119"/>
    <w:rsid w:val="00540E7A"/>
    <w:rsid w:val="005418CB"/>
    <w:rsid w:val="005424B9"/>
    <w:rsid w:val="00542C1F"/>
    <w:rsid w:val="00546396"/>
    <w:rsid w:val="00546581"/>
    <w:rsid w:val="00547020"/>
    <w:rsid w:val="00547816"/>
    <w:rsid w:val="00551C5F"/>
    <w:rsid w:val="00552E7C"/>
    <w:rsid w:val="00553114"/>
    <w:rsid w:val="00555B2B"/>
    <w:rsid w:val="00557E6B"/>
    <w:rsid w:val="00557EFC"/>
    <w:rsid w:val="005612E0"/>
    <w:rsid w:val="0056147D"/>
    <w:rsid w:val="0056231A"/>
    <w:rsid w:val="00571AF9"/>
    <w:rsid w:val="00571B74"/>
    <w:rsid w:val="0057433C"/>
    <w:rsid w:val="00574437"/>
    <w:rsid w:val="0057499B"/>
    <w:rsid w:val="00574C73"/>
    <w:rsid w:val="005809AD"/>
    <w:rsid w:val="00580EFF"/>
    <w:rsid w:val="0058596F"/>
    <w:rsid w:val="00586E1E"/>
    <w:rsid w:val="00587317"/>
    <w:rsid w:val="00591BF6"/>
    <w:rsid w:val="005935EC"/>
    <w:rsid w:val="005940A0"/>
    <w:rsid w:val="00595399"/>
    <w:rsid w:val="0059571C"/>
    <w:rsid w:val="00595F85"/>
    <w:rsid w:val="00596A37"/>
    <w:rsid w:val="005A066D"/>
    <w:rsid w:val="005A0CA4"/>
    <w:rsid w:val="005A20D8"/>
    <w:rsid w:val="005A3C63"/>
    <w:rsid w:val="005A3D01"/>
    <w:rsid w:val="005A3E28"/>
    <w:rsid w:val="005A470B"/>
    <w:rsid w:val="005A511F"/>
    <w:rsid w:val="005A6444"/>
    <w:rsid w:val="005A6FA4"/>
    <w:rsid w:val="005A7CAD"/>
    <w:rsid w:val="005B0E94"/>
    <w:rsid w:val="005B213A"/>
    <w:rsid w:val="005B31C3"/>
    <w:rsid w:val="005B4257"/>
    <w:rsid w:val="005B4BF1"/>
    <w:rsid w:val="005B4C73"/>
    <w:rsid w:val="005B4E28"/>
    <w:rsid w:val="005C043F"/>
    <w:rsid w:val="005C0D84"/>
    <w:rsid w:val="005C296F"/>
    <w:rsid w:val="005C3C0B"/>
    <w:rsid w:val="005C4819"/>
    <w:rsid w:val="005C590F"/>
    <w:rsid w:val="005C623F"/>
    <w:rsid w:val="005D1082"/>
    <w:rsid w:val="005D429D"/>
    <w:rsid w:val="005D6141"/>
    <w:rsid w:val="005E01ED"/>
    <w:rsid w:val="005E03AA"/>
    <w:rsid w:val="005E049C"/>
    <w:rsid w:val="005E2345"/>
    <w:rsid w:val="005E2C0D"/>
    <w:rsid w:val="005E3DA1"/>
    <w:rsid w:val="005E6277"/>
    <w:rsid w:val="005E644D"/>
    <w:rsid w:val="005E6525"/>
    <w:rsid w:val="005E7040"/>
    <w:rsid w:val="005F1BFF"/>
    <w:rsid w:val="005F3EC2"/>
    <w:rsid w:val="005F4852"/>
    <w:rsid w:val="005F703F"/>
    <w:rsid w:val="006002D5"/>
    <w:rsid w:val="00602222"/>
    <w:rsid w:val="00602BA7"/>
    <w:rsid w:val="00605206"/>
    <w:rsid w:val="006101DE"/>
    <w:rsid w:val="00611966"/>
    <w:rsid w:val="0061235A"/>
    <w:rsid w:val="0061235C"/>
    <w:rsid w:val="006153FE"/>
    <w:rsid w:val="00615AD8"/>
    <w:rsid w:val="00616B08"/>
    <w:rsid w:val="0061716A"/>
    <w:rsid w:val="0062051B"/>
    <w:rsid w:val="00622124"/>
    <w:rsid w:val="00624C69"/>
    <w:rsid w:val="00626CC6"/>
    <w:rsid w:val="00627AA4"/>
    <w:rsid w:val="00630079"/>
    <w:rsid w:val="006303A2"/>
    <w:rsid w:val="00630485"/>
    <w:rsid w:val="00631353"/>
    <w:rsid w:val="00631F43"/>
    <w:rsid w:val="0063245F"/>
    <w:rsid w:val="00632BD2"/>
    <w:rsid w:val="006339F9"/>
    <w:rsid w:val="00633C15"/>
    <w:rsid w:val="006354DE"/>
    <w:rsid w:val="0063552B"/>
    <w:rsid w:val="00640FE9"/>
    <w:rsid w:val="00641FD4"/>
    <w:rsid w:val="00642C5C"/>
    <w:rsid w:val="00643C0E"/>
    <w:rsid w:val="00644185"/>
    <w:rsid w:val="006441D4"/>
    <w:rsid w:val="00651D65"/>
    <w:rsid w:val="00655556"/>
    <w:rsid w:val="006555B3"/>
    <w:rsid w:val="00655F38"/>
    <w:rsid w:val="006564C0"/>
    <w:rsid w:val="00656E56"/>
    <w:rsid w:val="00660370"/>
    <w:rsid w:val="00661309"/>
    <w:rsid w:val="00663940"/>
    <w:rsid w:val="00665032"/>
    <w:rsid w:val="006655B5"/>
    <w:rsid w:val="00667915"/>
    <w:rsid w:val="00671F10"/>
    <w:rsid w:val="00673C2F"/>
    <w:rsid w:val="00674C1E"/>
    <w:rsid w:val="006752F7"/>
    <w:rsid w:val="006755D7"/>
    <w:rsid w:val="0068081A"/>
    <w:rsid w:val="00680830"/>
    <w:rsid w:val="00682262"/>
    <w:rsid w:val="00682B0C"/>
    <w:rsid w:val="006849BA"/>
    <w:rsid w:val="00684C4B"/>
    <w:rsid w:val="00684D06"/>
    <w:rsid w:val="00686164"/>
    <w:rsid w:val="006862A7"/>
    <w:rsid w:val="00690701"/>
    <w:rsid w:val="00690BD2"/>
    <w:rsid w:val="00690F83"/>
    <w:rsid w:val="00690FDF"/>
    <w:rsid w:val="006919FA"/>
    <w:rsid w:val="00696091"/>
    <w:rsid w:val="006A02F7"/>
    <w:rsid w:val="006A11CD"/>
    <w:rsid w:val="006A22C9"/>
    <w:rsid w:val="006A3434"/>
    <w:rsid w:val="006A5198"/>
    <w:rsid w:val="006A5B46"/>
    <w:rsid w:val="006A6D99"/>
    <w:rsid w:val="006A7281"/>
    <w:rsid w:val="006B044D"/>
    <w:rsid w:val="006B060A"/>
    <w:rsid w:val="006B1FB8"/>
    <w:rsid w:val="006B29F1"/>
    <w:rsid w:val="006B2B29"/>
    <w:rsid w:val="006B35CF"/>
    <w:rsid w:val="006B35D3"/>
    <w:rsid w:val="006B711D"/>
    <w:rsid w:val="006B7483"/>
    <w:rsid w:val="006B7D08"/>
    <w:rsid w:val="006C0971"/>
    <w:rsid w:val="006C0E01"/>
    <w:rsid w:val="006C0E1A"/>
    <w:rsid w:val="006C1B26"/>
    <w:rsid w:val="006C6C8E"/>
    <w:rsid w:val="006C6FBD"/>
    <w:rsid w:val="006D2464"/>
    <w:rsid w:val="006D3E92"/>
    <w:rsid w:val="006D6C3D"/>
    <w:rsid w:val="006E59A5"/>
    <w:rsid w:val="006E68AE"/>
    <w:rsid w:val="006E756D"/>
    <w:rsid w:val="006E78A4"/>
    <w:rsid w:val="006E7E40"/>
    <w:rsid w:val="006F0A72"/>
    <w:rsid w:val="006F1597"/>
    <w:rsid w:val="006F1961"/>
    <w:rsid w:val="006F1C0C"/>
    <w:rsid w:val="006F2B2E"/>
    <w:rsid w:val="006F7BB7"/>
    <w:rsid w:val="006F7CCC"/>
    <w:rsid w:val="006F7EFD"/>
    <w:rsid w:val="00700522"/>
    <w:rsid w:val="00702E15"/>
    <w:rsid w:val="00703608"/>
    <w:rsid w:val="00703873"/>
    <w:rsid w:val="007056B4"/>
    <w:rsid w:val="00705DF4"/>
    <w:rsid w:val="0070631D"/>
    <w:rsid w:val="007124B2"/>
    <w:rsid w:val="007133CF"/>
    <w:rsid w:val="00716A0E"/>
    <w:rsid w:val="00717619"/>
    <w:rsid w:val="00717D88"/>
    <w:rsid w:val="007204BD"/>
    <w:rsid w:val="007215E1"/>
    <w:rsid w:val="00721660"/>
    <w:rsid w:val="00725826"/>
    <w:rsid w:val="00725F27"/>
    <w:rsid w:val="00726242"/>
    <w:rsid w:val="00727C11"/>
    <w:rsid w:val="00731705"/>
    <w:rsid w:val="007341EF"/>
    <w:rsid w:val="007346F4"/>
    <w:rsid w:val="00735E7D"/>
    <w:rsid w:val="00736ADA"/>
    <w:rsid w:val="00737839"/>
    <w:rsid w:val="00740113"/>
    <w:rsid w:val="00742A43"/>
    <w:rsid w:val="0074508B"/>
    <w:rsid w:val="00745892"/>
    <w:rsid w:val="00750AEB"/>
    <w:rsid w:val="00750E5E"/>
    <w:rsid w:val="0075223E"/>
    <w:rsid w:val="00753654"/>
    <w:rsid w:val="00754601"/>
    <w:rsid w:val="00754A5E"/>
    <w:rsid w:val="00754FF5"/>
    <w:rsid w:val="00755246"/>
    <w:rsid w:val="007559B4"/>
    <w:rsid w:val="00755FE3"/>
    <w:rsid w:val="00760351"/>
    <w:rsid w:val="00760F0B"/>
    <w:rsid w:val="007623C4"/>
    <w:rsid w:val="007624C1"/>
    <w:rsid w:val="007636C3"/>
    <w:rsid w:val="00763CE6"/>
    <w:rsid w:val="007642AD"/>
    <w:rsid w:val="00765396"/>
    <w:rsid w:val="00766197"/>
    <w:rsid w:val="00767328"/>
    <w:rsid w:val="00770B76"/>
    <w:rsid w:val="00771822"/>
    <w:rsid w:val="00773443"/>
    <w:rsid w:val="00775DE7"/>
    <w:rsid w:val="00776120"/>
    <w:rsid w:val="007765A3"/>
    <w:rsid w:val="00780288"/>
    <w:rsid w:val="007815E7"/>
    <w:rsid w:val="00781C15"/>
    <w:rsid w:val="007832A6"/>
    <w:rsid w:val="00784EBB"/>
    <w:rsid w:val="00790C8D"/>
    <w:rsid w:val="00790DA1"/>
    <w:rsid w:val="00791986"/>
    <w:rsid w:val="00791A52"/>
    <w:rsid w:val="00792294"/>
    <w:rsid w:val="00793D0D"/>
    <w:rsid w:val="007942D3"/>
    <w:rsid w:val="00795751"/>
    <w:rsid w:val="007968FC"/>
    <w:rsid w:val="00796CA8"/>
    <w:rsid w:val="007972A8"/>
    <w:rsid w:val="0079758D"/>
    <w:rsid w:val="007976AA"/>
    <w:rsid w:val="0079788E"/>
    <w:rsid w:val="007A2347"/>
    <w:rsid w:val="007A2A55"/>
    <w:rsid w:val="007A3152"/>
    <w:rsid w:val="007A32CB"/>
    <w:rsid w:val="007A38FA"/>
    <w:rsid w:val="007A4FF7"/>
    <w:rsid w:val="007A5618"/>
    <w:rsid w:val="007A6269"/>
    <w:rsid w:val="007A6A21"/>
    <w:rsid w:val="007A6B73"/>
    <w:rsid w:val="007A6BFC"/>
    <w:rsid w:val="007A727C"/>
    <w:rsid w:val="007B01B8"/>
    <w:rsid w:val="007B0C46"/>
    <w:rsid w:val="007B1D86"/>
    <w:rsid w:val="007B2622"/>
    <w:rsid w:val="007B3CF9"/>
    <w:rsid w:val="007B6267"/>
    <w:rsid w:val="007B6C09"/>
    <w:rsid w:val="007B6C6A"/>
    <w:rsid w:val="007C1B9C"/>
    <w:rsid w:val="007C25C0"/>
    <w:rsid w:val="007C310F"/>
    <w:rsid w:val="007C6325"/>
    <w:rsid w:val="007C6F0F"/>
    <w:rsid w:val="007C70AD"/>
    <w:rsid w:val="007C7913"/>
    <w:rsid w:val="007D14F4"/>
    <w:rsid w:val="007D1F03"/>
    <w:rsid w:val="007D29E3"/>
    <w:rsid w:val="007D66E1"/>
    <w:rsid w:val="007D7460"/>
    <w:rsid w:val="007D77F4"/>
    <w:rsid w:val="007E09DA"/>
    <w:rsid w:val="007E177A"/>
    <w:rsid w:val="007E5EB3"/>
    <w:rsid w:val="007E673D"/>
    <w:rsid w:val="007E7F1F"/>
    <w:rsid w:val="007F0902"/>
    <w:rsid w:val="007F0ABE"/>
    <w:rsid w:val="007F0B1C"/>
    <w:rsid w:val="007F272C"/>
    <w:rsid w:val="007F3827"/>
    <w:rsid w:val="007F3E48"/>
    <w:rsid w:val="0080164B"/>
    <w:rsid w:val="00801F5F"/>
    <w:rsid w:val="008021E5"/>
    <w:rsid w:val="008033F2"/>
    <w:rsid w:val="00803EAE"/>
    <w:rsid w:val="0080741B"/>
    <w:rsid w:val="00811977"/>
    <w:rsid w:val="00811B2E"/>
    <w:rsid w:val="00811E8F"/>
    <w:rsid w:val="00814837"/>
    <w:rsid w:val="00814D9F"/>
    <w:rsid w:val="008157DD"/>
    <w:rsid w:val="008161DE"/>
    <w:rsid w:val="00816D27"/>
    <w:rsid w:val="008178B6"/>
    <w:rsid w:val="008215D8"/>
    <w:rsid w:val="008228D9"/>
    <w:rsid w:val="00822B13"/>
    <w:rsid w:val="00822B5D"/>
    <w:rsid w:val="00822CB0"/>
    <w:rsid w:val="00822ECC"/>
    <w:rsid w:val="008243D3"/>
    <w:rsid w:val="00826490"/>
    <w:rsid w:val="00826DEA"/>
    <w:rsid w:val="00830757"/>
    <w:rsid w:val="0083262E"/>
    <w:rsid w:val="0083394D"/>
    <w:rsid w:val="00833C14"/>
    <w:rsid w:val="00835D7E"/>
    <w:rsid w:val="00835EE4"/>
    <w:rsid w:val="008372C4"/>
    <w:rsid w:val="00840A63"/>
    <w:rsid w:val="00841180"/>
    <w:rsid w:val="0084207F"/>
    <w:rsid w:val="008436F7"/>
    <w:rsid w:val="00844A87"/>
    <w:rsid w:val="008502E6"/>
    <w:rsid w:val="008503B3"/>
    <w:rsid w:val="00851528"/>
    <w:rsid w:val="008530B6"/>
    <w:rsid w:val="00853C45"/>
    <w:rsid w:val="008543CE"/>
    <w:rsid w:val="00855140"/>
    <w:rsid w:val="008612C7"/>
    <w:rsid w:val="00863C68"/>
    <w:rsid w:val="008643A9"/>
    <w:rsid w:val="008647CA"/>
    <w:rsid w:val="00866036"/>
    <w:rsid w:val="0087254E"/>
    <w:rsid w:val="008729D7"/>
    <w:rsid w:val="00873200"/>
    <w:rsid w:val="00873A10"/>
    <w:rsid w:val="00873D7C"/>
    <w:rsid w:val="00873DEE"/>
    <w:rsid w:val="008741A7"/>
    <w:rsid w:val="00874EE5"/>
    <w:rsid w:val="008750C9"/>
    <w:rsid w:val="008805E0"/>
    <w:rsid w:val="00885064"/>
    <w:rsid w:val="00887E78"/>
    <w:rsid w:val="00892D25"/>
    <w:rsid w:val="008935B0"/>
    <w:rsid w:val="008943E2"/>
    <w:rsid w:val="008952AA"/>
    <w:rsid w:val="00895F29"/>
    <w:rsid w:val="00896109"/>
    <w:rsid w:val="008970F9"/>
    <w:rsid w:val="00897441"/>
    <w:rsid w:val="008A2177"/>
    <w:rsid w:val="008A30E4"/>
    <w:rsid w:val="008A359E"/>
    <w:rsid w:val="008A6BDC"/>
    <w:rsid w:val="008A756B"/>
    <w:rsid w:val="008B14F2"/>
    <w:rsid w:val="008B2219"/>
    <w:rsid w:val="008B230D"/>
    <w:rsid w:val="008B2C4C"/>
    <w:rsid w:val="008B51FA"/>
    <w:rsid w:val="008B558F"/>
    <w:rsid w:val="008B626A"/>
    <w:rsid w:val="008B6390"/>
    <w:rsid w:val="008C063B"/>
    <w:rsid w:val="008C16EB"/>
    <w:rsid w:val="008C2561"/>
    <w:rsid w:val="008C2BFF"/>
    <w:rsid w:val="008C79D7"/>
    <w:rsid w:val="008D07E6"/>
    <w:rsid w:val="008D326C"/>
    <w:rsid w:val="008D54D7"/>
    <w:rsid w:val="008D610F"/>
    <w:rsid w:val="008D6917"/>
    <w:rsid w:val="008D7017"/>
    <w:rsid w:val="008E0AE9"/>
    <w:rsid w:val="008E2FC4"/>
    <w:rsid w:val="008E4223"/>
    <w:rsid w:val="008E5DB7"/>
    <w:rsid w:val="008E61F5"/>
    <w:rsid w:val="008E789F"/>
    <w:rsid w:val="008F123B"/>
    <w:rsid w:val="008F1E76"/>
    <w:rsid w:val="008F1F8F"/>
    <w:rsid w:val="008F2B3F"/>
    <w:rsid w:val="008F3B0F"/>
    <w:rsid w:val="008F40DA"/>
    <w:rsid w:val="008F4CF1"/>
    <w:rsid w:val="008F7008"/>
    <w:rsid w:val="008F7CB6"/>
    <w:rsid w:val="009039EA"/>
    <w:rsid w:val="00904573"/>
    <w:rsid w:val="009065C2"/>
    <w:rsid w:val="009068FD"/>
    <w:rsid w:val="00906C63"/>
    <w:rsid w:val="00907598"/>
    <w:rsid w:val="00912E60"/>
    <w:rsid w:val="009131BB"/>
    <w:rsid w:val="00913E7C"/>
    <w:rsid w:val="00917B15"/>
    <w:rsid w:val="0092262B"/>
    <w:rsid w:val="0092398C"/>
    <w:rsid w:val="0092555D"/>
    <w:rsid w:val="009258DD"/>
    <w:rsid w:val="00925E89"/>
    <w:rsid w:val="00926DEB"/>
    <w:rsid w:val="00926FF8"/>
    <w:rsid w:val="009275A0"/>
    <w:rsid w:val="00930839"/>
    <w:rsid w:val="00933264"/>
    <w:rsid w:val="00936A4F"/>
    <w:rsid w:val="00937E92"/>
    <w:rsid w:val="00940694"/>
    <w:rsid w:val="00941039"/>
    <w:rsid w:val="00941233"/>
    <w:rsid w:val="009414C3"/>
    <w:rsid w:val="00944038"/>
    <w:rsid w:val="00944785"/>
    <w:rsid w:val="00947B90"/>
    <w:rsid w:val="009505C9"/>
    <w:rsid w:val="009508BD"/>
    <w:rsid w:val="00950DE2"/>
    <w:rsid w:val="0095238D"/>
    <w:rsid w:val="009528DC"/>
    <w:rsid w:val="009557E3"/>
    <w:rsid w:val="00955DAC"/>
    <w:rsid w:val="00955F40"/>
    <w:rsid w:val="009614A8"/>
    <w:rsid w:val="00961D9B"/>
    <w:rsid w:val="00963B64"/>
    <w:rsid w:val="0096440C"/>
    <w:rsid w:val="00964681"/>
    <w:rsid w:val="00964CC4"/>
    <w:rsid w:val="00964EF2"/>
    <w:rsid w:val="0096573F"/>
    <w:rsid w:val="00965BC4"/>
    <w:rsid w:val="00965E43"/>
    <w:rsid w:val="00967542"/>
    <w:rsid w:val="0096793F"/>
    <w:rsid w:val="00967FE3"/>
    <w:rsid w:val="0097077C"/>
    <w:rsid w:val="009708C2"/>
    <w:rsid w:val="0097193B"/>
    <w:rsid w:val="00973D92"/>
    <w:rsid w:val="0097498C"/>
    <w:rsid w:val="00974EF9"/>
    <w:rsid w:val="00975C13"/>
    <w:rsid w:val="00977B7C"/>
    <w:rsid w:val="009800DD"/>
    <w:rsid w:val="009828C3"/>
    <w:rsid w:val="00982C5F"/>
    <w:rsid w:val="009837AE"/>
    <w:rsid w:val="009839A3"/>
    <w:rsid w:val="00984C06"/>
    <w:rsid w:val="00985C79"/>
    <w:rsid w:val="00986123"/>
    <w:rsid w:val="0098707A"/>
    <w:rsid w:val="0098724D"/>
    <w:rsid w:val="00987346"/>
    <w:rsid w:val="00990AC8"/>
    <w:rsid w:val="00990B26"/>
    <w:rsid w:val="0099131B"/>
    <w:rsid w:val="0099142A"/>
    <w:rsid w:val="009927E2"/>
    <w:rsid w:val="009936DC"/>
    <w:rsid w:val="00994544"/>
    <w:rsid w:val="009955B9"/>
    <w:rsid w:val="00995D7C"/>
    <w:rsid w:val="00995E18"/>
    <w:rsid w:val="00995ECD"/>
    <w:rsid w:val="0099623E"/>
    <w:rsid w:val="009A0D10"/>
    <w:rsid w:val="009A455A"/>
    <w:rsid w:val="009A5AD5"/>
    <w:rsid w:val="009A5D5D"/>
    <w:rsid w:val="009A5FB8"/>
    <w:rsid w:val="009A6A95"/>
    <w:rsid w:val="009B0541"/>
    <w:rsid w:val="009B164E"/>
    <w:rsid w:val="009C288E"/>
    <w:rsid w:val="009C5CFD"/>
    <w:rsid w:val="009C6495"/>
    <w:rsid w:val="009C6DAA"/>
    <w:rsid w:val="009D085A"/>
    <w:rsid w:val="009D14E9"/>
    <w:rsid w:val="009D5130"/>
    <w:rsid w:val="009D5B52"/>
    <w:rsid w:val="009D72FF"/>
    <w:rsid w:val="009E11A5"/>
    <w:rsid w:val="009E5ACA"/>
    <w:rsid w:val="009E5E84"/>
    <w:rsid w:val="009E64DB"/>
    <w:rsid w:val="009F27FF"/>
    <w:rsid w:val="009F354E"/>
    <w:rsid w:val="009F3DDC"/>
    <w:rsid w:val="009F54D4"/>
    <w:rsid w:val="00A008A0"/>
    <w:rsid w:val="00A009D0"/>
    <w:rsid w:val="00A01FD4"/>
    <w:rsid w:val="00A0202F"/>
    <w:rsid w:val="00A032AA"/>
    <w:rsid w:val="00A03619"/>
    <w:rsid w:val="00A11FBB"/>
    <w:rsid w:val="00A122F7"/>
    <w:rsid w:val="00A12C83"/>
    <w:rsid w:val="00A13EBD"/>
    <w:rsid w:val="00A13F77"/>
    <w:rsid w:val="00A14144"/>
    <w:rsid w:val="00A142B7"/>
    <w:rsid w:val="00A1439F"/>
    <w:rsid w:val="00A16BD6"/>
    <w:rsid w:val="00A17BD3"/>
    <w:rsid w:val="00A17E4E"/>
    <w:rsid w:val="00A22DBA"/>
    <w:rsid w:val="00A24619"/>
    <w:rsid w:val="00A25138"/>
    <w:rsid w:val="00A310BF"/>
    <w:rsid w:val="00A3149F"/>
    <w:rsid w:val="00A32891"/>
    <w:rsid w:val="00A34D2B"/>
    <w:rsid w:val="00A366E9"/>
    <w:rsid w:val="00A370CB"/>
    <w:rsid w:val="00A373A1"/>
    <w:rsid w:val="00A40588"/>
    <w:rsid w:val="00A41285"/>
    <w:rsid w:val="00A41852"/>
    <w:rsid w:val="00A42429"/>
    <w:rsid w:val="00A426C8"/>
    <w:rsid w:val="00A44F8B"/>
    <w:rsid w:val="00A46EE9"/>
    <w:rsid w:val="00A508DE"/>
    <w:rsid w:val="00A517E5"/>
    <w:rsid w:val="00A51FEB"/>
    <w:rsid w:val="00A541AD"/>
    <w:rsid w:val="00A54F15"/>
    <w:rsid w:val="00A5576A"/>
    <w:rsid w:val="00A5646C"/>
    <w:rsid w:val="00A60F16"/>
    <w:rsid w:val="00A61B38"/>
    <w:rsid w:val="00A65CC1"/>
    <w:rsid w:val="00A6671A"/>
    <w:rsid w:val="00A66997"/>
    <w:rsid w:val="00A66ACB"/>
    <w:rsid w:val="00A7013C"/>
    <w:rsid w:val="00A7194D"/>
    <w:rsid w:val="00A71C80"/>
    <w:rsid w:val="00A736B8"/>
    <w:rsid w:val="00A74EAA"/>
    <w:rsid w:val="00A74EEA"/>
    <w:rsid w:val="00A75939"/>
    <w:rsid w:val="00A77545"/>
    <w:rsid w:val="00A77F12"/>
    <w:rsid w:val="00A81751"/>
    <w:rsid w:val="00A85340"/>
    <w:rsid w:val="00A8594C"/>
    <w:rsid w:val="00A86234"/>
    <w:rsid w:val="00A86429"/>
    <w:rsid w:val="00A864EE"/>
    <w:rsid w:val="00A87B52"/>
    <w:rsid w:val="00A87D64"/>
    <w:rsid w:val="00A90026"/>
    <w:rsid w:val="00A904E5"/>
    <w:rsid w:val="00A930C3"/>
    <w:rsid w:val="00A93FCB"/>
    <w:rsid w:val="00A94F31"/>
    <w:rsid w:val="00A961A6"/>
    <w:rsid w:val="00A97644"/>
    <w:rsid w:val="00AA3B49"/>
    <w:rsid w:val="00AA59A5"/>
    <w:rsid w:val="00AA74FB"/>
    <w:rsid w:val="00AB1E57"/>
    <w:rsid w:val="00AB25D4"/>
    <w:rsid w:val="00AB3B8C"/>
    <w:rsid w:val="00AB3C38"/>
    <w:rsid w:val="00AB5F02"/>
    <w:rsid w:val="00AB63DA"/>
    <w:rsid w:val="00AB6F4B"/>
    <w:rsid w:val="00AC0C46"/>
    <w:rsid w:val="00AC12D8"/>
    <w:rsid w:val="00AC1F46"/>
    <w:rsid w:val="00AC3FF2"/>
    <w:rsid w:val="00AC4EF7"/>
    <w:rsid w:val="00AC75F1"/>
    <w:rsid w:val="00AC7740"/>
    <w:rsid w:val="00AC775D"/>
    <w:rsid w:val="00AD06CB"/>
    <w:rsid w:val="00AD084F"/>
    <w:rsid w:val="00AE13A7"/>
    <w:rsid w:val="00AE3619"/>
    <w:rsid w:val="00AE4D0B"/>
    <w:rsid w:val="00AE51AE"/>
    <w:rsid w:val="00AE5413"/>
    <w:rsid w:val="00AE59CB"/>
    <w:rsid w:val="00AE74C6"/>
    <w:rsid w:val="00AE7539"/>
    <w:rsid w:val="00AF02FF"/>
    <w:rsid w:val="00AF0535"/>
    <w:rsid w:val="00AF076F"/>
    <w:rsid w:val="00AF3773"/>
    <w:rsid w:val="00AF4705"/>
    <w:rsid w:val="00AF482C"/>
    <w:rsid w:val="00AF54D0"/>
    <w:rsid w:val="00AF64E4"/>
    <w:rsid w:val="00AF7485"/>
    <w:rsid w:val="00AF7DBE"/>
    <w:rsid w:val="00B00BB1"/>
    <w:rsid w:val="00B01A1A"/>
    <w:rsid w:val="00B023FC"/>
    <w:rsid w:val="00B0276F"/>
    <w:rsid w:val="00B10FE3"/>
    <w:rsid w:val="00B12355"/>
    <w:rsid w:val="00B14504"/>
    <w:rsid w:val="00B20B99"/>
    <w:rsid w:val="00B21E70"/>
    <w:rsid w:val="00B23B0E"/>
    <w:rsid w:val="00B2614C"/>
    <w:rsid w:val="00B266CD"/>
    <w:rsid w:val="00B3046D"/>
    <w:rsid w:val="00B3369F"/>
    <w:rsid w:val="00B339FC"/>
    <w:rsid w:val="00B343C6"/>
    <w:rsid w:val="00B35130"/>
    <w:rsid w:val="00B36027"/>
    <w:rsid w:val="00B37609"/>
    <w:rsid w:val="00B40A2C"/>
    <w:rsid w:val="00B41F2B"/>
    <w:rsid w:val="00B42405"/>
    <w:rsid w:val="00B43E87"/>
    <w:rsid w:val="00B446FB"/>
    <w:rsid w:val="00B44DB7"/>
    <w:rsid w:val="00B4572D"/>
    <w:rsid w:val="00B45CF9"/>
    <w:rsid w:val="00B45F03"/>
    <w:rsid w:val="00B477C6"/>
    <w:rsid w:val="00B47A45"/>
    <w:rsid w:val="00B5163D"/>
    <w:rsid w:val="00B51A1A"/>
    <w:rsid w:val="00B5224A"/>
    <w:rsid w:val="00B53FA5"/>
    <w:rsid w:val="00B54351"/>
    <w:rsid w:val="00B555D6"/>
    <w:rsid w:val="00B62F67"/>
    <w:rsid w:val="00B64201"/>
    <w:rsid w:val="00B65102"/>
    <w:rsid w:val="00B65434"/>
    <w:rsid w:val="00B6546D"/>
    <w:rsid w:val="00B65711"/>
    <w:rsid w:val="00B66115"/>
    <w:rsid w:val="00B70E4E"/>
    <w:rsid w:val="00B71CCA"/>
    <w:rsid w:val="00B731E4"/>
    <w:rsid w:val="00B732AB"/>
    <w:rsid w:val="00B73DFB"/>
    <w:rsid w:val="00B7475A"/>
    <w:rsid w:val="00B80235"/>
    <w:rsid w:val="00B84075"/>
    <w:rsid w:val="00B8575B"/>
    <w:rsid w:val="00B877F3"/>
    <w:rsid w:val="00B90FB5"/>
    <w:rsid w:val="00B9188C"/>
    <w:rsid w:val="00B93928"/>
    <w:rsid w:val="00B942D7"/>
    <w:rsid w:val="00B954B6"/>
    <w:rsid w:val="00B9564C"/>
    <w:rsid w:val="00B95BF4"/>
    <w:rsid w:val="00B960AF"/>
    <w:rsid w:val="00B9628E"/>
    <w:rsid w:val="00B96358"/>
    <w:rsid w:val="00B96B90"/>
    <w:rsid w:val="00BA02E1"/>
    <w:rsid w:val="00BA5EE2"/>
    <w:rsid w:val="00BB10A3"/>
    <w:rsid w:val="00BB13E5"/>
    <w:rsid w:val="00BB1530"/>
    <w:rsid w:val="00BB267B"/>
    <w:rsid w:val="00BB2D60"/>
    <w:rsid w:val="00BB3293"/>
    <w:rsid w:val="00BB4E18"/>
    <w:rsid w:val="00BC221F"/>
    <w:rsid w:val="00BC52E2"/>
    <w:rsid w:val="00BC6EBD"/>
    <w:rsid w:val="00BD0A71"/>
    <w:rsid w:val="00BD0ABB"/>
    <w:rsid w:val="00BD0D2A"/>
    <w:rsid w:val="00BD149C"/>
    <w:rsid w:val="00BD3129"/>
    <w:rsid w:val="00BD5E04"/>
    <w:rsid w:val="00BD73E2"/>
    <w:rsid w:val="00BD74D8"/>
    <w:rsid w:val="00BE1413"/>
    <w:rsid w:val="00BE16A5"/>
    <w:rsid w:val="00BE23AA"/>
    <w:rsid w:val="00BE2D0F"/>
    <w:rsid w:val="00BE355C"/>
    <w:rsid w:val="00BE38F8"/>
    <w:rsid w:val="00BE5255"/>
    <w:rsid w:val="00BE793B"/>
    <w:rsid w:val="00BF0038"/>
    <w:rsid w:val="00BF018E"/>
    <w:rsid w:val="00BF0C89"/>
    <w:rsid w:val="00BF1DAA"/>
    <w:rsid w:val="00BF2399"/>
    <w:rsid w:val="00BF3E34"/>
    <w:rsid w:val="00C016D1"/>
    <w:rsid w:val="00C0393D"/>
    <w:rsid w:val="00C04D41"/>
    <w:rsid w:val="00C05E8E"/>
    <w:rsid w:val="00C07DEB"/>
    <w:rsid w:val="00C10F18"/>
    <w:rsid w:val="00C116C4"/>
    <w:rsid w:val="00C12F34"/>
    <w:rsid w:val="00C14C73"/>
    <w:rsid w:val="00C1509F"/>
    <w:rsid w:val="00C1566A"/>
    <w:rsid w:val="00C15EAB"/>
    <w:rsid w:val="00C17ABA"/>
    <w:rsid w:val="00C17B24"/>
    <w:rsid w:val="00C21D77"/>
    <w:rsid w:val="00C2291D"/>
    <w:rsid w:val="00C243EE"/>
    <w:rsid w:val="00C25201"/>
    <w:rsid w:val="00C2639F"/>
    <w:rsid w:val="00C264CE"/>
    <w:rsid w:val="00C26E0E"/>
    <w:rsid w:val="00C2705C"/>
    <w:rsid w:val="00C30FD5"/>
    <w:rsid w:val="00C3148A"/>
    <w:rsid w:val="00C31E6F"/>
    <w:rsid w:val="00C31F09"/>
    <w:rsid w:val="00C34170"/>
    <w:rsid w:val="00C34289"/>
    <w:rsid w:val="00C3469B"/>
    <w:rsid w:val="00C35FF7"/>
    <w:rsid w:val="00C36708"/>
    <w:rsid w:val="00C36C13"/>
    <w:rsid w:val="00C41060"/>
    <w:rsid w:val="00C41ACE"/>
    <w:rsid w:val="00C41D1A"/>
    <w:rsid w:val="00C42872"/>
    <w:rsid w:val="00C4368A"/>
    <w:rsid w:val="00C45284"/>
    <w:rsid w:val="00C45372"/>
    <w:rsid w:val="00C460BF"/>
    <w:rsid w:val="00C46183"/>
    <w:rsid w:val="00C50273"/>
    <w:rsid w:val="00C50F56"/>
    <w:rsid w:val="00C513C8"/>
    <w:rsid w:val="00C5223A"/>
    <w:rsid w:val="00C52A86"/>
    <w:rsid w:val="00C559CC"/>
    <w:rsid w:val="00C56FF5"/>
    <w:rsid w:val="00C5722A"/>
    <w:rsid w:val="00C600F1"/>
    <w:rsid w:val="00C60382"/>
    <w:rsid w:val="00C6123E"/>
    <w:rsid w:val="00C614E2"/>
    <w:rsid w:val="00C615C4"/>
    <w:rsid w:val="00C635F6"/>
    <w:rsid w:val="00C63BAE"/>
    <w:rsid w:val="00C64E3A"/>
    <w:rsid w:val="00C65245"/>
    <w:rsid w:val="00C656E7"/>
    <w:rsid w:val="00C663E3"/>
    <w:rsid w:val="00C7100C"/>
    <w:rsid w:val="00C72426"/>
    <w:rsid w:val="00C72B8D"/>
    <w:rsid w:val="00C753B5"/>
    <w:rsid w:val="00C75417"/>
    <w:rsid w:val="00C76CDA"/>
    <w:rsid w:val="00C80EF4"/>
    <w:rsid w:val="00C829B6"/>
    <w:rsid w:val="00C8312C"/>
    <w:rsid w:val="00C853B2"/>
    <w:rsid w:val="00C87EB6"/>
    <w:rsid w:val="00C90459"/>
    <w:rsid w:val="00C909C1"/>
    <w:rsid w:val="00C90B74"/>
    <w:rsid w:val="00C9161D"/>
    <w:rsid w:val="00C91A05"/>
    <w:rsid w:val="00C91DEA"/>
    <w:rsid w:val="00C9203F"/>
    <w:rsid w:val="00C924AC"/>
    <w:rsid w:val="00C9276F"/>
    <w:rsid w:val="00C94134"/>
    <w:rsid w:val="00C95169"/>
    <w:rsid w:val="00C975FC"/>
    <w:rsid w:val="00C97953"/>
    <w:rsid w:val="00CA3699"/>
    <w:rsid w:val="00CA3A19"/>
    <w:rsid w:val="00CA5049"/>
    <w:rsid w:val="00CA534E"/>
    <w:rsid w:val="00CA65B2"/>
    <w:rsid w:val="00CA69C8"/>
    <w:rsid w:val="00CB16BB"/>
    <w:rsid w:val="00CB388A"/>
    <w:rsid w:val="00CB3AE6"/>
    <w:rsid w:val="00CB3B5C"/>
    <w:rsid w:val="00CB45B8"/>
    <w:rsid w:val="00CB4CEC"/>
    <w:rsid w:val="00CB5F40"/>
    <w:rsid w:val="00CC02A3"/>
    <w:rsid w:val="00CC1487"/>
    <w:rsid w:val="00CC18CC"/>
    <w:rsid w:val="00CC37C8"/>
    <w:rsid w:val="00CC3AC4"/>
    <w:rsid w:val="00CC3C40"/>
    <w:rsid w:val="00CC59CB"/>
    <w:rsid w:val="00CC748E"/>
    <w:rsid w:val="00CD04B0"/>
    <w:rsid w:val="00CD2C3F"/>
    <w:rsid w:val="00CD3272"/>
    <w:rsid w:val="00CD3EE4"/>
    <w:rsid w:val="00CD446E"/>
    <w:rsid w:val="00CD47BC"/>
    <w:rsid w:val="00CD5956"/>
    <w:rsid w:val="00CE05CE"/>
    <w:rsid w:val="00CE0837"/>
    <w:rsid w:val="00CE1704"/>
    <w:rsid w:val="00CE3E5D"/>
    <w:rsid w:val="00CE4168"/>
    <w:rsid w:val="00CE742C"/>
    <w:rsid w:val="00CE7D1A"/>
    <w:rsid w:val="00CF0134"/>
    <w:rsid w:val="00CF17A2"/>
    <w:rsid w:val="00CF1848"/>
    <w:rsid w:val="00CF1F51"/>
    <w:rsid w:val="00CF23EF"/>
    <w:rsid w:val="00CF2598"/>
    <w:rsid w:val="00CF284C"/>
    <w:rsid w:val="00CF4C5B"/>
    <w:rsid w:val="00CF7916"/>
    <w:rsid w:val="00D0009A"/>
    <w:rsid w:val="00D009DC"/>
    <w:rsid w:val="00D031A6"/>
    <w:rsid w:val="00D04ACB"/>
    <w:rsid w:val="00D055AA"/>
    <w:rsid w:val="00D0685E"/>
    <w:rsid w:val="00D07776"/>
    <w:rsid w:val="00D07BDA"/>
    <w:rsid w:val="00D07D7D"/>
    <w:rsid w:val="00D1035B"/>
    <w:rsid w:val="00D10E3E"/>
    <w:rsid w:val="00D1138F"/>
    <w:rsid w:val="00D154A5"/>
    <w:rsid w:val="00D169A0"/>
    <w:rsid w:val="00D16B9A"/>
    <w:rsid w:val="00D2030D"/>
    <w:rsid w:val="00D22B4B"/>
    <w:rsid w:val="00D2402E"/>
    <w:rsid w:val="00D244B0"/>
    <w:rsid w:val="00D2544A"/>
    <w:rsid w:val="00D258C2"/>
    <w:rsid w:val="00D268CF"/>
    <w:rsid w:val="00D26FB5"/>
    <w:rsid w:val="00D2755C"/>
    <w:rsid w:val="00D30179"/>
    <w:rsid w:val="00D303B8"/>
    <w:rsid w:val="00D351C3"/>
    <w:rsid w:val="00D35249"/>
    <w:rsid w:val="00D3551E"/>
    <w:rsid w:val="00D3591E"/>
    <w:rsid w:val="00D40506"/>
    <w:rsid w:val="00D40645"/>
    <w:rsid w:val="00D4259F"/>
    <w:rsid w:val="00D42DAF"/>
    <w:rsid w:val="00D433A3"/>
    <w:rsid w:val="00D452C2"/>
    <w:rsid w:val="00D468DA"/>
    <w:rsid w:val="00D475F0"/>
    <w:rsid w:val="00D5061B"/>
    <w:rsid w:val="00D508B2"/>
    <w:rsid w:val="00D516B9"/>
    <w:rsid w:val="00D554BA"/>
    <w:rsid w:val="00D55677"/>
    <w:rsid w:val="00D561BC"/>
    <w:rsid w:val="00D579DD"/>
    <w:rsid w:val="00D57DFA"/>
    <w:rsid w:val="00D57E13"/>
    <w:rsid w:val="00D6077C"/>
    <w:rsid w:val="00D60950"/>
    <w:rsid w:val="00D622DA"/>
    <w:rsid w:val="00D64216"/>
    <w:rsid w:val="00D654B8"/>
    <w:rsid w:val="00D66865"/>
    <w:rsid w:val="00D671EC"/>
    <w:rsid w:val="00D67288"/>
    <w:rsid w:val="00D703A3"/>
    <w:rsid w:val="00D746FB"/>
    <w:rsid w:val="00D7515C"/>
    <w:rsid w:val="00D757BF"/>
    <w:rsid w:val="00D76A18"/>
    <w:rsid w:val="00D8016A"/>
    <w:rsid w:val="00D80388"/>
    <w:rsid w:val="00D80E57"/>
    <w:rsid w:val="00D83442"/>
    <w:rsid w:val="00D83EDB"/>
    <w:rsid w:val="00D844F2"/>
    <w:rsid w:val="00D84E14"/>
    <w:rsid w:val="00D85F8A"/>
    <w:rsid w:val="00D8600F"/>
    <w:rsid w:val="00D86607"/>
    <w:rsid w:val="00D90BC6"/>
    <w:rsid w:val="00D92F64"/>
    <w:rsid w:val="00D93912"/>
    <w:rsid w:val="00D95155"/>
    <w:rsid w:val="00D9544B"/>
    <w:rsid w:val="00D95B9E"/>
    <w:rsid w:val="00D965B6"/>
    <w:rsid w:val="00D97939"/>
    <w:rsid w:val="00DA0317"/>
    <w:rsid w:val="00DA5F96"/>
    <w:rsid w:val="00DA7D63"/>
    <w:rsid w:val="00DB052B"/>
    <w:rsid w:val="00DB1397"/>
    <w:rsid w:val="00DB28EA"/>
    <w:rsid w:val="00DB3CDB"/>
    <w:rsid w:val="00DB408B"/>
    <w:rsid w:val="00DB59E9"/>
    <w:rsid w:val="00DB6496"/>
    <w:rsid w:val="00DB6E00"/>
    <w:rsid w:val="00DB755B"/>
    <w:rsid w:val="00DC0B28"/>
    <w:rsid w:val="00DC2C46"/>
    <w:rsid w:val="00DC411F"/>
    <w:rsid w:val="00DC5054"/>
    <w:rsid w:val="00DC507E"/>
    <w:rsid w:val="00DC720D"/>
    <w:rsid w:val="00DC7D76"/>
    <w:rsid w:val="00DD0BA3"/>
    <w:rsid w:val="00DD118C"/>
    <w:rsid w:val="00DD20CF"/>
    <w:rsid w:val="00DD6FBB"/>
    <w:rsid w:val="00DD717D"/>
    <w:rsid w:val="00DD7936"/>
    <w:rsid w:val="00DE0E9B"/>
    <w:rsid w:val="00DE325D"/>
    <w:rsid w:val="00DE391F"/>
    <w:rsid w:val="00DE49EC"/>
    <w:rsid w:val="00DE4DBF"/>
    <w:rsid w:val="00DE53E7"/>
    <w:rsid w:val="00DE6FD6"/>
    <w:rsid w:val="00DF0745"/>
    <w:rsid w:val="00DF0D30"/>
    <w:rsid w:val="00DF2EF4"/>
    <w:rsid w:val="00DF43E4"/>
    <w:rsid w:val="00DF5507"/>
    <w:rsid w:val="00DF551A"/>
    <w:rsid w:val="00DF5568"/>
    <w:rsid w:val="00DF6B5A"/>
    <w:rsid w:val="00E01EE7"/>
    <w:rsid w:val="00E0269F"/>
    <w:rsid w:val="00E027EC"/>
    <w:rsid w:val="00E02E86"/>
    <w:rsid w:val="00E04272"/>
    <w:rsid w:val="00E05EAC"/>
    <w:rsid w:val="00E065C1"/>
    <w:rsid w:val="00E10346"/>
    <w:rsid w:val="00E104C8"/>
    <w:rsid w:val="00E10A1D"/>
    <w:rsid w:val="00E11A38"/>
    <w:rsid w:val="00E12CC4"/>
    <w:rsid w:val="00E13033"/>
    <w:rsid w:val="00E13D89"/>
    <w:rsid w:val="00E1560B"/>
    <w:rsid w:val="00E1683A"/>
    <w:rsid w:val="00E21EAD"/>
    <w:rsid w:val="00E22D2E"/>
    <w:rsid w:val="00E248E0"/>
    <w:rsid w:val="00E24BEA"/>
    <w:rsid w:val="00E24EE7"/>
    <w:rsid w:val="00E26D66"/>
    <w:rsid w:val="00E27B10"/>
    <w:rsid w:val="00E30C01"/>
    <w:rsid w:val="00E310E4"/>
    <w:rsid w:val="00E315A2"/>
    <w:rsid w:val="00E35EF6"/>
    <w:rsid w:val="00E367C7"/>
    <w:rsid w:val="00E41470"/>
    <w:rsid w:val="00E44528"/>
    <w:rsid w:val="00E45E57"/>
    <w:rsid w:val="00E46FA6"/>
    <w:rsid w:val="00E471E4"/>
    <w:rsid w:val="00E5148C"/>
    <w:rsid w:val="00E51E2E"/>
    <w:rsid w:val="00E53FDA"/>
    <w:rsid w:val="00E560A8"/>
    <w:rsid w:val="00E5677F"/>
    <w:rsid w:val="00E56F95"/>
    <w:rsid w:val="00E57188"/>
    <w:rsid w:val="00E57F3C"/>
    <w:rsid w:val="00E60E96"/>
    <w:rsid w:val="00E60EC2"/>
    <w:rsid w:val="00E63D77"/>
    <w:rsid w:val="00E63FF2"/>
    <w:rsid w:val="00E65370"/>
    <w:rsid w:val="00E66235"/>
    <w:rsid w:val="00E70637"/>
    <w:rsid w:val="00E70804"/>
    <w:rsid w:val="00E709C6"/>
    <w:rsid w:val="00E73412"/>
    <w:rsid w:val="00E744AB"/>
    <w:rsid w:val="00E758CD"/>
    <w:rsid w:val="00E76F5B"/>
    <w:rsid w:val="00E770F9"/>
    <w:rsid w:val="00E80CCF"/>
    <w:rsid w:val="00E81A33"/>
    <w:rsid w:val="00E83C24"/>
    <w:rsid w:val="00E840FB"/>
    <w:rsid w:val="00E84744"/>
    <w:rsid w:val="00E85183"/>
    <w:rsid w:val="00E8717D"/>
    <w:rsid w:val="00E90A27"/>
    <w:rsid w:val="00E90A4A"/>
    <w:rsid w:val="00E90BA4"/>
    <w:rsid w:val="00E913FC"/>
    <w:rsid w:val="00E92C58"/>
    <w:rsid w:val="00E958E7"/>
    <w:rsid w:val="00E97288"/>
    <w:rsid w:val="00E97C1F"/>
    <w:rsid w:val="00EA016C"/>
    <w:rsid w:val="00EA046B"/>
    <w:rsid w:val="00EA588C"/>
    <w:rsid w:val="00EA617A"/>
    <w:rsid w:val="00EA6DF6"/>
    <w:rsid w:val="00EB1FB5"/>
    <w:rsid w:val="00EB2BBC"/>
    <w:rsid w:val="00EB4BC1"/>
    <w:rsid w:val="00EB6ADE"/>
    <w:rsid w:val="00EC02F9"/>
    <w:rsid w:val="00EC10B6"/>
    <w:rsid w:val="00EC3688"/>
    <w:rsid w:val="00EC4B56"/>
    <w:rsid w:val="00EC4BF4"/>
    <w:rsid w:val="00EC5718"/>
    <w:rsid w:val="00EC6F76"/>
    <w:rsid w:val="00EC75EB"/>
    <w:rsid w:val="00EC7BBB"/>
    <w:rsid w:val="00EC7CF7"/>
    <w:rsid w:val="00ED11FD"/>
    <w:rsid w:val="00ED20E4"/>
    <w:rsid w:val="00ED36D0"/>
    <w:rsid w:val="00ED650E"/>
    <w:rsid w:val="00EE0545"/>
    <w:rsid w:val="00EE1107"/>
    <w:rsid w:val="00EE1719"/>
    <w:rsid w:val="00EE1F46"/>
    <w:rsid w:val="00EE24D6"/>
    <w:rsid w:val="00EE2D16"/>
    <w:rsid w:val="00EE3A2A"/>
    <w:rsid w:val="00EE4DDB"/>
    <w:rsid w:val="00EE7CB4"/>
    <w:rsid w:val="00EF352C"/>
    <w:rsid w:val="00EF3690"/>
    <w:rsid w:val="00EF633C"/>
    <w:rsid w:val="00EF69F7"/>
    <w:rsid w:val="00EF75A0"/>
    <w:rsid w:val="00EF7AF7"/>
    <w:rsid w:val="00F00784"/>
    <w:rsid w:val="00F00E0D"/>
    <w:rsid w:val="00F02E3F"/>
    <w:rsid w:val="00F031E4"/>
    <w:rsid w:val="00F03349"/>
    <w:rsid w:val="00F04388"/>
    <w:rsid w:val="00F05202"/>
    <w:rsid w:val="00F06F15"/>
    <w:rsid w:val="00F07C78"/>
    <w:rsid w:val="00F07C90"/>
    <w:rsid w:val="00F07F2B"/>
    <w:rsid w:val="00F103DC"/>
    <w:rsid w:val="00F10672"/>
    <w:rsid w:val="00F12057"/>
    <w:rsid w:val="00F13514"/>
    <w:rsid w:val="00F13CDB"/>
    <w:rsid w:val="00F15B34"/>
    <w:rsid w:val="00F20C64"/>
    <w:rsid w:val="00F22EBB"/>
    <w:rsid w:val="00F23D56"/>
    <w:rsid w:val="00F26460"/>
    <w:rsid w:val="00F3496E"/>
    <w:rsid w:val="00F34ABE"/>
    <w:rsid w:val="00F37024"/>
    <w:rsid w:val="00F4205E"/>
    <w:rsid w:val="00F44EBF"/>
    <w:rsid w:val="00F45B62"/>
    <w:rsid w:val="00F466C5"/>
    <w:rsid w:val="00F47C95"/>
    <w:rsid w:val="00F5149D"/>
    <w:rsid w:val="00F5183D"/>
    <w:rsid w:val="00F519EF"/>
    <w:rsid w:val="00F51E6C"/>
    <w:rsid w:val="00F52B4F"/>
    <w:rsid w:val="00F52DD9"/>
    <w:rsid w:val="00F53981"/>
    <w:rsid w:val="00F54531"/>
    <w:rsid w:val="00F54A66"/>
    <w:rsid w:val="00F55C62"/>
    <w:rsid w:val="00F55E83"/>
    <w:rsid w:val="00F5604D"/>
    <w:rsid w:val="00F56DC8"/>
    <w:rsid w:val="00F5780D"/>
    <w:rsid w:val="00F57B19"/>
    <w:rsid w:val="00F6067F"/>
    <w:rsid w:val="00F619F1"/>
    <w:rsid w:val="00F61A2D"/>
    <w:rsid w:val="00F61AF3"/>
    <w:rsid w:val="00F61D99"/>
    <w:rsid w:val="00F62219"/>
    <w:rsid w:val="00F63FF3"/>
    <w:rsid w:val="00F657CE"/>
    <w:rsid w:val="00F6687E"/>
    <w:rsid w:val="00F7163B"/>
    <w:rsid w:val="00F7253B"/>
    <w:rsid w:val="00F72AF5"/>
    <w:rsid w:val="00F72C1A"/>
    <w:rsid w:val="00F74545"/>
    <w:rsid w:val="00F77C14"/>
    <w:rsid w:val="00F80796"/>
    <w:rsid w:val="00F816B1"/>
    <w:rsid w:val="00F82995"/>
    <w:rsid w:val="00F8601C"/>
    <w:rsid w:val="00F9062C"/>
    <w:rsid w:val="00F92B09"/>
    <w:rsid w:val="00F92FBD"/>
    <w:rsid w:val="00F93DC5"/>
    <w:rsid w:val="00F94774"/>
    <w:rsid w:val="00F94C89"/>
    <w:rsid w:val="00F9599F"/>
    <w:rsid w:val="00FA1181"/>
    <w:rsid w:val="00FA2FD9"/>
    <w:rsid w:val="00FA4B98"/>
    <w:rsid w:val="00FB2F16"/>
    <w:rsid w:val="00FB353F"/>
    <w:rsid w:val="00FB375A"/>
    <w:rsid w:val="00FB3FC5"/>
    <w:rsid w:val="00FB56ED"/>
    <w:rsid w:val="00FB5A2E"/>
    <w:rsid w:val="00FB5B91"/>
    <w:rsid w:val="00FB6F09"/>
    <w:rsid w:val="00FC04BD"/>
    <w:rsid w:val="00FC0E06"/>
    <w:rsid w:val="00FC20CF"/>
    <w:rsid w:val="00FC282C"/>
    <w:rsid w:val="00FC2EC1"/>
    <w:rsid w:val="00FC30D9"/>
    <w:rsid w:val="00FC53DB"/>
    <w:rsid w:val="00FC5897"/>
    <w:rsid w:val="00FC5C2C"/>
    <w:rsid w:val="00FC7A2A"/>
    <w:rsid w:val="00FD15B4"/>
    <w:rsid w:val="00FD1DD7"/>
    <w:rsid w:val="00FD24B4"/>
    <w:rsid w:val="00FD27D0"/>
    <w:rsid w:val="00FD2AA9"/>
    <w:rsid w:val="00FD3B46"/>
    <w:rsid w:val="00FD3EA4"/>
    <w:rsid w:val="00FD428E"/>
    <w:rsid w:val="00FD5860"/>
    <w:rsid w:val="00FD5C58"/>
    <w:rsid w:val="00FE0C23"/>
    <w:rsid w:val="00FE22DD"/>
    <w:rsid w:val="00FE63EA"/>
    <w:rsid w:val="00FE6DC4"/>
    <w:rsid w:val="00FE6F74"/>
    <w:rsid w:val="00FE71E5"/>
    <w:rsid w:val="00FE78C4"/>
    <w:rsid w:val="00FF2873"/>
    <w:rsid w:val="00FF2D27"/>
    <w:rsid w:val="00FF374D"/>
    <w:rsid w:val="00FF456F"/>
    <w:rsid w:val="00FF657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5EE05F"/>
  <w15:docId w15:val="{09BDEE20-ACBF-44B2-8869-639A12F7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styleId="UnresolvedMention">
    <w:name w:val="Unresolved Mention"/>
    <w:basedOn w:val="DefaultParagraphFont"/>
    <w:uiPriority w:val="99"/>
    <w:semiHidden/>
    <w:unhideWhenUsed/>
    <w:rsid w:val="00F5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sustainabledevelopment.un.org/?menu=1300" TargetMode="External"/><Relationship Id="rId2" Type="http://schemas.openxmlformats.org/officeDocument/2006/relationships/customXml" Target="../customXml/item2.xml"/><Relationship Id="rId16" Type="http://schemas.openxmlformats.org/officeDocument/2006/relationships/hyperlink" Target="https://bch.cbd.int/protocol/issues/cpb_stpla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sp/"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2019-0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E834C8F564604B3B9F241F453943B3CB"/>
        <w:category>
          <w:name w:val="General"/>
          <w:gallery w:val="placeholder"/>
        </w:category>
        <w:types>
          <w:type w:val="bbPlcHdr"/>
        </w:types>
        <w:behaviors>
          <w:behavior w:val="content"/>
        </w:behaviors>
        <w:guid w:val="{3C448338-18F4-48AC-910B-23319A271E52}"/>
      </w:docPartPr>
      <w:docPartBody>
        <w:p w:rsidR="007870CD" w:rsidRDefault="00554218">
          <w:r w:rsidRPr="008966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3FA"/>
    <w:rsid w:val="00014DF1"/>
    <w:rsid w:val="00045D7F"/>
    <w:rsid w:val="000C1FC0"/>
    <w:rsid w:val="0011323E"/>
    <w:rsid w:val="001A5E07"/>
    <w:rsid w:val="00204ED8"/>
    <w:rsid w:val="00221891"/>
    <w:rsid w:val="00247042"/>
    <w:rsid w:val="002656DD"/>
    <w:rsid w:val="0037303F"/>
    <w:rsid w:val="003F6B7D"/>
    <w:rsid w:val="004A6780"/>
    <w:rsid w:val="00500A2B"/>
    <w:rsid w:val="00554218"/>
    <w:rsid w:val="0058288D"/>
    <w:rsid w:val="005E1DAB"/>
    <w:rsid w:val="0061319C"/>
    <w:rsid w:val="0061507A"/>
    <w:rsid w:val="006801B3"/>
    <w:rsid w:val="006B71DE"/>
    <w:rsid w:val="00721F4F"/>
    <w:rsid w:val="007870CD"/>
    <w:rsid w:val="00810A55"/>
    <w:rsid w:val="00880804"/>
    <w:rsid w:val="008C13C3"/>
    <w:rsid w:val="008C6619"/>
    <w:rsid w:val="008D420E"/>
    <w:rsid w:val="0091219B"/>
    <w:rsid w:val="00963238"/>
    <w:rsid w:val="0098642F"/>
    <w:rsid w:val="009C7C6D"/>
    <w:rsid w:val="00BA1A7D"/>
    <w:rsid w:val="00BE2CDE"/>
    <w:rsid w:val="00DE18DE"/>
    <w:rsid w:val="00E138F1"/>
    <w:rsid w:val="00E20D33"/>
    <w:rsid w:val="00E538A3"/>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9D8EA2-2743-4D08-A690-A647689A4EA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3.xml><?xml version="1.0" encoding="utf-8"?>
<ds:datastoreItem xmlns:ds="http://schemas.openxmlformats.org/officeDocument/2006/customXml" ds:itemID="{AE6272E9-719F-4B2A-8FFC-DCF83FF614D2}">
  <ds:schemaRefs>
    <ds:schemaRef ds:uri="http://schemas.microsoft.com/sharepoint/v3/contenttype/forms"/>
  </ds:schemaRefs>
</ds:datastoreItem>
</file>

<file path=customXml/itemProps4.xml><?xml version="1.0" encoding="utf-8"?>
<ds:datastoreItem xmlns:ds="http://schemas.openxmlformats.org/officeDocument/2006/customXml" ds:itemID="{0A88971D-F496-4F9A-AD18-D00BB022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B859F7-C1BF-4B3F-8A1F-9E9DE870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2875</Words>
  <Characters>16392</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Development of the draft biosafety component of the post-2020 global biodiversity framework</vt:lpstr>
      <vt:lpstr>&lt;Development of the draft biosafety component of the post-2020 global biodiversi</vt:lpstr>
      <vt:lpstr>I.	introduction</vt:lpstr>
      <vt:lpstr>II. 	development of the post-2020 global biodiversity framework and intersession</vt:lpstr>
      <vt:lpstr>III.	development of the biosafety component of the post-2020 global biodiversity</vt:lpstr>
      <vt:lpstr>    Summary of views submitted</vt:lpstr>
      <vt:lpstr>    B.	Summary of the outcomes of the Global Consultation</vt:lpstr>
      <vt:lpstr>    C.	Summary of outcomes of the Working Group on the Post-2020 Global Biodiversity</vt:lpstr>
      <vt:lpstr>IV.	suggestions for the further development of the biosafety component</vt:lpstr>
    </vt:vector>
  </TitlesOfParts>
  <Manager/>
  <Company>SCBD</Company>
  <LinksUpToDate>false</LinksUpToDate>
  <CharactersWithSpaces>19229</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draft biosafety component of the post-2020 global biodiversity framework</dc:title>
  <dc:subject>CBD/CP/LG/2019/1/5</dc:subject>
  <dc:creator>SCBD</dc:creator>
  <cp:keywords>Liaison Group on the Cartagena Protocol on Biosafety, thirteenth meeting, Montreal, 22-25 October 2019, Convention on Biological Diversity</cp:keywords>
  <dc:description>Regional Consultation on the Post-2020 Global Biodiversity Framework for the Western European and Others Group and Other Members of the European Union, Bonn, 19-21 March 2019</dc:description>
  <cp:lastModifiedBy>Orestes Plasencia</cp:lastModifiedBy>
  <cp:revision>2</cp:revision>
  <cp:lastPrinted>2019-10-07T15:54:00Z</cp:lastPrinted>
  <dcterms:created xsi:type="dcterms:W3CDTF">2019-10-07T16:07:00Z</dcterms:created>
  <dcterms:modified xsi:type="dcterms:W3CDTF">2019-10-07T16:07:00Z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