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73E7F" w14:paraId="3EA466AE" w14:textId="77777777" w:rsidTr="00E22CF5">
        <w:trPr>
          <w:trHeight w:val="851"/>
        </w:trPr>
        <w:tc>
          <w:tcPr>
            <w:tcW w:w="465" w:type="pct"/>
            <w:tcBorders>
              <w:bottom w:val="single" w:sz="8" w:space="0" w:color="auto"/>
            </w:tcBorders>
            <w:vAlign w:val="bottom"/>
          </w:tcPr>
          <w:p w14:paraId="1A9952F4" w14:textId="77777777" w:rsidR="00A96B21" w:rsidRPr="00E73E7F" w:rsidRDefault="00A96B21" w:rsidP="00E22CF5">
            <w:pPr>
              <w:spacing w:after="120"/>
              <w:jc w:val="left"/>
              <w:rPr>
                <w:lang w:val="fr-FR"/>
              </w:rPr>
            </w:pPr>
            <w:bookmarkStart w:id="0" w:name="_Hlk137651738"/>
            <w:r w:rsidRPr="00E73E7F">
              <w:rPr>
                <w:noProof/>
                <w:lang w:val="fr-FR" w:eastAsia="fr-FR"/>
              </w:rPr>
              <w:drawing>
                <wp:inline distT="0" distB="0" distL="0" distR="0" wp14:anchorId="776FF144" wp14:editId="1C87B94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7100F52" w14:textId="0698595B" w:rsidR="00A96B21" w:rsidRPr="00E73E7F" w:rsidRDefault="00A73422" w:rsidP="00E22CF5">
            <w:pPr>
              <w:spacing w:after="120"/>
              <w:jc w:val="left"/>
              <w:rPr>
                <w:lang w:val="fr-FR"/>
              </w:rPr>
            </w:pPr>
            <w:r w:rsidRPr="00E73E7F">
              <w:rPr>
                <w:noProof/>
                <w:lang w:val="fr-FR" w:eastAsia="fr-FR"/>
              </w:rPr>
              <w:drawing>
                <wp:inline distT="0" distB="0" distL="0" distR="0" wp14:anchorId="1DA8BDE5" wp14:editId="6D89B8C1">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0E286481" w14:textId="52AE86C8" w:rsidR="00A96B21" w:rsidRPr="00E73E7F" w:rsidRDefault="00A96B21" w:rsidP="00184909">
            <w:pPr>
              <w:spacing w:after="120"/>
              <w:ind w:left="2021"/>
              <w:jc w:val="right"/>
              <w:rPr>
                <w:szCs w:val="22"/>
                <w:lang w:val="fr-FR"/>
              </w:rPr>
            </w:pPr>
            <w:r w:rsidRPr="00E73E7F">
              <w:rPr>
                <w:sz w:val="40"/>
                <w:szCs w:val="40"/>
                <w:lang w:val="fr-FR"/>
              </w:rPr>
              <w:t>CBD</w:t>
            </w:r>
            <w:r w:rsidRPr="00E73E7F">
              <w:rPr>
                <w:szCs w:val="22"/>
                <w:lang w:val="fr-FR"/>
              </w:rPr>
              <w:t>/</w:t>
            </w:r>
            <w:r w:rsidR="00D23F1E" w:rsidRPr="00E73E7F">
              <w:rPr>
                <w:szCs w:val="22"/>
                <w:lang w:val="fr-FR"/>
              </w:rPr>
              <w:t>NP/MOP/5/</w:t>
            </w:r>
            <w:r w:rsidR="00560AF9" w:rsidRPr="00E73E7F">
              <w:rPr>
                <w:szCs w:val="22"/>
                <w:lang w:val="fr-FR"/>
              </w:rPr>
              <w:t>L.13</w:t>
            </w:r>
          </w:p>
        </w:tc>
      </w:tr>
      <w:tr w:rsidR="00A96B21" w:rsidRPr="00E22CF5" w14:paraId="35243AD3" w14:textId="77777777" w:rsidTr="00E22CF5">
        <w:tc>
          <w:tcPr>
            <w:tcW w:w="2297" w:type="pct"/>
            <w:gridSpan w:val="2"/>
            <w:tcBorders>
              <w:top w:val="single" w:sz="8" w:space="0" w:color="auto"/>
              <w:bottom w:val="single" w:sz="12" w:space="0" w:color="auto"/>
            </w:tcBorders>
          </w:tcPr>
          <w:p w14:paraId="4403F56E" w14:textId="4F3C8C72" w:rsidR="00A96B21" w:rsidRPr="00E73E7F" w:rsidRDefault="00A73422" w:rsidP="00E22CF5">
            <w:pPr>
              <w:pStyle w:val="Cornernotation"/>
              <w:suppressLineNumbers/>
              <w:suppressAutoHyphens/>
              <w:spacing w:before="120" w:after="120"/>
              <w:ind w:left="0" w:right="0" w:firstLine="0"/>
              <w:rPr>
                <w:lang w:val="fr-FR"/>
              </w:rPr>
            </w:pPr>
            <w:r w:rsidRPr="00E73E7F">
              <w:rPr>
                <w:bCs/>
                <w:noProof/>
                <w:lang w:val="fr-FR" w:eastAsia="fr-FR"/>
              </w:rPr>
              <w:drawing>
                <wp:inline distT="0" distB="0" distL="0" distR="0" wp14:anchorId="60E4D212" wp14:editId="455BE284">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6EB5D18" w14:textId="4623EEE7" w:rsidR="00A96B21" w:rsidRPr="00E73E7F" w:rsidRDefault="00A96B21" w:rsidP="003C6F10">
            <w:pPr>
              <w:ind w:left="2584"/>
              <w:rPr>
                <w:sz w:val="22"/>
                <w:szCs w:val="22"/>
                <w:lang w:val="fr-FR"/>
              </w:rPr>
            </w:pPr>
            <w:r w:rsidRPr="00E73E7F">
              <w:rPr>
                <w:sz w:val="22"/>
                <w:szCs w:val="22"/>
                <w:lang w:val="fr-FR"/>
              </w:rPr>
              <w:t>Distr.</w:t>
            </w:r>
            <w:r w:rsidR="00A73422" w:rsidRPr="00E73E7F">
              <w:rPr>
                <w:sz w:val="22"/>
                <w:szCs w:val="22"/>
                <w:lang w:val="fr-FR"/>
              </w:rPr>
              <w:t xml:space="preserve"> </w:t>
            </w:r>
            <w:r w:rsidRPr="00E73E7F">
              <w:rPr>
                <w:sz w:val="22"/>
                <w:szCs w:val="22"/>
                <w:lang w:val="fr-FR"/>
              </w:rPr>
              <w:t xml:space="preserve">: </w:t>
            </w:r>
            <w:r w:rsidR="00CE51EC" w:rsidRPr="00E73E7F">
              <w:rPr>
                <w:sz w:val="22"/>
                <w:szCs w:val="22"/>
                <w:lang w:val="fr-FR"/>
              </w:rPr>
              <w:t>Limit</w:t>
            </w:r>
            <w:r w:rsidR="00A73422" w:rsidRPr="00E73E7F">
              <w:rPr>
                <w:sz w:val="22"/>
                <w:szCs w:val="22"/>
                <w:lang w:val="fr-FR"/>
              </w:rPr>
              <w:t>ée</w:t>
            </w:r>
          </w:p>
          <w:p w14:paraId="6E5F3D47" w14:textId="6952A34A" w:rsidR="00A96B21" w:rsidRPr="00E73E7F" w:rsidRDefault="00E22CF5" w:rsidP="003C6F10">
            <w:pPr>
              <w:ind w:left="2584"/>
              <w:rPr>
                <w:sz w:val="22"/>
                <w:szCs w:val="22"/>
                <w:lang w:val="fr-FR"/>
              </w:rPr>
            </w:pPr>
            <w:r>
              <w:rPr>
                <w:sz w:val="22"/>
                <w:szCs w:val="22"/>
                <w:lang w:val="fr-FR"/>
              </w:rPr>
              <w:t>18 déc</w:t>
            </w:r>
            <w:r w:rsidR="00A73422" w:rsidRPr="00E73E7F">
              <w:rPr>
                <w:sz w:val="22"/>
                <w:szCs w:val="22"/>
                <w:lang w:val="fr-FR"/>
              </w:rPr>
              <w:t>embre</w:t>
            </w:r>
            <w:r w:rsidR="00A96B21" w:rsidRPr="00E73E7F">
              <w:rPr>
                <w:sz w:val="22"/>
                <w:szCs w:val="22"/>
                <w:lang w:val="fr-FR"/>
              </w:rPr>
              <w:t xml:space="preserve"> 202</w:t>
            </w:r>
            <w:r w:rsidR="00D23F1E" w:rsidRPr="00E73E7F">
              <w:rPr>
                <w:sz w:val="22"/>
                <w:szCs w:val="22"/>
                <w:lang w:val="fr-FR"/>
              </w:rPr>
              <w:t>4</w:t>
            </w:r>
          </w:p>
          <w:p w14:paraId="56BECBA5" w14:textId="634A4BF9" w:rsidR="00A96B21" w:rsidRPr="00E73E7F" w:rsidRDefault="00A73422" w:rsidP="003C6F10">
            <w:pPr>
              <w:ind w:left="2584"/>
              <w:rPr>
                <w:sz w:val="22"/>
                <w:szCs w:val="22"/>
                <w:lang w:val="fr-FR"/>
              </w:rPr>
            </w:pPr>
            <w:r w:rsidRPr="00E73E7F">
              <w:rPr>
                <w:sz w:val="22"/>
                <w:szCs w:val="22"/>
                <w:lang w:val="fr-FR"/>
              </w:rPr>
              <w:t>Français</w:t>
            </w:r>
          </w:p>
          <w:p w14:paraId="709766B5" w14:textId="3F33F6C9" w:rsidR="00A96B21" w:rsidRPr="00E73E7F" w:rsidRDefault="00A96B21" w:rsidP="003C6F10">
            <w:pPr>
              <w:ind w:left="2584"/>
              <w:rPr>
                <w:sz w:val="22"/>
                <w:szCs w:val="22"/>
                <w:lang w:val="fr-FR"/>
              </w:rPr>
            </w:pPr>
            <w:r w:rsidRPr="00E73E7F">
              <w:rPr>
                <w:sz w:val="22"/>
                <w:szCs w:val="22"/>
                <w:lang w:val="fr-FR"/>
              </w:rPr>
              <w:t>Original</w:t>
            </w:r>
            <w:r w:rsidR="00E22CF5">
              <w:rPr>
                <w:sz w:val="22"/>
                <w:szCs w:val="22"/>
                <w:lang w:val="fr-FR"/>
              </w:rPr>
              <w:t xml:space="preserve"> </w:t>
            </w:r>
            <w:r w:rsidRPr="00E73E7F">
              <w:rPr>
                <w:sz w:val="22"/>
                <w:szCs w:val="22"/>
                <w:lang w:val="fr-FR"/>
              </w:rPr>
              <w:t xml:space="preserve">: </w:t>
            </w:r>
            <w:r w:rsidR="00E22CF5">
              <w:rPr>
                <w:sz w:val="22"/>
                <w:szCs w:val="22"/>
                <w:lang w:val="fr-FR"/>
              </w:rPr>
              <w:t>A</w:t>
            </w:r>
            <w:r w:rsidR="00A73422" w:rsidRPr="00E73E7F">
              <w:rPr>
                <w:sz w:val="22"/>
                <w:szCs w:val="22"/>
                <w:lang w:val="fr-FR"/>
              </w:rPr>
              <w:t>nglais</w:t>
            </w:r>
          </w:p>
          <w:p w14:paraId="7B4C31ED" w14:textId="77777777" w:rsidR="00A96B21" w:rsidRPr="00E73E7F" w:rsidRDefault="00A96B21" w:rsidP="00E22CF5">
            <w:pPr>
              <w:rPr>
                <w:lang w:val="fr-FR"/>
              </w:rPr>
            </w:pPr>
          </w:p>
        </w:tc>
      </w:tr>
    </w:tbl>
    <w:p w14:paraId="49F16F84" w14:textId="76898761" w:rsidR="00874541" w:rsidRPr="00E73E7F" w:rsidRDefault="00B72D1A" w:rsidP="00B72D1A">
      <w:pPr>
        <w:pStyle w:val="Cornernotation"/>
        <w:tabs>
          <w:tab w:val="left" w:pos="5245"/>
        </w:tabs>
        <w:ind w:left="0" w:right="3973" w:firstLine="0"/>
        <w:rPr>
          <w:bCs/>
          <w:lang w:val="fr-FR"/>
        </w:rPr>
      </w:pPr>
      <w:bookmarkStart w:id="1" w:name="_GoBack"/>
      <w:bookmarkEnd w:id="1"/>
      <w:r w:rsidRPr="00E73E7F">
        <w:rPr>
          <w:rFonts w:eastAsia="SimSun"/>
          <w:szCs w:val="22"/>
          <w:lang w:val="fr-FR"/>
        </w:rPr>
        <w:t>Conférence des Parties à la Convention sur la diversité biologique siégeant en tant que réunion des Parties au Protocole de Nagoya sur l</w:t>
      </w:r>
      <w:r w:rsidR="00263D55">
        <w:rPr>
          <w:rFonts w:eastAsia="SimSun"/>
          <w:szCs w:val="22"/>
          <w:lang w:val="fr-FR"/>
        </w:rPr>
        <w:t>’</w:t>
      </w:r>
      <w:r w:rsidRPr="00E73E7F">
        <w:rPr>
          <w:rFonts w:eastAsia="SimSun"/>
          <w:szCs w:val="22"/>
          <w:lang w:val="fr-FR"/>
        </w:rPr>
        <w:t>accès aux ressources génétiques et le partage juste et équitable des avantages découlant de leur utilisation</w:t>
      </w:r>
    </w:p>
    <w:p w14:paraId="4E500401" w14:textId="177CA85D" w:rsidR="00A96B21" w:rsidRPr="00E73E7F" w:rsidRDefault="005B5E64" w:rsidP="00A96B21">
      <w:pPr>
        <w:pStyle w:val="Cornernotation"/>
        <w:rPr>
          <w:bCs/>
          <w:sz w:val="22"/>
          <w:szCs w:val="22"/>
          <w:lang w:val="fr-FR"/>
        </w:rPr>
      </w:pPr>
      <w:r w:rsidRPr="00E73E7F">
        <w:rPr>
          <w:bCs/>
          <w:sz w:val="22"/>
          <w:szCs w:val="22"/>
          <w:lang w:val="fr-FR"/>
        </w:rPr>
        <w:t>Cinquième réunion</w:t>
      </w:r>
      <w:r w:rsidR="00E22CF5">
        <w:rPr>
          <w:bCs/>
          <w:sz w:val="22"/>
          <w:szCs w:val="22"/>
          <w:lang w:val="fr-FR"/>
        </w:rPr>
        <w:t>, deuxième reprise de session</w:t>
      </w:r>
      <w:r w:rsidR="00A96B21" w:rsidRPr="00E73E7F">
        <w:rPr>
          <w:bCs/>
          <w:sz w:val="22"/>
          <w:szCs w:val="22"/>
          <w:lang w:val="fr-FR"/>
        </w:rPr>
        <w:t xml:space="preserve"> </w:t>
      </w:r>
    </w:p>
    <w:p w14:paraId="6EB6672A" w14:textId="29391389" w:rsidR="00A96B21" w:rsidRPr="00E73E7F" w:rsidRDefault="00E522BF" w:rsidP="00A96B21">
      <w:pPr>
        <w:pStyle w:val="Venuedate"/>
        <w:rPr>
          <w:lang w:val="fr-FR"/>
        </w:rPr>
      </w:pPr>
      <w:r>
        <w:rPr>
          <w:lang w:val="fr-FR"/>
        </w:rPr>
        <w:t>Rome, 25</w:t>
      </w:r>
      <w:r w:rsidRPr="00E522BF">
        <w:rPr>
          <w:lang w:val="fr-FR"/>
        </w:rPr>
        <w:t>–</w:t>
      </w:r>
      <w:r w:rsidR="0050416E">
        <w:rPr>
          <w:lang w:val="fr-FR"/>
        </w:rPr>
        <w:t>27 février 2025</w:t>
      </w:r>
    </w:p>
    <w:p w14:paraId="66A09710" w14:textId="184ABCCE" w:rsidR="00A96B21" w:rsidRPr="00E73E7F" w:rsidRDefault="005B5E64" w:rsidP="005B5E64">
      <w:pPr>
        <w:pStyle w:val="Cornernotation-Item"/>
        <w:ind w:right="4824"/>
        <w:rPr>
          <w:b w:val="0"/>
          <w:bCs w:val="0"/>
          <w:lang w:val="fr-FR"/>
        </w:rPr>
      </w:pPr>
      <w:r w:rsidRPr="00E73E7F">
        <w:rPr>
          <w:b w:val="0"/>
          <w:bCs w:val="0"/>
          <w:lang w:val="fr-FR"/>
        </w:rPr>
        <w:t>Point 14 de l</w:t>
      </w:r>
      <w:r w:rsidR="00263D55">
        <w:rPr>
          <w:b w:val="0"/>
          <w:bCs w:val="0"/>
          <w:lang w:val="fr-FR"/>
        </w:rPr>
        <w:t>’</w:t>
      </w:r>
      <w:r w:rsidR="00E522BF">
        <w:rPr>
          <w:b w:val="0"/>
          <w:bCs w:val="0"/>
          <w:lang w:val="fr-FR"/>
        </w:rPr>
        <w:t>ordre du jour</w:t>
      </w:r>
    </w:p>
    <w:p w14:paraId="39D034BA" w14:textId="7F4DF620" w:rsidR="00A96B21" w:rsidRPr="00E73E7F" w:rsidRDefault="005B5E64" w:rsidP="005B5E64">
      <w:pPr>
        <w:pStyle w:val="Cornernotation-Item"/>
        <w:ind w:left="0" w:right="4257" w:firstLine="0"/>
        <w:rPr>
          <w:lang w:val="fr-FR"/>
        </w:rPr>
      </w:pPr>
      <w:r w:rsidRPr="00E73E7F">
        <w:rPr>
          <w:lang w:val="fr-FR"/>
        </w:rPr>
        <w:t>Information de séquençage numérique sur les ressources génétiques</w:t>
      </w:r>
    </w:p>
    <w:bookmarkEnd w:id="0"/>
    <w:p w14:paraId="03839D57" w14:textId="0199B776" w:rsidR="00A96B21" w:rsidRPr="00CA70B7" w:rsidRDefault="00B8352A" w:rsidP="00A96B21">
      <w:pPr>
        <w:pStyle w:val="Title"/>
        <w:rPr>
          <w:rFonts w:hint="eastAsia"/>
          <w:lang w:val="fr-FR"/>
        </w:rPr>
      </w:pPr>
      <w:sdt>
        <w:sdtPr>
          <w:rPr>
            <w:rFonts w:eastAsia="SimSun"/>
            <w:szCs w:val="22"/>
            <w:lang w:val="fr-FR"/>
          </w:rPr>
          <w:alias w:val="Title"/>
          <w:tag w:val=""/>
          <w:id w:val="-1975355689"/>
          <w:placeholder>
            <w:docPart w:val="CED97FDF3A9B4430A5087296D3D7D996"/>
          </w:placeholder>
          <w:dataBinding w:prefixMappings="xmlns:ns0='http://purl.org/dc/elements/1.1/' xmlns:ns1='http://schemas.openxmlformats.org/package/2006/metadata/core-properties' " w:xpath="/ns1:coreProperties[1]/ns0:title[1]" w:storeItemID="{6C3C8BC8-F283-45AE-878A-BAB7291924A1}"/>
          <w:text/>
        </w:sdtPr>
        <w:sdtContent>
          <w:r w:rsidRPr="00E321CA">
            <w:rPr>
              <w:rFonts w:eastAsia="SimSun"/>
              <w:szCs w:val="22"/>
              <w:lang w:val="fr-FR"/>
            </w:rPr>
            <w:t>Information de séquençage numérique sur les ressources génétiques</w:t>
          </w:r>
        </w:sdtContent>
      </w:sdt>
      <w:r w:rsidR="00CA70B7" w:rsidRPr="00CA70B7">
        <w:rPr>
          <w:rFonts w:eastAsia="SimSun"/>
          <w:szCs w:val="22"/>
          <w:vertAlign w:val="superscript"/>
          <w:lang w:val="fr-FR"/>
        </w:rPr>
        <w:t>*</w:t>
      </w:r>
    </w:p>
    <w:p w14:paraId="53723F6C" w14:textId="6321AEF7" w:rsidR="00FA18C9" w:rsidRPr="00E73E7F" w:rsidRDefault="0050416E" w:rsidP="006C1A1B">
      <w:pPr>
        <w:pStyle w:val="Subtitle"/>
        <w:spacing w:before="120" w:after="120"/>
        <w:ind w:left="567"/>
        <w:jc w:val="left"/>
        <w:rPr>
          <w:rFonts w:ascii="Times New Roman" w:hAnsi="Times New Roman" w:cs="Times New Roman"/>
          <w:color w:val="auto"/>
          <w:lang w:val="fr-FR"/>
        </w:rPr>
      </w:pPr>
      <w:r>
        <w:rPr>
          <w:rFonts w:ascii="Times New Roman" w:hAnsi="Times New Roman" w:cs="Times New Roman"/>
          <w:color w:val="auto"/>
          <w:lang w:val="fr-FR"/>
        </w:rPr>
        <w:t>Projet de décision remis</w:t>
      </w:r>
      <w:r w:rsidR="00A73422" w:rsidRPr="00E73E7F">
        <w:rPr>
          <w:rFonts w:ascii="Times New Roman" w:hAnsi="Times New Roman" w:cs="Times New Roman"/>
          <w:color w:val="auto"/>
          <w:lang w:val="fr-FR"/>
        </w:rPr>
        <w:t xml:space="preserve"> par la Présidente</w:t>
      </w:r>
    </w:p>
    <w:p w14:paraId="05A660AF" w14:textId="3170AD15" w:rsidR="004F0F84" w:rsidRPr="00E73E7F" w:rsidRDefault="00A73422" w:rsidP="006C1A1B">
      <w:pPr>
        <w:pStyle w:val="Para1"/>
        <w:numPr>
          <w:ilvl w:val="0"/>
          <w:numId w:val="0"/>
        </w:numPr>
        <w:ind w:left="567" w:firstLine="567"/>
        <w:rPr>
          <w:lang w:val="fr-FR"/>
        </w:rPr>
      </w:pPr>
      <w:r w:rsidRPr="00E73E7F">
        <w:rPr>
          <w:i/>
          <w:iCs/>
          <w:lang w:val="fr-FR"/>
        </w:rPr>
        <w:t>La Conférence</w:t>
      </w:r>
      <w:r w:rsidR="0050416E">
        <w:rPr>
          <w:i/>
          <w:iCs/>
          <w:lang w:val="fr-FR"/>
        </w:rPr>
        <w:t xml:space="preserve"> des Parties siégeant tant que r</w:t>
      </w:r>
      <w:r w:rsidRPr="00E73E7F">
        <w:rPr>
          <w:i/>
          <w:iCs/>
          <w:lang w:val="fr-FR"/>
        </w:rPr>
        <w:t>éunion des Parties au Protocole de Nagoya</w:t>
      </w:r>
      <w:r w:rsidR="00FF3BD9" w:rsidRPr="00E73E7F">
        <w:rPr>
          <w:lang w:val="fr-FR"/>
        </w:rPr>
        <w:t>,</w:t>
      </w:r>
    </w:p>
    <w:p w14:paraId="557DE034" w14:textId="22BEDCAA" w:rsidR="004F0F84" w:rsidRPr="00E73E7F" w:rsidRDefault="00A73422" w:rsidP="006C1A1B">
      <w:pPr>
        <w:pStyle w:val="Para1"/>
        <w:numPr>
          <w:ilvl w:val="0"/>
          <w:numId w:val="0"/>
        </w:numPr>
        <w:ind w:left="567" w:firstLine="567"/>
        <w:rPr>
          <w:lang w:val="fr-FR"/>
        </w:rPr>
      </w:pPr>
      <w:r w:rsidRPr="00E73E7F">
        <w:rPr>
          <w:i/>
          <w:iCs/>
          <w:lang w:val="fr-FR"/>
        </w:rPr>
        <w:t xml:space="preserve">Rappelant </w:t>
      </w:r>
      <w:r w:rsidR="00E321CA">
        <w:rPr>
          <w:lang w:val="fr-FR"/>
        </w:rPr>
        <w:t>s</w:t>
      </w:r>
      <w:r w:rsidRPr="00E73E7F">
        <w:rPr>
          <w:lang w:val="fr-FR"/>
        </w:rPr>
        <w:t xml:space="preserve">a décision </w:t>
      </w:r>
      <w:hyperlink r:id="rId14" w:history="1">
        <w:r w:rsidRPr="00263D55">
          <w:rPr>
            <w:rStyle w:val="Hyperlink"/>
            <w:lang w:val="fr-FR"/>
          </w:rPr>
          <w:t>NP</w:t>
        </w:r>
        <w:r w:rsidRPr="00263D55">
          <w:rPr>
            <w:rStyle w:val="Hyperlink"/>
            <w:lang w:val="fr-FR"/>
          </w:rPr>
          <w:t>-</w:t>
        </w:r>
        <w:r w:rsidRPr="00263D55">
          <w:rPr>
            <w:rStyle w:val="Hyperlink"/>
            <w:lang w:val="fr-FR"/>
          </w:rPr>
          <w:t>4/6</w:t>
        </w:r>
      </w:hyperlink>
      <w:r w:rsidRPr="00E73E7F">
        <w:rPr>
          <w:lang w:val="fr-FR"/>
        </w:rPr>
        <w:t xml:space="preserve"> du 19 décembre 2022</w:t>
      </w:r>
      <w:r w:rsidR="00FF3BD9" w:rsidRPr="00E73E7F">
        <w:rPr>
          <w:lang w:val="fr-FR"/>
        </w:rPr>
        <w:t xml:space="preserve">, </w:t>
      </w:r>
    </w:p>
    <w:p w14:paraId="2A17E2FC" w14:textId="58334BD1" w:rsidR="00FF3BD9" w:rsidRPr="00E73E7F" w:rsidRDefault="00A73422" w:rsidP="006C1A1B">
      <w:pPr>
        <w:pStyle w:val="Para1"/>
        <w:numPr>
          <w:ilvl w:val="0"/>
          <w:numId w:val="0"/>
        </w:numPr>
        <w:ind w:left="567" w:firstLine="567"/>
        <w:rPr>
          <w:lang w:val="fr-FR"/>
        </w:rPr>
      </w:pPr>
      <w:r w:rsidRPr="00E73E7F">
        <w:rPr>
          <w:i/>
          <w:iCs/>
          <w:lang w:val="fr-FR"/>
        </w:rPr>
        <w:t xml:space="preserve">Prenant note </w:t>
      </w:r>
      <w:r w:rsidRPr="00E73E7F">
        <w:rPr>
          <w:lang w:val="fr-FR"/>
        </w:rPr>
        <w:t>des résultats des délibérations du Groupe de travail spécia</w:t>
      </w:r>
      <w:r w:rsidR="00CA70B7">
        <w:rPr>
          <w:lang w:val="fr-FR"/>
        </w:rPr>
        <w:t xml:space="preserve">l à composition non limitée sur </w:t>
      </w:r>
      <w:r w:rsidRPr="00E73E7F">
        <w:rPr>
          <w:lang w:val="fr-FR"/>
        </w:rPr>
        <w:t>le partage des avantages découlant de l</w:t>
      </w:r>
      <w:r w:rsidR="00263D55">
        <w:rPr>
          <w:lang w:val="fr-FR"/>
        </w:rPr>
        <w:t>’</w:t>
      </w:r>
      <w:r w:rsidRPr="00E73E7F">
        <w:rPr>
          <w:lang w:val="fr-FR"/>
        </w:rPr>
        <w:t>utilisation de l</w:t>
      </w:r>
      <w:r w:rsidR="00263D55">
        <w:rPr>
          <w:lang w:val="fr-FR"/>
        </w:rPr>
        <w:t>’</w:t>
      </w:r>
      <w:r w:rsidRPr="00E73E7F">
        <w:rPr>
          <w:lang w:val="fr-FR"/>
        </w:rPr>
        <w:t xml:space="preserve">information </w:t>
      </w:r>
      <w:r w:rsidR="00034CAE" w:rsidRPr="00E73E7F">
        <w:rPr>
          <w:lang w:val="fr-FR"/>
        </w:rPr>
        <w:t xml:space="preserve">de </w:t>
      </w:r>
      <w:r w:rsidRPr="00E73E7F">
        <w:rPr>
          <w:lang w:val="fr-FR"/>
        </w:rPr>
        <w:t>séquençage numérique sur les ressources génétiques</w:t>
      </w:r>
      <w:r w:rsidR="00263D55">
        <w:rPr>
          <w:rStyle w:val="FootnoteReference"/>
          <w:lang w:val="fr-FR"/>
        </w:rPr>
        <w:footnoteReference w:id="2"/>
      </w:r>
      <w:r w:rsidR="00FF3BD9" w:rsidRPr="00E73E7F">
        <w:rPr>
          <w:lang w:val="fr-FR"/>
        </w:rPr>
        <w:t xml:space="preserve">, </w:t>
      </w:r>
    </w:p>
    <w:p w14:paraId="346BF3B1" w14:textId="1BF7B5FB" w:rsidR="00537248" w:rsidRPr="00E73E7F" w:rsidRDefault="00A73422" w:rsidP="00A256BA">
      <w:pPr>
        <w:pStyle w:val="Para1"/>
        <w:numPr>
          <w:ilvl w:val="0"/>
          <w:numId w:val="0"/>
        </w:numPr>
        <w:ind w:left="567" w:firstLine="567"/>
        <w:rPr>
          <w:lang w:val="fr-FR"/>
        </w:rPr>
      </w:pPr>
      <w:r w:rsidRPr="00E73E7F">
        <w:rPr>
          <w:i/>
          <w:iCs/>
          <w:lang w:val="fr-FR"/>
        </w:rPr>
        <w:t xml:space="preserve">Prend acte </w:t>
      </w:r>
      <w:r w:rsidR="00CA70B7">
        <w:rPr>
          <w:lang w:val="fr-FR"/>
        </w:rPr>
        <w:t>d</w:t>
      </w:r>
      <w:r w:rsidRPr="00E73E7F">
        <w:rPr>
          <w:lang w:val="fr-FR"/>
        </w:rPr>
        <w:t>e la d</w:t>
      </w:r>
      <w:r w:rsidR="00263D55">
        <w:rPr>
          <w:lang w:val="fr-FR"/>
        </w:rPr>
        <w:t xml:space="preserve">écision </w:t>
      </w:r>
      <w:hyperlink r:id="rId15" w:history="1">
        <w:r w:rsidR="00263D55" w:rsidRPr="00263D55">
          <w:rPr>
            <w:rStyle w:val="Hyperlink"/>
            <w:lang w:val="fr-FR"/>
          </w:rPr>
          <w:t>1</w:t>
        </w:r>
        <w:r w:rsidR="00263D55" w:rsidRPr="00263D55">
          <w:rPr>
            <w:rStyle w:val="Hyperlink"/>
            <w:lang w:val="fr-FR"/>
          </w:rPr>
          <w:t>6</w:t>
        </w:r>
        <w:r w:rsidR="00263D55" w:rsidRPr="00263D55">
          <w:rPr>
            <w:rStyle w:val="Hyperlink"/>
            <w:lang w:val="fr-FR"/>
          </w:rPr>
          <w:t>/2</w:t>
        </w:r>
      </w:hyperlink>
      <w:r w:rsidR="003D643D">
        <w:rPr>
          <w:lang w:val="fr-FR"/>
        </w:rPr>
        <w:t xml:space="preserve"> du 1</w:t>
      </w:r>
      <w:r w:rsidR="003D643D" w:rsidRPr="003D643D">
        <w:rPr>
          <w:vertAlign w:val="superscript"/>
          <w:lang w:val="fr-FR"/>
        </w:rPr>
        <w:t>er</w:t>
      </w:r>
      <w:r w:rsidR="003D643D">
        <w:rPr>
          <w:lang w:val="fr-FR"/>
        </w:rPr>
        <w:t xml:space="preserve"> novembre 2024 de</w:t>
      </w:r>
      <w:r w:rsidRPr="00E73E7F">
        <w:rPr>
          <w:lang w:val="fr-FR"/>
        </w:rPr>
        <w:t xml:space="preserve"> la Conférence des Parties à la Convention</w:t>
      </w:r>
      <w:r w:rsidR="004757F6">
        <w:rPr>
          <w:lang w:val="fr-FR"/>
        </w:rPr>
        <w:t xml:space="preserve"> sur la diversité biologique</w:t>
      </w:r>
      <w:r w:rsidR="004757F6">
        <w:rPr>
          <w:rStyle w:val="FootnoteReference"/>
          <w:lang w:val="fr-FR"/>
        </w:rPr>
        <w:footnoteReference w:id="3"/>
      </w:r>
      <w:r w:rsidRPr="00E73E7F">
        <w:rPr>
          <w:lang w:val="fr-FR"/>
        </w:rPr>
        <w:t xml:space="preserve"> concernant l</w:t>
      </w:r>
      <w:r w:rsidR="00263D55">
        <w:rPr>
          <w:lang w:val="fr-FR"/>
        </w:rPr>
        <w:t>’</w:t>
      </w:r>
      <w:r w:rsidRPr="00E73E7F">
        <w:rPr>
          <w:lang w:val="fr-FR"/>
        </w:rPr>
        <w:t>information de séquençage numérique</w:t>
      </w:r>
      <w:r w:rsidR="003D643D">
        <w:rPr>
          <w:lang w:val="fr-FR"/>
        </w:rPr>
        <w:t xml:space="preserve"> sur les ressources génétiques, par laquelle la Conférence des Parties a adopté </w:t>
      </w:r>
      <w:r w:rsidR="00CA70B7">
        <w:rPr>
          <w:lang w:val="fr-FR"/>
        </w:rPr>
        <w:t>les modalités de fonctionnement du</w:t>
      </w:r>
      <w:r w:rsidRPr="00E73E7F">
        <w:rPr>
          <w:lang w:val="fr-FR"/>
        </w:rPr>
        <w:t xml:space="preserve"> mécanisme multilatéral de partage</w:t>
      </w:r>
      <w:r w:rsidR="003D643D">
        <w:rPr>
          <w:lang w:val="fr-FR"/>
        </w:rPr>
        <w:t xml:space="preserve"> juste et équitable</w:t>
      </w:r>
      <w:r w:rsidRPr="00E73E7F">
        <w:rPr>
          <w:lang w:val="fr-FR"/>
        </w:rPr>
        <w:t xml:space="preserve"> des avantages découlant de l</w:t>
      </w:r>
      <w:r w:rsidR="00263D55">
        <w:rPr>
          <w:lang w:val="fr-FR"/>
        </w:rPr>
        <w:t>’</w:t>
      </w:r>
      <w:r w:rsidRPr="00E73E7F">
        <w:rPr>
          <w:lang w:val="fr-FR"/>
        </w:rPr>
        <w:t>utilisation de l</w:t>
      </w:r>
      <w:r w:rsidR="00263D55">
        <w:rPr>
          <w:lang w:val="fr-FR"/>
        </w:rPr>
        <w:t>’</w:t>
      </w:r>
      <w:r w:rsidRPr="00E73E7F">
        <w:rPr>
          <w:lang w:val="fr-FR"/>
        </w:rPr>
        <w:t>information de séquençage numérique sur les resso</w:t>
      </w:r>
      <w:r w:rsidR="003D643D">
        <w:rPr>
          <w:lang w:val="fr-FR"/>
        </w:rPr>
        <w:t>urces génétiques, y compris le Fonds de Cali</w:t>
      </w:r>
      <w:r w:rsidR="00FF3BD9" w:rsidRPr="00E73E7F">
        <w:rPr>
          <w:lang w:val="fr-FR"/>
        </w:rPr>
        <w:t>.</w:t>
      </w:r>
    </w:p>
    <w:p w14:paraId="2C709E26" w14:textId="77777777" w:rsidR="002B559C" w:rsidRPr="00E73E7F" w:rsidRDefault="00ED3849" w:rsidP="0073763F">
      <w:pPr>
        <w:pStyle w:val="Para1"/>
        <w:numPr>
          <w:ilvl w:val="0"/>
          <w:numId w:val="0"/>
        </w:numPr>
        <w:ind w:left="567"/>
        <w:jc w:val="center"/>
        <w:rPr>
          <w:lang w:val="fr-FR"/>
        </w:rPr>
      </w:pPr>
      <w:r w:rsidRPr="00E73E7F">
        <w:rPr>
          <w:lang w:val="fr-FR"/>
        </w:rPr>
        <w:t>__________</w:t>
      </w:r>
    </w:p>
    <w:sectPr w:rsidR="002B559C" w:rsidRPr="00E73E7F" w:rsidSect="0073763F">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9CDA45" w14:textId="77777777" w:rsidR="00EE4528" w:rsidRDefault="00EE4528" w:rsidP="00A96B21">
      <w:r>
        <w:separator/>
      </w:r>
    </w:p>
  </w:endnote>
  <w:endnote w:type="continuationSeparator" w:id="0">
    <w:p w14:paraId="5A25D7D7" w14:textId="77777777" w:rsidR="00EE4528" w:rsidRDefault="00EE4528" w:rsidP="00A96B21">
      <w:r>
        <w:continuationSeparator/>
      </w:r>
    </w:p>
  </w:endnote>
  <w:endnote w:type="continuationNotice" w:id="1">
    <w:p w14:paraId="4EA34DC3" w14:textId="77777777" w:rsidR="00EE4528" w:rsidRDefault="00EE45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84238F4" w14:textId="77777777" w:rsidR="00E22CF5" w:rsidRDefault="00E22CF5">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07B4CAEA" w14:textId="77777777" w:rsidR="00E22CF5" w:rsidRDefault="00E22CF5"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517232" w14:textId="77777777" w:rsidR="00EE4528" w:rsidRDefault="00EE4528" w:rsidP="00A96B21">
      <w:r>
        <w:separator/>
      </w:r>
    </w:p>
  </w:footnote>
  <w:footnote w:type="continuationSeparator" w:id="0">
    <w:p w14:paraId="6AB4C805" w14:textId="77777777" w:rsidR="00EE4528" w:rsidRDefault="00EE4528" w:rsidP="00A96B21">
      <w:r>
        <w:continuationSeparator/>
      </w:r>
    </w:p>
  </w:footnote>
  <w:footnote w:type="continuationNotice" w:id="1">
    <w:p w14:paraId="6CD5A226" w14:textId="77777777" w:rsidR="00EE4528" w:rsidRDefault="00EE4528"/>
  </w:footnote>
  <w:footnote w:id="2">
    <w:p w14:paraId="69C2F85D" w14:textId="2781D93B" w:rsidR="00B8352A" w:rsidRPr="00F4606F" w:rsidRDefault="00F4606F" w:rsidP="00B8352A">
      <w:pPr>
        <w:pStyle w:val="FootnoteText"/>
        <w:rPr>
          <w:sz w:val="18"/>
          <w:szCs w:val="18"/>
          <w:lang w:val="fr-FR"/>
        </w:rPr>
      </w:pPr>
      <w:r w:rsidRPr="00CA70B7">
        <w:rPr>
          <w:sz w:val="16"/>
          <w:szCs w:val="16"/>
          <w:lang w:val="fr-FR"/>
        </w:rPr>
        <w:t>*</w:t>
      </w:r>
      <w:r>
        <w:rPr>
          <w:sz w:val="18"/>
          <w:szCs w:val="18"/>
          <w:lang w:val="fr-FR"/>
        </w:rPr>
        <w:t xml:space="preserve"> </w:t>
      </w:r>
      <w:r w:rsidRPr="00F4606F">
        <w:rPr>
          <w:sz w:val="18"/>
          <w:szCs w:val="18"/>
          <w:lang w:val="fr-FR"/>
        </w:rPr>
        <w:t>Le prése</w:t>
      </w:r>
      <w:r w:rsidR="00CA70B7">
        <w:rPr>
          <w:sz w:val="18"/>
          <w:szCs w:val="18"/>
          <w:lang w:val="fr-FR"/>
        </w:rPr>
        <w:t>nt document a initialement été publié</w:t>
      </w:r>
      <w:r w:rsidRPr="00F4606F">
        <w:rPr>
          <w:sz w:val="18"/>
          <w:szCs w:val="18"/>
          <w:lang w:val="fr-FR"/>
        </w:rPr>
        <w:t xml:space="preserve"> le 1</w:t>
      </w:r>
      <w:r w:rsidRPr="00F4606F">
        <w:rPr>
          <w:sz w:val="18"/>
          <w:szCs w:val="18"/>
          <w:vertAlign w:val="superscript"/>
          <w:lang w:val="fr-FR"/>
        </w:rPr>
        <w:t>er</w:t>
      </w:r>
      <w:r w:rsidRPr="00F4606F">
        <w:rPr>
          <w:sz w:val="18"/>
          <w:szCs w:val="18"/>
          <w:lang w:val="fr-FR"/>
        </w:rPr>
        <w:t xml:space="preserve"> </w:t>
      </w:r>
      <w:r w:rsidR="00E522BF">
        <w:rPr>
          <w:sz w:val="18"/>
          <w:szCs w:val="18"/>
          <w:lang w:val="fr-FR"/>
        </w:rPr>
        <w:t>novembre 2024 sans avoir été révisé officiellement par les services d’édition</w:t>
      </w:r>
      <w:r w:rsidRPr="00F4606F">
        <w:rPr>
          <w:sz w:val="18"/>
          <w:szCs w:val="18"/>
          <w:lang w:val="fr-FR"/>
        </w:rPr>
        <w:t>.</w:t>
      </w:r>
    </w:p>
    <w:p w14:paraId="2F632DC8" w14:textId="088AAD42" w:rsidR="00263D55" w:rsidRPr="00263D55" w:rsidRDefault="00263D55">
      <w:pPr>
        <w:pStyle w:val="FootnoteText"/>
        <w:rPr>
          <w:lang w:val="fr-FR"/>
        </w:rPr>
      </w:pPr>
      <w:r>
        <w:rPr>
          <w:rStyle w:val="FootnoteReference"/>
        </w:rPr>
        <w:footnoteRef/>
      </w:r>
      <w:r w:rsidRPr="00263D55">
        <w:rPr>
          <w:lang w:val="fr-FR"/>
        </w:rPr>
        <w:t xml:space="preserve"> </w:t>
      </w:r>
      <w:r w:rsidRPr="000575D9">
        <w:rPr>
          <w:sz w:val="18"/>
          <w:szCs w:val="18"/>
          <w:lang w:val="fr-FR"/>
        </w:rPr>
        <w:t xml:space="preserve">Voir la recommandation </w:t>
      </w:r>
      <w:hyperlink r:id="rId1" w:history="1">
        <w:r w:rsidRPr="000575D9">
          <w:rPr>
            <w:rStyle w:val="Hyperlink"/>
            <w:sz w:val="18"/>
            <w:szCs w:val="18"/>
            <w:lang w:val="fr-FR"/>
          </w:rPr>
          <w:t>2</w:t>
        </w:r>
        <w:r w:rsidRPr="000575D9">
          <w:rPr>
            <w:rStyle w:val="Hyperlink"/>
            <w:sz w:val="18"/>
            <w:szCs w:val="18"/>
            <w:lang w:val="fr-FR"/>
          </w:rPr>
          <w:t>/</w:t>
        </w:r>
        <w:r w:rsidRPr="000575D9">
          <w:rPr>
            <w:rStyle w:val="Hyperlink"/>
            <w:sz w:val="18"/>
            <w:szCs w:val="18"/>
            <w:lang w:val="fr-FR"/>
          </w:rPr>
          <w:t>1</w:t>
        </w:r>
      </w:hyperlink>
      <w:r w:rsidRPr="000575D9">
        <w:rPr>
          <w:sz w:val="18"/>
          <w:szCs w:val="18"/>
          <w:lang w:val="fr-FR"/>
        </w:rPr>
        <w:t xml:space="preserve"> du Groupe de travail spécial à composition non limitée sur le partage des avantages découlant de l’utilisation de l’information de séquençage numérique sur les ressources génétiques.</w:t>
      </w:r>
    </w:p>
  </w:footnote>
  <w:footnote w:id="3">
    <w:p w14:paraId="2945ECEC" w14:textId="6D8A40D2" w:rsidR="004757F6" w:rsidRPr="004757F6" w:rsidRDefault="004757F6">
      <w:pPr>
        <w:pStyle w:val="FootnoteText"/>
        <w:rPr>
          <w:lang w:val="fr-FR"/>
        </w:rPr>
      </w:pPr>
      <w:r>
        <w:rPr>
          <w:rStyle w:val="FootnoteReference"/>
        </w:rPr>
        <w:footnoteRef/>
      </w:r>
      <w:r w:rsidRPr="004757F6">
        <w:rPr>
          <w:lang w:val="fr-FR"/>
        </w:rPr>
        <w:t xml:space="preserve"> </w:t>
      </w:r>
      <w:r w:rsidRPr="004757F6">
        <w:rPr>
          <w:sz w:val="18"/>
          <w:szCs w:val="18"/>
          <w:lang w:val="fr-FR"/>
        </w:rPr>
        <w:t xml:space="preserve">Nations Unies, </w:t>
      </w:r>
      <w:r w:rsidRPr="004757F6">
        <w:rPr>
          <w:i/>
          <w:sz w:val="18"/>
          <w:szCs w:val="18"/>
          <w:lang w:val="fr-FR"/>
        </w:rPr>
        <w:t>Recueil des traités</w:t>
      </w:r>
      <w:r w:rsidRPr="004757F6">
        <w:rPr>
          <w:sz w:val="18"/>
          <w:szCs w:val="18"/>
          <w:lang w:val="fr-FR"/>
        </w:rPr>
        <w:t>, vol. 1760, n</w:t>
      </w:r>
      <w:r w:rsidRPr="004757F6">
        <w:rPr>
          <w:sz w:val="18"/>
          <w:szCs w:val="18"/>
          <w:vertAlign w:val="superscript"/>
          <w:lang w:val="fr-FR"/>
        </w:rPr>
        <w:t>o</w:t>
      </w:r>
      <w:r w:rsidRPr="004757F6">
        <w:rPr>
          <w:sz w:val="18"/>
          <w:szCs w:val="18"/>
          <w:lang w:val="fr-FR"/>
        </w:rPr>
        <w:t xml:space="preserve"> 30619.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2" w:name="_Hlk137802784"/>
  <w:bookmarkStart w:id="3" w:name="_Hlk137802785"/>
  <w:p w14:paraId="640845FA" w14:textId="77777777" w:rsidR="00E22CF5" w:rsidRPr="002B559C" w:rsidRDefault="00E22CF5"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2B559C">
          <w:rPr>
            <w:sz w:val="20"/>
            <w:szCs w:val="20"/>
            <w:lang w:val="fr-FR"/>
          </w:rPr>
          <w:t>CBD/</w:t>
        </w:r>
      </w:sdtContent>
    </w:sdt>
    <w:bookmarkEnd w:id="2"/>
    <w:bookmarkEnd w:id="3"/>
    <w:r>
      <w:rPr>
        <w:sz w:val="20"/>
        <w:szCs w:val="20"/>
        <w:lang w:val="fr-FR"/>
      </w:rPr>
      <w:t>NP/MOP/5/--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900B0ED" w14:textId="77777777" w:rsidR="00E22CF5" w:rsidRPr="002B559C" w:rsidRDefault="00E22CF5" w:rsidP="002B559C">
        <w:pPr>
          <w:pStyle w:val="Header"/>
          <w:pBdr>
            <w:bottom w:val="single" w:sz="4" w:space="1" w:color="auto"/>
          </w:pBdr>
          <w:spacing w:after="240"/>
          <w:jc w:val="right"/>
          <w:rPr>
            <w:sz w:val="20"/>
            <w:szCs w:val="20"/>
            <w:lang w:val="fr-FR"/>
          </w:rPr>
        </w:pPr>
        <w:r>
          <w:rPr>
            <w:sz w:val="20"/>
            <w:szCs w:val="20"/>
            <w:lang w:val="fr-FR"/>
          </w:rPr>
          <w:t>CBD/</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7050734D"/>
    <w:multiLevelType w:val="hybridMultilevel"/>
    <w:tmpl w:val="3F5AAFDE"/>
    <w:lvl w:ilvl="0" w:tplc="040C0001">
      <w:start w:val="18"/>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0"/>
  </w:num>
  <w:num w:numId="3">
    <w:abstractNumId w:val="12"/>
  </w:num>
  <w:num w:numId="4">
    <w:abstractNumId w:val="0"/>
  </w:num>
  <w:num w:numId="5">
    <w:abstractNumId w:val="1"/>
  </w:num>
  <w:num w:numId="6">
    <w:abstractNumId w:val="1"/>
  </w:num>
  <w:num w:numId="7">
    <w:abstractNumId w:val="3"/>
  </w:num>
  <w:num w:numId="8">
    <w:abstractNumId w:val="6"/>
  </w:num>
  <w:num w:numId="9">
    <w:abstractNumId w:val="9"/>
  </w:num>
  <w:num w:numId="10">
    <w:abstractNumId w:val="8"/>
  </w:num>
  <w:num w:numId="11">
    <w:abstractNumId w:val="5"/>
  </w:num>
  <w:num w:numId="12">
    <w:abstractNumId w:val="2"/>
  </w:num>
  <w:num w:numId="13">
    <w:abstractNumId w:val="2"/>
    <w:lvlOverride w:ilvl="0">
      <w:startOverride w:val="1"/>
    </w:lvlOverride>
  </w:num>
  <w:num w:numId="14">
    <w:abstractNumId w:val="7"/>
  </w:num>
  <w:num w:numId="15">
    <w:abstractNumId w:val="7"/>
    <w:lvlOverride w:ilvl="0">
      <w:startOverride w:val="1"/>
    </w:lvlOverride>
  </w:num>
  <w:num w:numId="16">
    <w:abstractNumId w:val="10"/>
    <w:lvlOverride w:ilvl="0">
      <w:startOverride w:val="1"/>
    </w:lvlOverride>
  </w:num>
  <w:num w:numId="17">
    <w:abstractNumId w:val="7"/>
    <w:lvlOverride w:ilvl="0">
      <w:startOverride w:val="1"/>
    </w:lvlOverride>
  </w:num>
  <w:num w:numId="18">
    <w:abstractNumId w:val="13"/>
  </w:num>
  <w:num w:numId="19">
    <w:abstractNumId w:val="10"/>
    <w:lvlOverride w:ilvl="0">
      <w:startOverride w:val="1"/>
    </w:lvlOverride>
  </w:num>
  <w:num w:numId="20">
    <w:abstractNumId w:val="10"/>
    <w:lvlOverride w:ilvl="0">
      <w:startOverride w:val="1"/>
    </w:lvlOverride>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BD9"/>
    <w:rsid w:val="000009A8"/>
    <w:rsid w:val="00001AA4"/>
    <w:rsid w:val="00034163"/>
    <w:rsid w:val="00034CAE"/>
    <w:rsid w:val="00035386"/>
    <w:rsid w:val="00040598"/>
    <w:rsid w:val="00051352"/>
    <w:rsid w:val="000575D9"/>
    <w:rsid w:val="00057E32"/>
    <w:rsid w:val="000744C4"/>
    <w:rsid w:val="000C04BB"/>
    <w:rsid w:val="000E758A"/>
    <w:rsid w:val="00103E93"/>
    <w:rsid w:val="00132581"/>
    <w:rsid w:val="0013783A"/>
    <w:rsid w:val="00140604"/>
    <w:rsid w:val="00173C53"/>
    <w:rsid w:val="00184909"/>
    <w:rsid w:val="001A5E96"/>
    <w:rsid w:val="001D7501"/>
    <w:rsid w:val="002011A3"/>
    <w:rsid w:val="00214336"/>
    <w:rsid w:val="0023663C"/>
    <w:rsid w:val="00254CD2"/>
    <w:rsid w:val="00263D55"/>
    <w:rsid w:val="00270E9E"/>
    <w:rsid w:val="002A1AEC"/>
    <w:rsid w:val="002B00CA"/>
    <w:rsid w:val="002B559C"/>
    <w:rsid w:val="002C7190"/>
    <w:rsid w:val="00310608"/>
    <w:rsid w:val="00323F22"/>
    <w:rsid w:val="003476A9"/>
    <w:rsid w:val="003517DF"/>
    <w:rsid w:val="003814AB"/>
    <w:rsid w:val="003A05F5"/>
    <w:rsid w:val="003A7ABE"/>
    <w:rsid w:val="003B4C54"/>
    <w:rsid w:val="003C6F10"/>
    <w:rsid w:val="003D643D"/>
    <w:rsid w:val="00441498"/>
    <w:rsid w:val="004701EE"/>
    <w:rsid w:val="004757F6"/>
    <w:rsid w:val="00480A8D"/>
    <w:rsid w:val="004A2A2D"/>
    <w:rsid w:val="004F0F84"/>
    <w:rsid w:val="0050416E"/>
    <w:rsid w:val="00537248"/>
    <w:rsid w:val="00560AF9"/>
    <w:rsid w:val="005A206E"/>
    <w:rsid w:val="005B5E64"/>
    <w:rsid w:val="005C0058"/>
    <w:rsid w:val="005E2605"/>
    <w:rsid w:val="00642D39"/>
    <w:rsid w:val="00657ED6"/>
    <w:rsid w:val="006A3042"/>
    <w:rsid w:val="006B293D"/>
    <w:rsid w:val="006C1A1B"/>
    <w:rsid w:val="00722D66"/>
    <w:rsid w:val="00725DED"/>
    <w:rsid w:val="00727E05"/>
    <w:rsid w:val="0073763F"/>
    <w:rsid w:val="0076622F"/>
    <w:rsid w:val="007C77BC"/>
    <w:rsid w:val="007F3A67"/>
    <w:rsid w:val="00822EAC"/>
    <w:rsid w:val="00874541"/>
    <w:rsid w:val="008834FF"/>
    <w:rsid w:val="008E0581"/>
    <w:rsid w:val="00935461"/>
    <w:rsid w:val="009459E3"/>
    <w:rsid w:val="00995DDC"/>
    <w:rsid w:val="009C1114"/>
    <w:rsid w:val="009D6DDB"/>
    <w:rsid w:val="00A256BA"/>
    <w:rsid w:val="00A54FA0"/>
    <w:rsid w:val="00A73422"/>
    <w:rsid w:val="00A96B21"/>
    <w:rsid w:val="00AE1A95"/>
    <w:rsid w:val="00AF7181"/>
    <w:rsid w:val="00B34A99"/>
    <w:rsid w:val="00B36EA9"/>
    <w:rsid w:val="00B72D1A"/>
    <w:rsid w:val="00B8352A"/>
    <w:rsid w:val="00C2354A"/>
    <w:rsid w:val="00C261A0"/>
    <w:rsid w:val="00C62FBD"/>
    <w:rsid w:val="00CA70B7"/>
    <w:rsid w:val="00CE51EC"/>
    <w:rsid w:val="00CF70AB"/>
    <w:rsid w:val="00D1722E"/>
    <w:rsid w:val="00D23F1E"/>
    <w:rsid w:val="00D254A8"/>
    <w:rsid w:val="00D3059B"/>
    <w:rsid w:val="00D60046"/>
    <w:rsid w:val="00D71FFB"/>
    <w:rsid w:val="00DD20BF"/>
    <w:rsid w:val="00DD74C2"/>
    <w:rsid w:val="00E1597C"/>
    <w:rsid w:val="00E223A7"/>
    <w:rsid w:val="00E22CF5"/>
    <w:rsid w:val="00E321CA"/>
    <w:rsid w:val="00E522BF"/>
    <w:rsid w:val="00E73E7F"/>
    <w:rsid w:val="00E8282A"/>
    <w:rsid w:val="00ED3849"/>
    <w:rsid w:val="00EE4528"/>
    <w:rsid w:val="00F258FB"/>
    <w:rsid w:val="00F4606F"/>
    <w:rsid w:val="00F75F90"/>
    <w:rsid w:val="00F95290"/>
    <w:rsid w:val="00FA18C9"/>
    <w:rsid w:val="00FF3BD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27FC6"/>
  <w15:chartTrackingRefBased/>
  <w15:docId w15:val="{952B4755-2A7A-479F-98CA-B534C442A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103E93"/>
    <w:pPr>
      <w:spacing w:after="0" w:line="240" w:lineRule="auto"/>
    </w:pPr>
    <w:rPr>
      <w:rFonts w:ascii="Times New Roman" w:eastAsia="Times New Roman" w:hAnsi="Times New Roman" w:cs="Times New Roman"/>
      <w:kern w:val="0"/>
      <w:szCs w:val="24"/>
      <w:lang w:val="en-GB"/>
      <w14:ligatures w14:val="none"/>
    </w:rPr>
  </w:style>
  <w:style w:type="paragraph" w:customStyle="1" w:styleId="AFCorNot12Bold">
    <w:name w:val="AF_CorNot12Bold"/>
    <w:basedOn w:val="Normal"/>
    <w:next w:val="Normal"/>
    <w:unhideWhenUsed/>
    <w:qFormat/>
    <w:rsid w:val="005B5E64"/>
    <w:pPr>
      <w:tabs>
        <w:tab w:val="left" w:pos="567"/>
        <w:tab w:val="left" w:pos="1134"/>
        <w:tab w:val="left" w:pos="1701"/>
        <w:tab w:val="left" w:pos="2268"/>
      </w:tabs>
      <w:jc w:val="left"/>
    </w:pPr>
    <w:rPr>
      <w:rFonts w:eastAsia="SimSun"/>
      <w:b/>
      <w:sz w:val="24"/>
      <w:szCs w:val="22"/>
      <w:lang w:val="fr-FR"/>
    </w:rPr>
  </w:style>
  <w:style w:type="character" w:styleId="Hyperlink">
    <w:name w:val="Hyperlink"/>
    <w:basedOn w:val="DefaultParagraphFont"/>
    <w:uiPriority w:val="99"/>
    <w:unhideWhenUsed/>
    <w:rsid w:val="00263D55"/>
    <w:rPr>
      <w:color w:val="0563C1" w:themeColor="hyperlink"/>
      <w:u w:val="single"/>
    </w:rPr>
  </w:style>
  <w:style w:type="character" w:styleId="FollowedHyperlink">
    <w:name w:val="FollowedHyperlink"/>
    <w:basedOn w:val="DefaultParagraphFont"/>
    <w:uiPriority w:val="99"/>
    <w:semiHidden/>
    <w:unhideWhenUsed/>
    <w:rsid w:val="00263D5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0211339">
      <w:bodyDiv w:val="1"/>
      <w:marLeft w:val="0"/>
      <w:marRight w:val="0"/>
      <w:marTop w:val="0"/>
      <w:marBottom w:val="0"/>
      <w:divBdr>
        <w:top w:val="none" w:sz="0" w:space="0" w:color="auto"/>
        <w:left w:val="none" w:sz="0" w:space="0" w:color="auto"/>
        <w:bottom w:val="none" w:sz="0" w:space="0" w:color="auto"/>
        <w:right w:val="none" w:sz="0" w:space="0" w:color="auto"/>
      </w:divBdr>
    </w:div>
    <w:div w:id="1011562724">
      <w:bodyDiv w:val="1"/>
      <w:marLeft w:val="0"/>
      <w:marRight w:val="0"/>
      <w:marTop w:val="0"/>
      <w:marBottom w:val="0"/>
      <w:divBdr>
        <w:top w:val="none" w:sz="0" w:space="0" w:color="auto"/>
        <w:left w:val="none" w:sz="0" w:space="0" w:color="auto"/>
        <w:bottom w:val="none" w:sz="0" w:space="0" w:color="auto"/>
        <w:right w:val="none" w:sz="0" w:space="0" w:color="auto"/>
      </w:divBdr>
    </w:div>
    <w:div w:id="1379470955">
      <w:bodyDiv w:val="1"/>
      <w:marLeft w:val="0"/>
      <w:marRight w:val="0"/>
      <w:marTop w:val="0"/>
      <w:marBottom w:val="0"/>
      <w:divBdr>
        <w:top w:val="none" w:sz="0" w:space="0" w:color="auto"/>
        <w:left w:val="none" w:sz="0" w:space="0" w:color="auto"/>
        <w:bottom w:val="none" w:sz="0" w:space="0" w:color="auto"/>
        <w:right w:val="none" w:sz="0" w:space="0" w:color="auto"/>
      </w:divBdr>
    </w:div>
    <w:div w:id="1773089389">
      <w:bodyDiv w:val="1"/>
      <w:marLeft w:val="0"/>
      <w:marRight w:val="0"/>
      <w:marTop w:val="0"/>
      <w:marBottom w:val="0"/>
      <w:divBdr>
        <w:top w:val="none" w:sz="0" w:space="0" w:color="auto"/>
        <w:left w:val="none" w:sz="0" w:space="0" w:color="auto"/>
        <w:bottom w:val="none" w:sz="0" w:space="0" w:color="auto"/>
        <w:right w:val="none" w:sz="0" w:space="0" w:color="auto"/>
      </w:divBdr>
    </w:div>
    <w:div w:id="1779793735">
      <w:bodyDiv w:val="1"/>
      <w:marLeft w:val="0"/>
      <w:marRight w:val="0"/>
      <w:marTop w:val="0"/>
      <w:marBottom w:val="0"/>
      <w:divBdr>
        <w:top w:val="none" w:sz="0" w:space="0" w:color="auto"/>
        <w:left w:val="none" w:sz="0" w:space="0" w:color="auto"/>
        <w:bottom w:val="none" w:sz="0" w:space="0" w:color="auto"/>
        <w:right w:val="none" w:sz="0" w:space="0" w:color="auto"/>
      </w:divBdr>
    </w:div>
    <w:div w:id="179420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4/np-mop-04-dec-06-f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recommendations/wgdsi/?m=wgdsi-0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BRYANT1\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ED97FDF3A9B4430A5087296D3D7D996"/>
        <w:category>
          <w:name w:val="General"/>
          <w:gallery w:val="placeholder"/>
        </w:category>
        <w:types>
          <w:type w:val="bbPlcHdr"/>
        </w:types>
        <w:behaviors>
          <w:behavior w:val="content"/>
        </w:behaviors>
        <w:guid w:val="{E42D8E05-42BA-45A5-82CB-F813A1ECAB38}"/>
      </w:docPartPr>
      <w:docPartBody>
        <w:p w:rsidR="007D44D2" w:rsidRDefault="007D44D2">
          <w:pPr>
            <w:pStyle w:val="CED97FDF3A9B4430A5087296D3D7D99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4D2"/>
    <w:rsid w:val="00140604"/>
    <w:rsid w:val="0023663C"/>
    <w:rsid w:val="002C7190"/>
    <w:rsid w:val="003A7ABE"/>
    <w:rsid w:val="00533C64"/>
    <w:rsid w:val="00551728"/>
    <w:rsid w:val="00606EC6"/>
    <w:rsid w:val="00725DED"/>
    <w:rsid w:val="007D44D2"/>
    <w:rsid w:val="0081414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D97FDF3A9B4430A5087296D3D7D996">
    <w:name w:val="CED97FDF3A9B4430A5087296D3D7D9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FCBFE-BA6F-4B43-8773-CD3C1F4C9AD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9CB4183-370A-4F08-A519-3CFDCB73C6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C15A2C42-73D8-4003-A549-22DF35BAF92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Template>
  <TotalTime>44</TotalTime>
  <Pages>1</Pages>
  <Words>249</Words>
  <Characters>1374</Characters>
  <Application>Microsoft Office Word</Application>
  <DocSecurity>0</DocSecurity>
  <Lines>11</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Information de séquençage numérique sur les ressources génétiques</vt:lpstr>
      <vt:lpstr>Digital sequence information on genetic resources</vt:lpstr>
    </vt:vector>
  </TitlesOfParts>
  <Company/>
  <LinksUpToDate>false</LinksUpToDate>
  <CharactersWithSpaces>1620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de séquençage numérique sur les ressources génétiques</dc:title>
  <dc:subject>CBD/</dc:subject>
  <dc:creator>CBD Sec</dc:creator>
  <cp:keywords>Conference of the Parties serving as the meeting of the Parties to the Nagoya Protocol on Access to Genetic Resources and the Fair and Equitable Sharing of Benefits Arising from their Utilization</cp:keywords>
  <dc:description/>
  <cp:lastModifiedBy>Finn Kinley</cp:lastModifiedBy>
  <cp:revision>11</cp:revision>
  <cp:lastPrinted>2024-11-02T01:38:00Z</cp:lastPrinted>
  <dcterms:created xsi:type="dcterms:W3CDTF">2024-11-05T08:11:00Z</dcterms:created>
  <dcterms:modified xsi:type="dcterms:W3CDTF">2025-01-24T01:13:00Z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