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207A6E" w:rsidRPr="00883A1C" w:rsidTr="00644242">
        <w:trPr>
          <w:trHeight w:val="709"/>
        </w:trPr>
        <w:tc>
          <w:tcPr>
            <w:tcW w:w="976" w:type="dxa"/>
            <w:tcBorders>
              <w:bottom w:val="single" w:sz="12" w:space="0" w:color="auto"/>
            </w:tcBorders>
          </w:tcPr>
          <w:p w:rsidR="00207A6E" w:rsidRPr="00883A1C" w:rsidRDefault="00207A6E" w:rsidP="00883A1C">
            <w:pPr>
              <w:suppressLineNumbers/>
              <w:suppressAutoHyphens/>
              <w:kinsoku w:val="0"/>
              <w:overflowPunct w:val="0"/>
              <w:autoSpaceDE w:val="0"/>
              <w:autoSpaceDN w:val="0"/>
              <w:adjustRightInd w:val="0"/>
              <w:snapToGrid w:val="0"/>
              <w:rPr>
                <w:kern w:val="22"/>
              </w:rPr>
            </w:pPr>
            <w:r w:rsidRPr="00883A1C">
              <w:rPr>
                <w:noProof/>
                <w:kern w:val="22"/>
                <w:lang w:eastAsia="zh-CN"/>
              </w:rPr>
              <w:drawing>
                <wp:inline distT="0" distB="0" distL="0" distR="0" wp14:anchorId="558ECA84" wp14:editId="61FC1DDE">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207A6E" w:rsidRPr="00883A1C" w:rsidRDefault="00207A6E" w:rsidP="00883A1C">
            <w:pPr>
              <w:suppressLineNumbers/>
              <w:suppressAutoHyphens/>
              <w:kinsoku w:val="0"/>
              <w:overflowPunct w:val="0"/>
              <w:autoSpaceDE w:val="0"/>
              <w:autoSpaceDN w:val="0"/>
              <w:adjustRightInd w:val="0"/>
              <w:snapToGrid w:val="0"/>
              <w:rPr>
                <w:kern w:val="22"/>
              </w:rPr>
            </w:pPr>
            <w:r w:rsidRPr="00883A1C">
              <w:rPr>
                <w:noProof/>
                <w:kern w:val="22"/>
                <w:lang w:eastAsia="zh-CN"/>
              </w:rPr>
              <w:drawing>
                <wp:inline distT="0" distB="0" distL="0" distR="0" wp14:anchorId="431DED21" wp14:editId="6E1ED8D6">
                  <wp:extent cx="343700" cy="403200"/>
                  <wp:effectExtent l="0" t="0" r="12065" b="3810"/>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207A6E" w:rsidRPr="00883A1C" w:rsidRDefault="00207A6E" w:rsidP="00883A1C">
            <w:pPr>
              <w:suppressLineNumbers/>
              <w:suppressAutoHyphens/>
              <w:kinsoku w:val="0"/>
              <w:overflowPunct w:val="0"/>
              <w:autoSpaceDE w:val="0"/>
              <w:autoSpaceDN w:val="0"/>
              <w:adjustRightInd w:val="0"/>
              <w:snapToGrid w:val="0"/>
              <w:jc w:val="right"/>
              <w:rPr>
                <w:rFonts w:ascii="Arial" w:hAnsi="Arial"/>
                <w:b/>
                <w:kern w:val="22"/>
                <w:sz w:val="32"/>
              </w:rPr>
            </w:pPr>
            <w:r w:rsidRPr="00883A1C">
              <w:rPr>
                <w:rFonts w:ascii="Arial" w:hAnsi="Arial"/>
                <w:b/>
                <w:kern w:val="22"/>
                <w:sz w:val="32"/>
              </w:rPr>
              <w:t>CBD</w:t>
            </w:r>
          </w:p>
        </w:tc>
      </w:tr>
    </w:tbl>
    <w:tbl>
      <w:tblPr>
        <w:tblW w:w="10348" w:type="dxa"/>
        <w:tblInd w:w="-459" w:type="dxa"/>
        <w:tblBorders>
          <w:bottom w:val="single" w:sz="36" w:space="0" w:color="000000"/>
        </w:tblBorders>
        <w:tblLayout w:type="fixed"/>
        <w:tblLook w:val="0000" w:firstRow="0" w:lastRow="0" w:firstColumn="0" w:lastColumn="0" w:noHBand="0" w:noVBand="0"/>
      </w:tblPr>
      <w:tblGrid>
        <w:gridCol w:w="6227"/>
        <w:gridCol w:w="1144"/>
        <w:gridCol w:w="2977"/>
      </w:tblGrid>
      <w:tr w:rsidR="00F16F02" w:rsidRPr="00883A1C" w:rsidTr="009554D5">
        <w:trPr>
          <w:trHeight w:val="1693"/>
        </w:trPr>
        <w:tc>
          <w:tcPr>
            <w:tcW w:w="6227" w:type="dxa"/>
            <w:tcBorders>
              <w:top w:val="nil"/>
              <w:bottom w:val="single" w:sz="36" w:space="0" w:color="000000"/>
            </w:tcBorders>
          </w:tcPr>
          <w:p w:rsidR="00F16F02" w:rsidRPr="00883A1C" w:rsidRDefault="00F16F02" w:rsidP="00883A1C">
            <w:pPr>
              <w:suppressLineNumbers/>
              <w:suppressAutoHyphens/>
              <w:kinsoku w:val="0"/>
              <w:overflowPunct w:val="0"/>
              <w:autoSpaceDE w:val="0"/>
              <w:autoSpaceDN w:val="0"/>
              <w:adjustRightInd w:val="0"/>
              <w:snapToGrid w:val="0"/>
              <w:rPr>
                <w:snapToGrid w:val="0"/>
                <w:kern w:val="22"/>
              </w:rPr>
            </w:pPr>
          </w:p>
          <w:p w:rsidR="00F16F02" w:rsidRPr="00883A1C" w:rsidRDefault="00F16F02" w:rsidP="00883A1C">
            <w:pPr>
              <w:suppressLineNumbers/>
              <w:suppressAutoHyphens/>
              <w:kinsoku w:val="0"/>
              <w:overflowPunct w:val="0"/>
              <w:autoSpaceDE w:val="0"/>
              <w:autoSpaceDN w:val="0"/>
              <w:adjustRightInd w:val="0"/>
              <w:snapToGrid w:val="0"/>
              <w:rPr>
                <w:snapToGrid w:val="0"/>
                <w:kern w:val="22"/>
              </w:rPr>
            </w:pPr>
            <w:r w:rsidRPr="00883A1C">
              <w:rPr>
                <w:noProof/>
                <w:kern w:val="22"/>
                <w:lang w:eastAsia="zh-CN"/>
              </w:rPr>
              <w:drawing>
                <wp:inline distT="0" distB="0" distL="0" distR="0" wp14:anchorId="5F4A4B19" wp14:editId="402FEE1A">
                  <wp:extent cx="2882900" cy="1079500"/>
                  <wp:effectExtent l="0" t="0" r="1270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d.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2900" cy="1079500"/>
                          </a:xfrm>
                          <a:prstGeom prst="rect">
                            <a:avLst/>
                          </a:prstGeom>
                        </pic:spPr>
                      </pic:pic>
                    </a:graphicData>
                  </a:graphic>
                </wp:inline>
              </w:drawing>
            </w:r>
          </w:p>
          <w:p w:rsidR="00F16F02" w:rsidRPr="00883A1C" w:rsidRDefault="00F16F02" w:rsidP="00883A1C">
            <w:pPr>
              <w:suppressLineNumbers/>
              <w:suppressAutoHyphens/>
              <w:kinsoku w:val="0"/>
              <w:overflowPunct w:val="0"/>
              <w:autoSpaceDE w:val="0"/>
              <w:autoSpaceDN w:val="0"/>
              <w:adjustRightInd w:val="0"/>
              <w:snapToGrid w:val="0"/>
              <w:rPr>
                <w:rFonts w:ascii="Univers" w:hAnsi="Univers"/>
                <w:snapToGrid w:val="0"/>
                <w:kern w:val="22"/>
                <w:sz w:val="32"/>
              </w:rPr>
            </w:pPr>
          </w:p>
        </w:tc>
        <w:tc>
          <w:tcPr>
            <w:tcW w:w="1144" w:type="dxa"/>
            <w:tcBorders>
              <w:top w:val="nil"/>
              <w:bottom w:val="single" w:sz="36" w:space="0" w:color="000000"/>
            </w:tcBorders>
          </w:tcPr>
          <w:p w:rsidR="00F16F02" w:rsidRPr="00883A1C" w:rsidRDefault="00F16F02" w:rsidP="00883A1C">
            <w:pPr>
              <w:pStyle w:val="Header"/>
              <w:suppressLineNumbers/>
              <w:tabs>
                <w:tab w:val="clear" w:pos="4320"/>
                <w:tab w:val="clear" w:pos="8640"/>
              </w:tabs>
              <w:suppressAutoHyphens/>
              <w:kinsoku w:val="0"/>
              <w:overflowPunct w:val="0"/>
              <w:autoSpaceDE w:val="0"/>
              <w:autoSpaceDN w:val="0"/>
              <w:adjustRightInd w:val="0"/>
              <w:snapToGrid w:val="0"/>
              <w:rPr>
                <w:b/>
                <w:snapToGrid w:val="0"/>
                <w:kern w:val="22"/>
                <w:sz w:val="32"/>
                <w:szCs w:val="32"/>
              </w:rPr>
            </w:pPr>
          </w:p>
        </w:tc>
        <w:tc>
          <w:tcPr>
            <w:tcW w:w="2977" w:type="dxa"/>
            <w:tcBorders>
              <w:top w:val="nil"/>
              <w:bottom w:val="single" w:sz="36" w:space="0" w:color="000000"/>
            </w:tcBorders>
          </w:tcPr>
          <w:p w:rsidR="00F16F02" w:rsidRPr="00883A1C" w:rsidRDefault="00F16F02" w:rsidP="00883A1C">
            <w:pPr>
              <w:suppressLineNumbers/>
              <w:suppressAutoHyphens/>
              <w:kinsoku w:val="0"/>
              <w:overflowPunct w:val="0"/>
              <w:autoSpaceDE w:val="0"/>
              <w:autoSpaceDN w:val="0"/>
              <w:adjustRightInd w:val="0"/>
              <w:snapToGrid w:val="0"/>
              <w:ind w:left="63"/>
              <w:rPr>
                <w:snapToGrid w:val="0"/>
                <w:kern w:val="22"/>
                <w:szCs w:val="22"/>
              </w:rPr>
            </w:pPr>
            <w:r w:rsidRPr="00883A1C">
              <w:rPr>
                <w:snapToGrid w:val="0"/>
                <w:kern w:val="22"/>
                <w:szCs w:val="22"/>
              </w:rPr>
              <w:t>Distr.</w:t>
            </w:r>
          </w:p>
          <w:p w:rsidR="00F16F02" w:rsidRPr="00883A1C" w:rsidRDefault="00F16F02" w:rsidP="00883A1C">
            <w:pPr>
              <w:suppressLineNumbers/>
              <w:suppressAutoHyphens/>
              <w:kinsoku w:val="0"/>
              <w:overflowPunct w:val="0"/>
              <w:autoSpaceDE w:val="0"/>
              <w:autoSpaceDN w:val="0"/>
              <w:adjustRightInd w:val="0"/>
              <w:snapToGrid w:val="0"/>
              <w:ind w:left="63"/>
              <w:rPr>
                <w:snapToGrid w:val="0"/>
                <w:kern w:val="22"/>
                <w:szCs w:val="22"/>
              </w:rPr>
            </w:pPr>
            <w:r w:rsidRPr="00883A1C">
              <w:rPr>
                <w:snapToGrid w:val="0"/>
                <w:kern w:val="22"/>
                <w:szCs w:val="22"/>
              </w:rPr>
              <w:t>GENERAL</w:t>
            </w:r>
          </w:p>
          <w:p w:rsidR="00F16F02" w:rsidRPr="00883A1C" w:rsidRDefault="00F16F02" w:rsidP="00883A1C">
            <w:pPr>
              <w:suppressLineNumbers/>
              <w:suppressAutoHyphens/>
              <w:kinsoku w:val="0"/>
              <w:overflowPunct w:val="0"/>
              <w:autoSpaceDE w:val="0"/>
              <w:autoSpaceDN w:val="0"/>
              <w:adjustRightInd w:val="0"/>
              <w:snapToGrid w:val="0"/>
              <w:ind w:left="63"/>
              <w:rPr>
                <w:snapToGrid w:val="0"/>
                <w:kern w:val="22"/>
                <w:szCs w:val="22"/>
              </w:rPr>
            </w:pPr>
          </w:p>
          <w:sdt>
            <w:sdtPr>
              <w:rPr>
                <w:kern w:val="22"/>
              </w:rPr>
              <w:alias w:val="Subject"/>
              <w:tag w:val=""/>
              <w:id w:val="-344942035"/>
              <w:placeholder>
                <w:docPart w:val="126C0E10A71F4EFDB18FEF1D2C7A7ABF"/>
              </w:placeholder>
              <w:dataBinding w:prefixMappings="xmlns:ns0='http://purl.org/dc/elements/1.1/' xmlns:ns1='http://schemas.openxmlformats.org/package/2006/metadata/core-properties' " w:xpath="/ns1:coreProperties[1]/ns0:subject[1]" w:storeItemID="{6C3C8BC8-F283-45AE-878A-BAB7291924A1}"/>
              <w:text/>
            </w:sdtPr>
            <w:sdtEndPr/>
            <w:sdtContent>
              <w:p w:rsidR="00F16F02" w:rsidRPr="00883A1C" w:rsidRDefault="00E77A10" w:rsidP="00883A1C">
                <w:pPr>
                  <w:suppressLineNumbers/>
                  <w:suppressAutoHyphens/>
                  <w:kinsoku w:val="0"/>
                  <w:overflowPunct w:val="0"/>
                  <w:autoSpaceDE w:val="0"/>
                  <w:autoSpaceDN w:val="0"/>
                  <w:adjustRightInd w:val="0"/>
                  <w:snapToGrid w:val="0"/>
                  <w:ind w:left="63"/>
                  <w:rPr>
                    <w:kern w:val="22"/>
                  </w:rPr>
                </w:pPr>
                <w:r w:rsidRPr="00883A1C">
                  <w:rPr>
                    <w:kern w:val="22"/>
                    <w:lang w:val="en-US"/>
                  </w:rPr>
                  <w:t>CBD/SBI/2/10/Add.1</w:t>
                </w:r>
              </w:p>
            </w:sdtContent>
          </w:sdt>
          <w:p w:rsidR="00F16F02" w:rsidRPr="00883A1C" w:rsidRDefault="003169A5" w:rsidP="00883A1C">
            <w:pPr>
              <w:suppressLineNumbers/>
              <w:suppressAutoHyphens/>
              <w:kinsoku w:val="0"/>
              <w:overflowPunct w:val="0"/>
              <w:autoSpaceDE w:val="0"/>
              <w:autoSpaceDN w:val="0"/>
              <w:adjustRightInd w:val="0"/>
              <w:snapToGrid w:val="0"/>
              <w:ind w:left="63"/>
              <w:rPr>
                <w:snapToGrid w:val="0"/>
                <w:kern w:val="22"/>
                <w:szCs w:val="22"/>
              </w:rPr>
            </w:pPr>
            <w:r w:rsidRPr="00883A1C">
              <w:rPr>
                <w:snapToGrid w:val="0"/>
                <w:kern w:val="22"/>
                <w:szCs w:val="22"/>
              </w:rPr>
              <w:t xml:space="preserve">1 June </w:t>
            </w:r>
            <w:r w:rsidR="00D15589" w:rsidRPr="00883A1C">
              <w:rPr>
                <w:snapToGrid w:val="0"/>
                <w:kern w:val="22"/>
                <w:szCs w:val="22"/>
              </w:rPr>
              <w:t>2018</w:t>
            </w:r>
          </w:p>
          <w:p w:rsidR="00F16F02" w:rsidRPr="00883A1C" w:rsidRDefault="00F16F02" w:rsidP="00883A1C">
            <w:pPr>
              <w:suppressLineNumbers/>
              <w:suppressAutoHyphens/>
              <w:kinsoku w:val="0"/>
              <w:overflowPunct w:val="0"/>
              <w:autoSpaceDE w:val="0"/>
              <w:autoSpaceDN w:val="0"/>
              <w:adjustRightInd w:val="0"/>
              <w:snapToGrid w:val="0"/>
              <w:ind w:left="63"/>
              <w:rPr>
                <w:snapToGrid w:val="0"/>
                <w:kern w:val="22"/>
                <w:szCs w:val="22"/>
              </w:rPr>
            </w:pPr>
          </w:p>
          <w:p w:rsidR="00F16F02" w:rsidRPr="00883A1C" w:rsidRDefault="00F16F02" w:rsidP="00883A1C">
            <w:pPr>
              <w:suppressLineNumbers/>
              <w:suppressAutoHyphens/>
              <w:kinsoku w:val="0"/>
              <w:overflowPunct w:val="0"/>
              <w:autoSpaceDE w:val="0"/>
              <w:autoSpaceDN w:val="0"/>
              <w:adjustRightInd w:val="0"/>
              <w:snapToGrid w:val="0"/>
              <w:ind w:left="63"/>
              <w:rPr>
                <w:kern w:val="22"/>
                <w:u w:val="single"/>
              </w:rPr>
            </w:pPr>
            <w:r w:rsidRPr="00883A1C">
              <w:rPr>
                <w:snapToGrid w:val="0"/>
                <w:kern w:val="22"/>
                <w:szCs w:val="22"/>
              </w:rPr>
              <w:t>ORIGINAL:  ENGLISH</w:t>
            </w:r>
          </w:p>
        </w:tc>
      </w:tr>
    </w:tbl>
    <w:bookmarkStart w:id="0" w:name="Meeting"/>
    <w:p w:rsidR="00CA6B87" w:rsidRPr="00883A1C" w:rsidRDefault="00877657" w:rsidP="00883A1C">
      <w:pPr>
        <w:pStyle w:val="meetingname"/>
        <w:suppressLineNumbers/>
        <w:suppressAutoHyphens/>
        <w:kinsoku w:val="0"/>
        <w:overflowPunct w:val="0"/>
        <w:autoSpaceDE w:val="0"/>
        <w:autoSpaceDN w:val="0"/>
        <w:adjustRightInd w:val="0"/>
        <w:snapToGrid w:val="0"/>
        <w:ind w:right="4398"/>
        <w:rPr>
          <w:kern w:val="22"/>
          <w:szCs w:val="22"/>
        </w:rPr>
      </w:pPr>
      <w:sdt>
        <w:sdtPr>
          <w:rPr>
            <w:kern w:val="22"/>
            <w:szCs w:val="22"/>
          </w:rPr>
          <w:alias w:val="Meeting"/>
          <w:tag w:val="Meeting"/>
          <w:id w:val="1412045910"/>
          <w:placeholder>
            <w:docPart w:val="DefaultPlaceholder_1082065158"/>
          </w:placeholder>
          <w:text/>
        </w:sdtPr>
        <w:sdtEndPr/>
        <w:sdtContent>
          <w:r w:rsidR="00E77A10" w:rsidRPr="00883A1C">
            <w:rPr>
              <w:kern w:val="22"/>
              <w:szCs w:val="22"/>
              <w:lang w:val="en-US"/>
            </w:rPr>
            <w:t>SUBSIDIARY BODY ON IMPLEMENTATION</w:t>
          </w:r>
        </w:sdtContent>
      </w:sdt>
      <w:bookmarkEnd w:id="0"/>
    </w:p>
    <w:p w:rsidR="00D51069" w:rsidRPr="00883A1C" w:rsidRDefault="002E0627" w:rsidP="00883A1C">
      <w:pPr>
        <w:suppressLineNumbers/>
        <w:suppressAutoHyphens/>
        <w:kinsoku w:val="0"/>
        <w:overflowPunct w:val="0"/>
        <w:autoSpaceDE w:val="0"/>
        <w:autoSpaceDN w:val="0"/>
        <w:adjustRightInd w:val="0"/>
        <w:snapToGrid w:val="0"/>
        <w:rPr>
          <w:snapToGrid w:val="0"/>
          <w:kern w:val="22"/>
          <w:szCs w:val="22"/>
          <w:lang w:eastAsia="nb-NO"/>
        </w:rPr>
      </w:pPr>
      <w:r w:rsidRPr="00883A1C">
        <w:rPr>
          <w:snapToGrid w:val="0"/>
          <w:kern w:val="22"/>
          <w:szCs w:val="22"/>
          <w:lang w:eastAsia="nb-NO"/>
        </w:rPr>
        <w:t>S</w:t>
      </w:r>
      <w:r w:rsidR="00FB3B70" w:rsidRPr="00883A1C">
        <w:rPr>
          <w:snapToGrid w:val="0"/>
          <w:kern w:val="22"/>
          <w:szCs w:val="22"/>
          <w:lang w:eastAsia="nb-NO"/>
        </w:rPr>
        <w:t>econd</w:t>
      </w:r>
      <w:r w:rsidR="00D51069" w:rsidRPr="00883A1C">
        <w:rPr>
          <w:snapToGrid w:val="0"/>
          <w:kern w:val="22"/>
          <w:szCs w:val="22"/>
          <w:lang w:eastAsia="nb-NO"/>
        </w:rPr>
        <w:t xml:space="preserve"> meeting</w:t>
      </w:r>
    </w:p>
    <w:p w:rsidR="00CA6B87" w:rsidRPr="00883A1C" w:rsidRDefault="00D51069" w:rsidP="00883A1C">
      <w:pPr>
        <w:suppressLineNumbers/>
        <w:suppressAutoHyphens/>
        <w:kinsoku w:val="0"/>
        <w:overflowPunct w:val="0"/>
        <w:autoSpaceDE w:val="0"/>
        <w:autoSpaceDN w:val="0"/>
        <w:adjustRightInd w:val="0"/>
        <w:snapToGrid w:val="0"/>
        <w:rPr>
          <w:snapToGrid w:val="0"/>
          <w:kern w:val="22"/>
          <w:szCs w:val="22"/>
          <w:lang w:eastAsia="nb-NO"/>
        </w:rPr>
      </w:pPr>
      <w:r w:rsidRPr="00883A1C">
        <w:rPr>
          <w:snapToGrid w:val="0"/>
          <w:kern w:val="22"/>
          <w:szCs w:val="22"/>
          <w:lang w:eastAsia="nb-NO"/>
        </w:rPr>
        <w:t>Montreal</w:t>
      </w:r>
      <w:r w:rsidR="00CA6B87" w:rsidRPr="00883A1C">
        <w:rPr>
          <w:snapToGrid w:val="0"/>
          <w:kern w:val="22"/>
          <w:szCs w:val="22"/>
          <w:lang w:eastAsia="nb-NO"/>
        </w:rPr>
        <w:t xml:space="preserve">, </w:t>
      </w:r>
      <w:r w:rsidRPr="00883A1C">
        <w:rPr>
          <w:snapToGrid w:val="0"/>
          <w:kern w:val="22"/>
          <w:szCs w:val="22"/>
          <w:lang w:eastAsia="nb-NO"/>
        </w:rPr>
        <w:t xml:space="preserve">Canada, </w:t>
      </w:r>
      <w:r w:rsidR="002E0627" w:rsidRPr="00883A1C">
        <w:rPr>
          <w:snapToGrid w:val="0"/>
          <w:kern w:val="22"/>
          <w:szCs w:val="22"/>
          <w:lang w:eastAsia="nb-NO"/>
        </w:rPr>
        <w:t>9-13</w:t>
      </w:r>
      <w:r w:rsidR="00D15589" w:rsidRPr="00883A1C">
        <w:rPr>
          <w:snapToGrid w:val="0"/>
          <w:kern w:val="22"/>
          <w:szCs w:val="22"/>
          <w:lang w:eastAsia="nb-NO"/>
        </w:rPr>
        <w:t xml:space="preserve"> July 2018</w:t>
      </w:r>
    </w:p>
    <w:p w:rsidR="00CA6B87" w:rsidRPr="00883A1C" w:rsidRDefault="00D51069" w:rsidP="00883A1C">
      <w:pPr>
        <w:suppressLineNumbers/>
        <w:suppressAutoHyphens/>
        <w:kinsoku w:val="0"/>
        <w:overflowPunct w:val="0"/>
        <w:autoSpaceDE w:val="0"/>
        <w:autoSpaceDN w:val="0"/>
        <w:adjustRightInd w:val="0"/>
        <w:snapToGrid w:val="0"/>
        <w:rPr>
          <w:snapToGrid w:val="0"/>
          <w:kern w:val="22"/>
          <w:szCs w:val="22"/>
          <w:lang w:eastAsia="nb-NO"/>
        </w:rPr>
      </w:pPr>
      <w:r w:rsidRPr="00883A1C">
        <w:rPr>
          <w:snapToGrid w:val="0"/>
          <w:kern w:val="22"/>
          <w:szCs w:val="22"/>
          <w:lang w:eastAsia="nb-NO"/>
        </w:rPr>
        <w:t>I</w:t>
      </w:r>
      <w:r w:rsidR="00CA6B87" w:rsidRPr="00883A1C">
        <w:rPr>
          <w:snapToGrid w:val="0"/>
          <w:kern w:val="22"/>
          <w:szCs w:val="22"/>
          <w:lang w:eastAsia="nb-NO"/>
        </w:rPr>
        <w:t xml:space="preserve">tem </w:t>
      </w:r>
      <w:r w:rsidR="008C72B4" w:rsidRPr="00883A1C">
        <w:rPr>
          <w:snapToGrid w:val="0"/>
          <w:kern w:val="22"/>
          <w:szCs w:val="22"/>
          <w:lang w:eastAsia="nb-NO"/>
        </w:rPr>
        <w:t>11</w:t>
      </w:r>
      <w:r w:rsidRPr="00883A1C">
        <w:rPr>
          <w:snapToGrid w:val="0"/>
          <w:kern w:val="22"/>
          <w:szCs w:val="22"/>
          <w:lang w:eastAsia="nb-NO"/>
        </w:rPr>
        <w:t xml:space="preserve"> of the provisional agenda</w:t>
      </w:r>
      <w:r w:rsidRPr="00883A1C">
        <w:rPr>
          <w:rStyle w:val="FootnoteReference"/>
          <w:kern w:val="22"/>
          <w:sz w:val="22"/>
          <w:szCs w:val="22"/>
          <w:u w:val="none"/>
        </w:rPr>
        <w:footnoteReference w:customMarkFollows="1" w:id="2"/>
        <w:t>*</w:t>
      </w:r>
    </w:p>
    <w:p w:rsidR="00406BC6" w:rsidRPr="00883A1C" w:rsidRDefault="00877657" w:rsidP="00883A1C">
      <w:pPr>
        <w:pStyle w:val="Heading1"/>
        <w:keepNext w:val="0"/>
        <w:suppressLineNumbers/>
        <w:tabs>
          <w:tab w:val="clear" w:pos="720"/>
        </w:tabs>
        <w:suppressAutoHyphens/>
        <w:kinsoku w:val="0"/>
        <w:overflowPunct w:val="0"/>
        <w:autoSpaceDE w:val="0"/>
        <w:autoSpaceDN w:val="0"/>
        <w:adjustRightInd w:val="0"/>
        <w:snapToGrid w:val="0"/>
        <w:rPr>
          <w:kern w:val="22"/>
          <w:szCs w:val="22"/>
        </w:rPr>
      </w:pPr>
      <w:sdt>
        <w:sdtPr>
          <w:rPr>
            <w:kern w:val="22"/>
            <w:szCs w:val="22"/>
          </w:rPr>
          <w:alias w:val="Title"/>
          <w:tag w:val=""/>
          <w:id w:val="301582339"/>
          <w:placeholder>
            <w:docPart w:val="A79ABB9F55644AE3BB8290E8CB7F8968"/>
          </w:placeholder>
          <w:dataBinding w:prefixMappings="xmlns:ns0='http://purl.org/dc/elements/1.1/' xmlns:ns1='http://schemas.openxmlformats.org/package/2006/metadata/core-properties' " w:xpath="/ns1:coreProperties[1]/ns0:title[1]" w:storeItemID="{6C3C8BC8-F283-45AE-878A-BAB7291924A1}"/>
          <w:text/>
        </w:sdtPr>
        <w:sdtEndPr/>
        <w:sdtContent>
          <w:r w:rsidR="00E77A10" w:rsidRPr="00883A1C">
            <w:rPr>
              <w:kern w:val="22"/>
              <w:szCs w:val="22"/>
              <w:lang w:val="en-US"/>
            </w:rPr>
            <w:t>Implementation of options to enhance synergies among the biodiversity-related conventions</w:t>
          </w:r>
        </w:sdtContent>
      </w:sdt>
    </w:p>
    <w:p w:rsidR="00C85EA4" w:rsidRPr="00883A1C" w:rsidRDefault="00C85EA4" w:rsidP="00883A1C">
      <w:pPr>
        <w:pStyle w:val="Heading2"/>
        <w:keepNext w:val="0"/>
        <w:suppressLineNumbers/>
        <w:suppressAutoHyphens/>
        <w:kinsoku w:val="0"/>
        <w:overflowPunct w:val="0"/>
        <w:autoSpaceDE w:val="0"/>
        <w:autoSpaceDN w:val="0"/>
        <w:adjustRightInd w:val="0"/>
        <w:snapToGrid w:val="0"/>
        <w:rPr>
          <w:b w:val="0"/>
          <w:i/>
          <w:kern w:val="22"/>
          <w:szCs w:val="22"/>
        </w:rPr>
      </w:pPr>
      <w:r w:rsidRPr="00883A1C">
        <w:rPr>
          <w:b w:val="0"/>
          <w:i/>
          <w:kern w:val="22"/>
          <w:szCs w:val="22"/>
        </w:rPr>
        <w:t>Note by the Executive Secretary</w:t>
      </w:r>
    </w:p>
    <w:p w:rsidR="000C2430" w:rsidRPr="00883A1C" w:rsidRDefault="000C2430" w:rsidP="00883A1C">
      <w:pPr>
        <w:numPr>
          <w:ilvl w:val="0"/>
          <w:numId w:val="37"/>
        </w:numPr>
        <w:suppressLineNumbers/>
        <w:tabs>
          <w:tab w:val="left" w:pos="720"/>
        </w:tabs>
        <w:suppressAutoHyphens/>
        <w:kinsoku w:val="0"/>
        <w:overflowPunct w:val="0"/>
        <w:autoSpaceDE w:val="0"/>
        <w:autoSpaceDN w:val="0"/>
        <w:adjustRightInd w:val="0"/>
        <w:snapToGrid w:val="0"/>
        <w:spacing w:before="120" w:after="120"/>
        <w:jc w:val="center"/>
        <w:outlineLvl w:val="0"/>
        <w:rPr>
          <w:b/>
          <w:caps/>
          <w:kern w:val="22"/>
          <w:szCs w:val="22"/>
        </w:rPr>
      </w:pPr>
      <w:r w:rsidRPr="00883A1C">
        <w:rPr>
          <w:b/>
          <w:caps/>
          <w:kern w:val="22"/>
          <w:szCs w:val="22"/>
        </w:rPr>
        <w:t>Introduction</w:t>
      </w:r>
    </w:p>
    <w:p w:rsidR="00736BC2" w:rsidRPr="00883A1C" w:rsidRDefault="00E85989"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At its thirteenth meeting, the Conference of the Parties</w:t>
      </w:r>
      <w:r w:rsidR="006D1026" w:rsidRPr="00883A1C">
        <w:rPr>
          <w:kern w:val="22"/>
          <w:szCs w:val="22"/>
        </w:rPr>
        <w:t xml:space="preserve"> </w:t>
      </w:r>
      <w:r w:rsidRPr="00883A1C">
        <w:rPr>
          <w:kern w:val="22"/>
          <w:szCs w:val="22"/>
        </w:rPr>
        <w:t xml:space="preserve">to the Convention on Biological Diversity (CBD) adopted decision </w:t>
      </w:r>
      <w:hyperlink r:id="rId12" w:history="1">
        <w:r w:rsidRPr="00883A1C">
          <w:rPr>
            <w:rStyle w:val="Hyperlink"/>
            <w:kern w:val="22"/>
            <w:szCs w:val="22"/>
          </w:rPr>
          <w:t>XIII/24</w:t>
        </w:r>
      </w:hyperlink>
      <w:r w:rsidRPr="00883A1C">
        <w:rPr>
          <w:kern w:val="22"/>
          <w:szCs w:val="22"/>
        </w:rPr>
        <w:t xml:space="preserve"> on cooperation with other conventions and international organizations, including options to enhance synergies among biodiversity-related conventions</w:t>
      </w:r>
      <w:r w:rsidR="00F13DC0" w:rsidRPr="00883A1C">
        <w:rPr>
          <w:kern w:val="22"/>
          <w:szCs w:val="22"/>
        </w:rPr>
        <w:t>.</w:t>
      </w:r>
      <w:r w:rsidRPr="00883A1C">
        <w:rPr>
          <w:kern w:val="22"/>
          <w:szCs w:val="22"/>
        </w:rPr>
        <w:t xml:space="preserve"> </w:t>
      </w:r>
      <w:r w:rsidR="006D1026" w:rsidRPr="00883A1C">
        <w:rPr>
          <w:kern w:val="22"/>
          <w:szCs w:val="22"/>
        </w:rPr>
        <w:t>It</w:t>
      </w:r>
      <w:r w:rsidR="00903E6D" w:rsidRPr="00883A1C">
        <w:rPr>
          <w:kern w:val="22"/>
          <w:szCs w:val="22"/>
        </w:rPr>
        <w:t xml:space="preserve"> welcomed the options for enhancing synergies among the biodiversity-related conventions at the national level contained in annex I </w:t>
      </w:r>
      <w:r w:rsidR="006D1026" w:rsidRPr="00883A1C">
        <w:rPr>
          <w:kern w:val="22"/>
          <w:szCs w:val="22"/>
        </w:rPr>
        <w:t xml:space="preserve">to </w:t>
      </w:r>
      <w:r w:rsidR="00903E6D" w:rsidRPr="00883A1C">
        <w:rPr>
          <w:kern w:val="22"/>
          <w:szCs w:val="22"/>
        </w:rPr>
        <w:t>the decision, and</w:t>
      </w:r>
      <w:r w:rsidR="00903E6D" w:rsidRPr="00883A1C">
        <w:rPr>
          <w:i/>
          <w:kern w:val="22"/>
          <w:szCs w:val="22"/>
        </w:rPr>
        <w:t xml:space="preserve"> </w:t>
      </w:r>
      <w:r w:rsidR="00903E6D" w:rsidRPr="00883A1C">
        <w:rPr>
          <w:kern w:val="22"/>
          <w:szCs w:val="22"/>
        </w:rPr>
        <w:t xml:space="preserve">the road map for enhancing synergies among the biodiversity-related </w:t>
      </w:r>
      <w:proofErr w:type="gramStart"/>
      <w:r w:rsidR="00903E6D" w:rsidRPr="00883A1C">
        <w:rPr>
          <w:kern w:val="22"/>
          <w:szCs w:val="22"/>
        </w:rPr>
        <w:t>conventions</w:t>
      </w:r>
      <w:proofErr w:type="gramEnd"/>
      <w:r w:rsidR="00903E6D" w:rsidRPr="00883A1C">
        <w:rPr>
          <w:kern w:val="22"/>
          <w:szCs w:val="22"/>
        </w:rPr>
        <w:t xml:space="preserve"> at the international level 2017-2020</w:t>
      </w:r>
      <w:r w:rsidR="006B0D4C" w:rsidRPr="00883A1C">
        <w:rPr>
          <w:kern w:val="22"/>
          <w:szCs w:val="22"/>
        </w:rPr>
        <w:t>,</w:t>
      </w:r>
      <w:r w:rsidR="00903E6D" w:rsidRPr="00883A1C">
        <w:rPr>
          <w:kern w:val="22"/>
          <w:szCs w:val="22"/>
        </w:rPr>
        <w:t xml:space="preserve"> contained</w:t>
      </w:r>
      <w:r w:rsidR="00903E6D" w:rsidRPr="00883A1C" w:rsidDel="000E6750">
        <w:rPr>
          <w:kern w:val="22"/>
          <w:szCs w:val="22"/>
        </w:rPr>
        <w:t xml:space="preserve"> </w:t>
      </w:r>
      <w:r w:rsidR="00903E6D" w:rsidRPr="00883A1C">
        <w:rPr>
          <w:kern w:val="22"/>
          <w:szCs w:val="22"/>
        </w:rPr>
        <w:t xml:space="preserve">in annex II </w:t>
      </w:r>
      <w:r w:rsidR="006D1026" w:rsidRPr="00883A1C">
        <w:rPr>
          <w:kern w:val="22"/>
          <w:szCs w:val="22"/>
        </w:rPr>
        <w:t xml:space="preserve">to </w:t>
      </w:r>
      <w:r w:rsidR="00903E6D" w:rsidRPr="00883A1C">
        <w:rPr>
          <w:kern w:val="22"/>
          <w:szCs w:val="22"/>
        </w:rPr>
        <w:t>the decision.</w:t>
      </w:r>
    </w:p>
    <w:p w:rsidR="009902B9" w:rsidRPr="00883A1C" w:rsidRDefault="009902B9"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 xml:space="preserve">In decision XIII/24, </w:t>
      </w:r>
      <w:r w:rsidR="006D1026" w:rsidRPr="00883A1C">
        <w:rPr>
          <w:kern w:val="22"/>
          <w:szCs w:val="22"/>
        </w:rPr>
        <w:t xml:space="preserve">paragraph 14, </w:t>
      </w:r>
      <w:r w:rsidRPr="00883A1C">
        <w:rPr>
          <w:kern w:val="22"/>
          <w:szCs w:val="22"/>
        </w:rPr>
        <w:t xml:space="preserve">the </w:t>
      </w:r>
      <w:r w:rsidR="006D1026" w:rsidRPr="00883A1C">
        <w:rPr>
          <w:kern w:val="22"/>
          <w:szCs w:val="22"/>
        </w:rPr>
        <w:t xml:space="preserve">Conference of the Parties </w:t>
      </w:r>
      <w:r w:rsidRPr="00883A1C">
        <w:rPr>
          <w:kern w:val="22"/>
          <w:szCs w:val="22"/>
        </w:rPr>
        <w:t xml:space="preserve">requested the Executive Secretary to report to the Subsidiary Body on Implementation at its second meeting on the implementation of the actions of the road map. In </w:t>
      </w:r>
      <w:r w:rsidR="006B0D4C" w:rsidRPr="00883A1C">
        <w:rPr>
          <w:kern w:val="22"/>
          <w:szCs w:val="22"/>
        </w:rPr>
        <w:t xml:space="preserve">the same decision, </w:t>
      </w:r>
      <w:r w:rsidR="006D1026" w:rsidRPr="00883A1C">
        <w:rPr>
          <w:kern w:val="22"/>
          <w:szCs w:val="22"/>
        </w:rPr>
        <w:t>it</w:t>
      </w:r>
      <w:r w:rsidRPr="00883A1C">
        <w:rPr>
          <w:kern w:val="22"/>
          <w:szCs w:val="22"/>
        </w:rPr>
        <w:t xml:space="preserve"> requested the Executive Secretary to provide information to the Subsidiary Body on progress to enhance coherence and cooperation among the biodiversity-related conventions </w:t>
      </w:r>
      <w:r w:rsidR="006B0D4C" w:rsidRPr="00883A1C">
        <w:rPr>
          <w:kern w:val="22"/>
          <w:szCs w:val="22"/>
        </w:rPr>
        <w:t>(para.18)</w:t>
      </w:r>
      <w:r w:rsidR="00882425" w:rsidRPr="00883A1C">
        <w:rPr>
          <w:kern w:val="22"/>
          <w:szCs w:val="22"/>
        </w:rPr>
        <w:t>.</w:t>
      </w:r>
    </w:p>
    <w:p w:rsidR="00300596" w:rsidRPr="00883A1C" w:rsidRDefault="0004114D"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 xml:space="preserve">The </w:t>
      </w:r>
      <w:r w:rsidR="004F7114" w:rsidRPr="00883A1C">
        <w:rPr>
          <w:kern w:val="22"/>
          <w:szCs w:val="22"/>
        </w:rPr>
        <w:t xml:space="preserve">present </w:t>
      </w:r>
      <w:r w:rsidR="006D1026" w:rsidRPr="00883A1C">
        <w:rPr>
          <w:kern w:val="22"/>
          <w:szCs w:val="22"/>
        </w:rPr>
        <w:t xml:space="preserve">document </w:t>
      </w:r>
      <w:r w:rsidR="006B0D4C" w:rsidRPr="00883A1C">
        <w:rPr>
          <w:kern w:val="22"/>
          <w:szCs w:val="22"/>
        </w:rPr>
        <w:t xml:space="preserve">responds to these requests. </w:t>
      </w:r>
      <w:r w:rsidR="008F26E1" w:rsidRPr="00883A1C">
        <w:rPr>
          <w:kern w:val="22"/>
          <w:szCs w:val="22"/>
        </w:rPr>
        <w:t xml:space="preserve">Section II summarizes progress </w:t>
      </w:r>
      <w:r w:rsidR="004F7114" w:rsidRPr="00883A1C">
        <w:rPr>
          <w:kern w:val="22"/>
          <w:szCs w:val="22"/>
        </w:rPr>
        <w:t xml:space="preserve">in </w:t>
      </w:r>
      <w:r w:rsidR="00B42CBE" w:rsidRPr="00883A1C">
        <w:rPr>
          <w:kern w:val="22"/>
          <w:szCs w:val="22"/>
        </w:rPr>
        <w:t xml:space="preserve">enhancing coherence and cooperation among the </w:t>
      </w:r>
      <w:r w:rsidR="006B0D4C" w:rsidRPr="00883A1C">
        <w:rPr>
          <w:kern w:val="22"/>
          <w:szCs w:val="22"/>
        </w:rPr>
        <w:t xml:space="preserve">biodiversity-related </w:t>
      </w:r>
      <w:r w:rsidR="00B42CBE" w:rsidRPr="00883A1C">
        <w:rPr>
          <w:kern w:val="22"/>
          <w:szCs w:val="22"/>
        </w:rPr>
        <w:t>conventions</w:t>
      </w:r>
      <w:r w:rsidR="00D0585E" w:rsidRPr="00883A1C">
        <w:rPr>
          <w:kern w:val="22"/>
          <w:szCs w:val="22"/>
        </w:rPr>
        <w:t>. Section III reports progress in</w:t>
      </w:r>
      <w:r w:rsidR="00B42CBE" w:rsidRPr="00883A1C">
        <w:rPr>
          <w:kern w:val="22"/>
          <w:szCs w:val="22"/>
        </w:rPr>
        <w:t xml:space="preserve"> </w:t>
      </w:r>
      <w:r w:rsidR="004F7114" w:rsidRPr="00883A1C">
        <w:rPr>
          <w:kern w:val="22"/>
          <w:szCs w:val="22"/>
        </w:rPr>
        <w:t>implementing</w:t>
      </w:r>
      <w:r w:rsidR="004F7114" w:rsidRPr="00883A1C">
        <w:rPr>
          <w:i/>
          <w:kern w:val="22"/>
          <w:szCs w:val="22"/>
        </w:rPr>
        <w:t xml:space="preserve"> </w:t>
      </w:r>
      <w:r w:rsidR="004F7114" w:rsidRPr="00883A1C">
        <w:rPr>
          <w:kern w:val="22"/>
          <w:szCs w:val="22"/>
        </w:rPr>
        <w:t>the road map for enhancing synergies among the biodiversity-related conventions at the international level 2017-2020</w:t>
      </w:r>
      <w:r w:rsidR="006B0D4C" w:rsidRPr="00883A1C">
        <w:rPr>
          <w:kern w:val="22"/>
          <w:szCs w:val="22"/>
        </w:rPr>
        <w:t xml:space="preserve">, including </w:t>
      </w:r>
      <w:r w:rsidR="008F26E1" w:rsidRPr="00883A1C">
        <w:rPr>
          <w:kern w:val="22"/>
          <w:szCs w:val="22"/>
        </w:rPr>
        <w:t xml:space="preserve">the work </w:t>
      </w:r>
      <w:r w:rsidR="004F7114" w:rsidRPr="00883A1C">
        <w:rPr>
          <w:kern w:val="22"/>
          <w:szCs w:val="22"/>
        </w:rPr>
        <w:t>undertaken in this regard by</w:t>
      </w:r>
      <w:r w:rsidR="008F26E1" w:rsidRPr="00883A1C">
        <w:rPr>
          <w:kern w:val="22"/>
          <w:szCs w:val="22"/>
        </w:rPr>
        <w:t xml:space="preserve"> the informal advisory group on synergies established through decision XIII/24. </w:t>
      </w:r>
      <w:r w:rsidR="009902B9" w:rsidRPr="00883A1C">
        <w:rPr>
          <w:kern w:val="22"/>
          <w:szCs w:val="22"/>
        </w:rPr>
        <w:t>S</w:t>
      </w:r>
      <w:r w:rsidR="008F26E1" w:rsidRPr="00883A1C">
        <w:rPr>
          <w:kern w:val="22"/>
          <w:szCs w:val="22"/>
        </w:rPr>
        <w:t xml:space="preserve">ection </w:t>
      </w:r>
      <w:r w:rsidR="006B0D4C" w:rsidRPr="00883A1C">
        <w:rPr>
          <w:kern w:val="22"/>
          <w:szCs w:val="22"/>
        </w:rPr>
        <w:t>I</w:t>
      </w:r>
      <w:r w:rsidR="00D0585E" w:rsidRPr="00883A1C">
        <w:rPr>
          <w:kern w:val="22"/>
          <w:szCs w:val="22"/>
        </w:rPr>
        <w:t xml:space="preserve">V </w:t>
      </w:r>
      <w:r w:rsidR="008F26E1" w:rsidRPr="00883A1C">
        <w:rPr>
          <w:kern w:val="22"/>
          <w:szCs w:val="22"/>
        </w:rPr>
        <w:t xml:space="preserve">provides </w:t>
      </w:r>
      <w:r w:rsidR="004F7114" w:rsidRPr="00883A1C">
        <w:rPr>
          <w:kern w:val="22"/>
          <w:szCs w:val="22"/>
        </w:rPr>
        <w:t>proposals</w:t>
      </w:r>
      <w:r w:rsidR="008F26E1" w:rsidRPr="00883A1C">
        <w:rPr>
          <w:kern w:val="22"/>
          <w:szCs w:val="22"/>
        </w:rPr>
        <w:t xml:space="preserve"> for further work.</w:t>
      </w:r>
    </w:p>
    <w:p w:rsidR="0000751C" w:rsidRPr="00883A1C" w:rsidRDefault="00E85989"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Possible recommendations of the Subsidiary Body</w:t>
      </w:r>
      <w:r w:rsidR="00903E6D" w:rsidRPr="00883A1C">
        <w:rPr>
          <w:kern w:val="22"/>
          <w:szCs w:val="22"/>
        </w:rPr>
        <w:t>,</w:t>
      </w:r>
      <w:r w:rsidRPr="00883A1C">
        <w:rPr>
          <w:kern w:val="22"/>
          <w:szCs w:val="22"/>
        </w:rPr>
        <w:t xml:space="preserve"> including recommendations for a decision by the Conference of the Parties at its fourteenth meeting, are contained in </w:t>
      </w:r>
      <w:r w:rsidR="00380641" w:rsidRPr="00883A1C">
        <w:rPr>
          <w:kern w:val="22"/>
          <w:szCs w:val="22"/>
        </w:rPr>
        <w:t xml:space="preserve">the note by the Executive Secretary on </w:t>
      </w:r>
      <w:r w:rsidR="00380641" w:rsidRPr="00883A1C">
        <w:rPr>
          <w:szCs w:val="22"/>
        </w:rPr>
        <w:t>cooperation with other conventions, international organizations and partnerships</w:t>
      </w:r>
      <w:r w:rsidR="00380641" w:rsidRPr="00883A1C">
        <w:rPr>
          <w:kern w:val="22"/>
          <w:szCs w:val="22"/>
        </w:rPr>
        <w:t xml:space="preserve"> (</w:t>
      </w:r>
      <w:hyperlink r:id="rId13" w:history="1">
        <w:r w:rsidRPr="00883A1C">
          <w:rPr>
            <w:rStyle w:val="Hyperlink"/>
            <w:kern w:val="22"/>
            <w:szCs w:val="22"/>
          </w:rPr>
          <w:t>CBD/SBI/2/10</w:t>
        </w:r>
      </w:hyperlink>
      <w:r w:rsidR="00380641" w:rsidRPr="00883A1C">
        <w:rPr>
          <w:kern w:val="22"/>
          <w:szCs w:val="22"/>
        </w:rPr>
        <w:t>)</w:t>
      </w:r>
      <w:r w:rsidRPr="00883A1C">
        <w:rPr>
          <w:kern w:val="22"/>
          <w:szCs w:val="22"/>
        </w:rPr>
        <w:t>.</w:t>
      </w:r>
      <w:r w:rsidR="00300596" w:rsidRPr="00883A1C">
        <w:rPr>
          <w:kern w:val="22"/>
          <w:szCs w:val="22"/>
        </w:rPr>
        <w:t xml:space="preserve"> The report of the informal advisory group on synergies to the Subsidiary Body on Implementation is presented in the information document CBD/SBI/2/INF/14.</w:t>
      </w:r>
    </w:p>
    <w:p w:rsidR="00FA0BF9" w:rsidRPr="00883A1C" w:rsidRDefault="00FA0BF9" w:rsidP="00883A1C">
      <w:pPr>
        <w:keepNext/>
        <w:numPr>
          <w:ilvl w:val="0"/>
          <w:numId w:val="37"/>
        </w:numPr>
        <w:suppressLineNumbers/>
        <w:suppressAutoHyphens/>
        <w:kinsoku w:val="0"/>
        <w:overflowPunct w:val="0"/>
        <w:autoSpaceDE w:val="0"/>
        <w:autoSpaceDN w:val="0"/>
        <w:adjustRightInd w:val="0"/>
        <w:snapToGrid w:val="0"/>
        <w:spacing w:before="120" w:after="120" w:line="238" w:lineRule="auto"/>
        <w:ind w:left="1152" w:hanging="432"/>
        <w:jc w:val="left"/>
        <w:outlineLvl w:val="0"/>
        <w:rPr>
          <w:b/>
          <w:caps/>
          <w:kern w:val="22"/>
          <w:szCs w:val="22"/>
        </w:rPr>
      </w:pPr>
      <w:r w:rsidRPr="00883A1C">
        <w:rPr>
          <w:b/>
          <w:caps/>
          <w:kern w:val="22"/>
          <w:szCs w:val="22"/>
        </w:rPr>
        <w:t>Progress in enhancing coherence and cooperation among biodiversity-related conventions</w:t>
      </w:r>
    </w:p>
    <w:p w:rsidR="00FA0BF9" w:rsidRPr="00883A1C" w:rsidRDefault="00FA0BF9"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 xml:space="preserve">This section reports </w:t>
      </w:r>
      <w:r w:rsidR="006B0D4C" w:rsidRPr="00883A1C">
        <w:rPr>
          <w:kern w:val="22"/>
          <w:szCs w:val="22"/>
        </w:rPr>
        <w:t xml:space="preserve">on </w:t>
      </w:r>
      <w:r w:rsidRPr="00883A1C">
        <w:rPr>
          <w:kern w:val="22"/>
          <w:szCs w:val="22"/>
        </w:rPr>
        <w:t xml:space="preserve">action and progress during the </w:t>
      </w:r>
      <w:r w:rsidR="008E2092" w:rsidRPr="00883A1C">
        <w:rPr>
          <w:kern w:val="22"/>
          <w:szCs w:val="22"/>
        </w:rPr>
        <w:t xml:space="preserve">biennium </w:t>
      </w:r>
      <w:r w:rsidRPr="00883A1C">
        <w:rPr>
          <w:kern w:val="22"/>
          <w:szCs w:val="22"/>
        </w:rPr>
        <w:t>2017-2018 towards enhancing coherence and cooperation among biodiversity-related conventions</w:t>
      </w:r>
      <w:r w:rsidR="00D0585E" w:rsidRPr="00883A1C">
        <w:rPr>
          <w:kern w:val="22"/>
          <w:szCs w:val="22"/>
        </w:rPr>
        <w:t xml:space="preserve"> through the </w:t>
      </w:r>
      <w:r w:rsidR="00B0768D" w:rsidRPr="00883A1C">
        <w:rPr>
          <w:kern w:val="22"/>
          <w:szCs w:val="22"/>
        </w:rPr>
        <w:t>governing bodies</w:t>
      </w:r>
      <w:r w:rsidR="00D0585E" w:rsidRPr="00883A1C">
        <w:rPr>
          <w:kern w:val="22"/>
          <w:szCs w:val="22"/>
        </w:rPr>
        <w:t xml:space="preserve"> of the </w:t>
      </w:r>
      <w:r w:rsidR="00D0585E" w:rsidRPr="00883A1C">
        <w:rPr>
          <w:kern w:val="22"/>
          <w:szCs w:val="22"/>
        </w:rPr>
        <w:lastRenderedPageBreak/>
        <w:t>conventions</w:t>
      </w:r>
      <w:r w:rsidR="00B0768D" w:rsidRPr="00883A1C">
        <w:rPr>
          <w:kern w:val="22"/>
          <w:szCs w:val="22"/>
        </w:rPr>
        <w:t xml:space="preserve">, bilateral cooperation between conventions, the Liaison Group of Biodiversity-related Conventions, </w:t>
      </w:r>
      <w:r w:rsidR="00D0585E" w:rsidRPr="00883A1C">
        <w:rPr>
          <w:kern w:val="22"/>
          <w:szCs w:val="22"/>
        </w:rPr>
        <w:t xml:space="preserve">and through </w:t>
      </w:r>
      <w:r w:rsidR="00B0768D" w:rsidRPr="00883A1C">
        <w:rPr>
          <w:kern w:val="22"/>
          <w:szCs w:val="22"/>
        </w:rPr>
        <w:t>other inter-agency coordination mechanisms.</w:t>
      </w:r>
    </w:p>
    <w:p w:rsidR="000C2430" w:rsidRPr="00883A1C" w:rsidRDefault="00706F41" w:rsidP="00883A1C">
      <w:pPr>
        <w:keepNext/>
        <w:numPr>
          <w:ilvl w:val="0"/>
          <w:numId w:val="36"/>
        </w:numPr>
        <w:suppressLineNumbers/>
        <w:suppressAutoHyphens/>
        <w:kinsoku w:val="0"/>
        <w:overflowPunct w:val="0"/>
        <w:autoSpaceDE w:val="0"/>
        <w:autoSpaceDN w:val="0"/>
        <w:adjustRightInd w:val="0"/>
        <w:snapToGrid w:val="0"/>
        <w:spacing w:before="120" w:after="120" w:line="238" w:lineRule="auto"/>
        <w:jc w:val="center"/>
        <w:outlineLvl w:val="1"/>
        <w:rPr>
          <w:b/>
          <w:kern w:val="22"/>
          <w:szCs w:val="22"/>
        </w:rPr>
      </w:pPr>
      <w:r w:rsidRPr="00883A1C">
        <w:rPr>
          <w:b/>
          <w:kern w:val="22"/>
          <w:szCs w:val="22"/>
        </w:rPr>
        <w:t>Governing bodies</w:t>
      </w:r>
    </w:p>
    <w:p w:rsidR="009B7CA5" w:rsidRPr="00883A1C" w:rsidRDefault="007978AF"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 xml:space="preserve">A </w:t>
      </w:r>
      <w:r w:rsidR="00D42D76" w:rsidRPr="00883A1C">
        <w:rPr>
          <w:kern w:val="22"/>
          <w:szCs w:val="22"/>
        </w:rPr>
        <w:t>key step</w:t>
      </w:r>
      <w:r w:rsidRPr="00883A1C">
        <w:rPr>
          <w:kern w:val="22"/>
          <w:szCs w:val="22"/>
        </w:rPr>
        <w:t xml:space="preserve"> towards enhancing </w:t>
      </w:r>
      <w:r w:rsidR="009E1780" w:rsidRPr="00883A1C">
        <w:rPr>
          <w:kern w:val="22"/>
          <w:szCs w:val="22"/>
        </w:rPr>
        <w:t xml:space="preserve">cooperation and </w:t>
      </w:r>
      <w:r w:rsidRPr="00883A1C">
        <w:rPr>
          <w:kern w:val="22"/>
          <w:szCs w:val="22"/>
        </w:rPr>
        <w:t>synergies among the biodiversity-related conventions is</w:t>
      </w:r>
      <w:r w:rsidR="009B7CA5" w:rsidRPr="00883A1C">
        <w:rPr>
          <w:kern w:val="22"/>
          <w:szCs w:val="22"/>
        </w:rPr>
        <w:t xml:space="preserve"> </w:t>
      </w:r>
      <w:r w:rsidRPr="00883A1C">
        <w:rPr>
          <w:kern w:val="22"/>
          <w:szCs w:val="22"/>
        </w:rPr>
        <w:t xml:space="preserve">that </w:t>
      </w:r>
      <w:r w:rsidR="001D6A2D" w:rsidRPr="00883A1C">
        <w:rPr>
          <w:kern w:val="22"/>
          <w:szCs w:val="22"/>
        </w:rPr>
        <w:t xml:space="preserve">reciprocal attention and coherence of guidance </w:t>
      </w:r>
      <w:r w:rsidRPr="00883A1C">
        <w:rPr>
          <w:kern w:val="22"/>
          <w:szCs w:val="22"/>
        </w:rPr>
        <w:t>is given</w:t>
      </w:r>
      <w:r w:rsidR="001D6A2D" w:rsidRPr="00883A1C">
        <w:rPr>
          <w:kern w:val="22"/>
          <w:szCs w:val="22"/>
        </w:rPr>
        <w:t xml:space="preserve"> by the </w:t>
      </w:r>
      <w:r w:rsidRPr="00883A1C">
        <w:rPr>
          <w:kern w:val="22"/>
          <w:szCs w:val="22"/>
        </w:rPr>
        <w:t>governing bodies</w:t>
      </w:r>
      <w:r w:rsidR="006E76D2" w:rsidRPr="00883A1C">
        <w:rPr>
          <w:kern w:val="22"/>
          <w:szCs w:val="22"/>
        </w:rPr>
        <w:t xml:space="preserve"> of the conventions</w:t>
      </w:r>
      <w:r w:rsidR="009B7CA5" w:rsidRPr="00883A1C">
        <w:rPr>
          <w:kern w:val="22"/>
          <w:szCs w:val="22"/>
        </w:rPr>
        <w:t xml:space="preserve">. </w:t>
      </w:r>
      <w:r w:rsidR="001D6A2D" w:rsidRPr="00883A1C">
        <w:rPr>
          <w:kern w:val="22"/>
          <w:szCs w:val="22"/>
        </w:rPr>
        <w:t xml:space="preserve">Since </w:t>
      </w:r>
      <w:r w:rsidR="006D1026" w:rsidRPr="00883A1C">
        <w:rPr>
          <w:kern w:val="22"/>
          <w:szCs w:val="22"/>
        </w:rPr>
        <w:t>the thirteenth meeting of the Conference of the Parties</w:t>
      </w:r>
      <w:r w:rsidR="001D6A2D" w:rsidRPr="00883A1C">
        <w:rPr>
          <w:kern w:val="22"/>
          <w:szCs w:val="22"/>
        </w:rPr>
        <w:t xml:space="preserve">, issues </w:t>
      </w:r>
      <w:r w:rsidR="00261546" w:rsidRPr="00883A1C">
        <w:rPr>
          <w:kern w:val="22"/>
          <w:szCs w:val="22"/>
        </w:rPr>
        <w:t xml:space="preserve">related to cooperation </w:t>
      </w:r>
      <w:r w:rsidR="001D6A2D" w:rsidRPr="00883A1C">
        <w:rPr>
          <w:kern w:val="22"/>
          <w:szCs w:val="22"/>
        </w:rPr>
        <w:t xml:space="preserve">have been </w:t>
      </w:r>
      <w:r w:rsidR="009902B9" w:rsidRPr="00883A1C">
        <w:rPr>
          <w:kern w:val="22"/>
          <w:szCs w:val="22"/>
        </w:rPr>
        <w:t xml:space="preserve">substantively </w:t>
      </w:r>
      <w:r w:rsidR="001D6A2D" w:rsidRPr="00883A1C">
        <w:rPr>
          <w:kern w:val="22"/>
          <w:szCs w:val="22"/>
        </w:rPr>
        <w:t xml:space="preserve">addressed </w:t>
      </w:r>
      <w:r w:rsidR="009902B9" w:rsidRPr="00883A1C">
        <w:rPr>
          <w:kern w:val="22"/>
          <w:szCs w:val="22"/>
        </w:rPr>
        <w:t xml:space="preserve">by the </w:t>
      </w:r>
      <w:r w:rsidR="007653F1" w:rsidRPr="00883A1C">
        <w:rPr>
          <w:kern w:val="22"/>
          <w:szCs w:val="22"/>
        </w:rPr>
        <w:t xml:space="preserve">Conference of the Parties to </w:t>
      </w:r>
      <w:r w:rsidR="00261546" w:rsidRPr="00883A1C">
        <w:rPr>
          <w:kern w:val="22"/>
          <w:szCs w:val="22"/>
        </w:rPr>
        <w:t>the Convention on the Conservation of Migratory Species of Wild Animals</w:t>
      </w:r>
      <w:r w:rsidR="009902B9" w:rsidRPr="00883A1C">
        <w:rPr>
          <w:kern w:val="22"/>
          <w:szCs w:val="22"/>
        </w:rPr>
        <w:t xml:space="preserve"> and</w:t>
      </w:r>
      <w:r w:rsidR="001D6A2D" w:rsidRPr="00883A1C">
        <w:rPr>
          <w:kern w:val="22"/>
          <w:szCs w:val="22"/>
        </w:rPr>
        <w:t xml:space="preserve"> </w:t>
      </w:r>
      <w:r w:rsidR="00261546" w:rsidRPr="00883A1C">
        <w:rPr>
          <w:kern w:val="22"/>
          <w:szCs w:val="22"/>
        </w:rPr>
        <w:t xml:space="preserve">the </w:t>
      </w:r>
      <w:r w:rsidR="007653F1" w:rsidRPr="00883A1C">
        <w:rPr>
          <w:kern w:val="22"/>
          <w:szCs w:val="22"/>
        </w:rPr>
        <w:t xml:space="preserve">Governing Body of the </w:t>
      </w:r>
      <w:r w:rsidR="00261546" w:rsidRPr="00883A1C">
        <w:rPr>
          <w:kern w:val="22"/>
          <w:szCs w:val="22"/>
        </w:rPr>
        <w:t>International Treaty on Plant Genetic Resources for Food and Agriculture</w:t>
      </w:r>
      <w:r w:rsidR="00516CB8" w:rsidRPr="00883A1C">
        <w:rPr>
          <w:kern w:val="22"/>
          <w:szCs w:val="22"/>
        </w:rPr>
        <w:t>,</w:t>
      </w:r>
      <w:r w:rsidR="001D6A2D" w:rsidRPr="00883A1C">
        <w:rPr>
          <w:kern w:val="22"/>
          <w:szCs w:val="22"/>
        </w:rPr>
        <w:t xml:space="preserve"> and </w:t>
      </w:r>
      <w:r w:rsidR="00133987" w:rsidRPr="00883A1C">
        <w:rPr>
          <w:kern w:val="22"/>
          <w:szCs w:val="22"/>
        </w:rPr>
        <w:t xml:space="preserve">by </w:t>
      </w:r>
      <w:r w:rsidR="001D6A2D" w:rsidRPr="00883A1C">
        <w:rPr>
          <w:kern w:val="22"/>
          <w:szCs w:val="22"/>
        </w:rPr>
        <w:t xml:space="preserve">the </w:t>
      </w:r>
      <w:r w:rsidR="00133987" w:rsidRPr="00883A1C">
        <w:rPr>
          <w:kern w:val="22"/>
          <w:szCs w:val="22"/>
        </w:rPr>
        <w:t>S</w:t>
      </w:r>
      <w:r w:rsidR="009902B9" w:rsidRPr="00883A1C">
        <w:rPr>
          <w:kern w:val="22"/>
          <w:szCs w:val="22"/>
        </w:rPr>
        <w:t xml:space="preserve">tanding </w:t>
      </w:r>
      <w:r w:rsidR="00133987" w:rsidRPr="00883A1C">
        <w:rPr>
          <w:kern w:val="22"/>
          <w:szCs w:val="22"/>
        </w:rPr>
        <w:t>C</w:t>
      </w:r>
      <w:r w:rsidR="009902B9" w:rsidRPr="00883A1C">
        <w:rPr>
          <w:kern w:val="22"/>
          <w:szCs w:val="22"/>
        </w:rPr>
        <w:t>ommittee of the</w:t>
      </w:r>
      <w:r w:rsidR="00133987" w:rsidRPr="00883A1C">
        <w:rPr>
          <w:rFonts w:eastAsia="MS Mincho"/>
          <w:kern w:val="22"/>
          <w:szCs w:val="22"/>
        </w:rPr>
        <w:t xml:space="preserve"> </w:t>
      </w:r>
      <w:r w:rsidR="00133987" w:rsidRPr="00883A1C">
        <w:rPr>
          <w:kern w:val="22"/>
          <w:szCs w:val="22"/>
        </w:rPr>
        <w:t>Convention on Wetlands of International Importance, Especially as Waterfowl Habitat</w:t>
      </w:r>
      <w:r w:rsidR="009902B9" w:rsidRPr="00883A1C">
        <w:rPr>
          <w:kern w:val="22"/>
          <w:szCs w:val="22"/>
        </w:rPr>
        <w:t xml:space="preserve"> </w:t>
      </w:r>
      <w:r w:rsidR="00133987" w:rsidRPr="00883A1C">
        <w:rPr>
          <w:kern w:val="22"/>
          <w:szCs w:val="22"/>
        </w:rPr>
        <w:t>(</w:t>
      </w:r>
      <w:proofErr w:type="spellStart"/>
      <w:r w:rsidR="001D6A2D" w:rsidRPr="00883A1C">
        <w:rPr>
          <w:kern w:val="22"/>
          <w:szCs w:val="22"/>
        </w:rPr>
        <w:t>Ramsar</w:t>
      </w:r>
      <w:proofErr w:type="spellEnd"/>
      <w:r w:rsidR="001D6A2D" w:rsidRPr="00883A1C">
        <w:rPr>
          <w:kern w:val="22"/>
          <w:szCs w:val="22"/>
        </w:rPr>
        <w:t xml:space="preserve"> Convention</w:t>
      </w:r>
      <w:r w:rsidR="00133987" w:rsidRPr="00883A1C">
        <w:rPr>
          <w:kern w:val="22"/>
          <w:szCs w:val="22"/>
        </w:rPr>
        <w:t>)</w:t>
      </w:r>
      <w:r w:rsidR="001D6A2D" w:rsidRPr="00883A1C">
        <w:rPr>
          <w:kern w:val="22"/>
          <w:szCs w:val="22"/>
        </w:rPr>
        <w:t>.</w:t>
      </w:r>
    </w:p>
    <w:p w:rsidR="009B7CA5" w:rsidRPr="00883A1C" w:rsidRDefault="00A61C21"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At its twelfth meeting</w:t>
      </w:r>
      <w:r w:rsidR="00E62F60" w:rsidRPr="00883A1C">
        <w:rPr>
          <w:kern w:val="22"/>
          <w:szCs w:val="22"/>
        </w:rPr>
        <w:t xml:space="preserve"> (Manila, 23-28 October 2017)</w:t>
      </w:r>
      <w:r w:rsidR="006D1026" w:rsidRPr="00883A1C">
        <w:rPr>
          <w:kern w:val="22"/>
          <w:szCs w:val="22"/>
        </w:rPr>
        <w:t>,</w:t>
      </w:r>
      <w:r w:rsidRPr="00883A1C">
        <w:rPr>
          <w:kern w:val="22"/>
          <w:szCs w:val="22"/>
        </w:rPr>
        <w:t xml:space="preserve"> the Conference of the Parties to the Convention on the Conservation of Migratory Species of Wild Animals </w:t>
      </w:r>
      <w:r w:rsidR="003C652E" w:rsidRPr="00883A1C">
        <w:rPr>
          <w:kern w:val="22"/>
          <w:szCs w:val="22"/>
        </w:rPr>
        <w:t xml:space="preserve">adopted </w:t>
      </w:r>
      <w:hyperlink r:id="rId14" w:history="1">
        <w:r w:rsidR="003C652E" w:rsidRPr="00883A1C">
          <w:rPr>
            <w:rStyle w:val="Hyperlink"/>
            <w:kern w:val="22"/>
            <w:szCs w:val="22"/>
          </w:rPr>
          <w:t>Resolution 11.10 (Rev.COP12)</w:t>
        </w:r>
      </w:hyperlink>
      <w:r w:rsidR="003C652E" w:rsidRPr="00883A1C">
        <w:rPr>
          <w:kern w:val="22"/>
          <w:szCs w:val="22"/>
        </w:rPr>
        <w:t xml:space="preserve"> on synergies and partnerships.</w:t>
      </w:r>
      <w:r w:rsidRPr="00883A1C">
        <w:rPr>
          <w:kern w:val="22"/>
          <w:szCs w:val="22"/>
        </w:rPr>
        <w:t xml:space="preserve"> </w:t>
      </w:r>
      <w:r w:rsidR="003C652E" w:rsidRPr="00883A1C">
        <w:rPr>
          <w:kern w:val="22"/>
          <w:szCs w:val="22"/>
        </w:rPr>
        <w:t>The resolution provides</w:t>
      </w:r>
      <w:r w:rsidR="009B7CA5" w:rsidRPr="00883A1C">
        <w:rPr>
          <w:kern w:val="22"/>
          <w:szCs w:val="22"/>
        </w:rPr>
        <w:t xml:space="preserve"> comprehensive and wide-ranging </w:t>
      </w:r>
      <w:r w:rsidR="003C652E" w:rsidRPr="00883A1C">
        <w:rPr>
          <w:kern w:val="22"/>
          <w:szCs w:val="22"/>
        </w:rPr>
        <w:t xml:space="preserve">guidance by the </w:t>
      </w:r>
      <w:r w:rsidR="006D1026" w:rsidRPr="00883A1C">
        <w:rPr>
          <w:kern w:val="22"/>
          <w:szCs w:val="22"/>
        </w:rPr>
        <w:t>Conference of the Parties</w:t>
      </w:r>
      <w:r w:rsidR="003C652E" w:rsidRPr="00883A1C">
        <w:rPr>
          <w:kern w:val="22"/>
          <w:szCs w:val="22"/>
        </w:rPr>
        <w:t xml:space="preserve"> </w:t>
      </w:r>
      <w:r w:rsidR="00EE080A" w:rsidRPr="00883A1C">
        <w:rPr>
          <w:kern w:val="22"/>
          <w:szCs w:val="22"/>
        </w:rPr>
        <w:t>for</w:t>
      </w:r>
      <w:r w:rsidR="003C652E" w:rsidRPr="00883A1C">
        <w:rPr>
          <w:kern w:val="22"/>
          <w:szCs w:val="22"/>
        </w:rPr>
        <w:t xml:space="preserve"> CMS Parties and </w:t>
      </w:r>
      <w:r w:rsidR="00D42D76" w:rsidRPr="00883A1C">
        <w:rPr>
          <w:kern w:val="22"/>
          <w:szCs w:val="22"/>
        </w:rPr>
        <w:t xml:space="preserve">the </w:t>
      </w:r>
      <w:r w:rsidR="003C652E" w:rsidRPr="00883A1C">
        <w:rPr>
          <w:kern w:val="22"/>
          <w:szCs w:val="22"/>
        </w:rPr>
        <w:t>Secretariat</w:t>
      </w:r>
      <w:r w:rsidR="00EE080A" w:rsidRPr="00883A1C">
        <w:rPr>
          <w:kern w:val="22"/>
          <w:szCs w:val="22"/>
        </w:rPr>
        <w:t xml:space="preserve"> among others</w:t>
      </w:r>
      <w:r w:rsidR="003C652E" w:rsidRPr="00883A1C">
        <w:rPr>
          <w:kern w:val="22"/>
          <w:szCs w:val="22"/>
        </w:rPr>
        <w:t xml:space="preserve">, </w:t>
      </w:r>
      <w:r w:rsidR="00D02FDF" w:rsidRPr="00883A1C">
        <w:rPr>
          <w:kern w:val="22"/>
          <w:szCs w:val="22"/>
        </w:rPr>
        <w:t xml:space="preserve">in order </w:t>
      </w:r>
      <w:r w:rsidR="003C652E" w:rsidRPr="00883A1C">
        <w:rPr>
          <w:kern w:val="22"/>
          <w:szCs w:val="22"/>
        </w:rPr>
        <w:t>to strengthen cooperation and synergies with other biodiversity-related conventions and organizations, including in the framework of the Liaison Group of Biodiversity-related Conventions, the Strategic Plan for Biodiversity 2011-2020 and its follow</w:t>
      </w:r>
      <w:r w:rsidR="00EE080A" w:rsidRPr="00883A1C">
        <w:rPr>
          <w:kern w:val="22"/>
          <w:szCs w:val="22"/>
        </w:rPr>
        <w:t>-</w:t>
      </w:r>
      <w:r w:rsidR="003C652E" w:rsidRPr="00883A1C">
        <w:rPr>
          <w:kern w:val="22"/>
          <w:szCs w:val="22"/>
        </w:rPr>
        <w:t>up, the Strategic Plan for Migratory Species 2015-2023, and the 2030 Agenda for Sustainable Development.</w:t>
      </w:r>
      <w:r w:rsidR="009B7CA5" w:rsidRPr="00883A1C">
        <w:rPr>
          <w:kern w:val="22"/>
          <w:szCs w:val="22"/>
        </w:rPr>
        <w:t xml:space="preserve"> Among other things, t</w:t>
      </w:r>
      <w:r w:rsidR="003C652E" w:rsidRPr="00883A1C">
        <w:rPr>
          <w:kern w:val="22"/>
          <w:szCs w:val="22"/>
        </w:rPr>
        <w:t>he</w:t>
      </w:r>
      <w:r w:rsidR="004806BF" w:rsidRPr="00883A1C">
        <w:rPr>
          <w:kern w:val="22"/>
          <w:szCs w:val="22"/>
        </w:rPr>
        <w:t xml:space="preserve"> Conference of the Parties to</w:t>
      </w:r>
      <w:r w:rsidR="003C652E" w:rsidRPr="00883A1C">
        <w:rPr>
          <w:kern w:val="22"/>
          <w:szCs w:val="22"/>
        </w:rPr>
        <w:t xml:space="preserve"> CMS </w:t>
      </w:r>
      <w:r w:rsidRPr="00883A1C">
        <w:rPr>
          <w:kern w:val="22"/>
          <w:szCs w:val="22"/>
        </w:rPr>
        <w:t>welcomed the decision on cooperation, coordination and synergies among the biodiversity-related conventions</w:t>
      </w:r>
      <w:r w:rsidR="00964EA0" w:rsidRPr="00883A1C">
        <w:rPr>
          <w:kern w:val="22"/>
          <w:szCs w:val="22"/>
        </w:rPr>
        <w:t xml:space="preserve"> adopted by the Conference of the Parties to the Convention on Biological Diversity at its thirteenth meeting</w:t>
      </w:r>
      <w:r w:rsidR="009B7CA5" w:rsidRPr="00883A1C">
        <w:rPr>
          <w:kern w:val="22"/>
          <w:szCs w:val="22"/>
        </w:rPr>
        <w:t>.</w:t>
      </w:r>
    </w:p>
    <w:p w:rsidR="00A61C21" w:rsidRPr="00883A1C" w:rsidRDefault="00A61C21"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In paragraph 10 of the resolution, the</w:t>
      </w:r>
      <w:r w:rsidR="004806BF" w:rsidRPr="00883A1C">
        <w:rPr>
          <w:kern w:val="22"/>
          <w:szCs w:val="22"/>
        </w:rPr>
        <w:t xml:space="preserve"> Conference of the Parties to</w:t>
      </w:r>
      <w:r w:rsidRPr="00883A1C">
        <w:rPr>
          <w:kern w:val="22"/>
          <w:szCs w:val="22"/>
        </w:rPr>
        <w:t xml:space="preserve"> CMS requested the CMS Secretariat to prepare proposals to strengthen cooperation, coordination and synergies, with other biodiversity-related conventions for consideration at </w:t>
      </w:r>
      <w:r w:rsidR="003C652E" w:rsidRPr="00883A1C">
        <w:rPr>
          <w:kern w:val="22"/>
          <w:szCs w:val="22"/>
        </w:rPr>
        <w:t>its future meetings</w:t>
      </w:r>
      <w:r w:rsidRPr="00883A1C">
        <w:rPr>
          <w:kern w:val="22"/>
          <w:szCs w:val="22"/>
        </w:rPr>
        <w:t xml:space="preserve">. </w:t>
      </w:r>
      <w:r w:rsidR="004806BF" w:rsidRPr="00883A1C">
        <w:rPr>
          <w:kern w:val="22"/>
          <w:szCs w:val="22"/>
        </w:rPr>
        <w:t>It</w:t>
      </w:r>
      <w:r w:rsidR="003C652E" w:rsidRPr="00883A1C">
        <w:rPr>
          <w:kern w:val="22"/>
          <w:szCs w:val="22"/>
        </w:rPr>
        <w:t xml:space="preserve"> extended several invitations for the attention of the Liaison Group of Biodiversity-related Conventions (e.g. paras</w:t>
      </w:r>
      <w:r w:rsidR="003C541C" w:rsidRPr="00883A1C">
        <w:rPr>
          <w:kern w:val="22"/>
          <w:szCs w:val="22"/>
        </w:rPr>
        <w:t>.</w:t>
      </w:r>
      <w:r w:rsidR="003C652E" w:rsidRPr="00883A1C">
        <w:rPr>
          <w:kern w:val="22"/>
          <w:szCs w:val="22"/>
        </w:rPr>
        <w:t xml:space="preserve"> 17</w:t>
      </w:r>
      <w:r w:rsidR="003C541C" w:rsidRPr="00883A1C">
        <w:rPr>
          <w:kern w:val="22"/>
          <w:szCs w:val="22"/>
        </w:rPr>
        <w:t>-</w:t>
      </w:r>
      <w:r w:rsidR="003C652E" w:rsidRPr="00883A1C">
        <w:rPr>
          <w:kern w:val="22"/>
          <w:szCs w:val="22"/>
        </w:rPr>
        <w:t xml:space="preserve">20). </w:t>
      </w:r>
      <w:r w:rsidRPr="00883A1C">
        <w:rPr>
          <w:kern w:val="22"/>
          <w:szCs w:val="22"/>
        </w:rPr>
        <w:t>In paragraph</w:t>
      </w:r>
      <w:r w:rsidR="004806BF" w:rsidRPr="00883A1C">
        <w:rPr>
          <w:kern w:val="22"/>
          <w:szCs w:val="22"/>
        </w:rPr>
        <w:t> </w:t>
      </w:r>
      <w:r w:rsidRPr="00883A1C">
        <w:rPr>
          <w:kern w:val="22"/>
          <w:szCs w:val="22"/>
        </w:rPr>
        <w:t xml:space="preserve">23, the </w:t>
      </w:r>
      <w:r w:rsidR="004806BF" w:rsidRPr="00883A1C">
        <w:rPr>
          <w:kern w:val="22"/>
          <w:szCs w:val="22"/>
        </w:rPr>
        <w:t xml:space="preserve">Conference of the Parties </w:t>
      </w:r>
      <w:r w:rsidRPr="00883A1C">
        <w:rPr>
          <w:kern w:val="22"/>
          <w:szCs w:val="22"/>
        </w:rPr>
        <w:t>urged Parties to establish close collaboration at the national level between the focal point of CMS and the focal points of other relevant conventions in order for governments to develop coherent and synergistic approaches across the conventions</w:t>
      </w:r>
      <w:r w:rsidR="009902B9" w:rsidRPr="00883A1C">
        <w:rPr>
          <w:kern w:val="22"/>
          <w:szCs w:val="22"/>
        </w:rPr>
        <w:t xml:space="preserve"> and</w:t>
      </w:r>
      <w:r w:rsidRPr="00883A1C">
        <w:rPr>
          <w:kern w:val="22"/>
          <w:szCs w:val="22"/>
        </w:rPr>
        <w:t xml:space="preserve"> increas</w:t>
      </w:r>
      <w:r w:rsidR="009902B9" w:rsidRPr="00883A1C">
        <w:rPr>
          <w:kern w:val="22"/>
          <w:szCs w:val="22"/>
        </w:rPr>
        <w:t>e</w:t>
      </w:r>
      <w:r w:rsidRPr="00883A1C">
        <w:rPr>
          <w:kern w:val="22"/>
          <w:szCs w:val="22"/>
        </w:rPr>
        <w:t xml:space="preserve"> </w:t>
      </w:r>
      <w:r w:rsidR="00D529A9" w:rsidRPr="00883A1C">
        <w:rPr>
          <w:kern w:val="22"/>
          <w:szCs w:val="22"/>
        </w:rPr>
        <w:t xml:space="preserve">the </w:t>
      </w:r>
      <w:r w:rsidRPr="00883A1C">
        <w:rPr>
          <w:kern w:val="22"/>
          <w:szCs w:val="22"/>
        </w:rPr>
        <w:t>effectiveness of national efforts, for example by developing national biodiversity working groups to coordinate the work of focal points of relevant multilateral environmental agreements and other stakeholders, inter alia through relevant measures in national biodiversity strategies and action plans, harmonized national reporting and adoption of coherent national positions in respect of each multilateral environmental agreement.</w:t>
      </w:r>
    </w:p>
    <w:p w:rsidR="009B7CA5" w:rsidRPr="00883A1C" w:rsidRDefault="0045665D"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At its seventh session</w:t>
      </w:r>
      <w:r w:rsidR="00ED7098" w:rsidRPr="00883A1C">
        <w:rPr>
          <w:kern w:val="22"/>
          <w:szCs w:val="22"/>
        </w:rPr>
        <w:t xml:space="preserve"> (Kigali, 30 October–3 November 2017)</w:t>
      </w:r>
      <w:r w:rsidR="004806BF" w:rsidRPr="00883A1C">
        <w:rPr>
          <w:kern w:val="22"/>
          <w:szCs w:val="22"/>
        </w:rPr>
        <w:t>,</w:t>
      </w:r>
      <w:r w:rsidRPr="00883A1C">
        <w:rPr>
          <w:kern w:val="22"/>
          <w:szCs w:val="22"/>
        </w:rPr>
        <w:t xml:space="preserve"> the Governing Body of the International Treaty on Plant Genetic Resources for Food and Agriculture (ITPGRFA)</w:t>
      </w:r>
      <w:r w:rsidR="00A61C21" w:rsidRPr="00883A1C">
        <w:rPr>
          <w:kern w:val="22"/>
          <w:szCs w:val="22"/>
        </w:rPr>
        <w:t xml:space="preserve"> adopted resolutions concerning its relationship with the Convention on Biological Diversity (resolution </w:t>
      </w:r>
      <w:hyperlink r:id="rId15" w:history="1">
        <w:r w:rsidR="00A61C21" w:rsidRPr="00883A1C">
          <w:rPr>
            <w:rStyle w:val="Hyperlink"/>
            <w:kern w:val="22"/>
            <w:szCs w:val="22"/>
          </w:rPr>
          <w:t>9/2017</w:t>
        </w:r>
      </w:hyperlink>
      <w:r w:rsidR="00A61C21" w:rsidRPr="00883A1C">
        <w:rPr>
          <w:kern w:val="22"/>
          <w:szCs w:val="22"/>
        </w:rPr>
        <w:t xml:space="preserve">) and its cooperation with other international bodies and organizations (resolution </w:t>
      </w:r>
      <w:hyperlink r:id="rId16" w:history="1">
        <w:r w:rsidR="00A61C21" w:rsidRPr="00883A1C">
          <w:rPr>
            <w:rStyle w:val="Hyperlink"/>
            <w:kern w:val="22"/>
            <w:szCs w:val="22"/>
          </w:rPr>
          <w:t>12/2017</w:t>
        </w:r>
      </w:hyperlink>
      <w:r w:rsidR="00A61C21" w:rsidRPr="00883A1C">
        <w:rPr>
          <w:kern w:val="22"/>
          <w:szCs w:val="22"/>
        </w:rPr>
        <w:t>)</w:t>
      </w:r>
      <w:r w:rsidR="001E2741" w:rsidRPr="00883A1C">
        <w:rPr>
          <w:kern w:val="22"/>
          <w:szCs w:val="22"/>
        </w:rPr>
        <w:t>. In resolution 9/2017, the Governing Body</w:t>
      </w:r>
      <w:r w:rsidRPr="00883A1C">
        <w:rPr>
          <w:kern w:val="22"/>
          <w:szCs w:val="22"/>
        </w:rPr>
        <w:t xml:space="preserve"> welcomed </w:t>
      </w:r>
      <w:r w:rsidR="004806BF" w:rsidRPr="00883A1C">
        <w:rPr>
          <w:kern w:val="22"/>
          <w:szCs w:val="22"/>
        </w:rPr>
        <w:t>a</w:t>
      </w:r>
      <w:r w:rsidRPr="00883A1C">
        <w:rPr>
          <w:kern w:val="22"/>
          <w:szCs w:val="22"/>
        </w:rPr>
        <w:t xml:space="preserve">nnexes I and II </w:t>
      </w:r>
      <w:r w:rsidR="004806BF" w:rsidRPr="00883A1C">
        <w:rPr>
          <w:kern w:val="22"/>
          <w:szCs w:val="22"/>
        </w:rPr>
        <w:t xml:space="preserve">to </w:t>
      </w:r>
      <w:r w:rsidRPr="00883A1C">
        <w:rPr>
          <w:kern w:val="22"/>
          <w:szCs w:val="22"/>
        </w:rPr>
        <w:t xml:space="preserve">decision XIII/24, invited Contracting Parties to consider supporting </w:t>
      </w:r>
      <w:r w:rsidR="00D500C6" w:rsidRPr="00883A1C">
        <w:rPr>
          <w:kern w:val="22"/>
          <w:szCs w:val="22"/>
        </w:rPr>
        <w:t xml:space="preserve">the </w:t>
      </w:r>
      <w:r w:rsidRPr="00883A1C">
        <w:rPr>
          <w:kern w:val="22"/>
          <w:szCs w:val="22"/>
        </w:rPr>
        <w:t>implementation of the options for enhancing synergies among biodiversity-related conventions, and requested the Secretary to undertake relevant actions foreseen in these options</w:t>
      </w:r>
      <w:r w:rsidR="00A61C21" w:rsidRPr="00883A1C">
        <w:rPr>
          <w:kern w:val="22"/>
          <w:szCs w:val="22"/>
        </w:rPr>
        <w:t>,</w:t>
      </w:r>
      <w:r w:rsidR="00A61C21" w:rsidRPr="00883A1C">
        <w:rPr>
          <w:color w:val="000000"/>
          <w:kern w:val="22"/>
          <w:szCs w:val="22"/>
        </w:rPr>
        <w:t xml:space="preserve"> </w:t>
      </w:r>
      <w:r w:rsidR="00A61C21" w:rsidRPr="00883A1C">
        <w:rPr>
          <w:kern w:val="22"/>
          <w:szCs w:val="22"/>
        </w:rPr>
        <w:t>particularly in the context of the Liaison Group of Biodiversity-related Conventions, joint work programmes with other relevant international instruments, information and knowledge management, reporting and monitoring, public communication and capacity-development activities</w:t>
      </w:r>
      <w:r w:rsidR="009B7CA5" w:rsidRPr="00883A1C">
        <w:rPr>
          <w:kern w:val="22"/>
          <w:szCs w:val="22"/>
        </w:rPr>
        <w:t>.</w:t>
      </w:r>
    </w:p>
    <w:p w:rsidR="0004114D" w:rsidRPr="00883A1C" w:rsidRDefault="009B7CA5"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In the same resolution, t</w:t>
      </w:r>
      <w:r w:rsidR="0045665D" w:rsidRPr="00883A1C">
        <w:rPr>
          <w:kern w:val="22"/>
          <w:szCs w:val="22"/>
        </w:rPr>
        <w:t xml:space="preserve">he Governing Body </w:t>
      </w:r>
      <w:r w:rsidR="00A61C21" w:rsidRPr="00883A1C">
        <w:rPr>
          <w:kern w:val="22"/>
          <w:szCs w:val="22"/>
        </w:rPr>
        <w:t xml:space="preserve">welcomed the </w:t>
      </w:r>
      <w:r w:rsidR="00257B50" w:rsidRPr="00883A1C">
        <w:rPr>
          <w:kern w:val="22"/>
          <w:szCs w:val="22"/>
        </w:rPr>
        <w:t xml:space="preserve">decision by the Conference of the Parties to the Convention on Biological Diversity at its thirteenth meeting to </w:t>
      </w:r>
      <w:r w:rsidRPr="00883A1C">
        <w:rPr>
          <w:kern w:val="22"/>
          <w:szCs w:val="22"/>
        </w:rPr>
        <w:t>reflect</w:t>
      </w:r>
      <w:r w:rsidR="00257B50" w:rsidRPr="00883A1C">
        <w:rPr>
          <w:kern w:val="22"/>
          <w:szCs w:val="22"/>
        </w:rPr>
        <w:t xml:space="preserve"> elements</w:t>
      </w:r>
      <w:r w:rsidRPr="00883A1C">
        <w:rPr>
          <w:kern w:val="22"/>
          <w:szCs w:val="22"/>
        </w:rPr>
        <w:t xml:space="preserve"> of advice from the Treaty</w:t>
      </w:r>
      <w:r w:rsidR="00A61C21" w:rsidRPr="00883A1C">
        <w:rPr>
          <w:kern w:val="22"/>
          <w:szCs w:val="22"/>
        </w:rPr>
        <w:t xml:space="preserve"> in the four-year framework of programme priorities for the Global Environment Facility</w:t>
      </w:r>
      <w:r w:rsidR="00257B50" w:rsidRPr="00883A1C">
        <w:rPr>
          <w:kern w:val="22"/>
          <w:szCs w:val="22"/>
        </w:rPr>
        <w:t>.</w:t>
      </w:r>
      <w:r w:rsidRPr="00883A1C">
        <w:rPr>
          <w:kern w:val="22"/>
          <w:szCs w:val="22"/>
        </w:rPr>
        <w:t xml:space="preserve"> </w:t>
      </w:r>
      <w:r w:rsidR="00257B50" w:rsidRPr="00883A1C">
        <w:rPr>
          <w:kern w:val="22"/>
          <w:szCs w:val="22"/>
        </w:rPr>
        <w:t xml:space="preserve">It took note of the decision by </w:t>
      </w:r>
      <w:r w:rsidRPr="00883A1C">
        <w:rPr>
          <w:kern w:val="22"/>
          <w:szCs w:val="22"/>
        </w:rPr>
        <w:t>the</w:t>
      </w:r>
      <w:r w:rsidR="00257B50" w:rsidRPr="00883A1C">
        <w:rPr>
          <w:kern w:val="22"/>
          <w:szCs w:val="22"/>
        </w:rPr>
        <w:t xml:space="preserve"> Conference of the Parties to the Convention on Biological Diversity</w:t>
      </w:r>
      <w:r w:rsidRPr="00883A1C">
        <w:rPr>
          <w:kern w:val="22"/>
          <w:szCs w:val="22"/>
        </w:rPr>
        <w:t xml:space="preserve"> to </w:t>
      </w:r>
      <w:r w:rsidR="00A61C21" w:rsidRPr="00883A1C">
        <w:rPr>
          <w:kern w:val="22"/>
          <w:szCs w:val="22"/>
        </w:rPr>
        <w:t xml:space="preserve">develop strategic guidance for the eighth replenishment of the </w:t>
      </w:r>
      <w:r w:rsidR="00257B50" w:rsidRPr="00883A1C">
        <w:rPr>
          <w:kern w:val="22"/>
          <w:szCs w:val="22"/>
        </w:rPr>
        <w:t>Global Environment Facility</w:t>
      </w:r>
      <w:r w:rsidR="00257B50" w:rsidRPr="00883A1C" w:rsidDel="00257B50">
        <w:rPr>
          <w:kern w:val="22"/>
          <w:szCs w:val="22"/>
        </w:rPr>
        <w:t xml:space="preserve"> </w:t>
      </w:r>
      <w:r w:rsidR="00A61C21" w:rsidRPr="00883A1C">
        <w:rPr>
          <w:kern w:val="22"/>
          <w:szCs w:val="22"/>
        </w:rPr>
        <w:t>Trust Fund</w:t>
      </w:r>
      <w:r w:rsidRPr="00883A1C">
        <w:rPr>
          <w:kern w:val="22"/>
          <w:szCs w:val="22"/>
        </w:rPr>
        <w:t xml:space="preserve">. It also recognized the </w:t>
      </w:r>
      <w:r w:rsidR="00A61C21" w:rsidRPr="00883A1C">
        <w:rPr>
          <w:kern w:val="22"/>
          <w:szCs w:val="22"/>
        </w:rPr>
        <w:t xml:space="preserve">opportunity </w:t>
      </w:r>
      <w:r w:rsidR="00D42D76" w:rsidRPr="00883A1C">
        <w:rPr>
          <w:kern w:val="22"/>
          <w:szCs w:val="22"/>
        </w:rPr>
        <w:t>in</w:t>
      </w:r>
      <w:r w:rsidRPr="00883A1C">
        <w:rPr>
          <w:kern w:val="22"/>
          <w:szCs w:val="22"/>
        </w:rPr>
        <w:t xml:space="preserve"> the </w:t>
      </w:r>
      <w:r w:rsidR="00A61C21" w:rsidRPr="00883A1C">
        <w:rPr>
          <w:kern w:val="22"/>
          <w:szCs w:val="22"/>
        </w:rPr>
        <w:t>follow-up to the Strategic Plan for Biodiversity 2011-2020 to further enhance coherence and cooperation between the International Treaty and the Convention</w:t>
      </w:r>
      <w:r w:rsidRPr="00883A1C">
        <w:rPr>
          <w:kern w:val="22"/>
          <w:szCs w:val="22"/>
        </w:rPr>
        <w:t xml:space="preserve">. In </w:t>
      </w:r>
      <w:r w:rsidRPr="00883A1C">
        <w:rPr>
          <w:kern w:val="22"/>
          <w:szCs w:val="22"/>
        </w:rPr>
        <w:lastRenderedPageBreak/>
        <w:t>addition</w:t>
      </w:r>
      <w:r w:rsidR="0056218C" w:rsidRPr="00883A1C">
        <w:rPr>
          <w:kern w:val="22"/>
          <w:szCs w:val="22"/>
        </w:rPr>
        <w:t>,</w:t>
      </w:r>
      <w:r w:rsidRPr="00883A1C">
        <w:rPr>
          <w:kern w:val="22"/>
          <w:szCs w:val="22"/>
        </w:rPr>
        <w:t xml:space="preserve"> it </w:t>
      </w:r>
      <w:r w:rsidR="0045665D" w:rsidRPr="00883A1C">
        <w:rPr>
          <w:kern w:val="22"/>
          <w:szCs w:val="22"/>
        </w:rPr>
        <w:t xml:space="preserve">requested the Secretary to continue to collaborate with the Secretariat </w:t>
      </w:r>
      <w:r w:rsidR="0056218C" w:rsidRPr="00883A1C">
        <w:rPr>
          <w:kern w:val="22"/>
          <w:szCs w:val="22"/>
        </w:rPr>
        <w:t xml:space="preserve">of the Convention on Biological Diversity </w:t>
      </w:r>
      <w:r w:rsidR="0045665D" w:rsidRPr="00883A1C">
        <w:rPr>
          <w:kern w:val="22"/>
          <w:szCs w:val="22"/>
        </w:rPr>
        <w:t xml:space="preserve">and other relevant partners, in </w:t>
      </w:r>
      <w:r w:rsidR="00A61C21" w:rsidRPr="00883A1C">
        <w:rPr>
          <w:kern w:val="22"/>
          <w:szCs w:val="22"/>
        </w:rPr>
        <w:t xml:space="preserve">other </w:t>
      </w:r>
      <w:r w:rsidR="0045665D" w:rsidRPr="00883A1C">
        <w:rPr>
          <w:kern w:val="22"/>
          <w:szCs w:val="22"/>
        </w:rPr>
        <w:t>areas</w:t>
      </w:r>
      <w:r w:rsidR="0040102B" w:rsidRPr="00883A1C">
        <w:rPr>
          <w:kern w:val="22"/>
          <w:szCs w:val="22"/>
        </w:rPr>
        <w:t>,</w:t>
      </w:r>
      <w:r w:rsidR="0045665D" w:rsidRPr="00883A1C">
        <w:rPr>
          <w:kern w:val="22"/>
          <w:szCs w:val="22"/>
        </w:rPr>
        <w:t xml:space="preserve"> including digital sequence information, access and benefit-sharing, Article 8(j) of the </w:t>
      </w:r>
      <w:r w:rsidR="0040102B" w:rsidRPr="00883A1C">
        <w:rPr>
          <w:kern w:val="22"/>
          <w:szCs w:val="22"/>
        </w:rPr>
        <w:t>Convention</w:t>
      </w:r>
      <w:r w:rsidR="00A61C21" w:rsidRPr="00883A1C">
        <w:rPr>
          <w:kern w:val="22"/>
          <w:szCs w:val="22"/>
        </w:rPr>
        <w:t>,</w:t>
      </w:r>
      <w:r w:rsidR="0045665D" w:rsidRPr="00883A1C">
        <w:rPr>
          <w:kern w:val="22"/>
          <w:szCs w:val="22"/>
        </w:rPr>
        <w:t xml:space="preserve"> and Article 10 of the Nagoya Protocol.</w:t>
      </w:r>
    </w:p>
    <w:p w:rsidR="000C2430" w:rsidRPr="00883A1C" w:rsidRDefault="001E2741"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 xml:space="preserve">In resolution 12/2017, the Governing Body requested </w:t>
      </w:r>
      <w:r w:rsidR="003C652E" w:rsidRPr="00883A1C">
        <w:rPr>
          <w:kern w:val="22"/>
          <w:szCs w:val="22"/>
        </w:rPr>
        <w:t>its</w:t>
      </w:r>
      <w:r w:rsidRPr="00883A1C">
        <w:rPr>
          <w:kern w:val="22"/>
          <w:szCs w:val="22"/>
        </w:rPr>
        <w:t xml:space="preserve"> Secretary to continue and further strengthen and expand the collaboration with the Secretariat</w:t>
      </w:r>
      <w:r w:rsidR="0056218C" w:rsidRPr="00883A1C">
        <w:rPr>
          <w:kern w:val="22"/>
          <w:szCs w:val="22"/>
        </w:rPr>
        <w:t xml:space="preserve"> of the Convention on Biological Diversity</w:t>
      </w:r>
      <w:r w:rsidRPr="00883A1C">
        <w:rPr>
          <w:kern w:val="22"/>
          <w:szCs w:val="22"/>
        </w:rPr>
        <w:t>, the ABS Capacity Development Initiative and other capacity</w:t>
      </w:r>
      <w:r w:rsidR="00C147E0" w:rsidRPr="00883A1C">
        <w:rPr>
          <w:kern w:val="22"/>
          <w:szCs w:val="22"/>
        </w:rPr>
        <w:t>-</w:t>
      </w:r>
      <w:r w:rsidRPr="00883A1C">
        <w:rPr>
          <w:kern w:val="22"/>
          <w:szCs w:val="22"/>
        </w:rPr>
        <w:t>building providers, in support of implementation of the instruments in a harmonious and mutually supportive manner. In the same resolution, the Governing Body requested the Secretary to continue participating actively in the relevant activities of the Liaison Group of Biodiversity-related Conventions, and urged Contracting Parties to take measures to enhance synergies in their implementation of or participation in biodiversity-related conventions to promote policy coherence, improve efficiency and enhance coordination and cooperation at all levels</w:t>
      </w:r>
      <w:r w:rsidR="00D42D76" w:rsidRPr="00883A1C">
        <w:rPr>
          <w:kern w:val="22"/>
          <w:szCs w:val="22"/>
        </w:rPr>
        <w:t>. It also</w:t>
      </w:r>
      <w:r w:rsidRPr="00883A1C">
        <w:rPr>
          <w:kern w:val="22"/>
          <w:szCs w:val="22"/>
        </w:rPr>
        <w:t xml:space="preserve"> invited international organizations and donors to provide financial resources to support efforts that encourage synergies in policy development and the fulfilment of obligations under the biodiversity-related conventions.</w:t>
      </w:r>
    </w:p>
    <w:p w:rsidR="004F34CE" w:rsidRPr="00883A1C" w:rsidRDefault="00691E77" w:rsidP="00883A1C">
      <w:pPr>
        <w:pStyle w:val="Para1"/>
        <w:suppressLineNumbers/>
        <w:tabs>
          <w:tab w:val="clear" w:pos="720"/>
        </w:tabs>
        <w:suppressAutoHyphens/>
        <w:kinsoku w:val="0"/>
        <w:overflowPunct w:val="0"/>
        <w:autoSpaceDE w:val="0"/>
        <w:autoSpaceDN w:val="0"/>
        <w:adjustRightInd w:val="0"/>
        <w:snapToGrid w:val="0"/>
        <w:spacing w:line="238" w:lineRule="auto"/>
        <w:rPr>
          <w:b/>
          <w:snapToGrid/>
          <w:kern w:val="22"/>
          <w:szCs w:val="22"/>
        </w:rPr>
      </w:pPr>
      <w:r w:rsidRPr="00883A1C">
        <w:rPr>
          <w:rFonts w:eastAsia="Calibri"/>
          <w:kern w:val="22"/>
          <w:szCs w:val="22"/>
        </w:rPr>
        <w:t>At its 53</w:t>
      </w:r>
      <w:r w:rsidRPr="00883A1C">
        <w:rPr>
          <w:rFonts w:eastAsia="Calibri"/>
          <w:kern w:val="22"/>
          <w:szCs w:val="22"/>
          <w:vertAlign w:val="superscript"/>
        </w:rPr>
        <w:t>rd</w:t>
      </w:r>
      <w:r w:rsidRPr="00883A1C">
        <w:rPr>
          <w:rFonts w:eastAsia="Calibri"/>
          <w:kern w:val="22"/>
          <w:szCs w:val="22"/>
        </w:rPr>
        <w:t xml:space="preserve"> meeting</w:t>
      </w:r>
      <w:r w:rsidR="00C147E0" w:rsidRPr="00883A1C">
        <w:rPr>
          <w:rFonts w:eastAsia="Calibri"/>
          <w:kern w:val="22"/>
          <w:szCs w:val="22"/>
        </w:rPr>
        <w:t xml:space="preserve"> (</w:t>
      </w:r>
      <w:r w:rsidR="00C147E0" w:rsidRPr="00883A1C">
        <w:rPr>
          <w:kern w:val="18"/>
          <w:szCs w:val="22"/>
        </w:rPr>
        <w:t>Gland, Switzerland, 29 May–2 June 2017</w:t>
      </w:r>
      <w:r w:rsidR="00C147E0" w:rsidRPr="00883A1C">
        <w:rPr>
          <w:rFonts w:eastAsia="Calibri"/>
          <w:kern w:val="22"/>
          <w:szCs w:val="22"/>
        </w:rPr>
        <w:t>)</w:t>
      </w:r>
      <w:r w:rsidRPr="00883A1C">
        <w:rPr>
          <w:rFonts w:eastAsia="Calibri"/>
          <w:kern w:val="22"/>
          <w:szCs w:val="22"/>
        </w:rPr>
        <w:t xml:space="preserve">, </w:t>
      </w:r>
      <w:r w:rsidRPr="00883A1C">
        <w:rPr>
          <w:kern w:val="22"/>
          <w:szCs w:val="22"/>
        </w:rPr>
        <w:t xml:space="preserve">the Standing Committee of the </w:t>
      </w:r>
      <w:proofErr w:type="spellStart"/>
      <w:r w:rsidRPr="00883A1C">
        <w:rPr>
          <w:kern w:val="22"/>
          <w:szCs w:val="22"/>
        </w:rPr>
        <w:t>Ramsar</w:t>
      </w:r>
      <w:proofErr w:type="spellEnd"/>
      <w:r w:rsidRPr="00883A1C">
        <w:rPr>
          <w:kern w:val="22"/>
          <w:szCs w:val="22"/>
        </w:rPr>
        <w:t xml:space="preserve"> Convention requested that the </w:t>
      </w:r>
      <w:proofErr w:type="spellStart"/>
      <w:r w:rsidRPr="00883A1C">
        <w:rPr>
          <w:kern w:val="22"/>
          <w:szCs w:val="22"/>
        </w:rPr>
        <w:t>Ramsar</w:t>
      </w:r>
      <w:proofErr w:type="spellEnd"/>
      <w:r w:rsidRPr="00883A1C">
        <w:rPr>
          <w:kern w:val="22"/>
          <w:szCs w:val="22"/>
        </w:rPr>
        <w:t xml:space="preserve"> Convention Secretariat review the actions in </w:t>
      </w:r>
      <w:r w:rsidR="0056218C" w:rsidRPr="00883A1C">
        <w:rPr>
          <w:bCs/>
          <w:kern w:val="22"/>
          <w:szCs w:val="22"/>
        </w:rPr>
        <w:t>a</w:t>
      </w:r>
      <w:r w:rsidRPr="00883A1C">
        <w:rPr>
          <w:kern w:val="22"/>
          <w:szCs w:val="22"/>
        </w:rPr>
        <w:t xml:space="preserve">nnexes I and II </w:t>
      </w:r>
      <w:r w:rsidR="0056218C" w:rsidRPr="00883A1C">
        <w:rPr>
          <w:bCs/>
          <w:kern w:val="22"/>
          <w:szCs w:val="22"/>
        </w:rPr>
        <w:t>to d</w:t>
      </w:r>
      <w:r w:rsidRPr="00883A1C">
        <w:rPr>
          <w:kern w:val="22"/>
          <w:szCs w:val="22"/>
        </w:rPr>
        <w:t xml:space="preserve">ecision XIII/24 </w:t>
      </w:r>
      <w:r w:rsidR="0056218C" w:rsidRPr="00883A1C">
        <w:rPr>
          <w:bCs/>
          <w:kern w:val="22"/>
          <w:szCs w:val="22"/>
        </w:rPr>
        <w:t xml:space="preserve">of the </w:t>
      </w:r>
      <w:r w:rsidR="00A30A96" w:rsidRPr="00883A1C">
        <w:rPr>
          <w:bCs/>
          <w:kern w:val="22"/>
          <w:szCs w:val="22"/>
        </w:rPr>
        <w:t xml:space="preserve">Conference of the Parties to the </w:t>
      </w:r>
      <w:r w:rsidR="0056218C" w:rsidRPr="00883A1C">
        <w:rPr>
          <w:bCs/>
          <w:kern w:val="22"/>
          <w:szCs w:val="22"/>
        </w:rPr>
        <w:t xml:space="preserve">Convention on Biological Diversity </w:t>
      </w:r>
      <w:r w:rsidRPr="00883A1C">
        <w:rPr>
          <w:kern w:val="22"/>
          <w:szCs w:val="22"/>
        </w:rPr>
        <w:t xml:space="preserve">that </w:t>
      </w:r>
      <w:r w:rsidR="00392381" w:rsidRPr="00883A1C">
        <w:rPr>
          <w:kern w:val="22"/>
          <w:szCs w:val="22"/>
        </w:rPr>
        <w:t xml:space="preserve">were </w:t>
      </w:r>
      <w:r w:rsidRPr="00883A1C">
        <w:rPr>
          <w:kern w:val="22"/>
          <w:szCs w:val="22"/>
        </w:rPr>
        <w:t>relevant for the</w:t>
      </w:r>
      <w:r w:rsidRPr="00883A1C">
        <w:rPr>
          <w:bCs/>
          <w:kern w:val="22"/>
          <w:szCs w:val="22"/>
        </w:rPr>
        <w:t xml:space="preserve"> </w:t>
      </w:r>
      <w:proofErr w:type="spellStart"/>
      <w:r w:rsidR="0056218C" w:rsidRPr="00883A1C">
        <w:rPr>
          <w:bCs/>
          <w:kern w:val="22"/>
          <w:szCs w:val="22"/>
        </w:rPr>
        <w:t>Ramsar</w:t>
      </w:r>
      <w:proofErr w:type="spellEnd"/>
      <w:r w:rsidR="0056218C" w:rsidRPr="00883A1C">
        <w:rPr>
          <w:kern w:val="22"/>
          <w:szCs w:val="22"/>
        </w:rPr>
        <w:t xml:space="preserve"> </w:t>
      </w:r>
      <w:r w:rsidRPr="00883A1C">
        <w:rPr>
          <w:kern w:val="22"/>
          <w:szCs w:val="22"/>
        </w:rPr>
        <w:t>Convention, and provide inputs to the synergy process as appropriate (</w:t>
      </w:r>
      <w:r w:rsidR="00445DD1" w:rsidRPr="00883A1C">
        <w:rPr>
          <w:kern w:val="22"/>
          <w:szCs w:val="22"/>
        </w:rPr>
        <w:t>see d</w:t>
      </w:r>
      <w:r w:rsidRPr="00883A1C">
        <w:rPr>
          <w:kern w:val="22"/>
          <w:szCs w:val="22"/>
        </w:rPr>
        <w:t>ecision SC53-19)</w:t>
      </w:r>
      <w:r w:rsidR="00543C00" w:rsidRPr="00883A1C">
        <w:rPr>
          <w:kern w:val="22"/>
          <w:szCs w:val="22"/>
        </w:rPr>
        <w:t>.</w:t>
      </w:r>
      <w:r w:rsidR="00121CC8" w:rsidRPr="00883A1C">
        <w:rPr>
          <w:rStyle w:val="FootnoteReference"/>
          <w:kern w:val="22"/>
          <w:sz w:val="22"/>
          <w:szCs w:val="22"/>
          <w:u w:val="none"/>
          <w:vertAlign w:val="superscript"/>
        </w:rPr>
        <w:footnoteReference w:id="3"/>
      </w:r>
    </w:p>
    <w:p w:rsidR="00706F41" w:rsidRPr="00883A1C" w:rsidRDefault="00706F41" w:rsidP="00883A1C">
      <w:pPr>
        <w:numPr>
          <w:ilvl w:val="0"/>
          <w:numId w:val="36"/>
        </w:numPr>
        <w:suppressLineNumbers/>
        <w:tabs>
          <w:tab w:val="left" w:pos="720"/>
        </w:tabs>
        <w:suppressAutoHyphens/>
        <w:kinsoku w:val="0"/>
        <w:overflowPunct w:val="0"/>
        <w:autoSpaceDE w:val="0"/>
        <w:autoSpaceDN w:val="0"/>
        <w:adjustRightInd w:val="0"/>
        <w:snapToGrid w:val="0"/>
        <w:spacing w:before="120" w:after="120" w:line="238" w:lineRule="auto"/>
        <w:jc w:val="center"/>
        <w:outlineLvl w:val="1"/>
        <w:rPr>
          <w:b/>
          <w:kern w:val="22"/>
          <w:szCs w:val="22"/>
        </w:rPr>
      </w:pPr>
      <w:r w:rsidRPr="00883A1C">
        <w:rPr>
          <w:b/>
          <w:kern w:val="22"/>
          <w:szCs w:val="22"/>
        </w:rPr>
        <w:t>Liaison Group of Biodiversity-related Conventions</w:t>
      </w:r>
    </w:p>
    <w:p w:rsidR="009B7CA5" w:rsidRPr="00883A1C" w:rsidRDefault="009B7CA5"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 xml:space="preserve">A meeting of the Liaison Group of Biodiversity-related Conventions was </w:t>
      </w:r>
      <w:r w:rsidR="004369D2" w:rsidRPr="00883A1C">
        <w:rPr>
          <w:kern w:val="22"/>
          <w:szCs w:val="22"/>
        </w:rPr>
        <w:t>held</w:t>
      </w:r>
      <w:r w:rsidRPr="00883A1C">
        <w:rPr>
          <w:kern w:val="22"/>
          <w:szCs w:val="22"/>
        </w:rPr>
        <w:t xml:space="preserve"> by videoco</w:t>
      </w:r>
      <w:r w:rsidR="00C76087" w:rsidRPr="00883A1C">
        <w:rPr>
          <w:kern w:val="22"/>
          <w:szCs w:val="22"/>
        </w:rPr>
        <w:t xml:space="preserve">nference </w:t>
      </w:r>
      <w:r w:rsidR="004369D2" w:rsidRPr="00883A1C">
        <w:rPr>
          <w:kern w:val="22"/>
          <w:szCs w:val="22"/>
        </w:rPr>
        <w:t xml:space="preserve">on 25 </w:t>
      </w:r>
      <w:r w:rsidR="00C76087" w:rsidRPr="00883A1C">
        <w:rPr>
          <w:kern w:val="22"/>
          <w:szCs w:val="22"/>
        </w:rPr>
        <w:t xml:space="preserve">January 2017 to report </w:t>
      </w:r>
      <w:r w:rsidRPr="00883A1C">
        <w:rPr>
          <w:kern w:val="22"/>
          <w:szCs w:val="22"/>
        </w:rPr>
        <w:t xml:space="preserve">on the outcomes of </w:t>
      </w:r>
      <w:r w:rsidR="0056218C" w:rsidRPr="00883A1C">
        <w:rPr>
          <w:kern w:val="22"/>
          <w:szCs w:val="22"/>
        </w:rPr>
        <w:t>the thirteenth meeting of the Conference of the Parties</w:t>
      </w:r>
      <w:r w:rsidR="004369D2" w:rsidRPr="00883A1C">
        <w:rPr>
          <w:kern w:val="22"/>
          <w:szCs w:val="22"/>
        </w:rPr>
        <w:t xml:space="preserve"> and </w:t>
      </w:r>
      <w:r w:rsidR="009902B9" w:rsidRPr="00883A1C">
        <w:rPr>
          <w:kern w:val="22"/>
          <w:szCs w:val="22"/>
        </w:rPr>
        <w:t xml:space="preserve">recent </w:t>
      </w:r>
      <w:r w:rsidR="004369D2" w:rsidRPr="00883A1C">
        <w:rPr>
          <w:kern w:val="22"/>
          <w:szCs w:val="22"/>
        </w:rPr>
        <w:t>developments under other conventions</w:t>
      </w:r>
      <w:r w:rsidRPr="00883A1C">
        <w:rPr>
          <w:kern w:val="22"/>
          <w:szCs w:val="22"/>
        </w:rPr>
        <w:t xml:space="preserve">. This included </w:t>
      </w:r>
      <w:r w:rsidR="00AA3D4F" w:rsidRPr="00883A1C">
        <w:rPr>
          <w:kern w:val="22"/>
          <w:szCs w:val="22"/>
        </w:rPr>
        <w:t xml:space="preserve">significant attention and </w:t>
      </w:r>
      <w:r w:rsidRPr="00883A1C">
        <w:rPr>
          <w:kern w:val="22"/>
          <w:szCs w:val="22"/>
        </w:rPr>
        <w:t xml:space="preserve">discussion on decision XIII/24. </w:t>
      </w:r>
      <w:r w:rsidR="008F26E1" w:rsidRPr="00883A1C">
        <w:rPr>
          <w:kern w:val="22"/>
          <w:szCs w:val="22"/>
        </w:rPr>
        <w:t xml:space="preserve">The twelfth </w:t>
      </w:r>
      <w:r w:rsidRPr="00883A1C">
        <w:rPr>
          <w:kern w:val="22"/>
          <w:szCs w:val="22"/>
        </w:rPr>
        <w:t xml:space="preserve">ordinary </w:t>
      </w:r>
      <w:r w:rsidR="008F26E1" w:rsidRPr="00883A1C">
        <w:rPr>
          <w:kern w:val="22"/>
          <w:szCs w:val="22"/>
        </w:rPr>
        <w:t>meeting of the Liaison Group of Biodiversity-related Conventions</w:t>
      </w:r>
      <w:r w:rsidRPr="00883A1C">
        <w:rPr>
          <w:kern w:val="22"/>
          <w:szCs w:val="22"/>
        </w:rPr>
        <w:t xml:space="preserve"> was held at </w:t>
      </w:r>
      <w:r w:rsidR="008611B0" w:rsidRPr="00883A1C">
        <w:rPr>
          <w:kern w:val="22"/>
          <w:szCs w:val="22"/>
        </w:rPr>
        <w:t xml:space="preserve">the premises of </w:t>
      </w:r>
      <w:r w:rsidRPr="00883A1C">
        <w:rPr>
          <w:kern w:val="22"/>
          <w:szCs w:val="22"/>
        </w:rPr>
        <w:t>the Food and Agriculture Organization of the United Nations in Rome on 28</w:t>
      </w:r>
      <w:r w:rsidR="008611B0" w:rsidRPr="00883A1C">
        <w:rPr>
          <w:kern w:val="22"/>
          <w:szCs w:val="22"/>
        </w:rPr>
        <w:t> </w:t>
      </w:r>
      <w:r w:rsidRPr="00883A1C">
        <w:rPr>
          <w:kern w:val="22"/>
          <w:szCs w:val="22"/>
        </w:rPr>
        <w:t>September 2017. The meeting was chaired by the Secretary of ITPGRFA</w:t>
      </w:r>
      <w:r w:rsidR="00C76087" w:rsidRPr="00883A1C">
        <w:rPr>
          <w:kern w:val="22"/>
          <w:szCs w:val="22"/>
        </w:rPr>
        <w:t>.</w:t>
      </w:r>
      <w:r w:rsidR="004369D2" w:rsidRPr="00883A1C">
        <w:rPr>
          <w:kern w:val="22"/>
          <w:szCs w:val="22"/>
        </w:rPr>
        <w:t xml:space="preserve"> The meeting also addressed decision XIII/24</w:t>
      </w:r>
      <w:r w:rsidR="009902B9" w:rsidRPr="00883A1C">
        <w:rPr>
          <w:kern w:val="22"/>
          <w:szCs w:val="22"/>
        </w:rPr>
        <w:t xml:space="preserve"> as well as the contribution of the conventions to the process for development of the post-2020 biodiversity framework, among other matters</w:t>
      </w:r>
      <w:r w:rsidR="004369D2" w:rsidRPr="00883A1C">
        <w:rPr>
          <w:kern w:val="22"/>
          <w:szCs w:val="22"/>
        </w:rPr>
        <w:t>. The Liaison Group highlighted the increased quality and number of practical actions taken by the secretariats to enhance cooperation and synergies in the last few years, and welcomed further opportunities to cooperate</w:t>
      </w:r>
      <w:r w:rsidR="005F4284" w:rsidRPr="00883A1C">
        <w:rPr>
          <w:kern w:val="22"/>
          <w:szCs w:val="22"/>
        </w:rPr>
        <w:t>,</w:t>
      </w:r>
      <w:r w:rsidR="004369D2" w:rsidRPr="00883A1C">
        <w:rPr>
          <w:kern w:val="22"/>
          <w:szCs w:val="22"/>
        </w:rPr>
        <w:t xml:space="preserve"> including through bilateral collaboration and joint work plans and activities.</w:t>
      </w:r>
    </w:p>
    <w:p w:rsidR="00E85989" w:rsidRPr="00883A1C" w:rsidRDefault="009B7CA5"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 xml:space="preserve">On 29 September </w:t>
      </w:r>
      <w:r w:rsidR="009902B9" w:rsidRPr="00883A1C">
        <w:rPr>
          <w:kern w:val="22"/>
          <w:szCs w:val="22"/>
        </w:rPr>
        <w:t>2017</w:t>
      </w:r>
      <w:r w:rsidRPr="00883A1C">
        <w:rPr>
          <w:kern w:val="22"/>
          <w:szCs w:val="22"/>
        </w:rPr>
        <w:t xml:space="preserve">, the Secretariat convened a meeting between the members of the Liaison Group of Biodiversity-related Conventions and the organizations that provide their secretariats. The meeting was chaired by the Executive Secretary. </w:t>
      </w:r>
      <w:r w:rsidR="004369D2" w:rsidRPr="00883A1C">
        <w:rPr>
          <w:kern w:val="22"/>
          <w:szCs w:val="22"/>
        </w:rPr>
        <w:t xml:space="preserve">The meeting </w:t>
      </w:r>
      <w:r w:rsidR="009902B9" w:rsidRPr="00883A1C">
        <w:rPr>
          <w:kern w:val="22"/>
          <w:szCs w:val="22"/>
        </w:rPr>
        <w:t>discussed</w:t>
      </w:r>
      <w:r w:rsidR="004369D2" w:rsidRPr="00883A1C">
        <w:rPr>
          <w:kern w:val="22"/>
          <w:szCs w:val="22"/>
        </w:rPr>
        <w:t xml:space="preserve"> </w:t>
      </w:r>
      <w:r w:rsidR="009902B9" w:rsidRPr="00883A1C">
        <w:rPr>
          <w:kern w:val="22"/>
          <w:szCs w:val="22"/>
        </w:rPr>
        <w:t xml:space="preserve">opportunities </w:t>
      </w:r>
      <w:r w:rsidR="004369D2" w:rsidRPr="00883A1C">
        <w:rPr>
          <w:kern w:val="22"/>
          <w:szCs w:val="22"/>
        </w:rPr>
        <w:t>for strengthening inter</w:t>
      </w:r>
      <w:r w:rsidR="00616A66" w:rsidRPr="00883A1C">
        <w:rPr>
          <w:kern w:val="22"/>
          <w:szCs w:val="22"/>
        </w:rPr>
        <w:t>-</w:t>
      </w:r>
      <w:r w:rsidR="004369D2" w:rsidRPr="00883A1C">
        <w:rPr>
          <w:kern w:val="22"/>
          <w:szCs w:val="22"/>
        </w:rPr>
        <w:t xml:space="preserve">agency coordination and cooperation in support of the biodiversity and sustainable development agendas, particularly implementation of the biodiversity-related conventions at the national level, </w:t>
      </w:r>
      <w:r w:rsidR="009902B9" w:rsidRPr="00883A1C">
        <w:rPr>
          <w:kern w:val="22"/>
          <w:szCs w:val="22"/>
        </w:rPr>
        <w:t>through</w:t>
      </w:r>
      <w:r w:rsidR="004369D2" w:rsidRPr="00883A1C">
        <w:rPr>
          <w:kern w:val="22"/>
          <w:szCs w:val="22"/>
        </w:rPr>
        <w:t xml:space="preserve"> mutually supportive activities</w:t>
      </w:r>
      <w:r w:rsidR="009F4D48" w:rsidRPr="00883A1C">
        <w:rPr>
          <w:kern w:val="22"/>
          <w:szCs w:val="22"/>
        </w:rPr>
        <w:t>,</w:t>
      </w:r>
      <w:r w:rsidR="004369D2" w:rsidRPr="00883A1C">
        <w:rPr>
          <w:kern w:val="22"/>
          <w:szCs w:val="22"/>
        </w:rPr>
        <w:t xml:space="preserve"> including capacity-building. </w:t>
      </w:r>
      <w:r w:rsidR="009902B9" w:rsidRPr="00883A1C">
        <w:rPr>
          <w:kern w:val="22"/>
          <w:szCs w:val="22"/>
        </w:rPr>
        <w:t xml:space="preserve">This was considered in the context of implementing the Strategic Plan for Biodiversity 2011-2020 and </w:t>
      </w:r>
      <w:proofErr w:type="gramStart"/>
      <w:r w:rsidR="009902B9" w:rsidRPr="00883A1C">
        <w:rPr>
          <w:kern w:val="22"/>
          <w:szCs w:val="22"/>
        </w:rPr>
        <w:t>its</w:t>
      </w:r>
      <w:proofErr w:type="gramEnd"/>
      <w:r w:rsidR="009902B9" w:rsidRPr="00883A1C">
        <w:rPr>
          <w:kern w:val="22"/>
          <w:szCs w:val="22"/>
        </w:rPr>
        <w:t xml:space="preserve"> follow-up. It was agreed that a similar meeting, involving a wider group of organizations, </w:t>
      </w:r>
      <w:r w:rsidR="009F4D48" w:rsidRPr="00883A1C">
        <w:rPr>
          <w:kern w:val="22"/>
          <w:szCs w:val="22"/>
        </w:rPr>
        <w:t xml:space="preserve">would </w:t>
      </w:r>
      <w:r w:rsidR="009902B9" w:rsidRPr="00883A1C">
        <w:rPr>
          <w:kern w:val="22"/>
          <w:szCs w:val="22"/>
        </w:rPr>
        <w:t xml:space="preserve">be held in conjunction with the meeting of the Liaison Group in 2018. </w:t>
      </w:r>
      <w:r w:rsidR="004369D2" w:rsidRPr="00883A1C">
        <w:rPr>
          <w:kern w:val="22"/>
          <w:szCs w:val="22"/>
        </w:rPr>
        <w:t>As a follow</w:t>
      </w:r>
      <w:r w:rsidR="00476074" w:rsidRPr="00883A1C">
        <w:rPr>
          <w:kern w:val="22"/>
          <w:szCs w:val="22"/>
        </w:rPr>
        <w:t>-</w:t>
      </w:r>
      <w:r w:rsidR="004369D2" w:rsidRPr="00883A1C">
        <w:rPr>
          <w:kern w:val="22"/>
          <w:szCs w:val="22"/>
        </w:rPr>
        <w:t>up to one of the meeting’s recommendations, the Secretariat has established an ongoing consultation with the capacity development coordinators of biodiversity-related convention secretariats and relevant international organizations to advance implementation of decision XIII/23.</w:t>
      </w:r>
      <w:r w:rsidR="009902B9" w:rsidRPr="00883A1C">
        <w:rPr>
          <w:kern w:val="22"/>
          <w:szCs w:val="22"/>
        </w:rPr>
        <w:t xml:space="preserve"> </w:t>
      </w:r>
      <w:r w:rsidR="00AA3D4F" w:rsidRPr="00883A1C">
        <w:rPr>
          <w:kern w:val="22"/>
          <w:szCs w:val="22"/>
        </w:rPr>
        <w:t xml:space="preserve">Further information on </w:t>
      </w:r>
      <w:r w:rsidR="004369D2" w:rsidRPr="00883A1C">
        <w:rPr>
          <w:kern w:val="22"/>
          <w:szCs w:val="22"/>
        </w:rPr>
        <w:t xml:space="preserve">this meeting and that of the </w:t>
      </w:r>
      <w:r w:rsidR="00AA3D4F" w:rsidRPr="00883A1C">
        <w:rPr>
          <w:kern w:val="22"/>
          <w:szCs w:val="22"/>
        </w:rPr>
        <w:t xml:space="preserve">Liaison Group is provided in </w:t>
      </w:r>
      <w:r w:rsidR="00262DBC" w:rsidRPr="00883A1C">
        <w:rPr>
          <w:kern w:val="22"/>
          <w:szCs w:val="22"/>
        </w:rPr>
        <w:t xml:space="preserve">information </w:t>
      </w:r>
      <w:r w:rsidR="00AA3D4F" w:rsidRPr="00883A1C">
        <w:rPr>
          <w:kern w:val="22"/>
          <w:szCs w:val="22"/>
        </w:rPr>
        <w:t>document CBD/SBI/2/INF/</w:t>
      </w:r>
      <w:r w:rsidR="004369D2" w:rsidRPr="00883A1C">
        <w:rPr>
          <w:kern w:val="22"/>
          <w:szCs w:val="22"/>
        </w:rPr>
        <w:t>12</w:t>
      </w:r>
      <w:r w:rsidR="00AA3D4F" w:rsidRPr="00883A1C">
        <w:rPr>
          <w:kern w:val="22"/>
          <w:szCs w:val="22"/>
        </w:rPr>
        <w:t>.</w:t>
      </w:r>
    </w:p>
    <w:p w:rsidR="00C76CD2" w:rsidRPr="00883A1C" w:rsidRDefault="00706F41" w:rsidP="00883A1C">
      <w:pPr>
        <w:keepNext/>
        <w:numPr>
          <w:ilvl w:val="0"/>
          <w:numId w:val="36"/>
        </w:numPr>
        <w:suppressLineNumbers/>
        <w:suppressAutoHyphens/>
        <w:kinsoku w:val="0"/>
        <w:overflowPunct w:val="0"/>
        <w:autoSpaceDE w:val="0"/>
        <w:autoSpaceDN w:val="0"/>
        <w:adjustRightInd w:val="0"/>
        <w:snapToGrid w:val="0"/>
        <w:spacing w:before="120" w:after="120" w:line="238" w:lineRule="auto"/>
        <w:jc w:val="center"/>
        <w:outlineLvl w:val="1"/>
        <w:rPr>
          <w:b/>
          <w:kern w:val="22"/>
          <w:szCs w:val="22"/>
        </w:rPr>
      </w:pPr>
      <w:r w:rsidRPr="00883A1C">
        <w:rPr>
          <w:b/>
          <w:kern w:val="22"/>
          <w:szCs w:val="22"/>
        </w:rPr>
        <w:lastRenderedPageBreak/>
        <w:t>B</w:t>
      </w:r>
      <w:r w:rsidR="008F650F" w:rsidRPr="00883A1C">
        <w:rPr>
          <w:b/>
          <w:kern w:val="22"/>
          <w:szCs w:val="22"/>
        </w:rPr>
        <w:t>ilateral cooperation</w:t>
      </w:r>
    </w:p>
    <w:p w:rsidR="004F34CE" w:rsidRPr="00883A1C" w:rsidRDefault="00867462"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T</w:t>
      </w:r>
      <w:r w:rsidR="004F34CE" w:rsidRPr="00883A1C">
        <w:rPr>
          <w:kern w:val="22"/>
          <w:szCs w:val="22"/>
        </w:rPr>
        <w:t xml:space="preserve">he conventions cooperate through </w:t>
      </w:r>
      <w:r w:rsidR="006B0D4C" w:rsidRPr="00883A1C">
        <w:rPr>
          <w:kern w:val="22"/>
          <w:szCs w:val="22"/>
        </w:rPr>
        <w:t xml:space="preserve">numerous </w:t>
      </w:r>
      <w:r w:rsidR="004F34CE" w:rsidRPr="00883A1C">
        <w:rPr>
          <w:kern w:val="22"/>
          <w:szCs w:val="22"/>
        </w:rPr>
        <w:t>bilateral relationships</w:t>
      </w:r>
      <w:r w:rsidR="00E91F75" w:rsidRPr="00883A1C">
        <w:rPr>
          <w:kern w:val="22"/>
          <w:szCs w:val="22"/>
        </w:rPr>
        <w:t xml:space="preserve"> </w:t>
      </w:r>
      <w:r w:rsidR="00D0585E" w:rsidRPr="00883A1C">
        <w:rPr>
          <w:kern w:val="22"/>
          <w:szCs w:val="22"/>
        </w:rPr>
        <w:t>among themselves</w:t>
      </w:r>
      <w:r w:rsidR="00AA3D4F" w:rsidRPr="00883A1C">
        <w:rPr>
          <w:kern w:val="22"/>
          <w:szCs w:val="22"/>
        </w:rPr>
        <w:t xml:space="preserve"> </w:t>
      </w:r>
      <w:r w:rsidR="004F34CE" w:rsidRPr="00883A1C">
        <w:rPr>
          <w:kern w:val="22"/>
          <w:szCs w:val="22"/>
        </w:rPr>
        <w:t xml:space="preserve">aimed </w:t>
      </w:r>
      <w:r w:rsidR="00FF7EBA" w:rsidRPr="00883A1C">
        <w:rPr>
          <w:kern w:val="22"/>
          <w:szCs w:val="22"/>
        </w:rPr>
        <w:t xml:space="preserve">at </w:t>
      </w:r>
      <w:r w:rsidR="004F34CE" w:rsidRPr="00883A1C">
        <w:rPr>
          <w:kern w:val="22"/>
          <w:szCs w:val="22"/>
        </w:rPr>
        <w:t>leverag</w:t>
      </w:r>
      <w:r w:rsidR="00FF7EBA" w:rsidRPr="00883A1C">
        <w:rPr>
          <w:kern w:val="22"/>
          <w:szCs w:val="22"/>
        </w:rPr>
        <w:t>ing</w:t>
      </w:r>
      <w:r w:rsidR="004F34CE" w:rsidRPr="00883A1C">
        <w:rPr>
          <w:kern w:val="22"/>
          <w:szCs w:val="22"/>
        </w:rPr>
        <w:t xml:space="preserve"> enhanced benefits through synergies in areas of intersect between the conventions</w:t>
      </w:r>
      <w:r w:rsidR="00691E77" w:rsidRPr="00883A1C">
        <w:rPr>
          <w:kern w:val="22"/>
          <w:szCs w:val="22"/>
        </w:rPr>
        <w:t xml:space="preserve"> concerned</w:t>
      </w:r>
      <w:r w:rsidR="004F34CE" w:rsidRPr="00883A1C">
        <w:rPr>
          <w:kern w:val="22"/>
          <w:szCs w:val="22"/>
        </w:rPr>
        <w:t xml:space="preserve">. This is an area </w:t>
      </w:r>
      <w:r w:rsidR="009D01B3" w:rsidRPr="00883A1C">
        <w:rPr>
          <w:kern w:val="22"/>
          <w:szCs w:val="22"/>
        </w:rPr>
        <w:t xml:space="preserve">recognized by the </w:t>
      </w:r>
      <w:r w:rsidR="0056218C" w:rsidRPr="00883A1C">
        <w:rPr>
          <w:bCs/>
          <w:iCs/>
          <w:kern w:val="22"/>
          <w:szCs w:val="22"/>
        </w:rPr>
        <w:t>Conference of the Parties to the Convention</w:t>
      </w:r>
      <w:r w:rsidR="009D01B3" w:rsidRPr="00883A1C">
        <w:rPr>
          <w:kern w:val="22"/>
          <w:szCs w:val="22"/>
        </w:rPr>
        <w:t xml:space="preserve"> as important to enhancing synergies in </w:t>
      </w:r>
      <w:r w:rsidR="008625FA" w:rsidRPr="00883A1C">
        <w:rPr>
          <w:kern w:val="22"/>
          <w:szCs w:val="22"/>
        </w:rPr>
        <w:t xml:space="preserve">the </w:t>
      </w:r>
      <w:r w:rsidR="009D01B3" w:rsidRPr="00883A1C">
        <w:rPr>
          <w:kern w:val="22"/>
          <w:szCs w:val="22"/>
        </w:rPr>
        <w:t>implementation</w:t>
      </w:r>
      <w:r w:rsidR="00AA3D4F" w:rsidRPr="00883A1C">
        <w:rPr>
          <w:kern w:val="22"/>
          <w:szCs w:val="22"/>
        </w:rPr>
        <w:t xml:space="preserve"> of the conventions</w:t>
      </w:r>
      <w:r w:rsidR="009D01B3" w:rsidRPr="00883A1C">
        <w:rPr>
          <w:kern w:val="22"/>
          <w:szCs w:val="22"/>
        </w:rPr>
        <w:t xml:space="preserve">, and is </w:t>
      </w:r>
      <w:r w:rsidR="004F34CE" w:rsidRPr="00883A1C">
        <w:rPr>
          <w:kern w:val="22"/>
          <w:szCs w:val="22"/>
        </w:rPr>
        <w:t>reflected as a desirable key action in the road map for enhancing synergies among the biodiversity-related conventions at the international level 2017-2020.</w:t>
      </w:r>
      <w:r w:rsidR="009D01B3" w:rsidRPr="00883A1C">
        <w:rPr>
          <w:kern w:val="22"/>
          <w:szCs w:val="22"/>
        </w:rPr>
        <w:t xml:space="preserve"> </w:t>
      </w:r>
      <w:r w:rsidR="00691E77" w:rsidRPr="00883A1C">
        <w:rPr>
          <w:kern w:val="22"/>
          <w:szCs w:val="22"/>
        </w:rPr>
        <w:t>Recent e</w:t>
      </w:r>
      <w:r w:rsidR="00FD4EBA" w:rsidRPr="00883A1C">
        <w:rPr>
          <w:kern w:val="22"/>
          <w:szCs w:val="22"/>
        </w:rPr>
        <w:t xml:space="preserve">xamples of </w:t>
      </w:r>
      <w:r w:rsidR="00691E77" w:rsidRPr="00883A1C">
        <w:rPr>
          <w:kern w:val="22"/>
          <w:szCs w:val="22"/>
        </w:rPr>
        <w:t>such</w:t>
      </w:r>
      <w:r w:rsidR="00FD4EBA" w:rsidRPr="00883A1C">
        <w:rPr>
          <w:kern w:val="22"/>
          <w:szCs w:val="22"/>
        </w:rPr>
        <w:t xml:space="preserve"> cooperative efforts </w:t>
      </w:r>
      <w:r w:rsidR="00E77D29" w:rsidRPr="00883A1C">
        <w:rPr>
          <w:kern w:val="22"/>
          <w:szCs w:val="22"/>
        </w:rPr>
        <w:t>are outlined below.</w:t>
      </w:r>
    </w:p>
    <w:p w:rsidR="00C76CD2" w:rsidRPr="00883A1C" w:rsidRDefault="00E91F75"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T</w:t>
      </w:r>
      <w:r w:rsidR="008F650F" w:rsidRPr="00883A1C">
        <w:rPr>
          <w:kern w:val="22"/>
          <w:szCs w:val="22"/>
        </w:rPr>
        <w:t xml:space="preserve">he Standing Committee </w:t>
      </w:r>
      <w:r w:rsidR="00133987" w:rsidRPr="00883A1C">
        <w:rPr>
          <w:kern w:val="22"/>
          <w:szCs w:val="22"/>
        </w:rPr>
        <w:t xml:space="preserve">of the Convention on International Trade in Endangered Species of Wild Fauna and Flora (CITES) </w:t>
      </w:r>
      <w:r w:rsidR="00FD4EBA" w:rsidRPr="00883A1C">
        <w:rPr>
          <w:kern w:val="22"/>
          <w:szCs w:val="22"/>
        </w:rPr>
        <w:t xml:space="preserve">and </w:t>
      </w:r>
      <w:r w:rsidR="0056218C" w:rsidRPr="00883A1C">
        <w:rPr>
          <w:kern w:val="22"/>
          <w:szCs w:val="22"/>
        </w:rPr>
        <w:t xml:space="preserve">the Conference of the Parties to </w:t>
      </w:r>
      <w:r w:rsidR="00FD4EBA" w:rsidRPr="00883A1C">
        <w:rPr>
          <w:kern w:val="22"/>
          <w:szCs w:val="22"/>
        </w:rPr>
        <w:t>CMS have</w:t>
      </w:r>
      <w:r w:rsidR="008F650F" w:rsidRPr="00883A1C">
        <w:rPr>
          <w:kern w:val="22"/>
          <w:szCs w:val="22"/>
        </w:rPr>
        <w:t xml:space="preserve"> approved a CITES-CMS Joint Work Programme 2015-2020</w:t>
      </w:r>
      <w:r w:rsidR="00531AF4" w:rsidRPr="00883A1C">
        <w:rPr>
          <w:kern w:val="22"/>
          <w:szCs w:val="22"/>
        </w:rPr>
        <w:t>.</w:t>
      </w:r>
      <w:r w:rsidR="008F650F" w:rsidRPr="00883A1C">
        <w:rPr>
          <w:kern w:val="22"/>
          <w:szCs w:val="22"/>
          <w:vertAlign w:val="superscript"/>
        </w:rPr>
        <w:footnoteReference w:id="4"/>
      </w:r>
      <w:r w:rsidR="00FD4EBA" w:rsidRPr="00883A1C">
        <w:rPr>
          <w:kern w:val="22"/>
          <w:szCs w:val="22"/>
        </w:rPr>
        <w:t xml:space="preserve"> With</w:t>
      </w:r>
      <w:r w:rsidR="008F650F" w:rsidRPr="00883A1C">
        <w:rPr>
          <w:kern w:val="22"/>
          <w:szCs w:val="22"/>
        </w:rPr>
        <w:t xml:space="preserve"> the support of </w:t>
      </w:r>
      <w:r w:rsidR="004F34CE" w:rsidRPr="00883A1C">
        <w:rPr>
          <w:kern w:val="22"/>
          <w:szCs w:val="22"/>
        </w:rPr>
        <w:t>a</w:t>
      </w:r>
      <w:r w:rsidR="008F650F" w:rsidRPr="00883A1C">
        <w:rPr>
          <w:kern w:val="22"/>
          <w:szCs w:val="22"/>
        </w:rPr>
        <w:t xml:space="preserve"> CMS/CITES Joint Programme Officer, generously funded by the Government of Germany, </w:t>
      </w:r>
      <w:r w:rsidR="00FD4EBA" w:rsidRPr="00883A1C">
        <w:rPr>
          <w:kern w:val="22"/>
          <w:szCs w:val="22"/>
        </w:rPr>
        <w:t xml:space="preserve">and operational since July 2015, </w:t>
      </w:r>
      <w:r w:rsidR="008F650F" w:rsidRPr="00883A1C">
        <w:rPr>
          <w:kern w:val="22"/>
          <w:szCs w:val="22"/>
        </w:rPr>
        <w:t>the CITES Secretariat has been cooperating with the secretariats of CMS and its sister agreements on a number of issues:</w:t>
      </w:r>
    </w:p>
    <w:p w:rsidR="008F650F" w:rsidRPr="00883A1C" w:rsidRDefault="008F650F" w:rsidP="00883A1C">
      <w:pPr>
        <w:pStyle w:val="Para1"/>
        <w:numPr>
          <w:ilvl w:val="1"/>
          <w:numId w:val="6"/>
        </w:numPr>
        <w:suppressLineNumbers/>
        <w:tabs>
          <w:tab w:val="clear" w:pos="1440"/>
        </w:tabs>
        <w:suppressAutoHyphens/>
        <w:kinsoku w:val="0"/>
        <w:overflowPunct w:val="0"/>
        <w:autoSpaceDE w:val="0"/>
        <w:autoSpaceDN w:val="0"/>
        <w:adjustRightInd w:val="0"/>
        <w:snapToGrid w:val="0"/>
        <w:spacing w:before="0" w:line="238" w:lineRule="auto"/>
        <w:rPr>
          <w:kern w:val="22"/>
          <w:szCs w:val="22"/>
        </w:rPr>
      </w:pPr>
      <w:r w:rsidRPr="00883A1C">
        <w:rPr>
          <w:kern w:val="22"/>
          <w:szCs w:val="22"/>
        </w:rPr>
        <w:t>Cooperation with the Secretariat of the Agreement on the Conservation of Cetaceans of the Black Sea, Mediterranean Sea and Contiguous Atlantic Area (ACCOBAMS) on the Black Sea bottlenose dolphin (</w:t>
      </w:r>
      <w:r w:rsidRPr="00883A1C">
        <w:rPr>
          <w:i/>
          <w:kern w:val="22"/>
          <w:szCs w:val="22"/>
          <w:lang w:val="la-Latn"/>
        </w:rPr>
        <w:t>Tursiops truncatus ponticus</w:t>
      </w:r>
      <w:r w:rsidRPr="00883A1C">
        <w:rPr>
          <w:kern w:val="22"/>
          <w:szCs w:val="22"/>
        </w:rPr>
        <w:t>);</w:t>
      </w:r>
    </w:p>
    <w:p w:rsidR="008F650F" w:rsidRPr="00883A1C" w:rsidRDefault="008F650F" w:rsidP="00883A1C">
      <w:pPr>
        <w:pStyle w:val="Para1"/>
        <w:numPr>
          <w:ilvl w:val="1"/>
          <w:numId w:val="6"/>
        </w:numPr>
        <w:suppressLineNumbers/>
        <w:tabs>
          <w:tab w:val="clear" w:pos="1440"/>
        </w:tabs>
        <w:suppressAutoHyphens/>
        <w:kinsoku w:val="0"/>
        <w:overflowPunct w:val="0"/>
        <w:autoSpaceDE w:val="0"/>
        <w:autoSpaceDN w:val="0"/>
        <w:adjustRightInd w:val="0"/>
        <w:snapToGrid w:val="0"/>
        <w:spacing w:before="0" w:line="238" w:lineRule="auto"/>
        <w:rPr>
          <w:kern w:val="22"/>
          <w:szCs w:val="22"/>
        </w:rPr>
      </w:pPr>
      <w:r w:rsidRPr="00883A1C">
        <w:rPr>
          <w:kern w:val="22"/>
          <w:szCs w:val="22"/>
        </w:rPr>
        <w:t>Cooperation with the Secretariat of the Memorandum of Understanding on the Conservation and Management of Marine Turtles and their Habitats of the Indian Ocean and South-East Asia in preparing a study on the illegal trade in marine turtles;</w:t>
      </w:r>
    </w:p>
    <w:p w:rsidR="008F650F" w:rsidRPr="00883A1C" w:rsidRDefault="008F650F" w:rsidP="00883A1C">
      <w:pPr>
        <w:pStyle w:val="Para1"/>
        <w:numPr>
          <w:ilvl w:val="1"/>
          <w:numId w:val="6"/>
        </w:numPr>
        <w:suppressLineNumbers/>
        <w:tabs>
          <w:tab w:val="clear" w:pos="1440"/>
        </w:tabs>
        <w:suppressAutoHyphens/>
        <w:kinsoku w:val="0"/>
        <w:overflowPunct w:val="0"/>
        <w:autoSpaceDE w:val="0"/>
        <w:autoSpaceDN w:val="0"/>
        <w:adjustRightInd w:val="0"/>
        <w:snapToGrid w:val="0"/>
        <w:spacing w:before="0" w:line="238" w:lineRule="auto"/>
        <w:rPr>
          <w:kern w:val="22"/>
          <w:szCs w:val="22"/>
        </w:rPr>
      </w:pPr>
      <w:r w:rsidRPr="00883A1C">
        <w:rPr>
          <w:kern w:val="22"/>
          <w:szCs w:val="22"/>
        </w:rPr>
        <w:t>Cooperation with the CMS Secretariat on the African lion (</w:t>
      </w:r>
      <w:r w:rsidRPr="00883A1C">
        <w:rPr>
          <w:i/>
          <w:kern w:val="22"/>
          <w:szCs w:val="22"/>
          <w:lang w:val="la-Latn"/>
        </w:rPr>
        <w:t>Panthera leo</w:t>
      </w:r>
      <w:r w:rsidRPr="00883A1C">
        <w:rPr>
          <w:kern w:val="22"/>
          <w:szCs w:val="22"/>
        </w:rPr>
        <w:t>)</w:t>
      </w:r>
      <w:r w:rsidR="007E6EE3" w:rsidRPr="00883A1C">
        <w:rPr>
          <w:kern w:val="22"/>
          <w:szCs w:val="22"/>
        </w:rPr>
        <w:t>,</w:t>
      </w:r>
      <w:r w:rsidRPr="00883A1C">
        <w:rPr>
          <w:kern w:val="22"/>
          <w:szCs w:val="22"/>
        </w:rPr>
        <w:t xml:space="preserve"> including the development of a lion web</w:t>
      </w:r>
      <w:r w:rsidR="007E6EE3" w:rsidRPr="00883A1C">
        <w:rPr>
          <w:kern w:val="22"/>
          <w:szCs w:val="22"/>
        </w:rPr>
        <w:t xml:space="preserve"> </w:t>
      </w:r>
      <w:r w:rsidRPr="00883A1C">
        <w:rPr>
          <w:kern w:val="22"/>
          <w:szCs w:val="22"/>
        </w:rPr>
        <w:t>portal to permit, among other things, the sharing of information and voluntary guidance on the sustainable use of African lion</w:t>
      </w:r>
      <w:r w:rsidR="007E6EE3" w:rsidRPr="00883A1C">
        <w:rPr>
          <w:kern w:val="22"/>
          <w:szCs w:val="22"/>
        </w:rPr>
        <w:t>s</w:t>
      </w:r>
      <w:r w:rsidRPr="00883A1C">
        <w:rPr>
          <w:kern w:val="22"/>
          <w:szCs w:val="22"/>
        </w:rPr>
        <w:t>;</w:t>
      </w:r>
    </w:p>
    <w:p w:rsidR="008F650F" w:rsidRPr="00883A1C" w:rsidRDefault="008F650F" w:rsidP="00883A1C">
      <w:pPr>
        <w:pStyle w:val="Para1"/>
        <w:numPr>
          <w:ilvl w:val="1"/>
          <w:numId w:val="6"/>
        </w:numPr>
        <w:suppressLineNumbers/>
        <w:tabs>
          <w:tab w:val="clear" w:pos="1440"/>
        </w:tabs>
        <w:suppressAutoHyphens/>
        <w:kinsoku w:val="0"/>
        <w:overflowPunct w:val="0"/>
        <w:autoSpaceDE w:val="0"/>
        <w:autoSpaceDN w:val="0"/>
        <w:adjustRightInd w:val="0"/>
        <w:snapToGrid w:val="0"/>
        <w:spacing w:before="0" w:line="238" w:lineRule="auto"/>
        <w:rPr>
          <w:kern w:val="22"/>
          <w:szCs w:val="22"/>
        </w:rPr>
      </w:pPr>
      <w:r w:rsidRPr="00883A1C">
        <w:rPr>
          <w:kern w:val="22"/>
          <w:szCs w:val="22"/>
        </w:rPr>
        <w:t xml:space="preserve">Cooperation with the Secretariat of the Memorandum of Understanding concerning Conservation, Restoration and Sustainable Use of the </w:t>
      </w:r>
      <w:proofErr w:type="spellStart"/>
      <w:r w:rsidRPr="00883A1C">
        <w:rPr>
          <w:kern w:val="22"/>
          <w:szCs w:val="22"/>
        </w:rPr>
        <w:t>Saiga</w:t>
      </w:r>
      <w:proofErr w:type="spellEnd"/>
      <w:r w:rsidRPr="00883A1C">
        <w:rPr>
          <w:kern w:val="22"/>
          <w:szCs w:val="22"/>
        </w:rPr>
        <w:t xml:space="preserve"> Antelope (</w:t>
      </w:r>
      <w:r w:rsidRPr="00883A1C">
        <w:rPr>
          <w:i/>
          <w:kern w:val="22"/>
          <w:szCs w:val="22"/>
          <w:lang w:val="la-Latn"/>
        </w:rPr>
        <w:t>Saiga</w:t>
      </w:r>
      <w:r w:rsidRPr="00883A1C">
        <w:rPr>
          <w:kern w:val="22"/>
          <w:szCs w:val="22"/>
        </w:rPr>
        <w:t xml:space="preserve"> spp.).</w:t>
      </w:r>
    </w:p>
    <w:p w:rsidR="00FD4EBA" w:rsidRPr="00883A1C" w:rsidRDefault="00FD4EBA"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 xml:space="preserve">In this context, for example, the CMS and CITES </w:t>
      </w:r>
      <w:r w:rsidR="006C4EDA" w:rsidRPr="00883A1C">
        <w:rPr>
          <w:kern w:val="22"/>
          <w:szCs w:val="22"/>
        </w:rPr>
        <w:t>s</w:t>
      </w:r>
      <w:r w:rsidRPr="00883A1C">
        <w:rPr>
          <w:kern w:val="22"/>
          <w:szCs w:val="22"/>
        </w:rPr>
        <w:t xml:space="preserve">ecretariats convened a joint meeting to discuss broadly the continent-wide conservation of the African lion while at the same time facilitating the implementation of CMS Resolution 11.32 and discussing appropriate listings of the species under CITES and CMS. The meeting </w:t>
      </w:r>
      <w:r w:rsidR="006C4EDA" w:rsidRPr="00883A1C">
        <w:rPr>
          <w:kern w:val="22"/>
          <w:szCs w:val="22"/>
        </w:rPr>
        <w:t>was held</w:t>
      </w:r>
      <w:r w:rsidRPr="00883A1C">
        <w:rPr>
          <w:kern w:val="22"/>
          <w:szCs w:val="22"/>
        </w:rPr>
        <w:t xml:space="preserve"> in Entebbe, Uganda</w:t>
      </w:r>
      <w:r w:rsidR="006C4EDA" w:rsidRPr="00883A1C">
        <w:rPr>
          <w:kern w:val="22"/>
          <w:szCs w:val="22"/>
        </w:rPr>
        <w:t>,</w:t>
      </w:r>
      <w:r w:rsidRPr="00883A1C">
        <w:rPr>
          <w:kern w:val="22"/>
          <w:szCs w:val="22"/>
        </w:rPr>
        <w:t xml:space="preserve"> on 30</w:t>
      </w:r>
      <w:r w:rsidR="006C4EDA" w:rsidRPr="00883A1C">
        <w:rPr>
          <w:kern w:val="22"/>
          <w:szCs w:val="22"/>
        </w:rPr>
        <w:t xml:space="preserve"> and </w:t>
      </w:r>
      <w:r w:rsidRPr="00883A1C">
        <w:rPr>
          <w:kern w:val="22"/>
          <w:szCs w:val="22"/>
        </w:rPr>
        <w:t xml:space="preserve">31 May 2016 and issued a </w:t>
      </w:r>
      <w:r w:rsidR="006C4EDA" w:rsidRPr="00883A1C">
        <w:rPr>
          <w:kern w:val="22"/>
          <w:szCs w:val="22"/>
        </w:rPr>
        <w:t>c</w:t>
      </w:r>
      <w:r w:rsidRPr="00883A1C">
        <w:rPr>
          <w:kern w:val="22"/>
          <w:szCs w:val="22"/>
        </w:rPr>
        <w:t xml:space="preserve">ommuniqué which calls for concerted efforts to conserve this species. Based on this joint work, the </w:t>
      </w:r>
      <w:r w:rsidR="004F2C2B" w:rsidRPr="00883A1C">
        <w:rPr>
          <w:kern w:val="22"/>
          <w:szCs w:val="22"/>
        </w:rPr>
        <w:t>s</w:t>
      </w:r>
      <w:r w:rsidRPr="00883A1C">
        <w:rPr>
          <w:kern w:val="22"/>
          <w:szCs w:val="22"/>
        </w:rPr>
        <w:t xml:space="preserve">ecretariats developed a proposal for a Joint CITES-CMS African Carnivores Initiative, which was adopted by </w:t>
      </w:r>
      <w:r w:rsidR="00B73C13" w:rsidRPr="00883A1C">
        <w:rPr>
          <w:kern w:val="22"/>
          <w:szCs w:val="22"/>
        </w:rPr>
        <w:t>the Conference of the Parties to CMS at its twelfth meeting,</w:t>
      </w:r>
      <w:r w:rsidRPr="00883A1C">
        <w:rPr>
          <w:kern w:val="22"/>
          <w:szCs w:val="22"/>
        </w:rPr>
        <w:t xml:space="preserve"> in November 2017. In addition, other </w:t>
      </w:r>
      <w:r w:rsidR="004F2C2B" w:rsidRPr="00883A1C">
        <w:rPr>
          <w:kern w:val="22"/>
          <w:szCs w:val="22"/>
        </w:rPr>
        <w:t>r</w:t>
      </w:r>
      <w:r w:rsidRPr="00883A1C">
        <w:rPr>
          <w:kern w:val="22"/>
          <w:szCs w:val="22"/>
        </w:rPr>
        <w:t xml:space="preserve">esolutions advancing cooperation between the two </w:t>
      </w:r>
      <w:r w:rsidR="004F2C2B" w:rsidRPr="00883A1C">
        <w:rPr>
          <w:kern w:val="22"/>
          <w:szCs w:val="22"/>
        </w:rPr>
        <w:t>s</w:t>
      </w:r>
      <w:r w:rsidRPr="00883A1C">
        <w:rPr>
          <w:kern w:val="22"/>
          <w:szCs w:val="22"/>
        </w:rPr>
        <w:t>ecretariats on specific species, including elephants, have been endorsed.</w:t>
      </w:r>
    </w:p>
    <w:p w:rsidR="008F650F" w:rsidRPr="00883A1C" w:rsidRDefault="008F650F"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 xml:space="preserve">The CMS and CITES </w:t>
      </w:r>
      <w:r w:rsidR="004F2C2B" w:rsidRPr="00883A1C">
        <w:rPr>
          <w:kern w:val="22"/>
          <w:szCs w:val="22"/>
        </w:rPr>
        <w:t>s</w:t>
      </w:r>
      <w:r w:rsidRPr="00883A1C">
        <w:rPr>
          <w:kern w:val="22"/>
          <w:szCs w:val="22"/>
        </w:rPr>
        <w:t>ecretariats also closely collaborate on sharks and rays, Central Asian species, eels, great apes and elephants.</w:t>
      </w:r>
    </w:p>
    <w:p w:rsidR="00FD4EBA" w:rsidRPr="00883A1C" w:rsidRDefault="00FD4EBA"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The CMS Secretariat has also established synergies with the International Whaling Commission with regard to the joint development of an Online Whale Watching Handbook which responds to a request by the Parties to both treaties.</w:t>
      </w:r>
    </w:p>
    <w:p w:rsidR="00FD4EBA" w:rsidRPr="00883A1C" w:rsidRDefault="009D01B3"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 xml:space="preserve">Cooperation between CMS and CBD is currently guided by a Joint Work Plan for the CBD and CMS </w:t>
      </w:r>
      <w:r w:rsidR="00D03A7C" w:rsidRPr="00883A1C">
        <w:rPr>
          <w:kern w:val="22"/>
          <w:szCs w:val="22"/>
        </w:rPr>
        <w:t>s</w:t>
      </w:r>
      <w:r w:rsidRPr="00883A1C">
        <w:rPr>
          <w:kern w:val="22"/>
          <w:szCs w:val="22"/>
        </w:rPr>
        <w:t xml:space="preserve">ecretariats for the period 2016-2018. </w:t>
      </w:r>
      <w:r w:rsidR="00167AD4" w:rsidRPr="00883A1C">
        <w:rPr>
          <w:kern w:val="22"/>
          <w:szCs w:val="22"/>
        </w:rPr>
        <w:t xml:space="preserve">This includes their continued cooperation in the context of the Liaison Group of Biodiversity-related Conventions and, in </w:t>
      </w:r>
      <w:r w:rsidRPr="00883A1C">
        <w:rPr>
          <w:kern w:val="22"/>
          <w:szCs w:val="22"/>
        </w:rPr>
        <w:t xml:space="preserve">response to CBD </w:t>
      </w:r>
      <w:bookmarkStart w:id="2" w:name="START"/>
      <w:bookmarkEnd w:id="2"/>
      <w:r w:rsidR="00652194" w:rsidRPr="00883A1C">
        <w:rPr>
          <w:kern w:val="22"/>
          <w:szCs w:val="22"/>
        </w:rPr>
        <w:t xml:space="preserve">Conference of the Parties </w:t>
      </w:r>
      <w:r w:rsidRPr="00883A1C">
        <w:rPr>
          <w:kern w:val="22"/>
          <w:szCs w:val="22"/>
        </w:rPr>
        <w:t xml:space="preserve">decision XII/6 and CMS </w:t>
      </w:r>
      <w:r w:rsidR="00652194" w:rsidRPr="00883A1C">
        <w:rPr>
          <w:kern w:val="22"/>
          <w:szCs w:val="22"/>
        </w:rPr>
        <w:t xml:space="preserve">Conference of the Parties </w:t>
      </w:r>
      <w:r w:rsidRPr="00883A1C">
        <w:rPr>
          <w:kern w:val="22"/>
          <w:szCs w:val="22"/>
        </w:rPr>
        <w:t>Resolution 11.10</w:t>
      </w:r>
      <w:r w:rsidR="00167AD4" w:rsidRPr="00883A1C">
        <w:rPr>
          <w:kern w:val="22"/>
          <w:szCs w:val="22"/>
        </w:rPr>
        <w:t>, their joint contribution to the party-led process to enhance collaboration and improve efficiencies among the conventions.</w:t>
      </w:r>
      <w:r w:rsidRPr="00883A1C">
        <w:rPr>
          <w:kern w:val="22"/>
          <w:szCs w:val="22"/>
        </w:rPr>
        <w:t xml:space="preserve"> Activities under the Joint Work Plan are set in the framework of their contribution to the targets of the Strategic Plan for Migratory Species 2015-2023 and the Aichi Biodiversity Targets. They cover </w:t>
      </w:r>
      <w:r w:rsidR="00302EBF" w:rsidRPr="00883A1C">
        <w:rPr>
          <w:kern w:val="22"/>
          <w:szCs w:val="22"/>
        </w:rPr>
        <w:t xml:space="preserve">such </w:t>
      </w:r>
      <w:r w:rsidRPr="00883A1C">
        <w:rPr>
          <w:kern w:val="22"/>
          <w:szCs w:val="22"/>
        </w:rPr>
        <w:t xml:space="preserve">areas </w:t>
      </w:r>
      <w:r w:rsidR="00302EBF" w:rsidRPr="00883A1C">
        <w:rPr>
          <w:kern w:val="22"/>
          <w:szCs w:val="22"/>
        </w:rPr>
        <w:t>as</w:t>
      </w:r>
      <w:r w:rsidR="00167AD4" w:rsidRPr="00883A1C">
        <w:rPr>
          <w:kern w:val="22"/>
          <w:szCs w:val="22"/>
        </w:rPr>
        <w:t>:</w:t>
      </w:r>
      <w:r w:rsidRPr="00883A1C">
        <w:rPr>
          <w:kern w:val="22"/>
          <w:szCs w:val="22"/>
        </w:rPr>
        <w:t xml:space="preserve"> communications; area</w:t>
      </w:r>
      <w:r w:rsidR="00D03A7C" w:rsidRPr="00883A1C">
        <w:rPr>
          <w:kern w:val="22"/>
          <w:szCs w:val="22"/>
        </w:rPr>
        <w:t>-</w:t>
      </w:r>
      <w:r w:rsidRPr="00883A1C">
        <w:rPr>
          <w:kern w:val="22"/>
          <w:szCs w:val="22"/>
        </w:rPr>
        <w:t xml:space="preserve">based conservation measures; energy sector developments with migratory species </w:t>
      </w:r>
      <w:r w:rsidRPr="00883A1C">
        <w:rPr>
          <w:kern w:val="22"/>
          <w:szCs w:val="22"/>
        </w:rPr>
        <w:lastRenderedPageBreak/>
        <w:t xml:space="preserve">conservation; reciprocal attention to the issues of underwater noise and marine debris addressed under the two conventions; fisheries and sustainable wildlife management; cooperation with respect to other relevant </w:t>
      </w:r>
      <w:r w:rsidR="00167AD4" w:rsidRPr="00883A1C">
        <w:rPr>
          <w:kern w:val="22"/>
          <w:szCs w:val="22"/>
        </w:rPr>
        <w:t xml:space="preserve">aspects </w:t>
      </w:r>
      <w:r w:rsidRPr="00883A1C">
        <w:rPr>
          <w:kern w:val="22"/>
          <w:szCs w:val="22"/>
        </w:rPr>
        <w:t xml:space="preserve">of marine biodiversity, including the process for the description of </w:t>
      </w:r>
      <w:r w:rsidR="00C27436" w:rsidRPr="00883A1C">
        <w:rPr>
          <w:kern w:val="22"/>
          <w:szCs w:val="22"/>
        </w:rPr>
        <w:t xml:space="preserve">ecologically or biologically significant marine areas </w:t>
      </w:r>
      <w:r w:rsidRPr="00883A1C">
        <w:rPr>
          <w:kern w:val="22"/>
          <w:szCs w:val="22"/>
        </w:rPr>
        <w:t>(EBSAs). With regard the latter, for example, t</w:t>
      </w:r>
      <w:r w:rsidR="00FD4EBA" w:rsidRPr="00883A1C">
        <w:rPr>
          <w:kern w:val="22"/>
          <w:szCs w:val="22"/>
        </w:rPr>
        <w:t>he CMS Office</w:t>
      </w:r>
      <w:r w:rsidR="00C27436" w:rsidRPr="00883A1C">
        <w:rPr>
          <w:kern w:val="22"/>
          <w:szCs w:val="22"/>
        </w:rPr>
        <w:t xml:space="preserve"> in </w:t>
      </w:r>
      <w:r w:rsidR="00FD4EBA" w:rsidRPr="00883A1C">
        <w:rPr>
          <w:kern w:val="22"/>
          <w:szCs w:val="22"/>
        </w:rPr>
        <w:t>Abu</w:t>
      </w:r>
      <w:r w:rsidR="00C27436" w:rsidRPr="00883A1C">
        <w:rPr>
          <w:kern w:val="22"/>
          <w:szCs w:val="22"/>
        </w:rPr>
        <w:t> </w:t>
      </w:r>
      <w:r w:rsidR="00FD4EBA" w:rsidRPr="00883A1C">
        <w:rPr>
          <w:kern w:val="22"/>
          <w:szCs w:val="22"/>
        </w:rPr>
        <w:t xml:space="preserve">Dhabi supported the organization of a CBD </w:t>
      </w:r>
      <w:r w:rsidR="00167AD4" w:rsidRPr="00883A1C">
        <w:rPr>
          <w:kern w:val="22"/>
          <w:szCs w:val="22"/>
        </w:rPr>
        <w:t xml:space="preserve">regional </w:t>
      </w:r>
      <w:r w:rsidR="00FD4EBA" w:rsidRPr="00883A1C">
        <w:rPr>
          <w:kern w:val="22"/>
          <w:szCs w:val="22"/>
        </w:rPr>
        <w:t xml:space="preserve">workshop </w:t>
      </w:r>
      <w:r w:rsidR="00167AD4" w:rsidRPr="00883A1C">
        <w:rPr>
          <w:kern w:val="22"/>
          <w:szCs w:val="22"/>
        </w:rPr>
        <w:t>to facilitate the description of EBSAs in the North-West Indian Ocean and adjacent Gulf areas</w:t>
      </w:r>
      <w:r w:rsidR="00FD4EBA" w:rsidRPr="00883A1C">
        <w:rPr>
          <w:kern w:val="22"/>
          <w:szCs w:val="22"/>
        </w:rPr>
        <w:t xml:space="preserve"> in April 2015.</w:t>
      </w:r>
    </w:p>
    <w:p w:rsidR="004F34CE" w:rsidRPr="00883A1C" w:rsidRDefault="004F34CE"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 xml:space="preserve">The Secretariat of the </w:t>
      </w:r>
      <w:r w:rsidR="0056218C" w:rsidRPr="00883A1C">
        <w:rPr>
          <w:kern w:val="22"/>
          <w:szCs w:val="22"/>
        </w:rPr>
        <w:t xml:space="preserve">Convention on Biological Diversity </w:t>
      </w:r>
      <w:r w:rsidRPr="00883A1C">
        <w:rPr>
          <w:kern w:val="22"/>
          <w:szCs w:val="22"/>
        </w:rPr>
        <w:t>organized</w:t>
      </w:r>
      <w:r w:rsidR="0056218C" w:rsidRPr="00883A1C">
        <w:rPr>
          <w:kern w:val="22"/>
          <w:szCs w:val="22"/>
        </w:rPr>
        <w:t>,</w:t>
      </w:r>
      <w:r w:rsidRPr="00883A1C">
        <w:rPr>
          <w:kern w:val="22"/>
          <w:szCs w:val="22"/>
        </w:rPr>
        <w:t xml:space="preserve"> with the </w:t>
      </w:r>
      <w:r w:rsidR="00691E77" w:rsidRPr="00883A1C">
        <w:rPr>
          <w:kern w:val="22"/>
          <w:szCs w:val="22"/>
        </w:rPr>
        <w:t xml:space="preserve">participation of the </w:t>
      </w:r>
      <w:r w:rsidR="000F756F" w:rsidRPr="00883A1C">
        <w:rPr>
          <w:kern w:val="22"/>
          <w:szCs w:val="22"/>
        </w:rPr>
        <w:t>s</w:t>
      </w:r>
      <w:r w:rsidRPr="00883A1C">
        <w:rPr>
          <w:kern w:val="22"/>
          <w:szCs w:val="22"/>
        </w:rPr>
        <w:t xml:space="preserve">ecretariats of CMS, CITES and </w:t>
      </w:r>
      <w:proofErr w:type="spellStart"/>
      <w:r w:rsidRPr="00883A1C">
        <w:rPr>
          <w:kern w:val="22"/>
          <w:szCs w:val="22"/>
        </w:rPr>
        <w:t>Ramsar</w:t>
      </w:r>
      <w:proofErr w:type="spellEnd"/>
      <w:r w:rsidR="0056218C" w:rsidRPr="00883A1C">
        <w:rPr>
          <w:kern w:val="22"/>
          <w:szCs w:val="22"/>
        </w:rPr>
        <w:t>,</w:t>
      </w:r>
      <w:r w:rsidRPr="00883A1C">
        <w:rPr>
          <w:kern w:val="22"/>
          <w:szCs w:val="22"/>
        </w:rPr>
        <w:t xml:space="preserve"> a side event at the twelfth meeting of the Conference of the Parties to CMS</w:t>
      </w:r>
      <w:r w:rsidR="00691E77" w:rsidRPr="00883A1C">
        <w:rPr>
          <w:kern w:val="22"/>
          <w:szCs w:val="22"/>
        </w:rPr>
        <w:t>,</w:t>
      </w:r>
      <w:r w:rsidRPr="00883A1C">
        <w:rPr>
          <w:kern w:val="22"/>
          <w:szCs w:val="22"/>
        </w:rPr>
        <w:t xml:space="preserve"> focused on the opportunities for all the biodiversity-related conventions to contribute to the development of the post-2020 global biodiversity framework. The Secretariat of the </w:t>
      </w:r>
      <w:proofErr w:type="spellStart"/>
      <w:r w:rsidRPr="00883A1C">
        <w:rPr>
          <w:kern w:val="22"/>
          <w:szCs w:val="22"/>
        </w:rPr>
        <w:t>Ramsar</w:t>
      </w:r>
      <w:proofErr w:type="spellEnd"/>
      <w:r w:rsidRPr="00883A1C">
        <w:rPr>
          <w:kern w:val="22"/>
          <w:szCs w:val="22"/>
        </w:rPr>
        <w:t xml:space="preserve"> Convention organized with the CMS Secretariat a side event at </w:t>
      </w:r>
      <w:r w:rsidR="00757672" w:rsidRPr="00883A1C">
        <w:rPr>
          <w:kern w:val="22"/>
          <w:szCs w:val="22"/>
        </w:rPr>
        <w:t xml:space="preserve">the twelfth meeting of the Conference of the Parties to </w:t>
      </w:r>
      <w:r w:rsidRPr="00883A1C">
        <w:rPr>
          <w:kern w:val="22"/>
          <w:szCs w:val="22"/>
        </w:rPr>
        <w:t>CMS focused on concrete mechanisms for synergies</w:t>
      </w:r>
      <w:r w:rsidR="000512D2" w:rsidRPr="00883A1C">
        <w:rPr>
          <w:kern w:val="22"/>
          <w:szCs w:val="22"/>
        </w:rPr>
        <w:t>,</w:t>
      </w:r>
      <w:r w:rsidRPr="00883A1C">
        <w:rPr>
          <w:kern w:val="22"/>
          <w:szCs w:val="22"/>
        </w:rPr>
        <w:t xml:space="preserve"> such as the </w:t>
      </w:r>
      <w:proofErr w:type="spellStart"/>
      <w:r w:rsidRPr="00883A1C">
        <w:rPr>
          <w:kern w:val="22"/>
          <w:szCs w:val="22"/>
        </w:rPr>
        <w:t>Ramsar</w:t>
      </w:r>
      <w:proofErr w:type="spellEnd"/>
      <w:r w:rsidRPr="00883A1C">
        <w:rPr>
          <w:kern w:val="22"/>
          <w:szCs w:val="22"/>
        </w:rPr>
        <w:t xml:space="preserve"> Regional Initiative for High Andean Wetlands and the CMS Memorandum of Understanding on High Andean Flamingos.</w:t>
      </w:r>
    </w:p>
    <w:p w:rsidR="008F650F" w:rsidRPr="00883A1C" w:rsidRDefault="0031482F"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 xml:space="preserve">Within </w:t>
      </w:r>
      <w:r w:rsidR="004F34CE" w:rsidRPr="00883A1C">
        <w:rPr>
          <w:kern w:val="22"/>
          <w:szCs w:val="22"/>
        </w:rPr>
        <w:t>the framework of</w:t>
      </w:r>
      <w:r w:rsidR="008F650F" w:rsidRPr="00883A1C">
        <w:rPr>
          <w:kern w:val="22"/>
          <w:szCs w:val="22"/>
        </w:rPr>
        <w:t xml:space="preserve"> the 5th CBD-</w:t>
      </w:r>
      <w:proofErr w:type="spellStart"/>
      <w:r w:rsidR="008F650F" w:rsidRPr="00883A1C">
        <w:rPr>
          <w:kern w:val="22"/>
          <w:szCs w:val="22"/>
        </w:rPr>
        <w:t>Ramsar</w:t>
      </w:r>
      <w:proofErr w:type="spellEnd"/>
      <w:r w:rsidR="008F650F" w:rsidRPr="00883A1C">
        <w:rPr>
          <w:kern w:val="22"/>
          <w:szCs w:val="22"/>
        </w:rPr>
        <w:t xml:space="preserve"> Joint Work Plan 2011-2020, the </w:t>
      </w:r>
      <w:proofErr w:type="spellStart"/>
      <w:r w:rsidR="008F650F" w:rsidRPr="00883A1C">
        <w:rPr>
          <w:kern w:val="22"/>
          <w:szCs w:val="22"/>
        </w:rPr>
        <w:t>Ramsar</w:t>
      </w:r>
      <w:proofErr w:type="spellEnd"/>
      <w:r w:rsidR="008F650F" w:rsidRPr="00883A1C">
        <w:rPr>
          <w:kern w:val="22"/>
          <w:szCs w:val="22"/>
        </w:rPr>
        <w:t xml:space="preserve"> Convention Secretariat has continued to work and strengthen collaboration with the </w:t>
      </w:r>
      <w:r w:rsidR="00AA126C" w:rsidRPr="00883A1C">
        <w:rPr>
          <w:kern w:val="22"/>
          <w:szCs w:val="22"/>
        </w:rPr>
        <w:t>Convention on Biological Diversity</w:t>
      </w:r>
      <w:r w:rsidR="008F650F" w:rsidRPr="00883A1C">
        <w:rPr>
          <w:kern w:val="22"/>
          <w:szCs w:val="22"/>
        </w:rPr>
        <w:t xml:space="preserve">, providing inputs to </w:t>
      </w:r>
      <w:r w:rsidR="004F34CE" w:rsidRPr="00883A1C">
        <w:rPr>
          <w:kern w:val="22"/>
          <w:szCs w:val="22"/>
        </w:rPr>
        <w:t>various</w:t>
      </w:r>
      <w:r w:rsidR="008F650F" w:rsidRPr="00883A1C">
        <w:rPr>
          <w:kern w:val="22"/>
          <w:szCs w:val="22"/>
        </w:rPr>
        <w:t xml:space="preserve"> processes</w:t>
      </w:r>
      <w:r w:rsidR="004F34CE" w:rsidRPr="00883A1C">
        <w:rPr>
          <w:kern w:val="22"/>
          <w:szCs w:val="22"/>
        </w:rPr>
        <w:t>, including</w:t>
      </w:r>
      <w:r w:rsidR="008F650F" w:rsidRPr="00883A1C">
        <w:rPr>
          <w:kern w:val="22"/>
          <w:szCs w:val="22"/>
        </w:rPr>
        <w:t xml:space="preserve"> the follow-up to the Strategic Plan for Biodiversity 2011-2020, </w:t>
      </w:r>
      <w:r w:rsidR="00333549" w:rsidRPr="00883A1C">
        <w:rPr>
          <w:kern w:val="22"/>
          <w:szCs w:val="22"/>
        </w:rPr>
        <w:t>EBSA</w:t>
      </w:r>
      <w:r w:rsidR="008F650F" w:rsidRPr="00883A1C">
        <w:rPr>
          <w:kern w:val="22"/>
          <w:szCs w:val="22"/>
        </w:rPr>
        <w:t>s, synergies, and capacity</w:t>
      </w:r>
      <w:r w:rsidR="00333549" w:rsidRPr="00883A1C">
        <w:rPr>
          <w:kern w:val="22"/>
          <w:szCs w:val="22"/>
        </w:rPr>
        <w:t>-</w:t>
      </w:r>
      <w:r w:rsidR="008F650F" w:rsidRPr="00883A1C">
        <w:rPr>
          <w:kern w:val="22"/>
          <w:szCs w:val="22"/>
        </w:rPr>
        <w:t>building.</w:t>
      </w:r>
    </w:p>
    <w:p w:rsidR="008F650F" w:rsidRPr="00883A1C" w:rsidRDefault="008F650F"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 xml:space="preserve">Through decision </w:t>
      </w:r>
      <w:hyperlink r:id="rId17" w:history="1">
        <w:r w:rsidRPr="00883A1C">
          <w:rPr>
            <w:rStyle w:val="Hyperlink"/>
            <w:kern w:val="22"/>
            <w:szCs w:val="22"/>
          </w:rPr>
          <w:t>III/21</w:t>
        </w:r>
      </w:hyperlink>
      <w:r w:rsidR="000712A5" w:rsidRPr="00883A1C">
        <w:rPr>
          <w:kern w:val="22"/>
          <w:szCs w:val="22"/>
        </w:rPr>
        <w:t xml:space="preserve"> of the Conference of the Parties to the Convention on Biological Diversity</w:t>
      </w:r>
      <w:r w:rsidRPr="00883A1C">
        <w:rPr>
          <w:kern w:val="22"/>
          <w:szCs w:val="22"/>
        </w:rPr>
        <w:t xml:space="preserve">, the </w:t>
      </w:r>
      <w:proofErr w:type="spellStart"/>
      <w:r w:rsidRPr="00883A1C">
        <w:rPr>
          <w:kern w:val="22"/>
          <w:szCs w:val="22"/>
        </w:rPr>
        <w:t>Ramsar</w:t>
      </w:r>
      <w:proofErr w:type="spellEnd"/>
      <w:r w:rsidRPr="00883A1C">
        <w:rPr>
          <w:kern w:val="22"/>
          <w:szCs w:val="22"/>
        </w:rPr>
        <w:t xml:space="preserve"> Convention has a lead role </w:t>
      </w:r>
      <w:r w:rsidR="00736C10" w:rsidRPr="00883A1C">
        <w:rPr>
          <w:kern w:val="22"/>
          <w:szCs w:val="22"/>
        </w:rPr>
        <w:t xml:space="preserve">regarding </w:t>
      </w:r>
      <w:r w:rsidRPr="00883A1C">
        <w:rPr>
          <w:kern w:val="22"/>
          <w:szCs w:val="22"/>
        </w:rPr>
        <w:t xml:space="preserve">wetlands </w:t>
      </w:r>
      <w:r w:rsidR="00736C10" w:rsidRPr="00883A1C">
        <w:rPr>
          <w:kern w:val="22"/>
          <w:szCs w:val="22"/>
        </w:rPr>
        <w:t xml:space="preserve">vis-à-vis </w:t>
      </w:r>
      <w:r w:rsidR="005178AB" w:rsidRPr="00883A1C">
        <w:rPr>
          <w:kern w:val="22"/>
          <w:szCs w:val="22"/>
        </w:rPr>
        <w:t>the Convention on Biological Diversity</w:t>
      </w:r>
      <w:r w:rsidRPr="00883A1C">
        <w:rPr>
          <w:kern w:val="22"/>
          <w:szCs w:val="22"/>
        </w:rPr>
        <w:t xml:space="preserve">. The </w:t>
      </w:r>
      <w:proofErr w:type="spellStart"/>
      <w:r w:rsidRPr="00883A1C">
        <w:rPr>
          <w:kern w:val="22"/>
          <w:szCs w:val="22"/>
        </w:rPr>
        <w:t>Ramsar</w:t>
      </w:r>
      <w:proofErr w:type="spellEnd"/>
      <w:r w:rsidRPr="00883A1C">
        <w:rPr>
          <w:kern w:val="22"/>
          <w:szCs w:val="22"/>
        </w:rPr>
        <w:t xml:space="preserve"> Convention Secretariat is in the process of analy</w:t>
      </w:r>
      <w:r w:rsidR="005178AB" w:rsidRPr="00883A1C">
        <w:rPr>
          <w:kern w:val="22"/>
          <w:szCs w:val="22"/>
        </w:rPr>
        <w:t>s</w:t>
      </w:r>
      <w:r w:rsidRPr="00883A1C">
        <w:rPr>
          <w:kern w:val="22"/>
          <w:szCs w:val="22"/>
        </w:rPr>
        <w:t xml:space="preserve">ing </w:t>
      </w:r>
      <w:r w:rsidR="00836154" w:rsidRPr="00883A1C">
        <w:rPr>
          <w:kern w:val="22"/>
          <w:szCs w:val="22"/>
        </w:rPr>
        <w:t>n</w:t>
      </w:r>
      <w:r w:rsidRPr="00883A1C">
        <w:rPr>
          <w:kern w:val="22"/>
          <w:szCs w:val="22"/>
        </w:rPr>
        <w:t xml:space="preserve">ational </w:t>
      </w:r>
      <w:r w:rsidR="00836154" w:rsidRPr="00883A1C">
        <w:rPr>
          <w:kern w:val="22"/>
          <w:szCs w:val="22"/>
        </w:rPr>
        <w:t>r</w:t>
      </w:r>
      <w:r w:rsidRPr="00883A1C">
        <w:rPr>
          <w:kern w:val="22"/>
          <w:szCs w:val="22"/>
        </w:rPr>
        <w:t>eports submitted by its Contracting Parties and will prepare</w:t>
      </w:r>
      <w:r w:rsidR="004F34CE" w:rsidRPr="00883A1C">
        <w:rPr>
          <w:kern w:val="22"/>
          <w:szCs w:val="22"/>
        </w:rPr>
        <w:t>,</w:t>
      </w:r>
      <w:r w:rsidRPr="00883A1C">
        <w:rPr>
          <w:kern w:val="22"/>
          <w:szCs w:val="22"/>
        </w:rPr>
        <w:t xml:space="preserve"> for its </w:t>
      </w:r>
      <w:r w:rsidR="00836154" w:rsidRPr="00883A1C">
        <w:rPr>
          <w:kern w:val="22"/>
          <w:szCs w:val="22"/>
        </w:rPr>
        <w:t>thirteenth meeting of the Parties</w:t>
      </w:r>
      <w:r w:rsidR="004F34CE" w:rsidRPr="00883A1C">
        <w:rPr>
          <w:kern w:val="22"/>
          <w:szCs w:val="22"/>
        </w:rPr>
        <w:t>,</w:t>
      </w:r>
      <w:r w:rsidRPr="00883A1C">
        <w:rPr>
          <w:kern w:val="22"/>
          <w:szCs w:val="22"/>
        </w:rPr>
        <w:t xml:space="preserve"> global and regional implementation reports, including the contribution of the </w:t>
      </w:r>
      <w:proofErr w:type="spellStart"/>
      <w:r w:rsidRPr="00883A1C">
        <w:rPr>
          <w:kern w:val="22"/>
          <w:szCs w:val="22"/>
        </w:rPr>
        <w:t>Ramsar</w:t>
      </w:r>
      <w:proofErr w:type="spellEnd"/>
      <w:r w:rsidRPr="00883A1C">
        <w:rPr>
          <w:kern w:val="22"/>
          <w:szCs w:val="22"/>
        </w:rPr>
        <w:t xml:space="preserve"> Convention to specific areas of the Joint Work Plan</w:t>
      </w:r>
      <w:r w:rsidR="004F34CE" w:rsidRPr="00883A1C">
        <w:rPr>
          <w:kern w:val="22"/>
          <w:szCs w:val="22"/>
        </w:rPr>
        <w:t xml:space="preserve"> and </w:t>
      </w:r>
      <w:r w:rsidRPr="00883A1C">
        <w:rPr>
          <w:kern w:val="22"/>
          <w:szCs w:val="22"/>
        </w:rPr>
        <w:t>to the Aichi Biodiversity Targets.</w:t>
      </w:r>
    </w:p>
    <w:p w:rsidR="008E0FD0" w:rsidRPr="00883A1C" w:rsidRDefault="00282833"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In line with relevant decisions of their governing bodies, the</w:t>
      </w:r>
      <w:r w:rsidR="008E0FD0" w:rsidRPr="00883A1C">
        <w:rPr>
          <w:kern w:val="22"/>
          <w:szCs w:val="22"/>
        </w:rPr>
        <w:t xml:space="preserve"> </w:t>
      </w:r>
      <w:r w:rsidR="00C515B0" w:rsidRPr="00883A1C">
        <w:rPr>
          <w:kern w:val="22"/>
          <w:szCs w:val="22"/>
        </w:rPr>
        <w:t>s</w:t>
      </w:r>
      <w:r w:rsidR="008E0FD0" w:rsidRPr="00883A1C">
        <w:rPr>
          <w:kern w:val="22"/>
          <w:szCs w:val="22"/>
        </w:rPr>
        <w:t xml:space="preserve">ecretariats of the </w:t>
      </w:r>
      <w:proofErr w:type="spellStart"/>
      <w:r w:rsidR="008E0FD0" w:rsidRPr="00883A1C">
        <w:rPr>
          <w:kern w:val="22"/>
          <w:szCs w:val="22"/>
        </w:rPr>
        <w:t>Ramsar</w:t>
      </w:r>
      <w:proofErr w:type="spellEnd"/>
      <w:r w:rsidR="008E0FD0" w:rsidRPr="00883A1C">
        <w:rPr>
          <w:kern w:val="22"/>
          <w:szCs w:val="22"/>
        </w:rPr>
        <w:t xml:space="preserve"> Convention, CBD and CMS have been collaborating in the area of the restoration of coastal </w:t>
      </w:r>
      <w:r w:rsidR="00C775F1" w:rsidRPr="00883A1C">
        <w:rPr>
          <w:kern w:val="22"/>
          <w:szCs w:val="22"/>
        </w:rPr>
        <w:t xml:space="preserve">wetland </w:t>
      </w:r>
      <w:r w:rsidR="008E0FD0" w:rsidRPr="00883A1C">
        <w:rPr>
          <w:kern w:val="22"/>
          <w:szCs w:val="22"/>
        </w:rPr>
        <w:t>ecosystems</w:t>
      </w:r>
      <w:r w:rsidR="00867462" w:rsidRPr="00883A1C">
        <w:rPr>
          <w:kern w:val="22"/>
          <w:szCs w:val="22"/>
        </w:rPr>
        <w:t>, and in the context of the “</w:t>
      </w:r>
      <w:r w:rsidR="008E0FD0" w:rsidRPr="00883A1C">
        <w:rPr>
          <w:kern w:val="22"/>
          <w:szCs w:val="22"/>
        </w:rPr>
        <w:t>Caring for Coasts</w:t>
      </w:r>
      <w:r w:rsidR="00F81ABF" w:rsidRPr="00883A1C">
        <w:rPr>
          <w:kern w:val="22"/>
          <w:szCs w:val="22"/>
        </w:rPr>
        <w:t>”</w:t>
      </w:r>
      <w:r w:rsidR="008E0FD0" w:rsidRPr="00883A1C">
        <w:rPr>
          <w:kern w:val="22"/>
          <w:szCs w:val="22"/>
        </w:rPr>
        <w:t xml:space="preserve"> </w:t>
      </w:r>
      <w:r w:rsidR="00F81ABF" w:rsidRPr="00883A1C">
        <w:rPr>
          <w:kern w:val="22"/>
          <w:szCs w:val="22"/>
        </w:rPr>
        <w:t>i</w:t>
      </w:r>
      <w:r w:rsidR="008E0FD0" w:rsidRPr="00883A1C">
        <w:rPr>
          <w:kern w:val="22"/>
          <w:szCs w:val="22"/>
        </w:rPr>
        <w:t>nitiative</w:t>
      </w:r>
      <w:r w:rsidRPr="00883A1C">
        <w:rPr>
          <w:kern w:val="22"/>
          <w:szCs w:val="22"/>
        </w:rPr>
        <w:t xml:space="preserve">. Under the World Heritage Convention, several intertidal wetlands have </w:t>
      </w:r>
      <w:r w:rsidR="008A4659" w:rsidRPr="00883A1C">
        <w:rPr>
          <w:kern w:val="22"/>
          <w:szCs w:val="22"/>
        </w:rPr>
        <w:t>received</w:t>
      </w:r>
      <w:r w:rsidRPr="00883A1C">
        <w:rPr>
          <w:kern w:val="22"/>
          <w:szCs w:val="22"/>
        </w:rPr>
        <w:t xml:space="preserve"> W</w:t>
      </w:r>
      <w:r w:rsidR="00C775F1" w:rsidRPr="00883A1C">
        <w:rPr>
          <w:kern w:val="22"/>
          <w:szCs w:val="22"/>
        </w:rPr>
        <w:t>orld Heritage Site designation</w:t>
      </w:r>
      <w:r w:rsidRPr="00883A1C">
        <w:rPr>
          <w:kern w:val="22"/>
          <w:szCs w:val="22"/>
        </w:rPr>
        <w:t>. Follow</w:t>
      </w:r>
      <w:r w:rsidR="00C515B0" w:rsidRPr="00883A1C">
        <w:rPr>
          <w:kern w:val="22"/>
          <w:szCs w:val="22"/>
        </w:rPr>
        <w:t>-</w:t>
      </w:r>
      <w:r w:rsidRPr="00883A1C">
        <w:rPr>
          <w:kern w:val="22"/>
          <w:szCs w:val="22"/>
        </w:rPr>
        <w:t xml:space="preserve">up will be provided </w:t>
      </w:r>
      <w:r w:rsidR="002144DE" w:rsidRPr="00883A1C">
        <w:rPr>
          <w:kern w:val="22"/>
          <w:szCs w:val="22"/>
        </w:rPr>
        <w:t xml:space="preserve">in respect of </w:t>
      </w:r>
      <w:r w:rsidR="008A4659" w:rsidRPr="00883A1C">
        <w:rPr>
          <w:kern w:val="22"/>
          <w:szCs w:val="22"/>
        </w:rPr>
        <w:t>Resolution 12.25 of</w:t>
      </w:r>
      <w:r w:rsidR="00C775F1" w:rsidRPr="00883A1C">
        <w:rPr>
          <w:kern w:val="22"/>
          <w:szCs w:val="22"/>
        </w:rPr>
        <w:t xml:space="preserve"> the CMS </w:t>
      </w:r>
      <w:r w:rsidR="002144DE" w:rsidRPr="00883A1C">
        <w:rPr>
          <w:kern w:val="22"/>
          <w:szCs w:val="22"/>
        </w:rPr>
        <w:t xml:space="preserve">Conference of the Parties, which </w:t>
      </w:r>
      <w:r w:rsidR="00C775F1" w:rsidRPr="00883A1C">
        <w:rPr>
          <w:kern w:val="22"/>
          <w:szCs w:val="22"/>
        </w:rPr>
        <w:t xml:space="preserve">requested the CMS Secretariat to explore with the secretariats of other multilateral environmental agreements a global </w:t>
      </w:r>
      <w:r w:rsidR="004E4E83" w:rsidRPr="00883A1C">
        <w:rPr>
          <w:kern w:val="22"/>
          <w:szCs w:val="22"/>
        </w:rPr>
        <w:t>“</w:t>
      </w:r>
      <w:r w:rsidR="003F2024" w:rsidRPr="00883A1C">
        <w:rPr>
          <w:kern w:val="22"/>
          <w:szCs w:val="22"/>
        </w:rPr>
        <w:t>c</w:t>
      </w:r>
      <w:r w:rsidR="00C775F1" w:rsidRPr="00883A1C">
        <w:rPr>
          <w:kern w:val="22"/>
          <w:szCs w:val="22"/>
        </w:rPr>
        <w:t xml:space="preserve">oastal </w:t>
      </w:r>
      <w:r w:rsidR="003F2024" w:rsidRPr="00883A1C">
        <w:rPr>
          <w:kern w:val="22"/>
          <w:szCs w:val="22"/>
        </w:rPr>
        <w:t>f</w:t>
      </w:r>
      <w:r w:rsidR="00C775F1" w:rsidRPr="00883A1C">
        <w:rPr>
          <w:kern w:val="22"/>
          <w:szCs w:val="22"/>
        </w:rPr>
        <w:t>orum</w:t>
      </w:r>
      <w:r w:rsidR="004E4E83" w:rsidRPr="00883A1C">
        <w:rPr>
          <w:kern w:val="22"/>
          <w:szCs w:val="22"/>
        </w:rPr>
        <w:t>”</w:t>
      </w:r>
      <w:r w:rsidRPr="00883A1C">
        <w:rPr>
          <w:kern w:val="22"/>
          <w:szCs w:val="22"/>
        </w:rPr>
        <w:t xml:space="preserve"> and</w:t>
      </w:r>
      <w:r w:rsidR="00C775F1" w:rsidRPr="00883A1C">
        <w:rPr>
          <w:kern w:val="22"/>
          <w:szCs w:val="22"/>
        </w:rPr>
        <w:t xml:space="preserve"> requested the Scientific Council to seek </w:t>
      </w:r>
      <w:r w:rsidR="003F2024" w:rsidRPr="00883A1C">
        <w:rPr>
          <w:kern w:val="22"/>
          <w:szCs w:val="22"/>
        </w:rPr>
        <w:t xml:space="preserve">an </w:t>
      </w:r>
      <w:r w:rsidR="00C775F1" w:rsidRPr="00883A1C">
        <w:rPr>
          <w:kern w:val="22"/>
          <w:szCs w:val="22"/>
        </w:rPr>
        <w:t xml:space="preserve">input from the scientific subsidiary bodies of other multilateral environment agreements, to establish a multi-stakeholder working group under the proposed </w:t>
      </w:r>
      <w:r w:rsidR="003F2024" w:rsidRPr="00883A1C">
        <w:rPr>
          <w:kern w:val="22"/>
          <w:szCs w:val="22"/>
        </w:rPr>
        <w:t>c</w:t>
      </w:r>
      <w:r w:rsidR="00C775F1" w:rsidRPr="00883A1C">
        <w:rPr>
          <w:kern w:val="22"/>
          <w:szCs w:val="22"/>
        </w:rPr>
        <w:t xml:space="preserve">oastal </w:t>
      </w:r>
      <w:r w:rsidR="003F2024" w:rsidRPr="00883A1C">
        <w:rPr>
          <w:kern w:val="22"/>
          <w:szCs w:val="22"/>
        </w:rPr>
        <w:t>f</w:t>
      </w:r>
      <w:r w:rsidR="00C775F1" w:rsidRPr="00883A1C">
        <w:rPr>
          <w:kern w:val="22"/>
          <w:szCs w:val="22"/>
        </w:rPr>
        <w:t>orum</w:t>
      </w:r>
      <w:r w:rsidRPr="00883A1C">
        <w:rPr>
          <w:kern w:val="22"/>
          <w:szCs w:val="22"/>
        </w:rPr>
        <w:t>.</w:t>
      </w:r>
    </w:p>
    <w:p w:rsidR="008F650F" w:rsidRPr="00883A1C" w:rsidRDefault="008F650F"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 xml:space="preserve">The World Heritage Centre and the </w:t>
      </w:r>
      <w:proofErr w:type="spellStart"/>
      <w:r w:rsidRPr="00883A1C">
        <w:rPr>
          <w:kern w:val="22"/>
          <w:szCs w:val="22"/>
        </w:rPr>
        <w:t>Ramsar</w:t>
      </w:r>
      <w:proofErr w:type="spellEnd"/>
      <w:r w:rsidRPr="00883A1C">
        <w:rPr>
          <w:kern w:val="22"/>
          <w:szCs w:val="22"/>
        </w:rPr>
        <w:t xml:space="preserve"> Convention Secretariat continued their contribution to a joint project, which was concluded through the publication of the report </w:t>
      </w:r>
      <w:proofErr w:type="spellStart"/>
      <w:r w:rsidRPr="00883A1C">
        <w:rPr>
          <w:i/>
          <w:iCs/>
          <w:kern w:val="22"/>
          <w:szCs w:val="22"/>
        </w:rPr>
        <w:t>Ramsar</w:t>
      </w:r>
      <w:proofErr w:type="spellEnd"/>
      <w:r w:rsidRPr="00883A1C">
        <w:rPr>
          <w:i/>
          <w:iCs/>
          <w:kern w:val="22"/>
          <w:szCs w:val="22"/>
        </w:rPr>
        <w:t xml:space="preserve"> </w:t>
      </w:r>
      <w:r w:rsidR="00D770B5" w:rsidRPr="00883A1C">
        <w:rPr>
          <w:i/>
          <w:iCs/>
          <w:kern w:val="22"/>
          <w:szCs w:val="22"/>
        </w:rPr>
        <w:t xml:space="preserve">and </w:t>
      </w:r>
      <w:r w:rsidRPr="00883A1C">
        <w:rPr>
          <w:i/>
          <w:iCs/>
          <w:kern w:val="22"/>
          <w:szCs w:val="22"/>
        </w:rPr>
        <w:t xml:space="preserve">World Heritage Conventions </w:t>
      </w:r>
      <w:r w:rsidR="00D770B5" w:rsidRPr="00883A1C">
        <w:rPr>
          <w:i/>
          <w:iCs/>
          <w:kern w:val="22"/>
          <w:szCs w:val="22"/>
        </w:rPr>
        <w:t>Converging towards Success</w:t>
      </w:r>
      <w:r w:rsidRPr="00883A1C">
        <w:rPr>
          <w:kern w:val="22"/>
          <w:szCs w:val="22"/>
        </w:rPr>
        <w:t>.</w:t>
      </w:r>
      <w:r w:rsidRPr="00883A1C">
        <w:rPr>
          <w:rStyle w:val="FootnoteReference"/>
          <w:kern w:val="22"/>
          <w:sz w:val="22"/>
          <w:szCs w:val="22"/>
          <w:u w:val="none"/>
          <w:vertAlign w:val="superscript"/>
        </w:rPr>
        <w:footnoteReference w:id="5"/>
      </w:r>
      <w:r w:rsidRPr="00883A1C">
        <w:rPr>
          <w:kern w:val="22"/>
          <w:szCs w:val="22"/>
        </w:rPr>
        <w:t xml:space="preserve"> On the occasion of the report’s release in 2017, the World Heritage Centre launched a new website to inform </w:t>
      </w:r>
      <w:r w:rsidR="004F34CE" w:rsidRPr="00883A1C">
        <w:rPr>
          <w:kern w:val="22"/>
          <w:szCs w:val="22"/>
        </w:rPr>
        <w:t>on</w:t>
      </w:r>
      <w:r w:rsidRPr="00883A1C">
        <w:rPr>
          <w:kern w:val="22"/>
          <w:szCs w:val="22"/>
        </w:rPr>
        <w:t xml:space="preserve"> the cooperation between the World Heritage Centre and the </w:t>
      </w:r>
      <w:proofErr w:type="spellStart"/>
      <w:r w:rsidRPr="00883A1C">
        <w:rPr>
          <w:kern w:val="22"/>
          <w:szCs w:val="22"/>
        </w:rPr>
        <w:t>Ramsar</w:t>
      </w:r>
      <w:proofErr w:type="spellEnd"/>
      <w:r w:rsidRPr="00883A1C">
        <w:rPr>
          <w:kern w:val="22"/>
          <w:szCs w:val="22"/>
        </w:rPr>
        <w:t xml:space="preserve"> Convention Secretariat.</w:t>
      </w:r>
      <w:r w:rsidRPr="00883A1C">
        <w:rPr>
          <w:rStyle w:val="FootnoteReference"/>
          <w:kern w:val="22"/>
          <w:sz w:val="22"/>
          <w:szCs w:val="22"/>
          <w:u w:val="none"/>
          <w:vertAlign w:val="superscript"/>
        </w:rPr>
        <w:footnoteReference w:id="6"/>
      </w:r>
      <w:r w:rsidRPr="00883A1C">
        <w:rPr>
          <w:kern w:val="22"/>
          <w:szCs w:val="22"/>
        </w:rPr>
        <w:t xml:space="preserve"> The report illustrates through case studies how conservation of cultural and natural values can benefit from dual designations under the </w:t>
      </w:r>
      <w:proofErr w:type="spellStart"/>
      <w:r w:rsidRPr="00883A1C">
        <w:rPr>
          <w:kern w:val="22"/>
          <w:szCs w:val="22"/>
        </w:rPr>
        <w:t>Ramsar</w:t>
      </w:r>
      <w:proofErr w:type="spellEnd"/>
      <w:r w:rsidRPr="00883A1C">
        <w:rPr>
          <w:kern w:val="22"/>
          <w:szCs w:val="22"/>
        </w:rPr>
        <w:t xml:space="preserve"> and World Heritage conventions and how community participation can contribute to positive conservation outcomes. The joint project has built on the recent IUCN study </w:t>
      </w:r>
      <w:r w:rsidRPr="00883A1C">
        <w:rPr>
          <w:i/>
          <w:iCs/>
          <w:kern w:val="22"/>
          <w:szCs w:val="22"/>
        </w:rPr>
        <w:t xml:space="preserve">Managing MIDAs - Harmonising the </w:t>
      </w:r>
      <w:r w:rsidR="009134B0" w:rsidRPr="00883A1C">
        <w:rPr>
          <w:i/>
          <w:iCs/>
          <w:kern w:val="22"/>
          <w:szCs w:val="22"/>
        </w:rPr>
        <w:t xml:space="preserve">Management </w:t>
      </w:r>
      <w:r w:rsidRPr="00883A1C">
        <w:rPr>
          <w:i/>
          <w:iCs/>
          <w:kern w:val="22"/>
          <w:szCs w:val="22"/>
        </w:rPr>
        <w:t xml:space="preserve">of Multi-Internationally Designated Areas: </w:t>
      </w:r>
      <w:proofErr w:type="spellStart"/>
      <w:r w:rsidRPr="00883A1C">
        <w:rPr>
          <w:i/>
          <w:iCs/>
          <w:kern w:val="22"/>
          <w:szCs w:val="22"/>
        </w:rPr>
        <w:t>Ramsar</w:t>
      </w:r>
      <w:proofErr w:type="spellEnd"/>
      <w:r w:rsidRPr="00883A1C">
        <w:rPr>
          <w:i/>
          <w:iCs/>
          <w:kern w:val="22"/>
          <w:szCs w:val="22"/>
        </w:rPr>
        <w:t xml:space="preserve"> Sites, World Heritage sites, Biosphere Reserves and UNESCO Global </w:t>
      </w:r>
      <w:proofErr w:type="spellStart"/>
      <w:r w:rsidRPr="00883A1C">
        <w:rPr>
          <w:i/>
          <w:iCs/>
          <w:kern w:val="22"/>
          <w:szCs w:val="22"/>
        </w:rPr>
        <w:t>Geoparks</w:t>
      </w:r>
      <w:proofErr w:type="spellEnd"/>
      <w:r w:rsidR="006B3095" w:rsidRPr="00883A1C">
        <w:rPr>
          <w:kern w:val="22"/>
          <w:szCs w:val="22"/>
        </w:rPr>
        <w:t>,</w:t>
      </w:r>
      <w:r w:rsidRPr="00883A1C">
        <w:rPr>
          <w:rStyle w:val="FootnoteReference"/>
          <w:kern w:val="22"/>
          <w:sz w:val="22"/>
          <w:szCs w:val="22"/>
          <w:u w:val="none"/>
          <w:vertAlign w:val="superscript"/>
        </w:rPr>
        <w:footnoteReference w:id="7"/>
      </w:r>
      <w:r w:rsidRPr="00883A1C">
        <w:rPr>
          <w:kern w:val="22"/>
          <w:szCs w:val="22"/>
        </w:rPr>
        <w:t xml:space="preserve"> released in 2016, and has focused on identifying opportunities to enhance </w:t>
      </w:r>
      <w:r w:rsidRPr="00883A1C">
        <w:rPr>
          <w:kern w:val="22"/>
          <w:szCs w:val="22"/>
        </w:rPr>
        <w:lastRenderedPageBreak/>
        <w:t xml:space="preserve">synergies at the local and regional levels, including with respect to multiple internationally designated areas (MIDAs), which also corresponds to </w:t>
      </w:r>
      <w:r w:rsidR="006B3095" w:rsidRPr="00883A1C">
        <w:rPr>
          <w:kern w:val="22"/>
          <w:szCs w:val="22"/>
        </w:rPr>
        <w:t>CBD d</w:t>
      </w:r>
      <w:r w:rsidRPr="00883A1C">
        <w:rPr>
          <w:kern w:val="22"/>
          <w:szCs w:val="22"/>
        </w:rPr>
        <w:t>ecision XIII/24</w:t>
      </w:r>
      <w:r w:rsidR="006B3095" w:rsidRPr="00883A1C">
        <w:rPr>
          <w:kern w:val="22"/>
          <w:szCs w:val="22"/>
        </w:rPr>
        <w:t> </w:t>
      </w:r>
      <w:r w:rsidRPr="00883A1C">
        <w:rPr>
          <w:kern w:val="22"/>
          <w:szCs w:val="22"/>
        </w:rPr>
        <w:t>B.</w:t>
      </w:r>
    </w:p>
    <w:p w:rsidR="00691E77" w:rsidRPr="00883A1C" w:rsidRDefault="00691E77"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 xml:space="preserve">The World Heritage Centre has further continued its close cooperation with regard to the </w:t>
      </w:r>
      <w:r w:rsidR="00FC1A34" w:rsidRPr="00883A1C">
        <w:rPr>
          <w:kern w:val="22"/>
          <w:szCs w:val="22"/>
        </w:rPr>
        <w:t>“</w:t>
      </w:r>
      <w:r w:rsidR="00041574" w:rsidRPr="00883A1C">
        <w:rPr>
          <w:kern w:val="22"/>
          <w:szCs w:val="22"/>
        </w:rPr>
        <w:t>s</w:t>
      </w:r>
      <w:r w:rsidRPr="00883A1C">
        <w:rPr>
          <w:kern w:val="22"/>
          <w:szCs w:val="22"/>
        </w:rPr>
        <w:t xml:space="preserve">tate of </w:t>
      </w:r>
      <w:r w:rsidR="00041574" w:rsidRPr="00883A1C">
        <w:rPr>
          <w:kern w:val="22"/>
          <w:szCs w:val="22"/>
        </w:rPr>
        <w:t>c</w:t>
      </w:r>
      <w:r w:rsidRPr="00883A1C">
        <w:rPr>
          <w:kern w:val="22"/>
          <w:szCs w:val="22"/>
        </w:rPr>
        <w:t>onservation</w:t>
      </w:r>
      <w:r w:rsidR="00FC1A34" w:rsidRPr="00883A1C">
        <w:rPr>
          <w:kern w:val="22"/>
          <w:szCs w:val="22"/>
        </w:rPr>
        <w:t>”</w:t>
      </w:r>
      <w:r w:rsidRPr="00883A1C">
        <w:rPr>
          <w:kern w:val="22"/>
          <w:szCs w:val="22"/>
        </w:rPr>
        <w:t xml:space="preserve"> of several </w:t>
      </w:r>
      <w:r w:rsidR="00F5104D" w:rsidRPr="00883A1C">
        <w:rPr>
          <w:kern w:val="22"/>
          <w:szCs w:val="22"/>
        </w:rPr>
        <w:t>properties</w:t>
      </w:r>
      <w:r w:rsidRPr="00883A1C">
        <w:rPr>
          <w:kern w:val="22"/>
          <w:szCs w:val="22"/>
        </w:rPr>
        <w:t xml:space="preserve"> which are heavily affected by the impacts of the illegal wildlife trade. As a good example of cooperation, the Centre held several consultations with the CITES Secretariat on the </w:t>
      </w:r>
      <w:r w:rsidR="00041574" w:rsidRPr="00883A1C">
        <w:rPr>
          <w:kern w:val="22"/>
          <w:szCs w:val="22"/>
        </w:rPr>
        <w:t xml:space="preserve">state </w:t>
      </w:r>
      <w:r w:rsidRPr="00883A1C">
        <w:rPr>
          <w:kern w:val="22"/>
          <w:szCs w:val="22"/>
        </w:rPr>
        <w:t xml:space="preserve">of </w:t>
      </w:r>
      <w:r w:rsidR="00041574" w:rsidRPr="00883A1C">
        <w:rPr>
          <w:kern w:val="22"/>
          <w:szCs w:val="22"/>
        </w:rPr>
        <w:t xml:space="preserve">conservation </w:t>
      </w:r>
      <w:r w:rsidRPr="00883A1C">
        <w:rPr>
          <w:kern w:val="22"/>
          <w:szCs w:val="22"/>
        </w:rPr>
        <w:t xml:space="preserve">of the </w:t>
      </w:r>
      <w:r w:rsidR="00041574" w:rsidRPr="00883A1C">
        <w:rPr>
          <w:kern w:val="22"/>
          <w:szCs w:val="22"/>
        </w:rPr>
        <w:t>islands and protected areas</w:t>
      </w:r>
      <w:r w:rsidRPr="00883A1C">
        <w:rPr>
          <w:kern w:val="22"/>
          <w:szCs w:val="22"/>
        </w:rPr>
        <w:t xml:space="preserve"> of the Gulf of California (Mexico), where illegal fishing for the endemic </w:t>
      </w:r>
      <w:proofErr w:type="spellStart"/>
      <w:r w:rsidRPr="00883A1C">
        <w:rPr>
          <w:kern w:val="22"/>
          <w:szCs w:val="22"/>
        </w:rPr>
        <w:t>totoaba</w:t>
      </w:r>
      <w:proofErr w:type="spellEnd"/>
      <w:r w:rsidRPr="00883A1C">
        <w:rPr>
          <w:kern w:val="22"/>
          <w:szCs w:val="22"/>
        </w:rPr>
        <w:t xml:space="preserve"> (</w:t>
      </w:r>
      <w:r w:rsidRPr="00883A1C">
        <w:rPr>
          <w:i/>
          <w:kern w:val="22"/>
          <w:szCs w:val="22"/>
          <w:lang w:val="la-Latn"/>
        </w:rPr>
        <w:t>Totoaba</w:t>
      </w:r>
      <w:r w:rsidRPr="00883A1C">
        <w:rPr>
          <w:i/>
          <w:kern w:val="22"/>
          <w:szCs w:val="22"/>
        </w:rPr>
        <w:t xml:space="preserve"> </w:t>
      </w:r>
      <w:r w:rsidRPr="00883A1C">
        <w:rPr>
          <w:i/>
          <w:kern w:val="22"/>
          <w:szCs w:val="22"/>
          <w:lang w:val="la-Latn"/>
        </w:rPr>
        <w:t>macdonaldi</w:t>
      </w:r>
      <w:r w:rsidRPr="00883A1C">
        <w:rPr>
          <w:kern w:val="22"/>
          <w:szCs w:val="22"/>
        </w:rPr>
        <w:t xml:space="preserve">) is endangering the </w:t>
      </w:r>
      <w:proofErr w:type="spellStart"/>
      <w:r w:rsidRPr="00883A1C">
        <w:rPr>
          <w:kern w:val="22"/>
          <w:szCs w:val="22"/>
        </w:rPr>
        <w:t>vaquita</w:t>
      </w:r>
      <w:proofErr w:type="spellEnd"/>
      <w:r w:rsidRPr="00883A1C">
        <w:rPr>
          <w:kern w:val="22"/>
          <w:szCs w:val="22"/>
        </w:rPr>
        <w:t xml:space="preserve"> porpoise (</w:t>
      </w:r>
      <w:r w:rsidRPr="00883A1C">
        <w:rPr>
          <w:i/>
          <w:kern w:val="22"/>
          <w:szCs w:val="22"/>
          <w:lang w:val="la-Latn"/>
        </w:rPr>
        <w:t>Phocoena</w:t>
      </w:r>
      <w:r w:rsidRPr="00883A1C">
        <w:rPr>
          <w:i/>
          <w:kern w:val="22"/>
          <w:szCs w:val="22"/>
        </w:rPr>
        <w:t xml:space="preserve"> </w:t>
      </w:r>
      <w:r w:rsidRPr="00883A1C">
        <w:rPr>
          <w:i/>
          <w:kern w:val="22"/>
          <w:szCs w:val="22"/>
          <w:lang w:val="la-Latn"/>
        </w:rPr>
        <w:t>sinus</w:t>
      </w:r>
      <w:r w:rsidRPr="00883A1C">
        <w:rPr>
          <w:kern w:val="22"/>
          <w:szCs w:val="22"/>
        </w:rPr>
        <w:t xml:space="preserve">), the most endangered whale species in the world. Both species are listed on CITES appendix I. The Centre participated in August 2017 together with the CITES secretariat in a trilateral meeting organized by Mexico with China and the United States in Ensenada, Mexico, on how to better address the illegal </w:t>
      </w:r>
      <w:proofErr w:type="spellStart"/>
      <w:r w:rsidRPr="00883A1C">
        <w:rPr>
          <w:kern w:val="22"/>
          <w:szCs w:val="22"/>
        </w:rPr>
        <w:t>totoaba</w:t>
      </w:r>
      <w:proofErr w:type="spellEnd"/>
      <w:r w:rsidRPr="00883A1C">
        <w:rPr>
          <w:kern w:val="22"/>
          <w:szCs w:val="22"/>
        </w:rPr>
        <w:t xml:space="preserve"> trade. The Centre also held several consultations with CITES on the organization of the reactive monitoring mission to the property and was consulted on the implementation of a study on the illegal </w:t>
      </w:r>
      <w:proofErr w:type="spellStart"/>
      <w:r w:rsidRPr="00883A1C">
        <w:rPr>
          <w:kern w:val="22"/>
          <w:szCs w:val="22"/>
        </w:rPr>
        <w:t>totoaba</w:t>
      </w:r>
      <w:proofErr w:type="spellEnd"/>
      <w:r w:rsidRPr="00883A1C">
        <w:rPr>
          <w:kern w:val="22"/>
          <w:szCs w:val="22"/>
        </w:rPr>
        <w:t xml:space="preserve"> trade and i</w:t>
      </w:r>
      <w:r w:rsidR="00B36287" w:rsidRPr="00883A1C">
        <w:rPr>
          <w:kern w:val="22"/>
          <w:szCs w:val="22"/>
        </w:rPr>
        <w:t>t</w:t>
      </w:r>
      <w:r w:rsidRPr="00883A1C">
        <w:rPr>
          <w:kern w:val="22"/>
          <w:szCs w:val="22"/>
        </w:rPr>
        <w:t xml:space="preserve">s impacts on the </w:t>
      </w:r>
      <w:proofErr w:type="spellStart"/>
      <w:r w:rsidRPr="00883A1C">
        <w:rPr>
          <w:kern w:val="22"/>
          <w:szCs w:val="22"/>
        </w:rPr>
        <w:t>vaquita</w:t>
      </w:r>
      <w:proofErr w:type="spellEnd"/>
      <w:r w:rsidRPr="00883A1C">
        <w:rPr>
          <w:kern w:val="22"/>
          <w:szCs w:val="22"/>
        </w:rPr>
        <w:t xml:space="preserve">, requested in Decision 17.149 of the CITES </w:t>
      </w:r>
      <w:r w:rsidR="000134A1" w:rsidRPr="00883A1C">
        <w:rPr>
          <w:kern w:val="22"/>
          <w:szCs w:val="22"/>
        </w:rPr>
        <w:t>Conference of the Parties</w:t>
      </w:r>
      <w:r w:rsidRPr="00883A1C">
        <w:rPr>
          <w:kern w:val="22"/>
          <w:szCs w:val="22"/>
        </w:rPr>
        <w:t>. Other examples include the CITES “Minimizing the Illegal Killing of Elephants and other Endangered Species” (MIKE) Programme, which has been supporting law enforcement in a number of properties in Africa affected by the illegal ivory and rhino horn trade, and in others to curb the illegal trade in sharks, affecting several marine World Heritage sites, and the illegal trade in rosewood species. Subject to available resources, the World Heritage Centre is committed to continu</w:t>
      </w:r>
      <w:r w:rsidR="009B5BE6" w:rsidRPr="00883A1C">
        <w:rPr>
          <w:kern w:val="22"/>
          <w:szCs w:val="22"/>
        </w:rPr>
        <w:t>ing</w:t>
      </w:r>
      <w:r w:rsidRPr="00883A1C">
        <w:rPr>
          <w:kern w:val="22"/>
          <w:szCs w:val="22"/>
        </w:rPr>
        <w:t xml:space="preserve"> and further strengthen</w:t>
      </w:r>
      <w:r w:rsidR="009B5BE6" w:rsidRPr="00883A1C">
        <w:rPr>
          <w:kern w:val="22"/>
          <w:szCs w:val="22"/>
        </w:rPr>
        <w:t>ing</w:t>
      </w:r>
      <w:r w:rsidRPr="00883A1C">
        <w:rPr>
          <w:kern w:val="22"/>
          <w:szCs w:val="22"/>
        </w:rPr>
        <w:t xml:space="preserve"> these concrete joint efforts.</w:t>
      </w:r>
    </w:p>
    <w:p w:rsidR="00A229F5" w:rsidRPr="00883A1C" w:rsidRDefault="00FD4EBA"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 xml:space="preserve">The International Plant Protection Convention (IPPC) and </w:t>
      </w:r>
      <w:r w:rsidR="00227F3A" w:rsidRPr="00883A1C">
        <w:rPr>
          <w:kern w:val="22"/>
          <w:szCs w:val="22"/>
        </w:rPr>
        <w:t>the Convention on Biological Diversity</w:t>
      </w:r>
      <w:r w:rsidR="00227F3A" w:rsidRPr="00883A1C">
        <w:rPr>
          <w:kern w:val="22"/>
          <w:szCs w:val="22"/>
        </w:rPr>
        <w:t xml:space="preserve"> </w:t>
      </w:r>
      <w:r w:rsidRPr="00883A1C">
        <w:rPr>
          <w:kern w:val="22"/>
          <w:szCs w:val="22"/>
        </w:rPr>
        <w:t>have long</w:t>
      </w:r>
      <w:r w:rsidR="00BE7B36" w:rsidRPr="00883A1C">
        <w:rPr>
          <w:kern w:val="22"/>
          <w:szCs w:val="22"/>
        </w:rPr>
        <w:t>-</w:t>
      </w:r>
      <w:r w:rsidRPr="00883A1C">
        <w:rPr>
          <w:kern w:val="22"/>
          <w:szCs w:val="22"/>
        </w:rPr>
        <w:t xml:space="preserve">standing cooperation </w:t>
      </w:r>
      <w:r w:rsidR="00A229F5" w:rsidRPr="00883A1C">
        <w:rPr>
          <w:kern w:val="22"/>
          <w:szCs w:val="22"/>
        </w:rPr>
        <w:t xml:space="preserve">through their </w:t>
      </w:r>
      <w:r w:rsidR="00AD7419" w:rsidRPr="00883A1C">
        <w:rPr>
          <w:kern w:val="22"/>
          <w:szCs w:val="22"/>
        </w:rPr>
        <w:t>s</w:t>
      </w:r>
      <w:r w:rsidR="00A229F5" w:rsidRPr="00883A1C">
        <w:rPr>
          <w:kern w:val="22"/>
          <w:szCs w:val="22"/>
        </w:rPr>
        <w:t xml:space="preserve">ecretariats, </w:t>
      </w:r>
      <w:r w:rsidR="00691E77" w:rsidRPr="00883A1C">
        <w:rPr>
          <w:kern w:val="22"/>
          <w:szCs w:val="22"/>
        </w:rPr>
        <w:t>focusing</w:t>
      </w:r>
      <w:r w:rsidRPr="00883A1C">
        <w:rPr>
          <w:kern w:val="22"/>
          <w:szCs w:val="22"/>
        </w:rPr>
        <w:t xml:space="preserve"> on the areas of invasive alien species and the Cartagena Protocol on Biosafety. In September 2017, the two </w:t>
      </w:r>
      <w:r w:rsidR="00AD7419" w:rsidRPr="00883A1C">
        <w:rPr>
          <w:kern w:val="22"/>
          <w:szCs w:val="22"/>
        </w:rPr>
        <w:t>s</w:t>
      </w:r>
      <w:r w:rsidRPr="00883A1C">
        <w:rPr>
          <w:kern w:val="22"/>
          <w:szCs w:val="22"/>
        </w:rPr>
        <w:t>ecretariats signed a Joint Work Plan for Cooperation for the biennium 2017-2018</w:t>
      </w:r>
      <w:r w:rsidR="00A229F5" w:rsidRPr="00883A1C">
        <w:rPr>
          <w:kern w:val="22"/>
          <w:szCs w:val="22"/>
        </w:rPr>
        <w:t>,</w:t>
      </w:r>
      <w:r w:rsidRPr="00883A1C">
        <w:rPr>
          <w:kern w:val="22"/>
          <w:szCs w:val="22"/>
        </w:rPr>
        <w:t xml:space="preserve"> which will be reviewed and updated, as appropriate, for the next biennium 2019-2020. </w:t>
      </w:r>
      <w:r w:rsidR="00A229F5" w:rsidRPr="00883A1C">
        <w:rPr>
          <w:kern w:val="22"/>
          <w:szCs w:val="22"/>
        </w:rPr>
        <w:t xml:space="preserve">Activities in the </w:t>
      </w:r>
      <w:r w:rsidRPr="00883A1C">
        <w:rPr>
          <w:kern w:val="22"/>
          <w:szCs w:val="22"/>
        </w:rPr>
        <w:t>Joint Work Plan</w:t>
      </w:r>
      <w:r w:rsidR="00210EB1" w:rsidRPr="00883A1C">
        <w:rPr>
          <w:kern w:val="22"/>
          <w:szCs w:val="22"/>
        </w:rPr>
        <w:t xml:space="preserve"> to be addressed</w:t>
      </w:r>
      <w:r w:rsidR="00D06408" w:rsidRPr="00883A1C">
        <w:rPr>
          <w:kern w:val="22"/>
          <w:szCs w:val="22"/>
        </w:rPr>
        <w:t>,</w:t>
      </w:r>
      <w:r w:rsidR="00210EB1" w:rsidRPr="00883A1C">
        <w:rPr>
          <w:kern w:val="22"/>
          <w:szCs w:val="22"/>
        </w:rPr>
        <w:t xml:space="preserve"> subject to the availability of resources,</w:t>
      </w:r>
      <w:r w:rsidRPr="00883A1C">
        <w:rPr>
          <w:kern w:val="22"/>
          <w:szCs w:val="22"/>
        </w:rPr>
        <w:t xml:space="preserve"> </w:t>
      </w:r>
      <w:r w:rsidR="00697170" w:rsidRPr="00883A1C">
        <w:rPr>
          <w:kern w:val="22"/>
          <w:szCs w:val="22"/>
        </w:rPr>
        <w:t>are</w:t>
      </w:r>
      <w:r w:rsidR="00A229F5" w:rsidRPr="00883A1C">
        <w:rPr>
          <w:kern w:val="22"/>
          <w:szCs w:val="22"/>
        </w:rPr>
        <w:t>:</w:t>
      </w:r>
      <w:r w:rsidRPr="00883A1C">
        <w:rPr>
          <w:kern w:val="22"/>
          <w:szCs w:val="22"/>
        </w:rPr>
        <w:t xml:space="preserve"> </w:t>
      </w:r>
      <w:r w:rsidR="00697170" w:rsidRPr="00883A1C">
        <w:rPr>
          <w:kern w:val="22"/>
          <w:szCs w:val="22"/>
        </w:rPr>
        <w:t>(a) </w:t>
      </w:r>
      <w:r w:rsidRPr="00883A1C">
        <w:rPr>
          <w:kern w:val="22"/>
          <w:szCs w:val="22"/>
        </w:rPr>
        <w:t xml:space="preserve">ensuring the reciprocated participation and reporting </w:t>
      </w:r>
      <w:r w:rsidR="00A229F5" w:rsidRPr="00883A1C">
        <w:rPr>
          <w:kern w:val="22"/>
          <w:szCs w:val="22"/>
        </w:rPr>
        <w:t>of</w:t>
      </w:r>
      <w:r w:rsidRPr="00883A1C">
        <w:rPr>
          <w:kern w:val="22"/>
          <w:szCs w:val="22"/>
        </w:rPr>
        <w:t xml:space="preserve"> the two secretariats at the meetings of their respective governing bodies; </w:t>
      </w:r>
      <w:r w:rsidR="00697170" w:rsidRPr="00883A1C">
        <w:rPr>
          <w:kern w:val="22"/>
          <w:szCs w:val="22"/>
        </w:rPr>
        <w:t>(b) </w:t>
      </w:r>
      <w:r w:rsidRPr="00883A1C">
        <w:rPr>
          <w:kern w:val="22"/>
          <w:szCs w:val="22"/>
        </w:rPr>
        <w:t xml:space="preserve">cooperation in training events of the Global Taxonomy Initiative and in expert meetings regarding e-commerce; </w:t>
      </w:r>
      <w:r w:rsidR="00697170" w:rsidRPr="00883A1C">
        <w:rPr>
          <w:kern w:val="22"/>
          <w:szCs w:val="22"/>
        </w:rPr>
        <w:t>(c) </w:t>
      </w:r>
      <w:r w:rsidRPr="00883A1C">
        <w:rPr>
          <w:kern w:val="22"/>
          <w:szCs w:val="22"/>
        </w:rPr>
        <w:t xml:space="preserve">work on the comparison of terms used in the Cartagena Protocol on Biosafety, the Glossary of Phytosanitary Terms and other relevant instruments; </w:t>
      </w:r>
      <w:r w:rsidR="00697170" w:rsidRPr="00883A1C">
        <w:rPr>
          <w:kern w:val="22"/>
          <w:szCs w:val="22"/>
        </w:rPr>
        <w:t>(d) </w:t>
      </w:r>
      <w:r w:rsidRPr="00883A1C">
        <w:rPr>
          <w:kern w:val="22"/>
          <w:szCs w:val="22"/>
        </w:rPr>
        <w:t xml:space="preserve">support by the two secretariats to their Parties in project formulation for appropriate funding mechanisms; and </w:t>
      </w:r>
      <w:r w:rsidR="00697170" w:rsidRPr="00883A1C">
        <w:rPr>
          <w:kern w:val="22"/>
          <w:szCs w:val="22"/>
        </w:rPr>
        <w:t>(e) </w:t>
      </w:r>
      <w:r w:rsidRPr="00883A1C">
        <w:rPr>
          <w:kern w:val="22"/>
          <w:szCs w:val="22"/>
        </w:rPr>
        <w:t xml:space="preserve">cooperation </w:t>
      </w:r>
      <w:r w:rsidR="00210EB1" w:rsidRPr="00883A1C">
        <w:rPr>
          <w:kern w:val="22"/>
          <w:szCs w:val="22"/>
        </w:rPr>
        <w:t xml:space="preserve">in the communication of public information, including </w:t>
      </w:r>
      <w:r w:rsidRPr="00883A1C">
        <w:rPr>
          <w:kern w:val="22"/>
          <w:szCs w:val="22"/>
        </w:rPr>
        <w:t>in the context of the International Year of Plant Health 2020 and the United Nations Decade on Biodiversity.</w:t>
      </w:r>
      <w:r w:rsidR="00A229F5" w:rsidRPr="00883A1C">
        <w:rPr>
          <w:kern w:val="22"/>
          <w:szCs w:val="22"/>
        </w:rPr>
        <w:t xml:space="preserve"> Relevant information is provided in the reports of the CBD Secretariat to the Commission on Phytosanitary Measures </w:t>
      </w:r>
      <w:r w:rsidR="00596B60" w:rsidRPr="00883A1C">
        <w:rPr>
          <w:kern w:val="22"/>
          <w:szCs w:val="22"/>
        </w:rPr>
        <w:t xml:space="preserve">at its twelfth and thirteenth sessions, </w:t>
      </w:r>
      <w:r w:rsidR="00A229F5" w:rsidRPr="00883A1C">
        <w:rPr>
          <w:kern w:val="22"/>
          <w:szCs w:val="22"/>
        </w:rPr>
        <w:t>held in 2017 and 2018 respectively, reflected in the reports of the IPPC Secretariat.</w:t>
      </w:r>
      <w:r w:rsidR="00A229F5" w:rsidRPr="00883A1C">
        <w:rPr>
          <w:rStyle w:val="FootnoteReference"/>
          <w:kern w:val="22"/>
          <w:sz w:val="22"/>
          <w:szCs w:val="22"/>
          <w:u w:val="none"/>
          <w:vertAlign w:val="superscript"/>
        </w:rPr>
        <w:footnoteReference w:id="8"/>
      </w:r>
    </w:p>
    <w:p w:rsidR="00FD4EBA" w:rsidRPr="00883A1C" w:rsidRDefault="00FD4EBA"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 xml:space="preserve">The relationship </w:t>
      </w:r>
      <w:r w:rsidR="00691E77" w:rsidRPr="00883A1C">
        <w:rPr>
          <w:kern w:val="22"/>
          <w:szCs w:val="22"/>
        </w:rPr>
        <w:t>of</w:t>
      </w:r>
      <w:r w:rsidRPr="00883A1C">
        <w:rPr>
          <w:kern w:val="22"/>
          <w:szCs w:val="22"/>
        </w:rPr>
        <w:t xml:space="preserve"> the International Treaty on Plant Genetic Resources for Food and Agriculture with CBD is established </w:t>
      </w:r>
      <w:r w:rsidR="00AA3D4F" w:rsidRPr="00883A1C">
        <w:rPr>
          <w:kern w:val="22"/>
          <w:szCs w:val="22"/>
        </w:rPr>
        <w:t xml:space="preserve">through </w:t>
      </w:r>
      <w:r w:rsidRPr="00883A1C">
        <w:rPr>
          <w:kern w:val="22"/>
          <w:szCs w:val="22"/>
        </w:rPr>
        <w:t xml:space="preserve">Articles 1.2, 19.3 (l) and 20.5 of the International Treaty. </w:t>
      </w:r>
      <w:r w:rsidR="00691E77" w:rsidRPr="00883A1C">
        <w:rPr>
          <w:kern w:val="22"/>
          <w:szCs w:val="22"/>
        </w:rPr>
        <w:t xml:space="preserve">Cooperation between the two </w:t>
      </w:r>
      <w:r w:rsidR="00697170" w:rsidRPr="00883A1C">
        <w:rPr>
          <w:kern w:val="22"/>
          <w:szCs w:val="22"/>
        </w:rPr>
        <w:t>s</w:t>
      </w:r>
      <w:r w:rsidR="00691E77" w:rsidRPr="00883A1C">
        <w:rPr>
          <w:kern w:val="22"/>
          <w:szCs w:val="22"/>
        </w:rPr>
        <w:t xml:space="preserve">ecretariats is implemented in the framework of a memorandum of cooperation established in 2010. The two </w:t>
      </w:r>
      <w:r w:rsidR="00BE66B4" w:rsidRPr="00883A1C">
        <w:rPr>
          <w:kern w:val="22"/>
          <w:szCs w:val="22"/>
        </w:rPr>
        <w:t>s</w:t>
      </w:r>
      <w:r w:rsidR="00691E77" w:rsidRPr="00883A1C">
        <w:rPr>
          <w:kern w:val="22"/>
          <w:szCs w:val="22"/>
        </w:rPr>
        <w:t xml:space="preserve">ecretariats also agreed on a Joint Initiative for the Harmonious Implementation of the International Treaty and the Convention and its Nagoya Protocol. The Joint Initiative identifies a number of concrete actions related to access and benefit-sharing; on-farm conservation, and the sustainable use of plant genetic resources for food and agriculture. </w:t>
      </w:r>
      <w:r w:rsidRPr="00883A1C">
        <w:rPr>
          <w:kern w:val="22"/>
          <w:szCs w:val="22"/>
        </w:rPr>
        <w:t xml:space="preserve">The focus of </w:t>
      </w:r>
      <w:r w:rsidR="00691E77" w:rsidRPr="00883A1C">
        <w:rPr>
          <w:kern w:val="22"/>
          <w:szCs w:val="22"/>
        </w:rPr>
        <w:t xml:space="preserve">recent </w:t>
      </w:r>
      <w:r w:rsidRPr="00883A1C">
        <w:rPr>
          <w:kern w:val="22"/>
          <w:szCs w:val="22"/>
        </w:rPr>
        <w:t xml:space="preserve">cooperative activities has been on projects for mutually supportive implementation of ITPGRFA and the Nagoya Protocol. The Secretariat of CBD and </w:t>
      </w:r>
      <w:r w:rsidR="006B3095" w:rsidRPr="00883A1C">
        <w:rPr>
          <w:kern w:val="22"/>
          <w:szCs w:val="22"/>
        </w:rPr>
        <w:t xml:space="preserve">the </w:t>
      </w:r>
      <w:r w:rsidRPr="00883A1C">
        <w:rPr>
          <w:kern w:val="22"/>
          <w:szCs w:val="22"/>
        </w:rPr>
        <w:t>Secretariat of ITPGRFA collaborated with a number of partners to undertake different ac</w:t>
      </w:r>
      <w:r w:rsidR="00691E77" w:rsidRPr="00883A1C">
        <w:rPr>
          <w:kern w:val="22"/>
          <w:szCs w:val="22"/>
        </w:rPr>
        <w:t>tivities.</w:t>
      </w:r>
    </w:p>
    <w:p w:rsidR="00691E77" w:rsidRPr="00883A1C" w:rsidRDefault="00691E77"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lastRenderedPageBreak/>
        <w:t>Details of cooperation between ITPGRFA and CBD over the past biennium are</w:t>
      </w:r>
      <w:r w:rsidR="000E484A" w:rsidRPr="00883A1C">
        <w:rPr>
          <w:kern w:val="22"/>
          <w:szCs w:val="22"/>
        </w:rPr>
        <w:t xml:space="preserve"> </w:t>
      </w:r>
      <w:r w:rsidR="00BE66B4" w:rsidRPr="00883A1C">
        <w:rPr>
          <w:kern w:val="22"/>
          <w:szCs w:val="22"/>
        </w:rPr>
        <w:t xml:space="preserve">given </w:t>
      </w:r>
      <w:r w:rsidR="000E484A" w:rsidRPr="00883A1C">
        <w:rPr>
          <w:kern w:val="22"/>
          <w:szCs w:val="22"/>
        </w:rPr>
        <w:t xml:space="preserve">in the </w:t>
      </w:r>
      <w:r w:rsidR="00BE66B4" w:rsidRPr="00883A1C">
        <w:rPr>
          <w:kern w:val="22"/>
          <w:szCs w:val="22"/>
        </w:rPr>
        <w:t>r</w:t>
      </w:r>
      <w:r w:rsidR="00A52987" w:rsidRPr="00883A1C">
        <w:rPr>
          <w:kern w:val="22"/>
          <w:szCs w:val="22"/>
        </w:rPr>
        <w:t>eport on Cooperation with the Convention on Biological Diversity</w:t>
      </w:r>
      <w:r w:rsidR="00A52987" w:rsidRPr="00883A1C">
        <w:rPr>
          <w:rStyle w:val="FootnoteReference"/>
          <w:kern w:val="22"/>
          <w:sz w:val="22"/>
          <w:szCs w:val="22"/>
          <w:u w:val="none"/>
          <w:vertAlign w:val="superscript"/>
        </w:rPr>
        <w:footnoteReference w:id="9"/>
      </w:r>
      <w:r w:rsidR="00A52987" w:rsidRPr="00883A1C">
        <w:rPr>
          <w:kern w:val="22"/>
          <w:szCs w:val="22"/>
        </w:rPr>
        <w:t xml:space="preserve"> and the </w:t>
      </w:r>
      <w:r w:rsidR="00FA5456" w:rsidRPr="00883A1C">
        <w:rPr>
          <w:kern w:val="22"/>
          <w:szCs w:val="22"/>
        </w:rPr>
        <w:t>r</w:t>
      </w:r>
      <w:r w:rsidR="00A52987" w:rsidRPr="00883A1C">
        <w:rPr>
          <w:kern w:val="22"/>
          <w:szCs w:val="22"/>
        </w:rPr>
        <w:t>eport of the Secretariat of the Convention on Biological Diversity on Cooperation with the International Treaty</w:t>
      </w:r>
      <w:r w:rsidR="006B3095" w:rsidRPr="00883A1C">
        <w:rPr>
          <w:kern w:val="22"/>
          <w:szCs w:val="22"/>
        </w:rPr>
        <w:t>,</w:t>
      </w:r>
      <w:r w:rsidR="00983E36" w:rsidRPr="00883A1C">
        <w:rPr>
          <w:rStyle w:val="FootnoteReference"/>
          <w:kern w:val="22"/>
          <w:sz w:val="22"/>
          <w:szCs w:val="22"/>
          <w:u w:val="none"/>
          <w:vertAlign w:val="superscript"/>
        </w:rPr>
        <w:footnoteReference w:id="10"/>
      </w:r>
      <w:r w:rsidR="00A229F5" w:rsidRPr="00883A1C">
        <w:rPr>
          <w:kern w:val="22"/>
          <w:szCs w:val="22"/>
        </w:rPr>
        <w:t xml:space="preserve"> each submitted to the Governing Body of the International Treaty</w:t>
      </w:r>
      <w:r w:rsidR="0017604B" w:rsidRPr="00883A1C">
        <w:rPr>
          <w:kern w:val="22"/>
          <w:szCs w:val="22"/>
        </w:rPr>
        <w:t xml:space="preserve"> at its seventh session</w:t>
      </w:r>
      <w:r w:rsidRPr="00883A1C">
        <w:rPr>
          <w:kern w:val="22"/>
          <w:szCs w:val="22"/>
        </w:rPr>
        <w:t>.</w:t>
      </w:r>
      <w:r w:rsidR="00A52987" w:rsidRPr="00883A1C">
        <w:rPr>
          <w:kern w:val="22"/>
          <w:szCs w:val="22"/>
        </w:rPr>
        <w:t xml:space="preserve"> </w:t>
      </w:r>
      <w:r w:rsidRPr="00883A1C">
        <w:rPr>
          <w:kern w:val="22"/>
          <w:szCs w:val="22"/>
        </w:rPr>
        <w:t xml:space="preserve">Particular progress has been made in capacity-development activities, information and knowledge management, and in supporting implementation of the 2030 Agenda for Sustainable Development and its Sustainable Development Goals. The two </w:t>
      </w:r>
      <w:r w:rsidR="001E669D" w:rsidRPr="00883A1C">
        <w:rPr>
          <w:kern w:val="22"/>
          <w:szCs w:val="22"/>
        </w:rPr>
        <w:t>s</w:t>
      </w:r>
      <w:r w:rsidRPr="00883A1C">
        <w:rPr>
          <w:kern w:val="22"/>
          <w:szCs w:val="22"/>
        </w:rPr>
        <w:t>ecretariats collaborated on the development of indicators as part of the global indicator framework for the Sustainable Development Goals and targets. This work focused on indicator 15.6.1</w:t>
      </w:r>
      <w:r w:rsidR="00221D21" w:rsidRPr="00883A1C">
        <w:rPr>
          <w:kern w:val="22"/>
          <w:szCs w:val="22"/>
        </w:rPr>
        <w:t>,</w:t>
      </w:r>
      <w:r w:rsidRPr="00883A1C">
        <w:rPr>
          <w:kern w:val="22"/>
          <w:szCs w:val="22"/>
        </w:rPr>
        <w:t xml:space="preserve"> which will assess progress towards Target 15.6 (to </w:t>
      </w:r>
      <w:r w:rsidR="00221D21" w:rsidRPr="00883A1C">
        <w:rPr>
          <w:kern w:val="22"/>
          <w:szCs w:val="22"/>
        </w:rPr>
        <w:t>p</w:t>
      </w:r>
      <w:r w:rsidRPr="00883A1C">
        <w:rPr>
          <w:kern w:val="22"/>
          <w:szCs w:val="22"/>
        </w:rPr>
        <w:t>romote fair and equitable sharing of the benefits arising from the utilization of genetic resources and promote appropriate access to such resources, as internationally agreed).</w:t>
      </w:r>
    </w:p>
    <w:p w:rsidR="00706F41" w:rsidRPr="00883A1C" w:rsidRDefault="00706F41" w:rsidP="00883A1C">
      <w:pPr>
        <w:numPr>
          <w:ilvl w:val="0"/>
          <w:numId w:val="36"/>
        </w:numPr>
        <w:suppressLineNumbers/>
        <w:suppressAutoHyphens/>
        <w:kinsoku w:val="0"/>
        <w:overflowPunct w:val="0"/>
        <w:autoSpaceDE w:val="0"/>
        <w:autoSpaceDN w:val="0"/>
        <w:adjustRightInd w:val="0"/>
        <w:snapToGrid w:val="0"/>
        <w:spacing w:before="120" w:after="120" w:line="238" w:lineRule="auto"/>
        <w:jc w:val="center"/>
        <w:outlineLvl w:val="1"/>
        <w:rPr>
          <w:b/>
          <w:kern w:val="22"/>
          <w:szCs w:val="22"/>
        </w:rPr>
      </w:pPr>
      <w:r w:rsidRPr="00883A1C">
        <w:rPr>
          <w:b/>
          <w:kern w:val="22"/>
          <w:szCs w:val="22"/>
        </w:rPr>
        <w:t>Other inter</w:t>
      </w:r>
      <w:r w:rsidR="00D21A01" w:rsidRPr="00883A1C">
        <w:rPr>
          <w:b/>
          <w:kern w:val="22"/>
          <w:szCs w:val="22"/>
        </w:rPr>
        <w:t>-</w:t>
      </w:r>
      <w:r w:rsidRPr="00883A1C">
        <w:rPr>
          <w:b/>
          <w:kern w:val="22"/>
          <w:szCs w:val="22"/>
        </w:rPr>
        <w:t>agency groups</w:t>
      </w:r>
    </w:p>
    <w:p w:rsidR="00FD4EBA" w:rsidRPr="00883A1C" w:rsidRDefault="00867462"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T</w:t>
      </w:r>
      <w:r w:rsidR="00FD4EBA" w:rsidRPr="00883A1C">
        <w:rPr>
          <w:kern w:val="22"/>
          <w:szCs w:val="22"/>
        </w:rPr>
        <w:t xml:space="preserve">he secretariats of the biodiversity-related conventions are </w:t>
      </w:r>
      <w:r w:rsidRPr="00883A1C">
        <w:rPr>
          <w:kern w:val="22"/>
          <w:szCs w:val="22"/>
        </w:rPr>
        <w:t xml:space="preserve">also </w:t>
      </w:r>
      <w:r w:rsidR="00FD4EBA" w:rsidRPr="00883A1C">
        <w:rPr>
          <w:kern w:val="22"/>
          <w:szCs w:val="22"/>
        </w:rPr>
        <w:t xml:space="preserve">active members of </w:t>
      </w:r>
      <w:r w:rsidR="004F34CE" w:rsidRPr="00883A1C">
        <w:rPr>
          <w:kern w:val="22"/>
          <w:szCs w:val="22"/>
        </w:rPr>
        <w:t xml:space="preserve">other inter-agency coordination mechanisms </w:t>
      </w:r>
      <w:r w:rsidR="00FD4EBA" w:rsidRPr="00883A1C">
        <w:rPr>
          <w:kern w:val="22"/>
          <w:szCs w:val="22"/>
        </w:rPr>
        <w:t xml:space="preserve">that </w:t>
      </w:r>
      <w:r w:rsidR="004F34CE" w:rsidRPr="00883A1C">
        <w:rPr>
          <w:kern w:val="22"/>
          <w:szCs w:val="22"/>
        </w:rPr>
        <w:t xml:space="preserve">foster cooperation and synergies in specific thematic </w:t>
      </w:r>
      <w:r w:rsidR="00A52987" w:rsidRPr="00883A1C">
        <w:rPr>
          <w:kern w:val="22"/>
          <w:szCs w:val="22"/>
        </w:rPr>
        <w:t xml:space="preserve">or cross-cutting </w:t>
      </w:r>
      <w:r w:rsidR="004F34CE" w:rsidRPr="00883A1C">
        <w:rPr>
          <w:kern w:val="22"/>
          <w:szCs w:val="22"/>
        </w:rPr>
        <w:t>areas</w:t>
      </w:r>
      <w:r w:rsidR="00FD4EBA" w:rsidRPr="00883A1C">
        <w:rPr>
          <w:kern w:val="22"/>
          <w:szCs w:val="22"/>
        </w:rPr>
        <w:t>.</w:t>
      </w:r>
    </w:p>
    <w:p w:rsidR="004F34CE" w:rsidRPr="00883A1C" w:rsidRDefault="00FD4EBA"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These include</w:t>
      </w:r>
      <w:r w:rsidR="00A52987" w:rsidRPr="00883A1C">
        <w:rPr>
          <w:kern w:val="22"/>
          <w:szCs w:val="22"/>
        </w:rPr>
        <w:t>:</w:t>
      </w:r>
      <w:r w:rsidR="004F34CE" w:rsidRPr="00883A1C">
        <w:rPr>
          <w:kern w:val="22"/>
          <w:szCs w:val="22"/>
        </w:rPr>
        <w:t xml:space="preserve"> </w:t>
      </w:r>
      <w:r w:rsidR="00C40250" w:rsidRPr="00883A1C">
        <w:rPr>
          <w:kern w:val="22"/>
          <w:szCs w:val="22"/>
        </w:rPr>
        <w:t>(a) </w:t>
      </w:r>
      <w:r w:rsidR="004F34CE" w:rsidRPr="00883A1C">
        <w:rPr>
          <w:kern w:val="22"/>
          <w:szCs w:val="22"/>
        </w:rPr>
        <w:t xml:space="preserve">the </w:t>
      </w:r>
      <w:r w:rsidR="00A52987" w:rsidRPr="00883A1C">
        <w:rPr>
          <w:kern w:val="22"/>
          <w:szCs w:val="22"/>
        </w:rPr>
        <w:t xml:space="preserve">Environment Management Group (EMG) of the United Nations, </w:t>
      </w:r>
      <w:r w:rsidR="00C40250" w:rsidRPr="00883A1C">
        <w:rPr>
          <w:kern w:val="22"/>
          <w:szCs w:val="22"/>
        </w:rPr>
        <w:t xml:space="preserve">of </w:t>
      </w:r>
      <w:r w:rsidR="00A52987" w:rsidRPr="00883A1C">
        <w:rPr>
          <w:kern w:val="22"/>
          <w:szCs w:val="22"/>
        </w:rPr>
        <w:t xml:space="preserve">which CBD, CITES, CMS and </w:t>
      </w:r>
      <w:proofErr w:type="spellStart"/>
      <w:r w:rsidR="00A52987" w:rsidRPr="00883A1C">
        <w:rPr>
          <w:kern w:val="22"/>
          <w:szCs w:val="22"/>
        </w:rPr>
        <w:t>Ramsar</w:t>
      </w:r>
      <w:proofErr w:type="spellEnd"/>
      <w:r w:rsidR="00A52987" w:rsidRPr="00883A1C">
        <w:rPr>
          <w:kern w:val="22"/>
          <w:szCs w:val="22"/>
        </w:rPr>
        <w:t xml:space="preserve"> are members and in which IPPC, ITPGRFA and the World Heritage Centre are represented through FAO and UNESCO; </w:t>
      </w:r>
      <w:r w:rsidR="00C40250" w:rsidRPr="00883A1C">
        <w:rPr>
          <w:kern w:val="22"/>
          <w:szCs w:val="22"/>
        </w:rPr>
        <w:t>(b) </w:t>
      </w:r>
      <w:r w:rsidR="00A52987" w:rsidRPr="00883A1C">
        <w:rPr>
          <w:kern w:val="22"/>
          <w:szCs w:val="22"/>
        </w:rPr>
        <w:t xml:space="preserve">the </w:t>
      </w:r>
      <w:r w:rsidR="004F34CE" w:rsidRPr="00883A1C">
        <w:rPr>
          <w:kern w:val="22"/>
          <w:szCs w:val="22"/>
        </w:rPr>
        <w:t>Multilateral Environmental Agreement Information and Knowl</w:t>
      </w:r>
      <w:r w:rsidR="00A52987" w:rsidRPr="00883A1C">
        <w:rPr>
          <w:kern w:val="22"/>
          <w:szCs w:val="22"/>
        </w:rPr>
        <w:t xml:space="preserve">edge Management Initiative (MEA </w:t>
      </w:r>
      <w:r w:rsidR="004F34CE" w:rsidRPr="00883A1C">
        <w:rPr>
          <w:kern w:val="22"/>
          <w:szCs w:val="22"/>
        </w:rPr>
        <w:t>IKM),</w:t>
      </w:r>
      <w:r w:rsidR="00A52987" w:rsidRPr="00883A1C">
        <w:rPr>
          <w:kern w:val="22"/>
          <w:szCs w:val="22"/>
        </w:rPr>
        <w:t xml:space="preserve"> </w:t>
      </w:r>
      <w:r w:rsidR="00C40250" w:rsidRPr="00883A1C">
        <w:rPr>
          <w:kern w:val="22"/>
          <w:szCs w:val="22"/>
        </w:rPr>
        <w:t xml:space="preserve">of </w:t>
      </w:r>
      <w:r w:rsidR="00A52987" w:rsidRPr="00883A1C">
        <w:rPr>
          <w:kern w:val="22"/>
          <w:szCs w:val="22"/>
        </w:rPr>
        <w:t>which</w:t>
      </w:r>
      <w:r w:rsidR="004F34CE" w:rsidRPr="00883A1C">
        <w:rPr>
          <w:kern w:val="22"/>
          <w:szCs w:val="22"/>
        </w:rPr>
        <w:t xml:space="preserve"> CBD, CITES, CMS, IPPC, ITPGRFA, </w:t>
      </w:r>
      <w:r w:rsidR="00A52987" w:rsidRPr="00883A1C">
        <w:rPr>
          <w:kern w:val="22"/>
          <w:szCs w:val="22"/>
        </w:rPr>
        <w:t xml:space="preserve">the </w:t>
      </w:r>
      <w:proofErr w:type="spellStart"/>
      <w:r w:rsidR="004F34CE" w:rsidRPr="00883A1C">
        <w:rPr>
          <w:kern w:val="22"/>
          <w:szCs w:val="22"/>
        </w:rPr>
        <w:t>Ramsar</w:t>
      </w:r>
      <w:proofErr w:type="spellEnd"/>
      <w:r w:rsidR="00A52987" w:rsidRPr="00883A1C">
        <w:rPr>
          <w:kern w:val="22"/>
          <w:szCs w:val="22"/>
        </w:rPr>
        <w:t xml:space="preserve"> Convention and the</w:t>
      </w:r>
      <w:r w:rsidR="004F34CE" w:rsidRPr="00883A1C">
        <w:rPr>
          <w:kern w:val="22"/>
          <w:szCs w:val="22"/>
        </w:rPr>
        <w:t xml:space="preserve"> World Heritage Convention</w:t>
      </w:r>
      <w:r w:rsidR="00A52987" w:rsidRPr="00883A1C">
        <w:rPr>
          <w:kern w:val="22"/>
          <w:szCs w:val="22"/>
        </w:rPr>
        <w:t xml:space="preserve"> are members</w:t>
      </w:r>
      <w:r w:rsidR="004F34CE" w:rsidRPr="00883A1C">
        <w:rPr>
          <w:kern w:val="22"/>
          <w:szCs w:val="22"/>
        </w:rPr>
        <w:t xml:space="preserve">; </w:t>
      </w:r>
      <w:r w:rsidR="00C40250" w:rsidRPr="00883A1C">
        <w:rPr>
          <w:kern w:val="22"/>
          <w:szCs w:val="22"/>
        </w:rPr>
        <w:t>(c) </w:t>
      </w:r>
      <w:r w:rsidR="00A52987" w:rsidRPr="00883A1C">
        <w:rPr>
          <w:kern w:val="22"/>
          <w:szCs w:val="22"/>
        </w:rPr>
        <w:t xml:space="preserve">the </w:t>
      </w:r>
      <w:r w:rsidR="004F34CE" w:rsidRPr="00883A1C">
        <w:rPr>
          <w:kern w:val="22"/>
          <w:szCs w:val="22"/>
        </w:rPr>
        <w:t xml:space="preserve">Inter-agency Liaison Group on Invasive Alien Species, </w:t>
      </w:r>
      <w:r w:rsidR="00C40250" w:rsidRPr="00883A1C">
        <w:rPr>
          <w:kern w:val="22"/>
          <w:szCs w:val="22"/>
        </w:rPr>
        <w:t xml:space="preserve">of </w:t>
      </w:r>
      <w:r w:rsidR="00A52987" w:rsidRPr="00883A1C">
        <w:rPr>
          <w:kern w:val="22"/>
          <w:szCs w:val="22"/>
        </w:rPr>
        <w:t xml:space="preserve">which </w:t>
      </w:r>
      <w:r w:rsidR="004F34CE" w:rsidRPr="00883A1C">
        <w:rPr>
          <w:kern w:val="22"/>
          <w:szCs w:val="22"/>
        </w:rPr>
        <w:t xml:space="preserve">CBD, </w:t>
      </w:r>
      <w:r w:rsidR="00A52987" w:rsidRPr="00883A1C">
        <w:rPr>
          <w:kern w:val="22"/>
          <w:szCs w:val="22"/>
        </w:rPr>
        <w:t>CITES and</w:t>
      </w:r>
      <w:r w:rsidR="004F34CE" w:rsidRPr="00883A1C">
        <w:rPr>
          <w:kern w:val="22"/>
          <w:szCs w:val="22"/>
        </w:rPr>
        <w:t xml:space="preserve"> IPPC</w:t>
      </w:r>
      <w:r w:rsidR="00A52987" w:rsidRPr="00883A1C">
        <w:rPr>
          <w:kern w:val="22"/>
          <w:szCs w:val="22"/>
        </w:rPr>
        <w:t xml:space="preserve"> are members</w:t>
      </w:r>
      <w:r w:rsidR="004F34CE" w:rsidRPr="00883A1C">
        <w:rPr>
          <w:kern w:val="22"/>
          <w:szCs w:val="22"/>
        </w:rPr>
        <w:t xml:space="preserve">; </w:t>
      </w:r>
      <w:r w:rsidR="00C40250" w:rsidRPr="00883A1C">
        <w:rPr>
          <w:kern w:val="22"/>
          <w:szCs w:val="22"/>
        </w:rPr>
        <w:t>(d) </w:t>
      </w:r>
      <w:r w:rsidR="0099648B" w:rsidRPr="00883A1C">
        <w:rPr>
          <w:kern w:val="22"/>
          <w:szCs w:val="22"/>
        </w:rPr>
        <w:t xml:space="preserve">the Biodiversity Indicators Partnership, </w:t>
      </w:r>
      <w:r w:rsidR="00C40250" w:rsidRPr="00883A1C">
        <w:rPr>
          <w:kern w:val="22"/>
          <w:szCs w:val="22"/>
        </w:rPr>
        <w:t xml:space="preserve">of </w:t>
      </w:r>
      <w:r w:rsidR="0099648B" w:rsidRPr="00883A1C">
        <w:rPr>
          <w:kern w:val="22"/>
          <w:szCs w:val="22"/>
        </w:rPr>
        <w:t>which</w:t>
      </w:r>
      <w:r w:rsidRPr="00883A1C">
        <w:rPr>
          <w:kern w:val="22"/>
          <w:szCs w:val="22"/>
        </w:rPr>
        <w:t xml:space="preserve"> CBD, CITES, ITPGRFA and the Ramsar Convention</w:t>
      </w:r>
      <w:r w:rsidR="0099648B" w:rsidRPr="00883A1C">
        <w:rPr>
          <w:kern w:val="22"/>
          <w:szCs w:val="22"/>
        </w:rPr>
        <w:t xml:space="preserve"> are members</w:t>
      </w:r>
      <w:r w:rsidRPr="00883A1C">
        <w:rPr>
          <w:kern w:val="22"/>
          <w:szCs w:val="22"/>
        </w:rPr>
        <w:t xml:space="preserve"> and </w:t>
      </w:r>
      <w:r w:rsidR="003760B3" w:rsidRPr="00883A1C">
        <w:rPr>
          <w:kern w:val="22"/>
          <w:szCs w:val="22"/>
        </w:rPr>
        <w:t xml:space="preserve">in which </w:t>
      </w:r>
      <w:r w:rsidRPr="00883A1C">
        <w:rPr>
          <w:kern w:val="22"/>
          <w:szCs w:val="22"/>
        </w:rPr>
        <w:t xml:space="preserve">IPPC and </w:t>
      </w:r>
      <w:r w:rsidR="00C40250" w:rsidRPr="00883A1C">
        <w:rPr>
          <w:kern w:val="22"/>
          <w:szCs w:val="22"/>
        </w:rPr>
        <w:t xml:space="preserve">the </w:t>
      </w:r>
      <w:r w:rsidRPr="00883A1C">
        <w:rPr>
          <w:kern w:val="22"/>
          <w:szCs w:val="22"/>
        </w:rPr>
        <w:t>World Heritage Centre are represented, respectively, through FAO and UNESCO</w:t>
      </w:r>
      <w:r w:rsidR="0099648B" w:rsidRPr="00883A1C">
        <w:rPr>
          <w:kern w:val="22"/>
          <w:szCs w:val="22"/>
        </w:rPr>
        <w:t xml:space="preserve">; </w:t>
      </w:r>
      <w:r w:rsidR="00A52987" w:rsidRPr="00883A1C">
        <w:rPr>
          <w:kern w:val="22"/>
          <w:szCs w:val="22"/>
        </w:rPr>
        <w:t xml:space="preserve">and </w:t>
      </w:r>
      <w:r w:rsidR="003760B3" w:rsidRPr="00883A1C">
        <w:rPr>
          <w:kern w:val="22"/>
          <w:szCs w:val="22"/>
        </w:rPr>
        <w:t>(e) </w:t>
      </w:r>
      <w:r w:rsidR="00A52987" w:rsidRPr="00883A1C">
        <w:rPr>
          <w:kern w:val="22"/>
          <w:szCs w:val="22"/>
        </w:rPr>
        <w:t xml:space="preserve">the </w:t>
      </w:r>
      <w:r w:rsidR="004F34CE" w:rsidRPr="00883A1C">
        <w:rPr>
          <w:kern w:val="22"/>
          <w:szCs w:val="22"/>
        </w:rPr>
        <w:t xml:space="preserve">Collaborative Partnership on Sustainable Wildlife Management, </w:t>
      </w:r>
      <w:r w:rsidR="003760B3" w:rsidRPr="00883A1C">
        <w:rPr>
          <w:kern w:val="22"/>
          <w:szCs w:val="22"/>
        </w:rPr>
        <w:t xml:space="preserve">of </w:t>
      </w:r>
      <w:r w:rsidR="00A52987" w:rsidRPr="00883A1C">
        <w:rPr>
          <w:kern w:val="22"/>
          <w:szCs w:val="22"/>
        </w:rPr>
        <w:t>which CBD, CITES and</w:t>
      </w:r>
      <w:r w:rsidR="004F34CE" w:rsidRPr="00883A1C">
        <w:rPr>
          <w:kern w:val="22"/>
          <w:szCs w:val="22"/>
        </w:rPr>
        <w:t xml:space="preserve"> CMS</w:t>
      </w:r>
      <w:r w:rsidR="00A52987" w:rsidRPr="00883A1C">
        <w:rPr>
          <w:kern w:val="22"/>
          <w:szCs w:val="22"/>
        </w:rPr>
        <w:t xml:space="preserve"> are members</w:t>
      </w:r>
      <w:r w:rsidR="00AE701F" w:rsidRPr="00883A1C">
        <w:rPr>
          <w:kern w:val="22"/>
          <w:szCs w:val="22"/>
        </w:rPr>
        <w:t xml:space="preserve">. Further relevant information </w:t>
      </w:r>
      <w:r w:rsidRPr="00883A1C">
        <w:rPr>
          <w:kern w:val="22"/>
          <w:szCs w:val="22"/>
        </w:rPr>
        <w:t xml:space="preserve">on some of these initiatives </w:t>
      </w:r>
      <w:r w:rsidR="00AE701F" w:rsidRPr="00883A1C">
        <w:rPr>
          <w:kern w:val="22"/>
          <w:szCs w:val="22"/>
        </w:rPr>
        <w:t xml:space="preserve">is </w:t>
      </w:r>
      <w:r w:rsidR="00A52987" w:rsidRPr="00883A1C">
        <w:rPr>
          <w:kern w:val="22"/>
          <w:szCs w:val="22"/>
        </w:rPr>
        <w:t>provided</w:t>
      </w:r>
      <w:r w:rsidR="00AE701F" w:rsidRPr="00883A1C">
        <w:rPr>
          <w:kern w:val="22"/>
          <w:szCs w:val="22"/>
        </w:rPr>
        <w:t xml:space="preserve"> in </w:t>
      </w:r>
      <w:r w:rsidR="00516CB8" w:rsidRPr="00883A1C">
        <w:rPr>
          <w:kern w:val="22"/>
          <w:szCs w:val="22"/>
        </w:rPr>
        <w:t xml:space="preserve">information </w:t>
      </w:r>
      <w:r w:rsidR="00AE701F" w:rsidRPr="00883A1C">
        <w:rPr>
          <w:kern w:val="22"/>
          <w:szCs w:val="22"/>
        </w:rPr>
        <w:t>document CBD/SBI/2/INF/</w:t>
      </w:r>
      <w:r w:rsidR="00715E54" w:rsidRPr="00883A1C">
        <w:rPr>
          <w:kern w:val="22"/>
          <w:szCs w:val="22"/>
        </w:rPr>
        <w:t>12</w:t>
      </w:r>
      <w:r w:rsidR="004F34CE" w:rsidRPr="00883A1C">
        <w:rPr>
          <w:kern w:val="22"/>
          <w:szCs w:val="22"/>
        </w:rPr>
        <w:t>.</w:t>
      </w:r>
    </w:p>
    <w:p w:rsidR="00A56A01" w:rsidRPr="00883A1C" w:rsidRDefault="00A56A01" w:rsidP="00883A1C">
      <w:pPr>
        <w:numPr>
          <w:ilvl w:val="0"/>
          <w:numId w:val="37"/>
        </w:numPr>
        <w:suppressLineNumbers/>
        <w:suppressAutoHyphens/>
        <w:kinsoku w:val="0"/>
        <w:overflowPunct w:val="0"/>
        <w:autoSpaceDE w:val="0"/>
        <w:autoSpaceDN w:val="0"/>
        <w:adjustRightInd w:val="0"/>
        <w:snapToGrid w:val="0"/>
        <w:spacing w:before="120" w:after="120" w:line="238" w:lineRule="auto"/>
        <w:ind w:left="1296"/>
        <w:jc w:val="left"/>
        <w:outlineLvl w:val="0"/>
        <w:rPr>
          <w:b/>
          <w:caps/>
          <w:kern w:val="22"/>
          <w:szCs w:val="22"/>
        </w:rPr>
      </w:pPr>
      <w:r w:rsidRPr="00883A1C">
        <w:rPr>
          <w:b/>
          <w:caps/>
          <w:kern w:val="22"/>
          <w:szCs w:val="22"/>
        </w:rPr>
        <w:t>implementation of the road map for enhancing synergies at the international level 2017-2020</w:t>
      </w:r>
    </w:p>
    <w:p w:rsidR="00A56A01" w:rsidRPr="00883A1C" w:rsidRDefault="00A56A01"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 xml:space="preserve">This section </w:t>
      </w:r>
      <w:r w:rsidR="00B0768D" w:rsidRPr="00883A1C">
        <w:rPr>
          <w:kern w:val="22"/>
          <w:szCs w:val="22"/>
        </w:rPr>
        <w:t xml:space="preserve">of the </w:t>
      </w:r>
      <w:r w:rsidR="006B3095" w:rsidRPr="00883A1C">
        <w:rPr>
          <w:kern w:val="22"/>
          <w:szCs w:val="22"/>
        </w:rPr>
        <w:t>document</w:t>
      </w:r>
      <w:r w:rsidR="006B0D4C" w:rsidRPr="00883A1C">
        <w:rPr>
          <w:kern w:val="22"/>
          <w:szCs w:val="22"/>
        </w:rPr>
        <w:t xml:space="preserve"> </w:t>
      </w:r>
      <w:r w:rsidRPr="00883A1C">
        <w:rPr>
          <w:kern w:val="22"/>
          <w:szCs w:val="22"/>
        </w:rPr>
        <w:t>summarizes action and progress during the biennium 2017-2018 in implementing the road map for enhancing synergies at the international level 2017-2020</w:t>
      </w:r>
      <w:r w:rsidR="006B0D4C" w:rsidRPr="00883A1C">
        <w:rPr>
          <w:kern w:val="22"/>
          <w:szCs w:val="22"/>
        </w:rPr>
        <w:t>, including t</w:t>
      </w:r>
      <w:r w:rsidR="00B0768D" w:rsidRPr="00883A1C">
        <w:rPr>
          <w:kern w:val="22"/>
          <w:szCs w:val="22"/>
        </w:rPr>
        <w:t>he</w:t>
      </w:r>
      <w:r w:rsidR="0000751C" w:rsidRPr="00883A1C">
        <w:rPr>
          <w:kern w:val="22"/>
          <w:szCs w:val="22"/>
        </w:rPr>
        <w:t xml:space="preserve"> </w:t>
      </w:r>
      <w:r w:rsidR="006B0D4C" w:rsidRPr="00883A1C">
        <w:rPr>
          <w:kern w:val="22"/>
          <w:szCs w:val="22"/>
        </w:rPr>
        <w:t xml:space="preserve">work of </w:t>
      </w:r>
      <w:r w:rsidR="00B6336D" w:rsidRPr="00883A1C">
        <w:rPr>
          <w:kern w:val="22"/>
          <w:szCs w:val="22"/>
        </w:rPr>
        <w:t>t</w:t>
      </w:r>
      <w:r w:rsidRPr="00883A1C">
        <w:rPr>
          <w:kern w:val="22"/>
          <w:szCs w:val="22"/>
        </w:rPr>
        <w:t>he informal advisory group established through decision XIII/24</w:t>
      </w:r>
      <w:r w:rsidR="006B0D4C" w:rsidRPr="00883A1C">
        <w:rPr>
          <w:kern w:val="22"/>
          <w:szCs w:val="22"/>
        </w:rPr>
        <w:t>.</w:t>
      </w:r>
    </w:p>
    <w:p w:rsidR="007770D1" w:rsidRPr="00883A1C" w:rsidRDefault="007770D1" w:rsidP="00883A1C">
      <w:pPr>
        <w:keepNext/>
        <w:numPr>
          <w:ilvl w:val="0"/>
          <w:numId w:val="63"/>
        </w:numPr>
        <w:suppressLineNumbers/>
        <w:suppressAutoHyphens/>
        <w:kinsoku w:val="0"/>
        <w:overflowPunct w:val="0"/>
        <w:autoSpaceDE w:val="0"/>
        <w:autoSpaceDN w:val="0"/>
        <w:adjustRightInd w:val="0"/>
        <w:snapToGrid w:val="0"/>
        <w:spacing w:before="120" w:after="120" w:line="238" w:lineRule="auto"/>
        <w:ind w:left="1296" w:hanging="576"/>
        <w:jc w:val="left"/>
        <w:outlineLvl w:val="1"/>
        <w:rPr>
          <w:b/>
          <w:kern w:val="22"/>
          <w:szCs w:val="22"/>
        </w:rPr>
      </w:pPr>
      <w:r w:rsidRPr="00883A1C">
        <w:rPr>
          <w:b/>
          <w:kern w:val="22"/>
          <w:szCs w:val="22"/>
        </w:rPr>
        <w:t>Actions taken by the Executive Secretary</w:t>
      </w:r>
      <w:r w:rsidR="00F7499E" w:rsidRPr="00883A1C">
        <w:rPr>
          <w:b/>
          <w:kern w:val="22"/>
          <w:szCs w:val="22"/>
        </w:rPr>
        <w:t>, partner organizations and Parties to</w:t>
      </w:r>
      <w:r w:rsidR="006B3095" w:rsidRPr="00883A1C">
        <w:rPr>
          <w:b/>
          <w:bCs/>
          <w:iCs/>
          <w:snapToGrid w:val="0"/>
          <w:kern w:val="22"/>
          <w:szCs w:val="22"/>
        </w:rPr>
        <w:t> </w:t>
      </w:r>
      <w:r w:rsidR="00F7499E" w:rsidRPr="00883A1C">
        <w:rPr>
          <w:b/>
          <w:kern w:val="22"/>
          <w:szCs w:val="22"/>
        </w:rPr>
        <w:t>the Convention</w:t>
      </w:r>
    </w:p>
    <w:p w:rsidR="00DB0A37" w:rsidRPr="00883A1C" w:rsidRDefault="00A56A01"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 xml:space="preserve">The </w:t>
      </w:r>
      <w:r w:rsidR="006B0D4C" w:rsidRPr="00883A1C">
        <w:rPr>
          <w:kern w:val="22"/>
          <w:szCs w:val="22"/>
        </w:rPr>
        <w:t xml:space="preserve">Executive </w:t>
      </w:r>
      <w:r w:rsidRPr="00883A1C">
        <w:rPr>
          <w:kern w:val="22"/>
          <w:szCs w:val="22"/>
        </w:rPr>
        <w:t>Secretar</w:t>
      </w:r>
      <w:r w:rsidR="006B0D4C" w:rsidRPr="00883A1C">
        <w:rPr>
          <w:kern w:val="22"/>
          <w:szCs w:val="22"/>
        </w:rPr>
        <w:t>y undertook significant work in this biennium to support the implementation of the road map. Among the many activities, the Executive Secretary</w:t>
      </w:r>
      <w:r w:rsidR="0066397F" w:rsidRPr="00883A1C">
        <w:rPr>
          <w:kern w:val="22"/>
          <w:szCs w:val="22"/>
        </w:rPr>
        <w:t xml:space="preserve"> </w:t>
      </w:r>
      <w:r w:rsidR="00DB0A37" w:rsidRPr="00883A1C">
        <w:rPr>
          <w:kern w:val="22"/>
          <w:szCs w:val="22"/>
        </w:rPr>
        <w:t xml:space="preserve">provided the secretariat </w:t>
      </w:r>
      <w:r w:rsidR="00692CE0" w:rsidRPr="00883A1C">
        <w:rPr>
          <w:kern w:val="22"/>
          <w:szCs w:val="22"/>
        </w:rPr>
        <w:t xml:space="preserve">services for </w:t>
      </w:r>
      <w:r w:rsidR="00DB0A37" w:rsidRPr="00883A1C">
        <w:rPr>
          <w:kern w:val="22"/>
          <w:szCs w:val="22"/>
        </w:rPr>
        <w:t>the informal advisory group</w:t>
      </w:r>
      <w:r w:rsidR="0066397F" w:rsidRPr="00883A1C">
        <w:rPr>
          <w:kern w:val="22"/>
          <w:szCs w:val="22"/>
        </w:rPr>
        <w:t>,</w:t>
      </w:r>
      <w:r w:rsidR="00F7499E" w:rsidRPr="00883A1C">
        <w:rPr>
          <w:kern w:val="22"/>
          <w:szCs w:val="22"/>
        </w:rPr>
        <w:t xml:space="preserve"> as described in section B</w:t>
      </w:r>
      <w:r w:rsidR="0066397F" w:rsidRPr="00883A1C">
        <w:rPr>
          <w:kern w:val="22"/>
          <w:szCs w:val="22"/>
        </w:rPr>
        <w:t>, below</w:t>
      </w:r>
      <w:r w:rsidR="00882425" w:rsidRPr="00883A1C">
        <w:rPr>
          <w:kern w:val="22"/>
          <w:szCs w:val="22"/>
        </w:rPr>
        <w:t>,</w:t>
      </w:r>
      <w:r w:rsidR="00F7499E" w:rsidRPr="00883A1C">
        <w:rPr>
          <w:kern w:val="22"/>
          <w:szCs w:val="22"/>
        </w:rPr>
        <w:t xml:space="preserve"> and contributed to the work </w:t>
      </w:r>
      <w:r w:rsidR="00A03557" w:rsidRPr="00883A1C">
        <w:rPr>
          <w:kern w:val="22"/>
          <w:szCs w:val="22"/>
        </w:rPr>
        <w:t xml:space="preserve">described below </w:t>
      </w:r>
      <w:r w:rsidR="00F7499E" w:rsidRPr="00883A1C">
        <w:rPr>
          <w:kern w:val="22"/>
          <w:szCs w:val="22"/>
        </w:rPr>
        <w:t>involving partner organizations and Parties to the Convention.</w:t>
      </w:r>
    </w:p>
    <w:p w:rsidR="00F234E3" w:rsidRPr="00883A1C" w:rsidRDefault="0066397F"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With regard</w:t>
      </w:r>
      <w:r w:rsidR="00B53743" w:rsidRPr="00883A1C">
        <w:rPr>
          <w:kern w:val="22"/>
          <w:szCs w:val="22"/>
        </w:rPr>
        <w:t xml:space="preserve"> to</w:t>
      </w:r>
      <w:r w:rsidRPr="00883A1C">
        <w:rPr>
          <w:kern w:val="22"/>
          <w:szCs w:val="22"/>
        </w:rPr>
        <w:t xml:space="preserve"> engagement of other biodiversity-related conventions, the Secretariat: </w:t>
      </w:r>
      <w:r w:rsidR="006B0D4C" w:rsidRPr="00883A1C">
        <w:rPr>
          <w:kern w:val="22"/>
          <w:szCs w:val="22"/>
        </w:rPr>
        <w:t>(</w:t>
      </w:r>
      <w:r w:rsidR="00AB20B6" w:rsidRPr="00883A1C">
        <w:rPr>
          <w:kern w:val="22"/>
          <w:szCs w:val="22"/>
        </w:rPr>
        <w:t>a</w:t>
      </w:r>
      <w:r w:rsidR="006B0D4C" w:rsidRPr="00883A1C">
        <w:rPr>
          <w:kern w:val="22"/>
          <w:szCs w:val="22"/>
        </w:rPr>
        <w:t xml:space="preserve">) </w:t>
      </w:r>
      <w:r w:rsidR="00A56A01" w:rsidRPr="00883A1C">
        <w:rPr>
          <w:kern w:val="22"/>
          <w:szCs w:val="22"/>
        </w:rPr>
        <w:t xml:space="preserve">provided information concerning decision XIII/24 and its follow-up, as well as on other relevant decisions of </w:t>
      </w:r>
      <w:r w:rsidR="00AB20B6" w:rsidRPr="00883A1C">
        <w:rPr>
          <w:kern w:val="22"/>
          <w:szCs w:val="22"/>
        </w:rPr>
        <w:t>the thirteenth meeting of the Conference of the Parti</w:t>
      </w:r>
      <w:r w:rsidR="001A201A" w:rsidRPr="00883A1C">
        <w:rPr>
          <w:kern w:val="22"/>
          <w:szCs w:val="22"/>
        </w:rPr>
        <w:t>e</w:t>
      </w:r>
      <w:r w:rsidR="00AB20B6" w:rsidRPr="00883A1C">
        <w:rPr>
          <w:kern w:val="22"/>
          <w:szCs w:val="22"/>
        </w:rPr>
        <w:t>s</w:t>
      </w:r>
      <w:r w:rsidR="00A56A01" w:rsidRPr="00883A1C">
        <w:rPr>
          <w:kern w:val="22"/>
          <w:szCs w:val="22"/>
        </w:rPr>
        <w:t>, to the secretariats of other biodiversity-related conventions</w:t>
      </w:r>
      <w:r w:rsidR="006B0D4C" w:rsidRPr="00883A1C">
        <w:rPr>
          <w:kern w:val="22"/>
          <w:szCs w:val="22"/>
        </w:rPr>
        <w:t>; (</w:t>
      </w:r>
      <w:r w:rsidR="00AB20B6" w:rsidRPr="00883A1C">
        <w:rPr>
          <w:kern w:val="22"/>
          <w:szCs w:val="22"/>
        </w:rPr>
        <w:t>b</w:t>
      </w:r>
      <w:r w:rsidR="006B0D4C" w:rsidRPr="00883A1C">
        <w:rPr>
          <w:kern w:val="22"/>
          <w:szCs w:val="22"/>
        </w:rPr>
        <w:t xml:space="preserve">) </w:t>
      </w:r>
      <w:r w:rsidR="00A56A01" w:rsidRPr="00883A1C">
        <w:rPr>
          <w:kern w:val="22"/>
          <w:szCs w:val="22"/>
        </w:rPr>
        <w:t xml:space="preserve">convened a meeting of the Liaison </w:t>
      </w:r>
      <w:r w:rsidR="006B0D4C" w:rsidRPr="00883A1C">
        <w:rPr>
          <w:kern w:val="22"/>
          <w:szCs w:val="22"/>
        </w:rPr>
        <w:t xml:space="preserve">Group of Biodiversity-related Conventions </w:t>
      </w:r>
      <w:r w:rsidR="00A56A01" w:rsidRPr="00883A1C">
        <w:rPr>
          <w:kern w:val="22"/>
          <w:szCs w:val="22"/>
        </w:rPr>
        <w:t>by videoconference in January 2017 and the twelfth ordinary meeting of the Liaison Group on 28 September 2017</w:t>
      </w:r>
      <w:r w:rsidR="006B0D4C" w:rsidRPr="00883A1C">
        <w:rPr>
          <w:kern w:val="22"/>
          <w:szCs w:val="22"/>
        </w:rPr>
        <w:t>; (</w:t>
      </w:r>
      <w:r w:rsidR="00AB20B6" w:rsidRPr="00883A1C">
        <w:rPr>
          <w:bCs/>
          <w:iCs/>
          <w:kern w:val="22"/>
          <w:szCs w:val="22"/>
        </w:rPr>
        <w:t>c</w:t>
      </w:r>
      <w:r w:rsidR="006B0D4C" w:rsidRPr="00883A1C">
        <w:rPr>
          <w:kern w:val="22"/>
          <w:szCs w:val="22"/>
        </w:rPr>
        <w:t>) i</w:t>
      </w:r>
      <w:r w:rsidR="00A56A01" w:rsidRPr="00883A1C">
        <w:rPr>
          <w:kern w:val="22"/>
          <w:szCs w:val="22"/>
        </w:rPr>
        <w:t>t convened a meeting between the members of the Liaison Group and the organizations that provide their secretariats on 29 September 2019</w:t>
      </w:r>
      <w:r w:rsidR="00656127" w:rsidRPr="00883A1C">
        <w:rPr>
          <w:kern w:val="22"/>
          <w:szCs w:val="22"/>
        </w:rPr>
        <w:t>; and (</w:t>
      </w:r>
      <w:r w:rsidR="00AB20B6" w:rsidRPr="00883A1C">
        <w:rPr>
          <w:kern w:val="22"/>
          <w:szCs w:val="22"/>
        </w:rPr>
        <w:t>d</w:t>
      </w:r>
      <w:r w:rsidR="00656127" w:rsidRPr="00883A1C">
        <w:rPr>
          <w:kern w:val="22"/>
          <w:szCs w:val="22"/>
        </w:rPr>
        <w:t xml:space="preserve">) </w:t>
      </w:r>
      <w:r w:rsidRPr="00883A1C">
        <w:rPr>
          <w:kern w:val="22"/>
          <w:szCs w:val="22"/>
        </w:rPr>
        <w:t xml:space="preserve">it </w:t>
      </w:r>
      <w:r w:rsidR="00656127" w:rsidRPr="00883A1C">
        <w:rPr>
          <w:kern w:val="22"/>
          <w:szCs w:val="22"/>
        </w:rPr>
        <w:t xml:space="preserve">sought and gained  inputs of the other </w:t>
      </w:r>
      <w:r w:rsidR="00656127" w:rsidRPr="00883A1C">
        <w:rPr>
          <w:kern w:val="22"/>
          <w:szCs w:val="22"/>
        </w:rPr>
        <w:lastRenderedPageBreak/>
        <w:t>secretariats to the review and update of the table contained in annex II to decision XIII/24, and the</w:t>
      </w:r>
      <w:r w:rsidR="00882425" w:rsidRPr="00883A1C">
        <w:rPr>
          <w:kern w:val="22"/>
          <w:szCs w:val="22"/>
        </w:rPr>
        <w:t>ir contributions to outputs of the work described</w:t>
      </w:r>
      <w:r w:rsidRPr="00883A1C">
        <w:rPr>
          <w:kern w:val="22"/>
          <w:szCs w:val="22"/>
        </w:rPr>
        <w:t xml:space="preserve"> in paragraph 35 below.</w:t>
      </w:r>
    </w:p>
    <w:p w:rsidR="00261546" w:rsidRPr="00883A1C" w:rsidRDefault="00DB0A37"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The</w:t>
      </w:r>
      <w:r w:rsidR="00A56A01" w:rsidRPr="00883A1C">
        <w:rPr>
          <w:kern w:val="22"/>
          <w:szCs w:val="22"/>
        </w:rPr>
        <w:t xml:space="preserve"> implementation of several key actions in</w:t>
      </w:r>
      <w:r w:rsidR="00A56A01" w:rsidRPr="00883A1C">
        <w:rPr>
          <w:i/>
          <w:kern w:val="22"/>
          <w:szCs w:val="22"/>
        </w:rPr>
        <w:t xml:space="preserve"> </w:t>
      </w:r>
      <w:r w:rsidR="00A56A01" w:rsidRPr="00883A1C">
        <w:rPr>
          <w:kern w:val="22"/>
          <w:szCs w:val="22"/>
        </w:rPr>
        <w:t xml:space="preserve">the road map has been </w:t>
      </w:r>
      <w:r w:rsidRPr="00883A1C">
        <w:rPr>
          <w:kern w:val="22"/>
          <w:szCs w:val="22"/>
        </w:rPr>
        <w:t>advanced</w:t>
      </w:r>
      <w:r w:rsidR="00A56A01" w:rsidRPr="00883A1C">
        <w:rPr>
          <w:kern w:val="22"/>
          <w:szCs w:val="22"/>
        </w:rPr>
        <w:t xml:space="preserve"> through </w:t>
      </w:r>
      <w:r w:rsidR="00B85CDA" w:rsidRPr="00883A1C">
        <w:rPr>
          <w:kern w:val="22"/>
          <w:szCs w:val="22"/>
        </w:rPr>
        <w:t>work</w:t>
      </w:r>
      <w:r w:rsidR="00A56A01" w:rsidRPr="00883A1C">
        <w:rPr>
          <w:kern w:val="22"/>
          <w:szCs w:val="22"/>
        </w:rPr>
        <w:t xml:space="preserve"> undertaken </w:t>
      </w:r>
      <w:r w:rsidR="00B85CDA" w:rsidRPr="00883A1C">
        <w:rPr>
          <w:kern w:val="22"/>
          <w:szCs w:val="22"/>
        </w:rPr>
        <w:t>in</w:t>
      </w:r>
      <w:r w:rsidR="00A56A01" w:rsidRPr="00883A1C">
        <w:rPr>
          <w:kern w:val="22"/>
          <w:szCs w:val="22"/>
        </w:rPr>
        <w:t xml:space="preserve"> partnership between the Secretariat, </w:t>
      </w:r>
      <w:r w:rsidR="00B85CDA" w:rsidRPr="00883A1C">
        <w:rPr>
          <w:kern w:val="22"/>
          <w:szCs w:val="22"/>
        </w:rPr>
        <w:t>the United Nations Environment Programme (</w:t>
      </w:r>
      <w:r w:rsidR="00A56A01" w:rsidRPr="00883A1C">
        <w:rPr>
          <w:kern w:val="22"/>
          <w:szCs w:val="22"/>
        </w:rPr>
        <w:t>UN</w:t>
      </w:r>
      <w:r w:rsidR="00AB20B6" w:rsidRPr="00883A1C">
        <w:rPr>
          <w:kern w:val="22"/>
          <w:szCs w:val="22"/>
        </w:rPr>
        <w:t>EP</w:t>
      </w:r>
      <w:r w:rsidR="00B85CDA" w:rsidRPr="00883A1C">
        <w:rPr>
          <w:kern w:val="22"/>
          <w:szCs w:val="22"/>
        </w:rPr>
        <w:t>)</w:t>
      </w:r>
      <w:r w:rsidR="00A56A01" w:rsidRPr="00883A1C">
        <w:rPr>
          <w:kern w:val="22"/>
          <w:szCs w:val="22"/>
        </w:rPr>
        <w:t xml:space="preserve"> and the UN</w:t>
      </w:r>
      <w:r w:rsidR="00AB20B6" w:rsidRPr="00883A1C">
        <w:rPr>
          <w:kern w:val="22"/>
          <w:szCs w:val="22"/>
        </w:rPr>
        <w:t>EP</w:t>
      </w:r>
      <w:r w:rsidR="00A56A01" w:rsidRPr="00883A1C">
        <w:rPr>
          <w:kern w:val="22"/>
          <w:szCs w:val="22"/>
        </w:rPr>
        <w:t xml:space="preserve"> World Conservation Monitoring Centre (UNEP-WCMC).</w:t>
      </w:r>
      <w:r w:rsidR="009D3740" w:rsidRPr="00883A1C">
        <w:rPr>
          <w:kern w:val="22"/>
          <w:szCs w:val="22"/>
        </w:rPr>
        <w:t xml:space="preserve"> This work has resulted in the following outputs:</w:t>
      </w:r>
    </w:p>
    <w:p w:rsidR="00A56A01" w:rsidRPr="00883A1C" w:rsidRDefault="00A56A01" w:rsidP="00883A1C">
      <w:pPr>
        <w:pStyle w:val="Para1"/>
        <w:numPr>
          <w:ilvl w:val="1"/>
          <w:numId w:val="6"/>
        </w:numPr>
        <w:suppressLineNumbers/>
        <w:suppressAutoHyphens/>
        <w:kinsoku w:val="0"/>
        <w:overflowPunct w:val="0"/>
        <w:autoSpaceDE w:val="0"/>
        <w:autoSpaceDN w:val="0"/>
        <w:adjustRightInd w:val="0"/>
        <w:snapToGrid w:val="0"/>
        <w:spacing w:before="0" w:line="238" w:lineRule="auto"/>
        <w:rPr>
          <w:kern w:val="22"/>
          <w:szCs w:val="22"/>
        </w:rPr>
      </w:pPr>
      <w:r w:rsidRPr="00883A1C">
        <w:rPr>
          <w:kern w:val="22"/>
          <w:szCs w:val="22"/>
        </w:rPr>
        <w:t>Three compendia of guidance synthesising information available on the following topics as a means to make them more accessible to users:</w:t>
      </w:r>
    </w:p>
    <w:p w:rsidR="00A56A01" w:rsidRPr="00883A1C" w:rsidRDefault="00D21A01" w:rsidP="00883A1C">
      <w:pPr>
        <w:pStyle w:val="Para3"/>
        <w:numPr>
          <w:ilvl w:val="2"/>
          <w:numId w:val="64"/>
        </w:numPr>
        <w:suppressLineNumbers/>
        <w:tabs>
          <w:tab w:val="clear" w:pos="1440"/>
          <w:tab w:val="clear" w:pos="1980"/>
        </w:tabs>
        <w:suppressAutoHyphens/>
        <w:kinsoku w:val="0"/>
        <w:overflowPunct w:val="0"/>
        <w:autoSpaceDE w:val="0"/>
        <w:autoSpaceDN w:val="0"/>
        <w:adjustRightInd w:val="0"/>
        <w:snapToGrid w:val="0"/>
        <w:spacing w:before="0" w:after="0" w:line="238" w:lineRule="auto"/>
        <w:ind w:hanging="446"/>
        <w:jc w:val="left"/>
        <w:rPr>
          <w:kern w:val="22"/>
          <w:szCs w:val="22"/>
        </w:rPr>
      </w:pPr>
      <w:r w:rsidRPr="00883A1C">
        <w:rPr>
          <w:kern w:val="22"/>
          <w:szCs w:val="22"/>
        </w:rPr>
        <w:t>S</w:t>
      </w:r>
      <w:r w:rsidR="00A56A01" w:rsidRPr="00883A1C">
        <w:rPr>
          <w:kern w:val="22"/>
          <w:szCs w:val="22"/>
        </w:rPr>
        <w:t>ynergies among the biodiversity-related conventions at the national level;</w:t>
      </w:r>
    </w:p>
    <w:p w:rsidR="00A56A01" w:rsidRPr="00883A1C" w:rsidRDefault="00D21A01" w:rsidP="00883A1C">
      <w:pPr>
        <w:pStyle w:val="Para3"/>
        <w:numPr>
          <w:ilvl w:val="2"/>
          <w:numId w:val="64"/>
        </w:numPr>
        <w:suppressLineNumbers/>
        <w:tabs>
          <w:tab w:val="clear" w:pos="1440"/>
          <w:tab w:val="clear" w:pos="1980"/>
        </w:tabs>
        <w:suppressAutoHyphens/>
        <w:kinsoku w:val="0"/>
        <w:overflowPunct w:val="0"/>
        <w:autoSpaceDE w:val="0"/>
        <w:autoSpaceDN w:val="0"/>
        <w:adjustRightInd w:val="0"/>
        <w:snapToGrid w:val="0"/>
        <w:spacing w:before="0" w:after="0" w:line="238" w:lineRule="auto"/>
        <w:ind w:hanging="446"/>
        <w:jc w:val="left"/>
        <w:rPr>
          <w:kern w:val="22"/>
          <w:szCs w:val="22"/>
        </w:rPr>
      </w:pPr>
      <w:r w:rsidRPr="00883A1C">
        <w:rPr>
          <w:kern w:val="22"/>
          <w:szCs w:val="22"/>
        </w:rPr>
        <w:t>C</w:t>
      </w:r>
      <w:r w:rsidR="00A56A01" w:rsidRPr="00883A1C">
        <w:rPr>
          <w:kern w:val="22"/>
          <w:szCs w:val="22"/>
        </w:rPr>
        <w:t>apturing, managing and using data and information;</w:t>
      </w:r>
    </w:p>
    <w:p w:rsidR="00A56A01" w:rsidRPr="00883A1C" w:rsidRDefault="00D21A01" w:rsidP="00883A1C">
      <w:pPr>
        <w:pStyle w:val="Para3"/>
        <w:numPr>
          <w:ilvl w:val="2"/>
          <w:numId w:val="64"/>
        </w:numPr>
        <w:suppressLineNumbers/>
        <w:tabs>
          <w:tab w:val="clear" w:pos="1440"/>
          <w:tab w:val="clear" w:pos="1980"/>
        </w:tabs>
        <w:suppressAutoHyphens/>
        <w:kinsoku w:val="0"/>
        <w:overflowPunct w:val="0"/>
        <w:autoSpaceDE w:val="0"/>
        <w:autoSpaceDN w:val="0"/>
        <w:adjustRightInd w:val="0"/>
        <w:snapToGrid w:val="0"/>
        <w:spacing w:before="0" w:after="120" w:line="238" w:lineRule="auto"/>
        <w:ind w:hanging="446"/>
        <w:jc w:val="left"/>
        <w:rPr>
          <w:kern w:val="22"/>
          <w:szCs w:val="22"/>
        </w:rPr>
      </w:pPr>
      <w:r w:rsidRPr="00883A1C">
        <w:rPr>
          <w:kern w:val="22"/>
          <w:szCs w:val="22"/>
        </w:rPr>
        <w:t>K</w:t>
      </w:r>
      <w:r w:rsidR="00A56A01" w:rsidRPr="00883A1C">
        <w:rPr>
          <w:kern w:val="22"/>
          <w:szCs w:val="22"/>
        </w:rPr>
        <w:t>ey global databases related to the biodiversity-related conventions;</w:t>
      </w:r>
    </w:p>
    <w:p w:rsidR="00A56A01" w:rsidRPr="00883A1C" w:rsidRDefault="00A56A01" w:rsidP="00883A1C">
      <w:pPr>
        <w:pStyle w:val="Para1"/>
        <w:numPr>
          <w:ilvl w:val="1"/>
          <w:numId w:val="6"/>
        </w:numPr>
        <w:suppressLineNumbers/>
        <w:suppressAutoHyphens/>
        <w:kinsoku w:val="0"/>
        <w:overflowPunct w:val="0"/>
        <w:autoSpaceDE w:val="0"/>
        <w:autoSpaceDN w:val="0"/>
        <w:adjustRightInd w:val="0"/>
        <w:snapToGrid w:val="0"/>
        <w:spacing w:before="0" w:line="238" w:lineRule="auto"/>
        <w:rPr>
          <w:kern w:val="22"/>
          <w:szCs w:val="22"/>
        </w:rPr>
      </w:pPr>
      <w:r w:rsidRPr="00883A1C">
        <w:rPr>
          <w:kern w:val="22"/>
          <w:szCs w:val="22"/>
        </w:rPr>
        <w:t>A report providing an overview of initiatives for enhancing coordination and collaboration at various levels across biodiversity-related conventions;</w:t>
      </w:r>
    </w:p>
    <w:p w:rsidR="00A56A01" w:rsidRPr="00883A1C" w:rsidRDefault="00A56A01" w:rsidP="00883A1C">
      <w:pPr>
        <w:pStyle w:val="Para1"/>
        <w:numPr>
          <w:ilvl w:val="1"/>
          <w:numId w:val="6"/>
        </w:numPr>
        <w:suppressLineNumbers/>
        <w:suppressAutoHyphens/>
        <w:kinsoku w:val="0"/>
        <w:overflowPunct w:val="0"/>
        <w:autoSpaceDE w:val="0"/>
        <w:autoSpaceDN w:val="0"/>
        <w:adjustRightInd w:val="0"/>
        <w:snapToGrid w:val="0"/>
        <w:spacing w:before="0" w:line="238" w:lineRule="auto"/>
        <w:rPr>
          <w:kern w:val="22"/>
          <w:szCs w:val="22"/>
        </w:rPr>
      </w:pPr>
      <w:r w:rsidRPr="00883A1C">
        <w:rPr>
          <w:kern w:val="22"/>
          <w:szCs w:val="22"/>
        </w:rPr>
        <w:t xml:space="preserve">Case studies sourced in response to a CBD notification, as well as outreach and a side-event held in the margins of </w:t>
      </w:r>
      <w:r w:rsidR="00AB20B6" w:rsidRPr="00883A1C">
        <w:rPr>
          <w:kern w:val="22"/>
          <w:szCs w:val="22"/>
        </w:rPr>
        <w:t>the twenty-first meeting of the Subsidiary Body on Scientific, Technical and Technological Advice</w:t>
      </w:r>
      <w:r w:rsidR="00423CD5" w:rsidRPr="00883A1C">
        <w:rPr>
          <w:kern w:val="22"/>
          <w:szCs w:val="22"/>
        </w:rPr>
        <w:t>, held</w:t>
      </w:r>
      <w:r w:rsidRPr="00883A1C">
        <w:rPr>
          <w:kern w:val="22"/>
          <w:szCs w:val="22"/>
        </w:rPr>
        <w:t xml:space="preserve"> in December 2017 in Montreal;</w:t>
      </w:r>
    </w:p>
    <w:p w:rsidR="00A56A01" w:rsidRPr="00883A1C" w:rsidRDefault="00A56A01" w:rsidP="00883A1C">
      <w:pPr>
        <w:pStyle w:val="Para1"/>
        <w:numPr>
          <w:ilvl w:val="1"/>
          <w:numId w:val="6"/>
        </w:numPr>
        <w:suppressLineNumbers/>
        <w:suppressAutoHyphens/>
        <w:kinsoku w:val="0"/>
        <w:overflowPunct w:val="0"/>
        <w:autoSpaceDE w:val="0"/>
        <w:autoSpaceDN w:val="0"/>
        <w:adjustRightInd w:val="0"/>
        <w:snapToGrid w:val="0"/>
        <w:spacing w:before="0" w:line="238" w:lineRule="auto"/>
        <w:rPr>
          <w:kern w:val="22"/>
          <w:szCs w:val="22"/>
        </w:rPr>
      </w:pPr>
      <w:r w:rsidRPr="00883A1C">
        <w:rPr>
          <w:kern w:val="22"/>
          <w:szCs w:val="22"/>
        </w:rPr>
        <w:t>Development of initial ideas for the creation of an online library of case studies/success stories on synergies among biodiversity-related conventions as a means to share experience;</w:t>
      </w:r>
    </w:p>
    <w:p w:rsidR="00A56A01" w:rsidRPr="00883A1C" w:rsidRDefault="00A56A01" w:rsidP="00883A1C">
      <w:pPr>
        <w:pStyle w:val="Para1"/>
        <w:numPr>
          <w:ilvl w:val="1"/>
          <w:numId w:val="6"/>
        </w:numPr>
        <w:suppressLineNumbers/>
        <w:suppressAutoHyphens/>
        <w:kinsoku w:val="0"/>
        <w:overflowPunct w:val="0"/>
        <w:autoSpaceDE w:val="0"/>
        <w:autoSpaceDN w:val="0"/>
        <w:adjustRightInd w:val="0"/>
        <w:snapToGrid w:val="0"/>
        <w:spacing w:before="0" w:line="238" w:lineRule="auto"/>
        <w:rPr>
          <w:kern w:val="22"/>
          <w:szCs w:val="22"/>
        </w:rPr>
      </w:pPr>
      <w:r w:rsidRPr="00883A1C">
        <w:rPr>
          <w:kern w:val="22"/>
          <w:szCs w:val="22"/>
        </w:rPr>
        <w:t>Development of an updated presentation with notes and a concept for a webinar on the UN</w:t>
      </w:r>
      <w:r w:rsidR="00AB20B6" w:rsidRPr="00883A1C">
        <w:rPr>
          <w:kern w:val="22"/>
          <w:szCs w:val="22"/>
        </w:rPr>
        <w:t xml:space="preserve">EP </w:t>
      </w:r>
      <w:r w:rsidRPr="00883A1C">
        <w:rPr>
          <w:kern w:val="22"/>
          <w:szCs w:val="22"/>
        </w:rPr>
        <w:t>Sourcebook of opportunities for enhancing cooperation among biodiversity-related conventions at national and regional levels, in order to facilitate further sharing of experiences;</w:t>
      </w:r>
    </w:p>
    <w:p w:rsidR="00A56A01" w:rsidRPr="00883A1C" w:rsidRDefault="00A56A01" w:rsidP="00883A1C">
      <w:pPr>
        <w:pStyle w:val="Para1"/>
        <w:numPr>
          <w:ilvl w:val="1"/>
          <w:numId w:val="6"/>
        </w:numPr>
        <w:suppressLineNumbers/>
        <w:suppressAutoHyphens/>
        <w:kinsoku w:val="0"/>
        <w:overflowPunct w:val="0"/>
        <w:autoSpaceDE w:val="0"/>
        <w:autoSpaceDN w:val="0"/>
        <w:adjustRightInd w:val="0"/>
        <w:snapToGrid w:val="0"/>
        <w:spacing w:before="0" w:line="238" w:lineRule="auto"/>
        <w:rPr>
          <w:kern w:val="22"/>
          <w:szCs w:val="22"/>
        </w:rPr>
      </w:pPr>
      <w:r w:rsidRPr="00883A1C">
        <w:rPr>
          <w:kern w:val="22"/>
          <w:szCs w:val="22"/>
        </w:rPr>
        <w:t>Recommendations on how to enhance access to data and information related to cooperation and synergies among biodiversity-related conventions;</w:t>
      </w:r>
    </w:p>
    <w:p w:rsidR="00A56A01" w:rsidRPr="00883A1C" w:rsidRDefault="00A56A01" w:rsidP="00883A1C">
      <w:pPr>
        <w:pStyle w:val="Para1"/>
        <w:numPr>
          <w:ilvl w:val="1"/>
          <w:numId w:val="6"/>
        </w:numPr>
        <w:suppressLineNumbers/>
        <w:suppressAutoHyphens/>
        <w:kinsoku w:val="0"/>
        <w:overflowPunct w:val="0"/>
        <w:autoSpaceDE w:val="0"/>
        <w:autoSpaceDN w:val="0"/>
        <w:adjustRightInd w:val="0"/>
        <w:snapToGrid w:val="0"/>
        <w:spacing w:before="0" w:line="238" w:lineRule="auto"/>
        <w:rPr>
          <w:kern w:val="22"/>
          <w:szCs w:val="22"/>
        </w:rPr>
      </w:pPr>
      <w:r w:rsidRPr="00883A1C">
        <w:rPr>
          <w:kern w:val="22"/>
          <w:szCs w:val="22"/>
        </w:rPr>
        <w:t>Recommendations on possible next steps to help address CBD decision XIII/24.</w:t>
      </w:r>
    </w:p>
    <w:p w:rsidR="00A56A01" w:rsidRPr="00883A1C" w:rsidRDefault="009D3740" w:rsidP="00883A1C">
      <w:pPr>
        <w:pStyle w:val="Para1"/>
        <w:suppressLineNumbers/>
        <w:suppressAutoHyphens/>
        <w:kinsoku w:val="0"/>
        <w:overflowPunct w:val="0"/>
        <w:autoSpaceDE w:val="0"/>
        <w:autoSpaceDN w:val="0"/>
        <w:adjustRightInd w:val="0"/>
        <w:snapToGrid w:val="0"/>
        <w:spacing w:line="238" w:lineRule="auto"/>
        <w:rPr>
          <w:kern w:val="22"/>
          <w:szCs w:val="22"/>
        </w:rPr>
      </w:pPr>
      <w:r w:rsidRPr="00883A1C">
        <w:rPr>
          <w:kern w:val="22"/>
          <w:szCs w:val="22"/>
        </w:rPr>
        <w:t xml:space="preserve">Information on the objectives and outputs of this work, including its report entitled “Recommendations on possible next steps and activities to enhance cooperation and collaboration among the biodiversity-related conventions, and delivering on COP decision XIII/24”, is provided in information document CBD/SBI/2/INF/13. </w:t>
      </w:r>
      <w:r w:rsidR="00A56A01" w:rsidRPr="00883A1C">
        <w:rPr>
          <w:kern w:val="22"/>
          <w:szCs w:val="22"/>
        </w:rPr>
        <w:t>Components of this work are complemented and being built upon by UN</w:t>
      </w:r>
      <w:r w:rsidR="0031333B" w:rsidRPr="00883A1C">
        <w:rPr>
          <w:kern w:val="22"/>
          <w:szCs w:val="22"/>
        </w:rPr>
        <w:t>EP</w:t>
      </w:r>
      <w:r w:rsidR="00A56A01" w:rsidRPr="00883A1C">
        <w:rPr>
          <w:kern w:val="22"/>
          <w:szCs w:val="22"/>
        </w:rPr>
        <w:t xml:space="preserve"> </w:t>
      </w:r>
      <w:r w:rsidRPr="00883A1C">
        <w:rPr>
          <w:kern w:val="22"/>
          <w:szCs w:val="22"/>
        </w:rPr>
        <w:t xml:space="preserve">through a project </w:t>
      </w:r>
      <w:r w:rsidR="00B85CDA" w:rsidRPr="00883A1C">
        <w:rPr>
          <w:kern w:val="22"/>
          <w:szCs w:val="22"/>
        </w:rPr>
        <w:t>that aims</w:t>
      </w:r>
      <w:r w:rsidR="00A56A01" w:rsidRPr="00883A1C">
        <w:rPr>
          <w:kern w:val="22"/>
          <w:szCs w:val="22"/>
        </w:rPr>
        <w:t xml:space="preserve"> to strengthen synergies and support </w:t>
      </w:r>
      <w:r w:rsidR="00727D71" w:rsidRPr="00883A1C">
        <w:rPr>
          <w:kern w:val="22"/>
          <w:szCs w:val="22"/>
        </w:rPr>
        <w:t xml:space="preserve">the </w:t>
      </w:r>
      <w:r w:rsidR="00A56A01" w:rsidRPr="00883A1C">
        <w:rPr>
          <w:kern w:val="22"/>
          <w:szCs w:val="22"/>
        </w:rPr>
        <w:t xml:space="preserve">implementation of CBD decisions XIII/24 (cooperation), XIII/22 (communications), XIII/23 (capacity-building) and XIII/27 (national reporting), as well as related resolutions of the United Nations Environment Assembly, in particular resolution 2/17, and decisions </w:t>
      </w:r>
      <w:r w:rsidR="0066397F" w:rsidRPr="00883A1C">
        <w:rPr>
          <w:kern w:val="22"/>
          <w:szCs w:val="22"/>
        </w:rPr>
        <w:t xml:space="preserve">of </w:t>
      </w:r>
      <w:r w:rsidR="00A56A01" w:rsidRPr="00883A1C">
        <w:rPr>
          <w:kern w:val="22"/>
          <w:szCs w:val="22"/>
        </w:rPr>
        <w:t xml:space="preserve">other biodiversity-related conventions. </w:t>
      </w:r>
      <w:r w:rsidR="000135FD" w:rsidRPr="00883A1C">
        <w:rPr>
          <w:kern w:val="22"/>
          <w:szCs w:val="22"/>
        </w:rPr>
        <w:t xml:space="preserve">Further information </w:t>
      </w:r>
      <w:r w:rsidR="00A56A01" w:rsidRPr="00883A1C">
        <w:rPr>
          <w:kern w:val="22"/>
          <w:szCs w:val="22"/>
        </w:rPr>
        <w:t>is provided in information document CBD/SBI/2/INF/13.</w:t>
      </w:r>
    </w:p>
    <w:p w:rsidR="00B85CDA" w:rsidRPr="00883A1C" w:rsidRDefault="00B85CDA" w:rsidP="00883A1C">
      <w:pPr>
        <w:pStyle w:val="Para1"/>
        <w:suppressLineNumbers/>
        <w:suppressAutoHyphens/>
        <w:kinsoku w:val="0"/>
        <w:overflowPunct w:val="0"/>
        <w:autoSpaceDE w:val="0"/>
        <w:autoSpaceDN w:val="0"/>
        <w:adjustRightInd w:val="0"/>
        <w:snapToGrid w:val="0"/>
        <w:spacing w:line="238" w:lineRule="auto"/>
        <w:rPr>
          <w:kern w:val="22"/>
          <w:szCs w:val="22"/>
        </w:rPr>
      </w:pPr>
      <w:r w:rsidRPr="00883A1C">
        <w:rPr>
          <w:kern w:val="22"/>
          <w:szCs w:val="22"/>
        </w:rPr>
        <w:t xml:space="preserve">Several Parties </w:t>
      </w:r>
      <w:r w:rsidR="00DB0A37" w:rsidRPr="00883A1C">
        <w:rPr>
          <w:kern w:val="22"/>
          <w:szCs w:val="22"/>
        </w:rPr>
        <w:t xml:space="preserve">to the Convention </w:t>
      </w:r>
      <w:r w:rsidRPr="00883A1C">
        <w:rPr>
          <w:kern w:val="22"/>
          <w:szCs w:val="22"/>
        </w:rPr>
        <w:t xml:space="preserve">contributed </w:t>
      </w:r>
      <w:r w:rsidR="00B53743" w:rsidRPr="00883A1C">
        <w:rPr>
          <w:kern w:val="22"/>
          <w:szCs w:val="22"/>
        </w:rPr>
        <w:t xml:space="preserve">to the </w:t>
      </w:r>
      <w:r w:rsidRPr="00883A1C">
        <w:rPr>
          <w:kern w:val="22"/>
          <w:szCs w:val="22"/>
        </w:rPr>
        <w:t>case studies noted above. Several other national institutions contributed content and review to the compendi</w:t>
      </w:r>
      <w:r w:rsidR="00AC207F" w:rsidRPr="00883A1C">
        <w:rPr>
          <w:kern w:val="22"/>
          <w:szCs w:val="22"/>
        </w:rPr>
        <w:t>ums</w:t>
      </w:r>
      <w:r w:rsidRPr="00883A1C">
        <w:rPr>
          <w:kern w:val="22"/>
          <w:szCs w:val="22"/>
        </w:rPr>
        <w:t xml:space="preserve"> of guidance. Three Parties contributed voluntary funding, either through </w:t>
      </w:r>
      <w:r w:rsidR="0031333B" w:rsidRPr="00883A1C">
        <w:rPr>
          <w:bCs/>
          <w:kern w:val="22"/>
          <w:szCs w:val="22"/>
        </w:rPr>
        <w:t xml:space="preserve">the </w:t>
      </w:r>
      <w:r w:rsidRPr="00883A1C">
        <w:rPr>
          <w:kern w:val="22"/>
          <w:szCs w:val="22"/>
        </w:rPr>
        <w:t xml:space="preserve">Secretariat </w:t>
      </w:r>
      <w:r w:rsidR="0031333B" w:rsidRPr="00883A1C">
        <w:rPr>
          <w:bCs/>
          <w:kern w:val="22"/>
          <w:szCs w:val="22"/>
        </w:rPr>
        <w:t xml:space="preserve">of the Convention </w:t>
      </w:r>
      <w:r w:rsidRPr="00883A1C">
        <w:rPr>
          <w:kern w:val="22"/>
          <w:szCs w:val="22"/>
        </w:rPr>
        <w:t xml:space="preserve">or </w:t>
      </w:r>
      <w:r w:rsidRPr="00883A1C">
        <w:rPr>
          <w:bCs/>
          <w:kern w:val="22"/>
          <w:szCs w:val="22"/>
        </w:rPr>
        <w:t>UN</w:t>
      </w:r>
      <w:r w:rsidR="0031333B" w:rsidRPr="00883A1C">
        <w:rPr>
          <w:bCs/>
          <w:kern w:val="22"/>
          <w:szCs w:val="22"/>
        </w:rPr>
        <w:t>EP</w:t>
      </w:r>
      <w:r w:rsidRPr="00883A1C">
        <w:rPr>
          <w:kern w:val="22"/>
          <w:szCs w:val="22"/>
        </w:rPr>
        <w:t xml:space="preserve">, to support the implementation of relevant activities. </w:t>
      </w:r>
      <w:r w:rsidR="00B53743" w:rsidRPr="00883A1C">
        <w:rPr>
          <w:kern w:val="22"/>
          <w:szCs w:val="22"/>
        </w:rPr>
        <w:t>Finally, s</w:t>
      </w:r>
      <w:r w:rsidRPr="00883A1C">
        <w:rPr>
          <w:kern w:val="22"/>
          <w:szCs w:val="22"/>
        </w:rPr>
        <w:t xml:space="preserve">ome Parties contributed to gaining reciprocity in the decisions of the governing bodies of other biodiversity-related conventions, for example the resolution on synergies and partnerships adopted by the </w:t>
      </w:r>
      <w:r w:rsidR="0031333B" w:rsidRPr="00883A1C">
        <w:rPr>
          <w:bCs/>
          <w:kern w:val="22"/>
          <w:szCs w:val="22"/>
        </w:rPr>
        <w:t xml:space="preserve">Conference of the Parties to </w:t>
      </w:r>
      <w:r w:rsidRPr="00883A1C">
        <w:rPr>
          <w:kern w:val="22"/>
          <w:szCs w:val="22"/>
        </w:rPr>
        <w:t>CMS at its twelfth meeting (section II</w:t>
      </w:r>
      <w:r w:rsidR="0031333B" w:rsidRPr="00883A1C">
        <w:rPr>
          <w:bCs/>
          <w:kern w:val="22"/>
          <w:szCs w:val="22"/>
        </w:rPr>
        <w:t>,</w:t>
      </w:r>
      <w:r w:rsidRPr="00883A1C">
        <w:rPr>
          <w:kern w:val="22"/>
          <w:szCs w:val="22"/>
        </w:rPr>
        <w:t xml:space="preserve"> A, above).</w:t>
      </w:r>
    </w:p>
    <w:p w:rsidR="007770D1" w:rsidRPr="00883A1C" w:rsidRDefault="007770D1" w:rsidP="00883A1C">
      <w:pPr>
        <w:keepNext/>
        <w:numPr>
          <w:ilvl w:val="0"/>
          <w:numId w:val="63"/>
        </w:numPr>
        <w:suppressLineNumbers/>
        <w:suppressAutoHyphens/>
        <w:kinsoku w:val="0"/>
        <w:overflowPunct w:val="0"/>
        <w:autoSpaceDE w:val="0"/>
        <w:autoSpaceDN w:val="0"/>
        <w:adjustRightInd w:val="0"/>
        <w:snapToGrid w:val="0"/>
        <w:spacing w:before="120" w:after="120" w:line="238" w:lineRule="auto"/>
        <w:ind w:left="1440" w:hanging="576"/>
        <w:jc w:val="left"/>
        <w:outlineLvl w:val="1"/>
        <w:rPr>
          <w:b/>
          <w:kern w:val="22"/>
          <w:szCs w:val="22"/>
        </w:rPr>
      </w:pPr>
      <w:r w:rsidRPr="00883A1C">
        <w:rPr>
          <w:b/>
          <w:kern w:val="22"/>
          <w:szCs w:val="22"/>
        </w:rPr>
        <w:t xml:space="preserve">Actions undertaken by the </w:t>
      </w:r>
      <w:r w:rsidR="00855928" w:rsidRPr="00883A1C">
        <w:rPr>
          <w:b/>
          <w:kern w:val="22"/>
          <w:szCs w:val="22"/>
        </w:rPr>
        <w:t xml:space="preserve">informal advisory group </w:t>
      </w:r>
      <w:r w:rsidR="00855928" w:rsidRPr="00883A1C">
        <w:rPr>
          <w:b/>
          <w:bCs/>
          <w:iCs/>
          <w:snapToGrid w:val="0"/>
          <w:kern w:val="22"/>
          <w:szCs w:val="22"/>
        </w:rPr>
        <w:t>o</w:t>
      </w:r>
      <w:r w:rsidR="00855928" w:rsidRPr="00883A1C">
        <w:rPr>
          <w:b/>
          <w:kern w:val="22"/>
          <w:szCs w:val="22"/>
        </w:rPr>
        <w:t>n synergies among biodiversity</w:t>
      </w:r>
      <w:r w:rsidR="00855928" w:rsidRPr="00883A1C">
        <w:rPr>
          <w:b/>
          <w:bCs/>
          <w:iCs/>
          <w:snapToGrid w:val="0"/>
          <w:kern w:val="22"/>
          <w:szCs w:val="22"/>
        </w:rPr>
        <w:noBreakHyphen/>
      </w:r>
      <w:r w:rsidR="00855928" w:rsidRPr="00883A1C">
        <w:rPr>
          <w:b/>
          <w:kern w:val="22"/>
          <w:szCs w:val="22"/>
        </w:rPr>
        <w:t>related conventions</w:t>
      </w:r>
    </w:p>
    <w:p w:rsidR="007D6BAB" w:rsidRPr="00883A1C" w:rsidRDefault="007D6BAB" w:rsidP="00883A1C">
      <w:pPr>
        <w:numPr>
          <w:ilvl w:val="0"/>
          <w:numId w:val="6"/>
        </w:numPr>
        <w:suppressLineNumbers/>
        <w:suppressAutoHyphens/>
        <w:kinsoku w:val="0"/>
        <w:overflowPunct w:val="0"/>
        <w:autoSpaceDE w:val="0"/>
        <w:autoSpaceDN w:val="0"/>
        <w:adjustRightInd w:val="0"/>
        <w:snapToGrid w:val="0"/>
        <w:spacing w:before="120" w:after="120" w:line="238" w:lineRule="auto"/>
        <w:rPr>
          <w:kern w:val="22"/>
          <w:szCs w:val="22"/>
        </w:rPr>
      </w:pPr>
      <w:r w:rsidRPr="00883A1C">
        <w:rPr>
          <w:kern w:val="22"/>
          <w:szCs w:val="22"/>
        </w:rPr>
        <w:t>In paragraph 15 of decision</w:t>
      </w:r>
      <w:r w:rsidR="00C76087" w:rsidRPr="00883A1C">
        <w:rPr>
          <w:kern w:val="22"/>
          <w:szCs w:val="22"/>
        </w:rPr>
        <w:t xml:space="preserve"> XIII/24</w:t>
      </w:r>
      <w:r w:rsidRPr="00883A1C">
        <w:rPr>
          <w:kern w:val="22"/>
          <w:szCs w:val="22"/>
        </w:rPr>
        <w:t xml:space="preserve">, the Conference of the Parties requested the Executive Secretary, in consultation with the COP 13 </w:t>
      </w:r>
      <w:r w:rsidR="0031333B" w:rsidRPr="00883A1C">
        <w:rPr>
          <w:snapToGrid w:val="0"/>
          <w:kern w:val="22"/>
          <w:szCs w:val="22"/>
        </w:rPr>
        <w:t>B</w:t>
      </w:r>
      <w:r w:rsidRPr="00883A1C">
        <w:rPr>
          <w:kern w:val="22"/>
          <w:szCs w:val="22"/>
        </w:rPr>
        <w:t>ureau, and subject to availability of resources, to establish an informal advisory group on synergies consisting of Party representatives with balanced representation, including regionally, to provide advice t</w:t>
      </w:r>
      <w:r w:rsidR="00855928">
        <w:rPr>
          <w:kern w:val="22"/>
          <w:szCs w:val="22"/>
        </w:rPr>
        <w:t>o the Executive Secretary, the B</w:t>
      </w:r>
      <w:r w:rsidRPr="00883A1C">
        <w:rPr>
          <w:kern w:val="22"/>
          <w:szCs w:val="22"/>
        </w:rPr>
        <w:t xml:space="preserve">ureau and the Liaison Group of Biodiversity-related Conventions, as relevant, on (a) further prioritization of actions in the table contained </w:t>
      </w:r>
      <w:r w:rsidRPr="00883A1C">
        <w:rPr>
          <w:kern w:val="22"/>
          <w:szCs w:val="22"/>
        </w:rPr>
        <w:lastRenderedPageBreak/>
        <w:t xml:space="preserve">in annex II </w:t>
      </w:r>
      <w:r w:rsidR="00BF6A91" w:rsidRPr="00883A1C">
        <w:rPr>
          <w:kern w:val="22"/>
          <w:szCs w:val="22"/>
        </w:rPr>
        <w:t xml:space="preserve">of </w:t>
      </w:r>
      <w:r w:rsidRPr="00883A1C">
        <w:rPr>
          <w:kern w:val="22"/>
          <w:szCs w:val="22"/>
        </w:rPr>
        <w:t xml:space="preserve">the decision, and (b) implementing the prioritized actions, and </w:t>
      </w:r>
      <w:r w:rsidR="00BF6A91" w:rsidRPr="00883A1C">
        <w:rPr>
          <w:kern w:val="22"/>
          <w:szCs w:val="22"/>
        </w:rPr>
        <w:t xml:space="preserve">to </w:t>
      </w:r>
      <w:r w:rsidRPr="00883A1C">
        <w:rPr>
          <w:kern w:val="22"/>
          <w:szCs w:val="22"/>
        </w:rPr>
        <w:t>report to the Subsidiary Body on Implementation at its second meeting.</w:t>
      </w:r>
    </w:p>
    <w:p w:rsidR="007D6BAB" w:rsidRPr="00883A1C" w:rsidRDefault="007D6BAB" w:rsidP="00883A1C">
      <w:pPr>
        <w:numPr>
          <w:ilvl w:val="0"/>
          <w:numId w:val="6"/>
        </w:numPr>
        <w:suppressLineNumbers/>
        <w:suppressAutoHyphens/>
        <w:kinsoku w:val="0"/>
        <w:overflowPunct w:val="0"/>
        <w:autoSpaceDE w:val="0"/>
        <w:autoSpaceDN w:val="0"/>
        <w:adjustRightInd w:val="0"/>
        <w:snapToGrid w:val="0"/>
        <w:spacing w:before="120" w:after="120" w:line="238" w:lineRule="auto"/>
        <w:rPr>
          <w:kern w:val="22"/>
          <w:szCs w:val="22"/>
        </w:rPr>
      </w:pPr>
      <w:r w:rsidRPr="00883A1C">
        <w:rPr>
          <w:kern w:val="22"/>
          <w:szCs w:val="22"/>
        </w:rPr>
        <w:t xml:space="preserve">This section of the document reports on the work of the informal advisory group on synergies and the outcomes of its work. Further details </w:t>
      </w:r>
      <w:r w:rsidR="00D42D76" w:rsidRPr="00883A1C">
        <w:rPr>
          <w:kern w:val="22"/>
          <w:szCs w:val="22"/>
        </w:rPr>
        <w:t xml:space="preserve">about the informal advisory group and its work </w:t>
      </w:r>
      <w:r w:rsidRPr="00883A1C">
        <w:rPr>
          <w:kern w:val="22"/>
          <w:szCs w:val="22"/>
        </w:rPr>
        <w:t xml:space="preserve">are provided in the </w:t>
      </w:r>
      <w:r w:rsidR="00715E54" w:rsidRPr="00883A1C">
        <w:rPr>
          <w:kern w:val="22"/>
          <w:szCs w:val="22"/>
        </w:rPr>
        <w:t>r</w:t>
      </w:r>
      <w:r w:rsidRPr="00883A1C">
        <w:rPr>
          <w:kern w:val="22"/>
          <w:szCs w:val="22"/>
        </w:rPr>
        <w:t xml:space="preserve">eport of the Group </w:t>
      </w:r>
      <w:r w:rsidR="00715E54" w:rsidRPr="00883A1C">
        <w:rPr>
          <w:kern w:val="22"/>
          <w:szCs w:val="22"/>
        </w:rPr>
        <w:t xml:space="preserve">to the Subsidiary Body on Implementation </w:t>
      </w:r>
      <w:r w:rsidR="009109A3" w:rsidRPr="00883A1C">
        <w:rPr>
          <w:kern w:val="22"/>
          <w:szCs w:val="22"/>
        </w:rPr>
        <w:t>(</w:t>
      </w:r>
      <w:r w:rsidRPr="00883A1C">
        <w:rPr>
          <w:kern w:val="22"/>
          <w:szCs w:val="22"/>
        </w:rPr>
        <w:t>CBD/SBI/2/INF/</w:t>
      </w:r>
      <w:r w:rsidR="00715E54" w:rsidRPr="00883A1C">
        <w:rPr>
          <w:kern w:val="22"/>
          <w:szCs w:val="22"/>
        </w:rPr>
        <w:t>14</w:t>
      </w:r>
      <w:r w:rsidR="009109A3" w:rsidRPr="00883A1C">
        <w:rPr>
          <w:kern w:val="22"/>
          <w:szCs w:val="22"/>
        </w:rPr>
        <w:t>)</w:t>
      </w:r>
      <w:r w:rsidRPr="00883A1C">
        <w:rPr>
          <w:kern w:val="22"/>
          <w:szCs w:val="22"/>
        </w:rPr>
        <w:t>.</w:t>
      </w:r>
    </w:p>
    <w:p w:rsidR="007770D1" w:rsidRPr="00883A1C" w:rsidRDefault="007770D1" w:rsidP="00883A1C">
      <w:pPr>
        <w:keepNext/>
        <w:suppressLineNumbers/>
        <w:tabs>
          <w:tab w:val="left" w:pos="360"/>
        </w:tabs>
        <w:suppressAutoHyphens/>
        <w:kinsoku w:val="0"/>
        <w:overflowPunct w:val="0"/>
        <w:autoSpaceDE w:val="0"/>
        <w:autoSpaceDN w:val="0"/>
        <w:adjustRightInd w:val="0"/>
        <w:snapToGrid w:val="0"/>
        <w:spacing w:before="120" w:after="120" w:line="238" w:lineRule="auto"/>
        <w:jc w:val="center"/>
        <w:outlineLvl w:val="2"/>
        <w:rPr>
          <w:i/>
          <w:kern w:val="22"/>
          <w:szCs w:val="22"/>
        </w:rPr>
      </w:pPr>
      <w:r w:rsidRPr="00883A1C">
        <w:rPr>
          <w:i/>
          <w:kern w:val="22"/>
          <w:szCs w:val="22"/>
        </w:rPr>
        <w:t>1.</w:t>
      </w:r>
      <w:r w:rsidRPr="00883A1C">
        <w:rPr>
          <w:i/>
          <w:kern w:val="22"/>
          <w:szCs w:val="22"/>
        </w:rPr>
        <w:tab/>
        <w:t>Establishment, composition and activities of the informal advisory group</w:t>
      </w:r>
    </w:p>
    <w:p w:rsidR="007D6BAB" w:rsidRPr="00883A1C" w:rsidRDefault="007D6BAB" w:rsidP="00883A1C">
      <w:pPr>
        <w:numPr>
          <w:ilvl w:val="0"/>
          <w:numId w:val="6"/>
        </w:numPr>
        <w:suppressLineNumbers/>
        <w:suppressAutoHyphens/>
        <w:kinsoku w:val="0"/>
        <w:overflowPunct w:val="0"/>
        <w:autoSpaceDE w:val="0"/>
        <w:autoSpaceDN w:val="0"/>
        <w:adjustRightInd w:val="0"/>
        <w:snapToGrid w:val="0"/>
        <w:spacing w:before="120" w:after="120" w:line="238" w:lineRule="auto"/>
        <w:rPr>
          <w:kern w:val="22"/>
          <w:szCs w:val="22"/>
        </w:rPr>
      </w:pPr>
      <w:r w:rsidRPr="00883A1C">
        <w:rPr>
          <w:kern w:val="22"/>
          <w:szCs w:val="22"/>
        </w:rPr>
        <w:t>In response to decision XIII/24 and in support of the mandate of the informal advisory group, the Secretariat:</w:t>
      </w:r>
    </w:p>
    <w:p w:rsidR="007D6BAB" w:rsidRPr="00883A1C" w:rsidRDefault="0031333B" w:rsidP="00883A1C">
      <w:pPr>
        <w:numPr>
          <w:ilvl w:val="0"/>
          <w:numId w:val="65"/>
        </w:numPr>
        <w:suppressLineNumbers/>
        <w:suppressAutoHyphens/>
        <w:kinsoku w:val="0"/>
        <w:overflowPunct w:val="0"/>
        <w:autoSpaceDE w:val="0"/>
        <w:autoSpaceDN w:val="0"/>
        <w:adjustRightInd w:val="0"/>
        <w:snapToGrid w:val="0"/>
        <w:spacing w:after="120" w:line="238" w:lineRule="auto"/>
        <w:ind w:left="0" w:firstLine="720"/>
        <w:rPr>
          <w:snapToGrid w:val="0"/>
          <w:kern w:val="22"/>
          <w:szCs w:val="22"/>
        </w:rPr>
      </w:pPr>
      <w:r w:rsidRPr="00883A1C">
        <w:rPr>
          <w:snapToGrid w:val="0"/>
          <w:kern w:val="22"/>
          <w:szCs w:val="22"/>
        </w:rPr>
        <w:t>I</w:t>
      </w:r>
      <w:r w:rsidR="007D6BAB" w:rsidRPr="00883A1C">
        <w:rPr>
          <w:snapToGrid w:val="0"/>
          <w:kern w:val="22"/>
          <w:szCs w:val="22"/>
        </w:rPr>
        <w:t>ssued a notification inviting Parties to submit nominations of qualified representatives</w:t>
      </w:r>
      <w:r w:rsidRPr="00883A1C">
        <w:rPr>
          <w:snapToGrid w:val="0"/>
          <w:kern w:val="22"/>
          <w:szCs w:val="22"/>
        </w:rPr>
        <w:t>,</w:t>
      </w:r>
      <w:r w:rsidR="007D6BAB" w:rsidRPr="00883A1C">
        <w:rPr>
          <w:snapToGrid w:val="0"/>
          <w:kern w:val="22"/>
          <w:szCs w:val="22"/>
          <w:vertAlign w:val="superscript"/>
        </w:rPr>
        <w:footnoteReference w:id="11"/>
      </w:r>
      <w:r w:rsidR="00706F41" w:rsidRPr="00883A1C">
        <w:rPr>
          <w:snapToGrid w:val="0"/>
          <w:kern w:val="22"/>
          <w:szCs w:val="22"/>
        </w:rPr>
        <w:t xml:space="preserve"> </w:t>
      </w:r>
      <w:r w:rsidR="007D6BAB" w:rsidRPr="00883A1C">
        <w:rPr>
          <w:snapToGrid w:val="0"/>
          <w:kern w:val="22"/>
          <w:szCs w:val="22"/>
        </w:rPr>
        <w:t>compiled and analysed nominations r</w:t>
      </w:r>
      <w:r w:rsidR="005E5829">
        <w:rPr>
          <w:snapToGrid w:val="0"/>
          <w:kern w:val="22"/>
          <w:szCs w:val="22"/>
        </w:rPr>
        <w:t>eceived and consulted with the B</w:t>
      </w:r>
      <w:r w:rsidR="007D6BAB" w:rsidRPr="00883A1C">
        <w:rPr>
          <w:snapToGrid w:val="0"/>
          <w:kern w:val="22"/>
          <w:szCs w:val="22"/>
        </w:rPr>
        <w:t>ureau in selecting the membership</w:t>
      </w:r>
      <w:r w:rsidR="00706F41" w:rsidRPr="00883A1C">
        <w:rPr>
          <w:snapToGrid w:val="0"/>
          <w:kern w:val="22"/>
          <w:szCs w:val="22"/>
        </w:rPr>
        <w:t>, and</w:t>
      </w:r>
      <w:r w:rsidR="007D6BAB" w:rsidRPr="00883A1C">
        <w:rPr>
          <w:snapToGrid w:val="0"/>
          <w:kern w:val="22"/>
          <w:szCs w:val="22"/>
        </w:rPr>
        <w:t>;</w:t>
      </w:r>
      <w:r w:rsidR="00706F41" w:rsidRPr="00883A1C">
        <w:rPr>
          <w:snapToGrid w:val="0"/>
          <w:kern w:val="22"/>
          <w:szCs w:val="22"/>
        </w:rPr>
        <w:t xml:space="preserve"> </w:t>
      </w:r>
      <w:r w:rsidR="007D6BAB" w:rsidRPr="00883A1C">
        <w:rPr>
          <w:snapToGrid w:val="0"/>
          <w:kern w:val="22"/>
          <w:szCs w:val="22"/>
        </w:rPr>
        <w:t>issued a notification</w:t>
      </w:r>
      <w:r w:rsidR="007D6BAB" w:rsidRPr="00883A1C">
        <w:rPr>
          <w:snapToGrid w:val="0"/>
          <w:kern w:val="22"/>
          <w:szCs w:val="22"/>
          <w:vertAlign w:val="superscript"/>
        </w:rPr>
        <w:t xml:space="preserve"> </w:t>
      </w:r>
      <w:r w:rsidR="007D6BAB" w:rsidRPr="00883A1C">
        <w:rPr>
          <w:snapToGrid w:val="0"/>
          <w:kern w:val="22"/>
          <w:szCs w:val="22"/>
        </w:rPr>
        <w:t>on 3 November 2017 to inform Parties of the composition of the informal advisory group</w:t>
      </w:r>
      <w:r w:rsidRPr="00883A1C">
        <w:rPr>
          <w:snapToGrid w:val="0"/>
          <w:kern w:val="22"/>
          <w:szCs w:val="22"/>
        </w:rPr>
        <w:t>;</w:t>
      </w:r>
      <w:r w:rsidR="007D6BAB" w:rsidRPr="00883A1C">
        <w:rPr>
          <w:snapToGrid w:val="0"/>
          <w:kern w:val="22"/>
          <w:szCs w:val="22"/>
          <w:vertAlign w:val="superscript"/>
        </w:rPr>
        <w:footnoteReference w:id="12"/>
      </w:r>
    </w:p>
    <w:p w:rsidR="007D6BAB" w:rsidRPr="00883A1C" w:rsidRDefault="0031333B" w:rsidP="00883A1C">
      <w:pPr>
        <w:numPr>
          <w:ilvl w:val="0"/>
          <w:numId w:val="65"/>
        </w:numPr>
        <w:suppressLineNumbers/>
        <w:suppressAutoHyphens/>
        <w:kinsoku w:val="0"/>
        <w:overflowPunct w:val="0"/>
        <w:autoSpaceDE w:val="0"/>
        <w:autoSpaceDN w:val="0"/>
        <w:adjustRightInd w:val="0"/>
        <w:snapToGrid w:val="0"/>
        <w:spacing w:after="120" w:line="238" w:lineRule="auto"/>
        <w:ind w:left="0" w:firstLine="720"/>
        <w:rPr>
          <w:snapToGrid w:val="0"/>
          <w:kern w:val="22"/>
          <w:szCs w:val="22"/>
        </w:rPr>
      </w:pPr>
      <w:r w:rsidRPr="00883A1C">
        <w:rPr>
          <w:snapToGrid w:val="0"/>
          <w:kern w:val="22"/>
          <w:szCs w:val="22"/>
        </w:rPr>
        <w:t>L</w:t>
      </w:r>
      <w:r w:rsidR="007D6BAB" w:rsidRPr="00883A1C">
        <w:rPr>
          <w:snapToGrid w:val="0"/>
          <w:kern w:val="22"/>
          <w:szCs w:val="22"/>
        </w:rPr>
        <w:t>iaised regularly with the informal advisory group and convened, facilitated and provided inputs to the meetings of the Group and supported its Chair;</w:t>
      </w:r>
    </w:p>
    <w:p w:rsidR="007D6BAB" w:rsidRPr="00883A1C" w:rsidRDefault="0031333B" w:rsidP="00883A1C">
      <w:pPr>
        <w:numPr>
          <w:ilvl w:val="0"/>
          <w:numId w:val="65"/>
        </w:numPr>
        <w:suppressLineNumbers/>
        <w:suppressAutoHyphens/>
        <w:kinsoku w:val="0"/>
        <w:overflowPunct w:val="0"/>
        <w:autoSpaceDE w:val="0"/>
        <w:autoSpaceDN w:val="0"/>
        <w:adjustRightInd w:val="0"/>
        <w:snapToGrid w:val="0"/>
        <w:spacing w:after="120" w:line="238" w:lineRule="auto"/>
        <w:ind w:left="0" w:firstLine="720"/>
        <w:rPr>
          <w:kern w:val="22"/>
          <w:szCs w:val="22"/>
        </w:rPr>
      </w:pPr>
      <w:r w:rsidRPr="00883A1C">
        <w:rPr>
          <w:snapToGrid w:val="0"/>
          <w:kern w:val="22"/>
          <w:szCs w:val="22"/>
        </w:rPr>
        <w:t>P</w:t>
      </w:r>
      <w:r w:rsidR="007D6BAB" w:rsidRPr="00883A1C">
        <w:rPr>
          <w:snapToGrid w:val="0"/>
          <w:kern w:val="22"/>
          <w:szCs w:val="22"/>
        </w:rPr>
        <w:t>repared and provided an online discussion platform and relevant material to support and facilitate the deliberations of the informal advisory group</w:t>
      </w:r>
      <w:r w:rsidR="00706F41" w:rsidRPr="00883A1C">
        <w:rPr>
          <w:snapToGrid w:val="0"/>
          <w:kern w:val="22"/>
          <w:szCs w:val="22"/>
        </w:rPr>
        <w:t>, which included</w:t>
      </w:r>
      <w:r w:rsidR="007D6BAB" w:rsidRPr="00883A1C">
        <w:rPr>
          <w:snapToGrid w:val="0"/>
          <w:kern w:val="22"/>
          <w:szCs w:val="22"/>
        </w:rPr>
        <w:t>:</w:t>
      </w:r>
      <w:r w:rsidR="007D6BAB" w:rsidRPr="00883A1C">
        <w:rPr>
          <w:kern w:val="22"/>
          <w:szCs w:val="22"/>
        </w:rPr>
        <w:t xml:space="preserve"> </w:t>
      </w:r>
      <w:r w:rsidR="007D6BAB" w:rsidRPr="00883A1C">
        <w:rPr>
          <w:snapToGrid w:val="0"/>
          <w:kern w:val="22"/>
          <w:szCs w:val="22"/>
        </w:rPr>
        <w:t xml:space="preserve">an introductory note on the informal advisory group; agendas and reports of five meetings; a calendar of relevant international events; a list of members of the informal advisory group and their expertise on biodiversity-related conventions; </w:t>
      </w:r>
      <w:r w:rsidR="00D42D76" w:rsidRPr="00883A1C">
        <w:rPr>
          <w:snapToGrid w:val="0"/>
          <w:kern w:val="22"/>
          <w:szCs w:val="22"/>
        </w:rPr>
        <w:t xml:space="preserve">a description of </w:t>
      </w:r>
      <w:r w:rsidR="007D6BAB" w:rsidRPr="00883A1C">
        <w:rPr>
          <w:snapToGrid w:val="0"/>
          <w:kern w:val="22"/>
          <w:szCs w:val="22"/>
        </w:rPr>
        <w:t xml:space="preserve">bottlenecks and difficulties for the implementation of desirable key actions; </w:t>
      </w:r>
      <w:r w:rsidR="00706F41" w:rsidRPr="00883A1C">
        <w:rPr>
          <w:snapToGrid w:val="0"/>
          <w:kern w:val="22"/>
          <w:szCs w:val="22"/>
        </w:rPr>
        <w:t xml:space="preserve">a </w:t>
      </w:r>
      <w:r w:rsidR="007D6BAB" w:rsidRPr="00883A1C">
        <w:rPr>
          <w:snapToGrid w:val="0"/>
          <w:kern w:val="22"/>
          <w:szCs w:val="22"/>
        </w:rPr>
        <w:t xml:space="preserve">note on the timeline for preparation of synergies documents; </w:t>
      </w:r>
      <w:r w:rsidR="00D42D76" w:rsidRPr="00883A1C">
        <w:rPr>
          <w:snapToGrid w:val="0"/>
          <w:kern w:val="22"/>
          <w:szCs w:val="22"/>
        </w:rPr>
        <w:t xml:space="preserve">an </w:t>
      </w:r>
      <w:r w:rsidR="007D6BAB" w:rsidRPr="00883A1C">
        <w:rPr>
          <w:snapToGrid w:val="0"/>
          <w:kern w:val="22"/>
          <w:szCs w:val="22"/>
        </w:rPr>
        <w:t>overview of the CBD Secretariat/</w:t>
      </w:r>
      <w:r w:rsidR="00D42D76" w:rsidRPr="00883A1C">
        <w:rPr>
          <w:snapToGrid w:val="0"/>
          <w:kern w:val="22"/>
          <w:szCs w:val="22"/>
        </w:rPr>
        <w:t>UNEP-</w:t>
      </w:r>
      <w:r w:rsidR="007D6BAB" w:rsidRPr="00883A1C">
        <w:rPr>
          <w:snapToGrid w:val="0"/>
          <w:kern w:val="22"/>
          <w:szCs w:val="22"/>
        </w:rPr>
        <w:t xml:space="preserve">WCMC project and activities to support implementation of the desirable key actions; draft possible advice of the informal advisory group to the Executive Secretary, bureau and Liaison Group of Biodiversity-related Conventions; </w:t>
      </w:r>
      <w:r w:rsidR="00D42D76" w:rsidRPr="00883A1C">
        <w:rPr>
          <w:snapToGrid w:val="0"/>
          <w:kern w:val="22"/>
          <w:szCs w:val="22"/>
        </w:rPr>
        <w:t xml:space="preserve">a </w:t>
      </w:r>
      <w:r w:rsidR="007D6BAB" w:rsidRPr="00883A1C">
        <w:rPr>
          <w:snapToGrid w:val="0"/>
          <w:kern w:val="22"/>
          <w:szCs w:val="22"/>
        </w:rPr>
        <w:t>note on the report of the informal advisory group</w:t>
      </w:r>
      <w:r w:rsidR="00D42D76" w:rsidRPr="00883A1C">
        <w:rPr>
          <w:snapToGrid w:val="0"/>
          <w:kern w:val="22"/>
          <w:szCs w:val="22"/>
        </w:rPr>
        <w:t>;</w:t>
      </w:r>
      <w:r w:rsidR="007D6BAB" w:rsidRPr="00883A1C">
        <w:rPr>
          <w:snapToGrid w:val="0"/>
          <w:kern w:val="22"/>
          <w:szCs w:val="22"/>
        </w:rPr>
        <w:t xml:space="preserve"> and </w:t>
      </w:r>
      <w:r w:rsidR="00D42D76" w:rsidRPr="00883A1C">
        <w:rPr>
          <w:snapToGrid w:val="0"/>
          <w:kern w:val="22"/>
          <w:szCs w:val="22"/>
        </w:rPr>
        <w:t xml:space="preserve">a </w:t>
      </w:r>
      <w:r w:rsidR="007D6BAB" w:rsidRPr="00883A1C">
        <w:rPr>
          <w:snapToGrid w:val="0"/>
          <w:kern w:val="22"/>
          <w:szCs w:val="22"/>
        </w:rPr>
        <w:t>draft report of the Group to the Subsidiary Body on Implementation.</w:t>
      </w:r>
    </w:p>
    <w:p w:rsidR="007D6BAB" w:rsidRPr="00883A1C" w:rsidRDefault="007D6BAB" w:rsidP="00883A1C">
      <w:pPr>
        <w:numPr>
          <w:ilvl w:val="0"/>
          <w:numId w:val="6"/>
        </w:numPr>
        <w:suppressLineNumbers/>
        <w:tabs>
          <w:tab w:val="clear" w:pos="720"/>
        </w:tabs>
        <w:suppressAutoHyphens/>
        <w:kinsoku w:val="0"/>
        <w:overflowPunct w:val="0"/>
        <w:autoSpaceDE w:val="0"/>
        <w:autoSpaceDN w:val="0"/>
        <w:adjustRightInd w:val="0"/>
        <w:snapToGrid w:val="0"/>
        <w:spacing w:before="120" w:after="120" w:line="238" w:lineRule="auto"/>
        <w:rPr>
          <w:kern w:val="22"/>
          <w:szCs w:val="22"/>
        </w:rPr>
      </w:pPr>
      <w:r w:rsidRPr="00883A1C">
        <w:rPr>
          <w:kern w:val="22"/>
          <w:szCs w:val="22"/>
        </w:rPr>
        <w:t>As requested in decision XIII/24</w:t>
      </w:r>
      <w:r w:rsidR="0031333B" w:rsidRPr="00883A1C">
        <w:rPr>
          <w:kern w:val="22"/>
          <w:szCs w:val="22"/>
        </w:rPr>
        <w:t xml:space="preserve">, </w:t>
      </w:r>
      <w:r w:rsidR="0031333B" w:rsidRPr="00883A1C">
        <w:rPr>
          <w:snapToGrid w:val="0"/>
          <w:kern w:val="22"/>
          <w:szCs w:val="22"/>
        </w:rPr>
        <w:t>paragraph 15</w:t>
      </w:r>
      <w:r w:rsidRPr="00883A1C">
        <w:rPr>
          <w:snapToGrid w:val="0"/>
          <w:kern w:val="22"/>
          <w:szCs w:val="22"/>
        </w:rPr>
        <w:t xml:space="preserve">, </w:t>
      </w:r>
      <w:r w:rsidRPr="00883A1C">
        <w:rPr>
          <w:kern w:val="22"/>
          <w:szCs w:val="22"/>
        </w:rPr>
        <w:t>the informal advisory group consists of Party representatives with balanced representation, including regionally. It is composed of 19 members with representation from Africa (four members), Asia</w:t>
      </w:r>
      <w:r w:rsidR="00816DCD" w:rsidRPr="00883A1C">
        <w:rPr>
          <w:kern w:val="22"/>
          <w:szCs w:val="22"/>
        </w:rPr>
        <w:t xml:space="preserve"> and the </w:t>
      </w:r>
      <w:r w:rsidRPr="00883A1C">
        <w:rPr>
          <w:kern w:val="22"/>
          <w:szCs w:val="22"/>
        </w:rPr>
        <w:t xml:space="preserve">Pacific (four members), Latin America and the Caribbean (four members), Central and Eastern Europe (two members (one from the European Union)), </w:t>
      </w:r>
      <w:r w:rsidR="00816DCD" w:rsidRPr="00883A1C">
        <w:rPr>
          <w:kern w:val="22"/>
          <w:szCs w:val="22"/>
        </w:rPr>
        <w:t xml:space="preserve">the </w:t>
      </w:r>
      <w:r w:rsidRPr="00883A1C">
        <w:rPr>
          <w:kern w:val="22"/>
          <w:szCs w:val="22"/>
        </w:rPr>
        <w:t xml:space="preserve">Western Europe and Others Group (four members (two from the European Union and two from JUSCANZ)), and </w:t>
      </w:r>
      <w:r w:rsidR="00816DCD" w:rsidRPr="00883A1C">
        <w:rPr>
          <w:kern w:val="22"/>
          <w:szCs w:val="22"/>
        </w:rPr>
        <w:t xml:space="preserve">the </w:t>
      </w:r>
      <w:r w:rsidRPr="00883A1C">
        <w:rPr>
          <w:kern w:val="22"/>
          <w:szCs w:val="22"/>
        </w:rPr>
        <w:t xml:space="preserve">European Commission (one member). The full membership is provided in annex </w:t>
      </w:r>
      <w:r w:rsidR="0031333B" w:rsidRPr="00883A1C">
        <w:rPr>
          <w:snapToGrid w:val="0"/>
          <w:kern w:val="22"/>
          <w:szCs w:val="22"/>
        </w:rPr>
        <w:t>III</w:t>
      </w:r>
      <w:r w:rsidRPr="00883A1C">
        <w:rPr>
          <w:kern w:val="22"/>
          <w:szCs w:val="22"/>
        </w:rPr>
        <w:t xml:space="preserve"> of the Group’s </w:t>
      </w:r>
      <w:r w:rsidR="00715E54" w:rsidRPr="00883A1C">
        <w:rPr>
          <w:kern w:val="22"/>
          <w:szCs w:val="22"/>
        </w:rPr>
        <w:t>r</w:t>
      </w:r>
      <w:r w:rsidRPr="00883A1C">
        <w:rPr>
          <w:kern w:val="22"/>
          <w:szCs w:val="22"/>
        </w:rPr>
        <w:t>eport (CBD/SBI/2/INF/</w:t>
      </w:r>
      <w:r w:rsidR="00715E54" w:rsidRPr="00883A1C">
        <w:rPr>
          <w:kern w:val="22"/>
          <w:szCs w:val="22"/>
        </w:rPr>
        <w:t>14</w:t>
      </w:r>
      <w:r w:rsidRPr="00883A1C">
        <w:rPr>
          <w:kern w:val="22"/>
          <w:szCs w:val="22"/>
        </w:rPr>
        <w:t xml:space="preserve">). </w:t>
      </w:r>
      <w:r w:rsidR="00706F41" w:rsidRPr="00883A1C">
        <w:rPr>
          <w:kern w:val="22"/>
          <w:szCs w:val="22"/>
        </w:rPr>
        <w:t>The Group elected Mr. Hesiquio Benitez of Mexico as its Chair.</w:t>
      </w:r>
    </w:p>
    <w:p w:rsidR="007D6BAB" w:rsidRPr="00883A1C" w:rsidRDefault="007D6BAB" w:rsidP="00883A1C">
      <w:pPr>
        <w:numPr>
          <w:ilvl w:val="0"/>
          <w:numId w:val="6"/>
        </w:numPr>
        <w:suppressLineNumbers/>
        <w:tabs>
          <w:tab w:val="clear" w:pos="720"/>
        </w:tabs>
        <w:suppressAutoHyphens/>
        <w:kinsoku w:val="0"/>
        <w:overflowPunct w:val="0"/>
        <w:autoSpaceDE w:val="0"/>
        <w:autoSpaceDN w:val="0"/>
        <w:adjustRightInd w:val="0"/>
        <w:snapToGrid w:val="0"/>
        <w:spacing w:before="120" w:after="120" w:line="238" w:lineRule="auto"/>
        <w:rPr>
          <w:kern w:val="22"/>
          <w:szCs w:val="22"/>
        </w:rPr>
      </w:pPr>
      <w:r w:rsidRPr="00883A1C">
        <w:rPr>
          <w:kern w:val="22"/>
          <w:szCs w:val="22"/>
        </w:rPr>
        <w:t xml:space="preserve">Experts from </w:t>
      </w:r>
      <w:r w:rsidR="006E76D2" w:rsidRPr="00883A1C">
        <w:rPr>
          <w:snapToGrid w:val="0"/>
          <w:kern w:val="22"/>
          <w:szCs w:val="22"/>
        </w:rPr>
        <w:t>UN</w:t>
      </w:r>
      <w:r w:rsidR="0031333B" w:rsidRPr="00883A1C">
        <w:rPr>
          <w:snapToGrid w:val="0"/>
          <w:kern w:val="22"/>
          <w:szCs w:val="22"/>
        </w:rPr>
        <w:t>EP</w:t>
      </w:r>
      <w:r w:rsidRPr="00883A1C">
        <w:rPr>
          <w:kern w:val="22"/>
          <w:szCs w:val="22"/>
        </w:rPr>
        <w:t xml:space="preserve"> and </w:t>
      </w:r>
      <w:r w:rsidR="006E76D2" w:rsidRPr="00883A1C">
        <w:rPr>
          <w:kern w:val="22"/>
          <w:szCs w:val="22"/>
        </w:rPr>
        <w:t>UNEP-WCMC</w:t>
      </w:r>
      <w:r w:rsidR="00D42D76" w:rsidRPr="00883A1C">
        <w:rPr>
          <w:kern w:val="22"/>
          <w:szCs w:val="22"/>
        </w:rPr>
        <w:t xml:space="preserve"> have been</w:t>
      </w:r>
      <w:r w:rsidRPr="00883A1C">
        <w:rPr>
          <w:kern w:val="22"/>
          <w:szCs w:val="22"/>
        </w:rPr>
        <w:t xml:space="preserve"> involved in the work and activities of the informal advisory group. The Group considered the need to identify, involve and consult other relevant experts</w:t>
      </w:r>
      <w:r w:rsidR="0094289E" w:rsidRPr="00883A1C">
        <w:rPr>
          <w:kern w:val="22"/>
          <w:szCs w:val="22"/>
        </w:rPr>
        <w:t xml:space="preserve"> but</w:t>
      </w:r>
      <w:r w:rsidRPr="00883A1C">
        <w:rPr>
          <w:kern w:val="22"/>
          <w:szCs w:val="22"/>
        </w:rPr>
        <w:t xml:space="preserve">, considering the expertise contained in the Group, as demonstrated in annex </w:t>
      </w:r>
      <w:r w:rsidR="0031333B" w:rsidRPr="00883A1C">
        <w:rPr>
          <w:snapToGrid w:val="0"/>
          <w:kern w:val="22"/>
          <w:szCs w:val="22"/>
        </w:rPr>
        <w:t>III</w:t>
      </w:r>
      <w:r w:rsidRPr="00883A1C">
        <w:rPr>
          <w:kern w:val="22"/>
          <w:szCs w:val="22"/>
        </w:rPr>
        <w:t xml:space="preserve"> of its report </w:t>
      </w:r>
      <w:r w:rsidRPr="00883A1C">
        <w:rPr>
          <w:color w:val="000000" w:themeColor="text1"/>
          <w:kern w:val="22"/>
          <w:szCs w:val="22"/>
        </w:rPr>
        <w:t>(CBD/SBI/2/INF/</w:t>
      </w:r>
      <w:r w:rsidR="00715E54" w:rsidRPr="00883A1C">
        <w:rPr>
          <w:color w:val="000000" w:themeColor="text1"/>
          <w:kern w:val="22"/>
          <w:szCs w:val="22"/>
        </w:rPr>
        <w:t>14</w:t>
      </w:r>
      <w:r w:rsidRPr="00883A1C">
        <w:rPr>
          <w:color w:val="000000" w:themeColor="text1"/>
          <w:kern w:val="22"/>
          <w:szCs w:val="22"/>
        </w:rPr>
        <w:t>)</w:t>
      </w:r>
      <w:r w:rsidRPr="00883A1C">
        <w:rPr>
          <w:kern w:val="22"/>
          <w:szCs w:val="22"/>
        </w:rPr>
        <w:t xml:space="preserve">, concluded that no other expertise was required to execute </w:t>
      </w:r>
      <w:r w:rsidR="0094289E" w:rsidRPr="00883A1C">
        <w:rPr>
          <w:kern w:val="22"/>
          <w:szCs w:val="22"/>
        </w:rPr>
        <w:t xml:space="preserve">its </w:t>
      </w:r>
      <w:r w:rsidRPr="00883A1C">
        <w:rPr>
          <w:kern w:val="22"/>
          <w:szCs w:val="22"/>
        </w:rPr>
        <w:t>mandate.</w:t>
      </w:r>
    </w:p>
    <w:p w:rsidR="007D6BAB" w:rsidRPr="00883A1C" w:rsidRDefault="007D6BAB" w:rsidP="00883A1C">
      <w:pPr>
        <w:numPr>
          <w:ilvl w:val="0"/>
          <w:numId w:val="6"/>
        </w:numPr>
        <w:suppressLineNumbers/>
        <w:tabs>
          <w:tab w:val="clear" w:pos="720"/>
        </w:tabs>
        <w:suppressAutoHyphens/>
        <w:kinsoku w:val="0"/>
        <w:overflowPunct w:val="0"/>
        <w:autoSpaceDE w:val="0"/>
        <w:autoSpaceDN w:val="0"/>
        <w:adjustRightInd w:val="0"/>
        <w:snapToGrid w:val="0"/>
        <w:spacing w:before="120" w:after="120" w:line="238" w:lineRule="auto"/>
        <w:rPr>
          <w:kern w:val="22"/>
          <w:szCs w:val="22"/>
        </w:rPr>
      </w:pPr>
      <w:r w:rsidRPr="00883A1C">
        <w:rPr>
          <w:kern w:val="22"/>
          <w:szCs w:val="22"/>
        </w:rPr>
        <w:t xml:space="preserve">With the support of the Secretariat, the Group conducted most of its work through the cost-effective means of </w:t>
      </w:r>
      <w:r w:rsidR="00706F41" w:rsidRPr="00883A1C">
        <w:rPr>
          <w:kern w:val="22"/>
          <w:szCs w:val="22"/>
        </w:rPr>
        <w:t xml:space="preserve">online </w:t>
      </w:r>
      <w:r w:rsidR="00602DB5" w:rsidRPr="00883A1C">
        <w:rPr>
          <w:kern w:val="22"/>
          <w:szCs w:val="22"/>
        </w:rPr>
        <w:t>video</w:t>
      </w:r>
      <w:r w:rsidRPr="00883A1C">
        <w:rPr>
          <w:kern w:val="22"/>
          <w:szCs w:val="22"/>
        </w:rPr>
        <w:t>conferencing</w:t>
      </w:r>
      <w:r w:rsidR="00706F41" w:rsidRPr="00883A1C">
        <w:rPr>
          <w:kern w:val="22"/>
          <w:szCs w:val="22"/>
        </w:rPr>
        <w:t xml:space="preserve">, with a two-day in-person meeting convened in Montreal </w:t>
      </w:r>
      <w:r w:rsidR="00987F2B" w:rsidRPr="00883A1C">
        <w:rPr>
          <w:kern w:val="22"/>
          <w:szCs w:val="22"/>
        </w:rPr>
        <w:t xml:space="preserve">on </w:t>
      </w:r>
      <w:r w:rsidR="00706F41" w:rsidRPr="00883A1C">
        <w:rPr>
          <w:kern w:val="22"/>
          <w:szCs w:val="22"/>
        </w:rPr>
        <w:t xml:space="preserve">17 </w:t>
      </w:r>
      <w:r w:rsidR="00987F2B" w:rsidRPr="00883A1C">
        <w:rPr>
          <w:kern w:val="22"/>
          <w:szCs w:val="22"/>
        </w:rPr>
        <w:t xml:space="preserve">and </w:t>
      </w:r>
      <w:r w:rsidR="00706F41" w:rsidRPr="00883A1C">
        <w:rPr>
          <w:kern w:val="22"/>
          <w:szCs w:val="22"/>
        </w:rPr>
        <w:t>18 December 2017</w:t>
      </w:r>
      <w:r w:rsidRPr="00883A1C">
        <w:rPr>
          <w:kern w:val="22"/>
          <w:szCs w:val="22"/>
        </w:rPr>
        <w:t xml:space="preserve">. </w:t>
      </w:r>
      <w:r w:rsidR="00706F41" w:rsidRPr="00883A1C">
        <w:rPr>
          <w:kern w:val="22"/>
          <w:szCs w:val="22"/>
        </w:rPr>
        <w:t xml:space="preserve">Online meetings were held on </w:t>
      </w:r>
      <w:r w:rsidR="0094289E" w:rsidRPr="00883A1C">
        <w:rPr>
          <w:kern w:val="22"/>
          <w:szCs w:val="22"/>
        </w:rPr>
        <w:t>7 December 2017, 7 February 2018, 15 March 2018 and 30 April 2018</w:t>
      </w:r>
      <w:r w:rsidR="00706F41" w:rsidRPr="00883A1C">
        <w:rPr>
          <w:kern w:val="22"/>
          <w:szCs w:val="22"/>
        </w:rPr>
        <w:t>.</w:t>
      </w:r>
      <w:r w:rsidRPr="00883A1C">
        <w:rPr>
          <w:kern w:val="22"/>
          <w:szCs w:val="22"/>
        </w:rPr>
        <w:t xml:space="preserve"> </w:t>
      </w:r>
      <w:r w:rsidR="00602DB5" w:rsidRPr="00883A1C">
        <w:rPr>
          <w:kern w:val="22"/>
          <w:szCs w:val="22"/>
        </w:rPr>
        <w:t>A task team of four members designated to undertake some remaining tasks held an online meeting on 7 May 2018.</w:t>
      </w:r>
    </w:p>
    <w:p w:rsidR="007770D1" w:rsidRPr="00883A1C" w:rsidRDefault="007770D1" w:rsidP="00883A1C">
      <w:pPr>
        <w:keepNext/>
        <w:suppressLineNumbers/>
        <w:suppressAutoHyphens/>
        <w:kinsoku w:val="0"/>
        <w:overflowPunct w:val="0"/>
        <w:autoSpaceDE w:val="0"/>
        <w:autoSpaceDN w:val="0"/>
        <w:adjustRightInd w:val="0"/>
        <w:snapToGrid w:val="0"/>
        <w:spacing w:before="120" w:after="120" w:line="238" w:lineRule="auto"/>
        <w:ind w:left="1714" w:right="432" w:hanging="432"/>
        <w:jc w:val="left"/>
        <w:outlineLvl w:val="2"/>
        <w:rPr>
          <w:i/>
          <w:kern w:val="22"/>
          <w:szCs w:val="22"/>
        </w:rPr>
      </w:pPr>
      <w:r w:rsidRPr="00883A1C">
        <w:rPr>
          <w:i/>
          <w:kern w:val="22"/>
          <w:szCs w:val="22"/>
        </w:rPr>
        <w:lastRenderedPageBreak/>
        <w:t>2.</w:t>
      </w:r>
      <w:r w:rsidRPr="00883A1C">
        <w:rPr>
          <w:i/>
          <w:kern w:val="22"/>
          <w:szCs w:val="22"/>
        </w:rPr>
        <w:tab/>
        <w:t>Formulating advice on prioritization of actions in the table contained in annex II of decision XIII/24 and on implementing the prioritized actions</w:t>
      </w:r>
    </w:p>
    <w:p w:rsidR="007D6BAB" w:rsidRPr="00883A1C" w:rsidRDefault="00D42D76" w:rsidP="00883A1C">
      <w:pPr>
        <w:numPr>
          <w:ilvl w:val="0"/>
          <w:numId w:val="6"/>
        </w:numPr>
        <w:suppressLineNumbers/>
        <w:tabs>
          <w:tab w:val="num" w:pos="1800"/>
        </w:tabs>
        <w:suppressAutoHyphens/>
        <w:kinsoku w:val="0"/>
        <w:overflowPunct w:val="0"/>
        <w:autoSpaceDE w:val="0"/>
        <w:autoSpaceDN w:val="0"/>
        <w:adjustRightInd w:val="0"/>
        <w:snapToGrid w:val="0"/>
        <w:spacing w:before="120" w:after="120" w:line="238" w:lineRule="auto"/>
        <w:rPr>
          <w:kern w:val="22"/>
          <w:szCs w:val="22"/>
        </w:rPr>
      </w:pPr>
      <w:r w:rsidRPr="00883A1C">
        <w:rPr>
          <w:kern w:val="22"/>
          <w:szCs w:val="22"/>
        </w:rPr>
        <w:t>In order to</w:t>
      </w:r>
      <w:r w:rsidR="007D6BAB" w:rsidRPr="00883A1C">
        <w:rPr>
          <w:kern w:val="22"/>
          <w:szCs w:val="22"/>
        </w:rPr>
        <w:t xml:space="preserve"> fulfil its mandate, with support from the Secretariat, the informal advisory group executed the following tasks:</w:t>
      </w:r>
    </w:p>
    <w:p w:rsidR="007D6BAB" w:rsidRPr="00883A1C" w:rsidRDefault="00BB0EE6" w:rsidP="00883A1C">
      <w:pPr>
        <w:numPr>
          <w:ilvl w:val="0"/>
          <w:numId w:val="42"/>
        </w:numPr>
        <w:suppressLineNumbers/>
        <w:tabs>
          <w:tab w:val="clear" w:pos="1800"/>
        </w:tabs>
        <w:suppressAutoHyphens/>
        <w:kinsoku w:val="0"/>
        <w:overflowPunct w:val="0"/>
        <w:autoSpaceDE w:val="0"/>
        <w:autoSpaceDN w:val="0"/>
        <w:adjustRightInd w:val="0"/>
        <w:snapToGrid w:val="0"/>
        <w:spacing w:after="120" w:line="238" w:lineRule="auto"/>
        <w:ind w:left="0" w:firstLine="720"/>
        <w:rPr>
          <w:kern w:val="22"/>
          <w:szCs w:val="22"/>
        </w:rPr>
      </w:pPr>
      <w:r w:rsidRPr="00883A1C">
        <w:rPr>
          <w:snapToGrid w:val="0"/>
          <w:kern w:val="22"/>
          <w:szCs w:val="22"/>
        </w:rPr>
        <w:t>D</w:t>
      </w:r>
      <w:r w:rsidR="007D6BAB" w:rsidRPr="00883A1C">
        <w:rPr>
          <w:kern w:val="22"/>
          <w:szCs w:val="22"/>
        </w:rPr>
        <w:t>eveloped a process for the conduct of its work;</w:t>
      </w:r>
    </w:p>
    <w:p w:rsidR="007D6BAB" w:rsidRPr="00883A1C" w:rsidRDefault="00BB0EE6" w:rsidP="00883A1C">
      <w:pPr>
        <w:numPr>
          <w:ilvl w:val="0"/>
          <w:numId w:val="42"/>
        </w:numPr>
        <w:suppressLineNumbers/>
        <w:tabs>
          <w:tab w:val="clear" w:pos="1800"/>
        </w:tabs>
        <w:suppressAutoHyphens/>
        <w:kinsoku w:val="0"/>
        <w:overflowPunct w:val="0"/>
        <w:autoSpaceDE w:val="0"/>
        <w:autoSpaceDN w:val="0"/>
        <w:adjustRightInd w:val="0"/>
        <w:snapToGrid w:val="0"/>
        <w:spacing w:after="120" w:line="238" w:lineRule="auto"/>
        <w:ind w:left="0" w:firstLine="720"/>
        <w:rPr>
          <w:kern w:val="22"/>
          <w:szCs w:val="22"/>
        </w:rPr>
      </w:pPr>
      <w:r w:rsidRPr="00883A1C">
        <w:rPr>
          <w:snapToGrid w:val="0"/>
          <w:kern w:val="22"/>
          <w:szCs w:val="22"/>
        </w:rPr>
        <w:t>A</w:t>
      </w:r>
      <w:r w:rsidR="007D6BAB" w:rsidRPr="00883A1C">
        <w:rPr>
          <w:kern w:val="22"/>
          <w:szCs w:val="22"/>
        </w:rPr>
        <w:t>nalysed the desirable key actions contained in the table in annex II of decision XIII/24;</w:t>
      </w:r>
    </w:p>
    <w:p w:rsidR="007D6BAB" w:rsidRPr="00883A1C" w:rsidRDefault="00BB0EE6" w:rsidP="00883A1C">
      <w:pPr>
        <w:numPr>
          <w:ilvl w:val="0"/>
          <w:numId w:val="42"/>
        </w:numPr>
        <w:suppressLineNumbers/>
        <w:tabs>
          <w:tab w:val="clear" w:pos="1800"/>
        </w:tabs>
        <w:suppressAutoHyphens/>
        <w:kinsoku w:val="0"/>
        <w:overflowPunct w:val="0"/>
        <w:autoSpaceDE w:val="0"/>
        <w:autoSpaceDN w:val="0"/>
        <w:adjustRightInd w:val="0"/>
        <w:snapToGrid w:val="0"/>
        <w:spacing w:after="120" w:line="238" w:lineRule="auto"/>
        <w:ind w:left="0" w:firstLine="720"/>
        <w:rPr>
          <w:kern w:val="22"/>
          <w:szCs w:val="22"/>
        </w:rPr>
      </w:pPr>
      <w:r w:rsidRPr="00883A1C">
        <w:rPr>
          <w:snapToGrid w:val="0"/>
          <w:kern w:val="22"/>
          <w:szCs w:val="22"/>
        </w:rPr>
        <w:t>D</w:t>
      </w:r>
      <w:r w:rsidR="007D6BAB" w:rsidRPr="00883A1C">
        <w:rPr>
          <w:kern w:val="22"/>
          <w:szCs w:val="22"/>
        </w:rPr>
        <w:t xml:space="preserve">eveloped notes </w:t>
      </w:r>
      <w:r w:rsidR="000D052B" w:rsidRPr="00883A1C">
        <w:rPr>
          <w:kern w:val="22"/>
          <w:szCs w:val="22"/>
        </w:rPr>
        <w:t xml:space="preserve">containing observations and </w:t>
      </w:r>
      <w:r w:rsidR="007D6BAB" w:rsidRPr="00883A1C">
        <w:rPr>
          <w:kern w:val="22"/>
          <w:szCs w:val="22"/>
        </w:rPr>
        <w:t xml:space="preserve">suggestions regarding the implementation of the </w:t>
      </w:r>
      <w:r w:rsidR="007D6BAB" w:rsidRPr="00883A1C">
        <w:rPr>
          <w:snapToGrid w:val="0"/>
          <w:kern w:val="22"/>
          <w:szCs w:val="22"/>
        </w:rPr>
        <w:t xml:space="preserve">desirable </w:t>
      </w:r>
      <w:r w:rsidR="007D6BAB" w:rsidRPr="00883A1C">
        <w:rPr>
          <w:kern w:val="22"/>
          <w:szCs w:val="22"/>
        </w:rPr>
        <w:t>key actions;</w:t>
      </w:r>
    </w:p>
    <w:p w:rsidR="007D6BAB" w:rsidRPr="00883A1C" w:rsidRDefault="00BB0EE6" w:rsidP="00883A1C">
      <w:pPr>
        <w:numPr>
          <w:ilvl w:val="0"/>
          <w:numId w:val="42"/>
        </w:numPr>
        <w:suppressLineNumbers/>
        <w:tabs>
          <w:tab w:val="clear" w:pos="1800"/>
        </w:tabs>
        <w:suppressAutoHyphens/>
        <w:kinsoku w:val="0"/>
        <w:overflowPunct w:val="0"/>
        <w:autoSpaceDE w:val="0"/>
        <w:autoSpaceDN w:val="0"/>
        <w:adjustRightInd w:val="0"/>
        <w:snapToGrid w:val="0"/>
        <w:spacing w:after="120" w:line="238" w:lineRule="auto"/>
        <w:ind w:left="0" w:firstLine="720"/>
        <w:rPr>
          <w:kern w:val="22"/>
          <w:szCs w:val="22"/>
        </w:rPr>
      </w:pPr>
      <w:r w:rsidRPr="00883A1C">
        <w:rPr>
          <w:snapToGrid w:val="0"/>
          <w:kern w:val="22"/>
          <w:szCs w:val="22"/>
        </w:rPr>
        <w:t>C</w:t>
      </w:r>
      <w:r w:rsidR="007D6BAB" w:rsidRPr="00883A1C">
        <w:rPr>
          <w:kern w:val="22"/>
          <w:szCs w:val="22"/>
        </w:rPr>
        <w:t xml:space="preserve">onsidered any potential difficulties and bottlenecks in implementing </w:t>
      </w:r>
      <w:r w:rsidR="007D6BAB" w:rsidRPr="00883A1C">
        <w:rPr>
          <w:snapToGrid w:val="0"/>
          <w:kern w:val="22"/>
          <w:szCs w:val="22"/>
        </w:rPr>
        <w:t xml:space="preserve">desirable </w:t>
      </w:r>
      <w:r w:rsidR="007D6BAB" w:rsidRPr="00883A1C">
        <w:rPr>
          <w:kern w:val="22"/>
          <w:szCs w:val="22"/>
        </w:rPr>
        <w:t>key actions;</w:t>
      </w:r>
    </w:p>
    <w:p w:rsidR="007D6BAB" w:rsidRPr="00883A1C" w:rsidRDefault="00BB0EE6" w:rsidP="00883A1C">
      <w:pPr>
        <w:numPr>
          <w:ilvl w:val="0"/>
          <w:numId w:val="42"/>
        </w:numPr>
        <w:suppressLineNumbers/>
        <w:tabs>
          <w:tab w:val="clear" w:pos="1800"/>
        </w:tabs>
        <w:suppressAutoHyphens/>
        <w:kinsoku w:val="0"/>
        <w:overflowPunct w:val="0"/>
        <w:autoSpaceDE w:val="0"/>
        <w:autoSpaceDN w:val="0"/>
        <w:adjustRightInd w:val="0"/>
        <w:snapToGrid w:val="0"/>
        <w:spacing w:after="120" w:line="238" w:lineRule="auto"/>
        <w:ind w:left="0" w:firstLine="720"/>
        <w:rPr>
          <w:kern w:val="22"/>
          <w:szCs w:val="22"/>
        </w:rPr>
      </w:pPr>
      <w:r w:rsidRPr="00883A1C">
        <w:rPr>
          <w:snapToGrid w:val="0"/>
          <w:kern w:val="22"/>
          <w:szCs w:val="22"/>
        </w:rPr>
        <w:t>P</w:t>
      </w:r>
      <w:r w:rsidR="007D6BAB" w:rsidRPr="00883A1C">
        <w:rPr>
          <w:kern w:val="22"/>
          <w:szCs w:val="22"/>
        </w:rPr>
        <w:t>rioritized actions by scoring the desirable key actions;</w:t>
      </w:r>
    </w:p>
    <w:p w:rsidR="007D6BAB" w:rsidRPr="00883A1C" w:rsidRDefault="00BB0EE6" w:rsidP="00883A1C">
      <w:pPr>
        <w:numPr>
          <w:ilvl w:val="0"/>
          <w:numId w:val="42"/>
        </w:numPr>
        <w:suppressLineNumbers/>
        <w:tabs>
          <w:tab w:val="clear" w:pos="1800"/>
        </w:tabs>
        <w:suppressAutoHyphens/>
        <w:kinsoku w:val="0"/>
        <w:overflowPunct w:val="0"/>
        <w:autoSpaceDE w:val="0"/>
        <w:autoSpaceDN w:val="0"/>
        <w:adjustRightInd w:val="0"/>
        <w:snapToGrid w:val="0"/>
        <w:spacing w:after="120" w:line="238" w:lineRule="auto"/>
        <w:ind w:left="0" w:firstLine="720"/>
        <w:rPr>
          <w:kern w:val="22"/>
          <w:szCs w:val="22"/>
        </w:rPr>
      </w:pPr>
      <w:r w:rsidRPr="00883A1C">
        <w:rPr>
          <w:snapToGrid w:val="0"/>
          <w:kern w:val="22"/>
          <w:szCs w:val="22"/>
        </w:rPr>
        <w:t>I</w:t>
      </w:r>
      <w:r w:rsidR="007D6BAB" w:rsidRPr="00883A1C">
        <w:rPr>
          <w:kern w:val="22"/>
          <w:szCs w:val="22"/>
        </w:rPr>
        <w:t>dentified relevant activities additional to the desirable key actions that could be complementary and helpful to their objectives;</w:t>
      </w:r>
    </w:p>
    <w:p w:rsidR="007D6BAB" w:rsidRPr="00883A1C" w:rsidRDefault="00BB0EE6" w:rsidP="00883A1C">
      <w:pPr>
        <w:numPr>
          <w:ilvl w:val="0"/>
          <w:numId w:val="42"/>
        </w:numPr>
        <w:suppressLineNumbers/>
        <w:tabs>
          <w:tab w:val="clear" w:pos="1800"/>
        </w:tabs>
        <w:suppressAutoHyphens/>
        <w:kinsoku w:val="0"/>
        <w:overflowPunct w:val="0"/>
        <w:autoSpaceDE w:val="0"/>
        <w:autoSpaceDN w:val="0"/>
        <w:adjustRightInd w:val="0"/>
        <w:snapToGrid w:val="0"/>
        <w:spacing w:after="120" w:line="238" w:lineRule="auto"/>
        <w:ind w:left="0" w:firstLine="720"/>
        <w:rPr>
          <w:kern w:val="22"/>
          <w:szCs w:val="22"/>
        </w:rPr>
      </w:pPr>
      <w:r w:rsidRPr="00883A1C">
        <w:rPr>
          <w:snapToGrid w:val="0"/>
          <w:kern w:val="22"/>
          <w:szCs w:val="22"/>
        </w:rPr>
        <w:t>C</w:t>
      </w:r>
      <w:r w:rsidR="007D6BAB" w:rsidRPr="00883A1C">
        <w:rPr>
          <w:kern w:val="22"/>
          <w:szCs w:val="22"/>
        </w:rPr>
        <w:t xml:space="preserve">onsidered the outcomes of the </w:t>
      </w:r>
      <w:r w:rsidR="00706F41" w:rsidRPr="00883A1C">
        <w:rPr>
          <w:kern w:val="22"/>
          <w:szCs w:val="22"/>
        </w:rPr>
        <w:t xml:space="preserve">work conducted in collaboration between the Secretariat, </w:t>
      </w:r>
      <w:r w:rsidR="00706F41" w:rsidRPr="00883A1C">
        <w:rPr>
          <w:snapToGrid w:val="0"/>
          <w:kern w:val="22"/>
          <w:szCs w:val="22"/>
        </w:rPr>
        <w:t>UN</w:t>
      </w:r>
      <w:r w:rsidRPr="00883A1C">
        <w:rPr>
          <w:snapToGrid w:val="0"/>
          <w:kern w:val="22"/>
          <w:szCs w:val="22"/>
        </w:rPr>
        <w:t>EP</w:t>
      </w:r>
      <w:r w:rsidR="00706F41" w:rsidRPr="00883A1C">
        <w:rPr>
          <w:kern w:val="22"/>
          <w:szCs w:val="22"/>
        </w:rPr>
        <w:t xml:space="preserve"> and UNEP-WCMC</w:t>
      </w:r>
      <w:r w:rsidR="007D6BAB" w:rsidRPr="00883A1C">
        <w:rPr>
          <w:kern w:val="22"/>
          <w:szCs w:val="22"/>
        </w:rPr>
        <w:t xml:space="preserve"> to support key actions of the </w:t>
      </w:r>
      <w:r w:rsidR="000D052B" w:rsidRPr="00883A1C">
        <w:rPr>
          <w:kern w:val="22"/>
          <w:szCs w:val="22"/>
        </w:rPr>
        <w:t>r</w:t>
      </w:r>
      <w:r w:rsidR="007D6BAB" w:rsidRPr="00883A1C">
        <w:rPr>
          <w:kern w:val="22"/>
          <w:szCs w:val="22"/>
        </w:rPr>
        <w:t xml:space="preserve">oad </w:t>
      </w:r>
      <w:r w:rsidR="000D052B" w:rsidRPr="00883A1C">
        <w:rPr>
          <w:kern w:val="22"/>
          <w:szCs w:val="22"/>
        </w:rPr>
        <w:t>m</w:t>
      </w:r>
      <w:r w:rsidR="007D6BAB" w:rsidRPr="00883A1C">
        <w:rPr>
          <w:kern w:val="22"/>
          <w:szCs w:val="22"/>
        </w:rPr>
        <w:t>ap</w:t>
      </w:r>
      <w:r w:rsidR="000D052B" w:rsidRPr="00883A1C">
        <w:rPr>
          <w:kern w:val="22"/>
          <w:szCs w:val="22"/>
        </w:rPr>
        <w:t>,</w:t>
      </w:r>
      <w:r w:rsidR="007D6BAB" w:rsidRPr="00883A1C">
        <w:rPr>
          <w:kern w:val="22"/>
          <w:szCs w:val="22"/>
        </w:rPr>
        <w:t xml:space="preserve"> 2017-2020 (</w:t>
      </w:r>
      <w:r w:rsidRPr="00883A1C">
        <w:rPr>
          <w:snapToGrid w:val="0"/>
          <w:kern w:val="22"/>
          <w:szCs w:val="22"/>
        </w:rPr>
        <w:t>s</w:t>
      </w:r>
      <w:r w:rsidR="00706F41" w:rsidRPr="00883A1C">
        <w:rPr>
          <w:kern w:val="22"/>
          <w:szCs w:val="22"/>
        </w:rPr>
        <w:t>ection II</w:t>
      </w:r>
      <w:r w:rsidR="000D052B" w:rsidRPr="00883A1C">
        <w:rPr>
          <w:kern w:val="22"/>
          <w:szCs w:val="22"/>
        </w:rPr>
        <w:t>I above</w:t>
      </w:r>
      <w:r w:rsidR="00706F41" w:rsidRPr="00883A1C">
        <w:rPr>
          <w:kern w:val="22"/>
          <w:szCs w:val="22"/>
        </w:rPr>
        <w:t xml:space="preserve"> and </w:t>
      </w:r>
      <w:r w:rsidR="007D6BAB" w:rsidRPr="00883A1C">
        <w:rPr>
          <w:kern w:val="22"/>
          <w:szCs w:val="22"/>
        </w:rPr>
        <w:t>CBD/SBI/2/INF/</w:t>
      </w:r>
      <w:r w:rsidR="00715E54" w:rsidRPr="00883A1C">
        <w:rPr>
          <w:kern w:val="22"/>
          <w:szCs w:val="22"/>
        </w:rPr>
        <w:t>13</w:t>
      </w:r>
      <w:r w:rsidR="007D6BAB" w:rsidRPr="00883A1C">
        <w:rPr>
          <w:kern w:val="22"/>
          <w:szCs w:val="22"/>
        </w:rPr>
        <w:t>);</w:t>
      </w:r>
    </w:p>
    <w:p w:rsidR="007D6BAB" w:rsidRPr="00883A1C" w:rsidRDefault="00BB0EE6" w:rsidP="00883A1C">
      <w:pPr>
        <w:numPr>
          <w:ilvl w:val="0"/>
          <w:numId w:val="42"/>
        </w:numPr>
        <w:suppressLineNumbers/>
        <w:tabs>
          <w:tab w:val="clear" w:pos="1800"/>
        </w:tabs>
        <w:suppressAutoHyphens/>
        <w:kinsoku w:val="0"/>
        <w:overflowPunct w:val="0"/>
        <w:autoSpaceDE w:val="0"/>
        <w:autoSpaceDN w:val="0"/>
        <w:adjustRightInd w:val="0"/>
        <w:snapToGrid w:val="0"/>
        <w:spacing w:after="120" w:line="238" w:lineRule="auto"/>
        <w:ind w:left="0" w:firstLine="720"/>
        <w:rPr>
          <w:kern w:val="22"/>
          <w:szCs w:val="22"/>
        </w:rPr>
      </w:pPr>
      <w:r w:rsidRPr="00883A1C">
        <w:rPr>
          <w:snapToGrid w:val="0"/>
          <w:kern w:val="22"/>
          <w:szCs w:val="22"/>
        </w:rPr>
        <w:t>D</w:t>
      </w:r>
      <w:r w:rsidR="007D6BAB" w:rsidRPr="00883A1C">
        <w:rPr>
          <w:kern w:val="22"/>
          <w:szCs w:val="22"/>
        </w:rPr>
        <w:t xml:space="preserve">eveloped elements of advice on the implementation of the desirable key actions, applicable to the Executive Secretary, the </w:t>
      </w:r>
      <w:r w:rsidR="005E5829">
        <w:rPr>
          <w:kern w:val="22"/>
          <w:szCs w:val="22"/>
        </w:rPr>
        <w:t>B</w:t>
      </w:r>
      <w:r w:rsidR="007D6BAB" w:rsidRPr="00883A1C">
        <w:rPr>
          <w:kern w:val="22"/>
          <w:szCs w:val="22"/>
        </w:rPr>
        <w:t>ureau and the Liaison Group of Biodiversity-related Conventions;</w:t>
      </w:r>
    </w:p>
    <w:p w:rsidR="007D6BAB" w:rsidRPr="00883A1C" w:rsidRDefault="00BB0EE6" w:rsidP="00883A1C">
      <w:pPr>
        <w:numPr>
          <w:ilvl w:val="0"/>
          <w:numId w:val="42"/>
        </w:numPr>
        <w:suppressLineNumbers/>
        <w:tabs>
          <w:tab w:val="clear" w:pos="1800"/>
        </w:tabs>
        <w:suppressAutoHyphens/>
        <w:kinsoku w:val="0"/>
        <w:overflowPunct w:val="0"/>
        <w:autoSpaceDE w:val="0"/>
        <w:autoSpaceDN w:val="0"/>
        <w:adjustRightInd w:val="0"/>
        <w:snapToGrid w:val="0"/>
        <w:spacing w:after="120" w:line="238" w:lineRule="auto"/>
        <w:ind w:left="0" w:firstLine="720"/>
        <w:rPr>
          <w:kern w:val="22"/>
          <w:szCs w:val="22"/>
        </w:rPr>
      </w:pPr>
      <w:r w:rsidRPr="00883A1C">
        <w:rPr>
          <w:snapToGrid w:val="0"/>
          <w:kern w:val="22"/>
          <w:szCs w:val="22"/>
        </w:rPr>
        <w:t>P</w:t>
      </w:r>
      <w:r w:rsidR="007D6BAB" w:rsidRPr="00883A1C">
        <w:rPr>
          <w:kern w:val="22"/>
          <w:szCs w:val="22"/>
        </w:rPr>
        <w:t>repared and finalized a report of its work and conclusions for submission to the Subsidiary Body on Implementation.</w:t>
      </w:r>
    </w:p>
    <w:p w:rsidR="007D6BAB" w:rsidRPr="00883A1C" w:rsidRDefault="007D6BAB" w:rsidP="00883A1C">
      <w:pPr>
        <w:numPr>
          <w:ilvl w:val="0"/>
          <w:numId w:val="6"/>
        </w:numPr>
        <w:suppressLineNumbers/>
        <w:tabs>
          <w:tab w:val="clear" w:pos="720"/>
        </w:tabs>
        <w:suppressAutoHyphens/>
        <w:kinsoku w:val="0"/>
        <w:overflowPunct w:val="0"/>
        <w:autoSpaceDE w:val="0"/>
        <w:autoSpaceDN w:val="0"/>
        <w:adjustRightInd w:val="0"/>
        <w:snapToGrid w:val="0"/>
        <w:spacing w:before="120" w:after="120" w:line="238" w:lineRule="auto"/>
        <w:rPr>
          <w:kern w:val="22"/>
          <w:szCs w:val="22"/>
        </w:rPr>
      </w:pPr>
      <w:r w:rsidRPr="00883A1C">
        <w:rPr>
          <w:kern w:val="22"/>
          <w:szCs w:val="22"/>
        </w:rPr>
        <w:t xml:space="preserve">At its meeting held on 17 </w:t>
      </w:r>
      <w:r w:rsidR="00F039D8" w:rsidRPr="00883A1C">
        <w:rPr>
          <w:kern w:val="22"/>
          <w:szCs w:val="22"/>
        </w:rPr>
        <w:t xml:space="preserve">and </w:t>
      </w:r>
      <w:r w:rsidRPr="00883A1C">
        <w:rPr>
          <w:kern w:val="22"/>
          <w:szCs w:val="22"/>
        </w:rPr>
        <w:t xml:space="preserve">18 December 2017, the Group reviewed </w:t>
      </w:r>
      <w:r w:rsidR="000D052B" w:rsidRPr="00883A1C">
        <w:rPr>
          <w:kern w:val="22"/>
          <w:szCs w:val="22"/>
        </w:rPr>
        <w:t xml:space="preserve">and discussed </w:t>
      </w:r>
      <w:r w:rsidRPr="00883A1C">
        <w:rPr>
          <w:kern w:val="22"/>
          <w:szCs w:val="22"/>
        </w:rPr>
        <w:t xml:space="preserve">the </w:t>
      </w:r>
      <w:r w:rsidRPr="00883A1C">
        <w:rPr>
          <w:snapToGrid w:val="0"/>
          <w:kern w:val="22"/>
          <w:szCs w:val="22"/>
        </w:rPr>
        <w:t xml:space="preserve">desirable </w:t>
      </w:r>
      <w:r w:rsidRPr="00883A1C">
        <w:rPr>
          <w:kern w:val="22"/>
          <w:szCs w:val="22"/>
        </w:rPr>
        <w:t xml:space="preserve">key actions contained in the table in annex II of decision XIII/24 and made observations relevant to their implementation. </w:t>
      </w:r>
      <w:r w:rsidR="000D052B" w:rsidRPr="00883A1C">
        <w:rPr>
          <w:kern w:val="22"/>
          <w:szCs w:val="22"/>
        </w:rPr>
        <w:t xml:space="preserve">Their </w:t>
      </w:r>
      <w:r w:rsidRPr="00883A1C">
        <w:rPr>
          <w:kern w:val="22"/>
          <w:szCs w:val="22"/>
        </w:rPr>
        <w:t xml:space="preserve">notes </w:t>
      </w:r>
      <w:r w:rsidR="000D052B" w:rsidRPr="00883A1C">
        <w:rPr>
          <w:kern w:val="22"/>
          <w:szCs w:val="22"/>
        </w:rPr>
        <w:t>arising from this discussion, containing observations and suggestions regarding the implementation of the desirable key actions,</w:t>
      </w:r>
      <w:r w:rsidR="000D052B" w:rsidRPr="00883A1C" w:rsidDel="000D052B">
        <w:rPr>
          <w:kern w:val="22"/>
          <w:szCs w:val="22"/>
        </w:rPr>
        <w:t xml:space="preserve"> </w:t>
      </w:r>
      <w:r w:rsidRPr="00883A1C">
        <w:rPr>
          <w:kern w:val="22"/>
          <w:szCs w:val="22"/>
        </w:rPr>
        <w:t xml:space="preserve">form the </w:t>
      </w:r>
      <w:r w:rsidR="000D052B" w:rsidRPr="00883A1C">
        <w:rPr>
          <w:kern w:val="22"/>
          <w:szCs w:val="22"/>
        </w:rPr>
        <w:t xml:space="preserve">initial </w:t>
      </w:r>
      <w:r w:rsidRPr="00883A1C">
        <w:rPr>
          <w:kern w:val="22"/>
          <w:szCs w:val="22"/>
        </w:rPr>
        <w:t xml:space="preserve">basis of their advice. </w:t>
      </w:r>
      <w:r w:rsidR="000D052B" w:rsidRPr="00883A1C">
        <w:rPr>
          <w:kern w:val="22"/>
          <w:szCs w:val="22"/>
        </w:rPr>
        <w:t>Onto this, t</w:t>
      </w:r>
      <w:r w:rsidRPr="00883A1C">
        <w:rPr>
          <w:kern w:val="22"/>
          <w:szCs w:val="22"/>
        </w:rPr>
        <w:t xml:space="preserve">he group also recognized </w:t>
      </w:r>
      <w:r w:rsidR="00B0768D" w:rsidRPr="00883A1C">
        <w:rPr>
          <w:kern w:val="22"/>
          <w:szCs w:val="22"/>
        </w:rPr>
        <w:t xml:space="preserve">that </w:t>
      </w:r>
      <w:r w:rsidR="0002705B" w:rsidRPr="00883A1C">
        <w:rPr>
          <w:kern w:val="22"/>
          <w:szCs w:val="22"/>
        </w:rPr>
        <w:t>its advice should take account of any</w:t>
      </w:r>
      <w:r w:rsidRPr="00883A1C">
        <w:rPr>
          <w:kern w:val="22"/>
          <w:szCs w:val="22"/>
        </w:rPr>
        <w:t xml:space="preserve"> difficulties and bottlenecks hindering the implementation of some of the actions and requested the Secretariat to identify these for consideration at its subsequent meetings.</w:t>
      </w:r>
    </w:p>
    <w:p w:rsidR="007D6BAB" w:rsidRPr="00883A1C" w:rsidRDefault="007D6BAB" w:rsidP="00883A1C">
      <w:pPr>
        <w:numPr>
          <w:ilvl w:val="0"/>
          <w:numId w:val="6"/>
        </w:numPr>
        <w:suppressLineNumbers/>
        <w:tabs>
          <w:tab w:val="clear" w:pos="720"/>
        </w:tabs>
        <w:suppressAutoHyphens/>
        <w:kinsoku w:val="0"/>
        <w:overflowPunct w:val="0"/>
        <w:autoSpaceDE w:val="0"/>
        <w:autoSpaceDN w:val="0"/>
        <w:adjustRightInd w:val="0"/>
        <w:snapToGrid w:val="0"/>
        <w:spacing w:before="120" w:after="120" w:line="238" w:lineRule="auto"/>
        <w:rPr>
          <w:kern w:val="22"/>
          <w:szCs w:val="22"/>
        </w:rPr>
      </w:pPr>
      <w:r w:rsidRPr="00883A1C">
        <w:rPr>
          <w:kern w:val="22"/>
          <w:szCs w:val="22"/>
        </w:rPr>
        <w:t xml:space="preserve">The Group undertook to prioritize the desirable key actions on the basis of the notes developed </w:t>
      </w:r>
      <w:r w:rsidR="000D052B" w:rsidRPr="00883A1C">
        <w:rPr>
          <w:kern w:val="22"/>
          <w:szCs w:val="22"/>
        </w:rPr>
        <w:t xml:space="preserve">at </w:t>
      </w:r>
      <w:r w:rsidRPr="00883A1C">
        <w:rPr>
          <w:kern w:val="22"/>
          <w:szCs w:val="22"/>
        </w:rPr>
        <w:t xml:space="preserve">its </w:t>
      </w:r>
      <w:r w:rsidR="00BB0EE6" w:rsidRPr="00883A1C">
        <w:rPr>
          <w:snapToGrid w:val="0"/>
          <w:kern w:val="22"/>
          <w:szCs w:val="22"/>
        </w:rPr>
        <w:t xml:space="preserve">meeting held on </w:t>
      </w:r>
      <w:r w:rsidRPr="00883A1C">
        <w:rPr>
          <w:kern w:val="22"/>
          <w:szCs w:val="22"/>
        </w:rPr>
        <w:t>17</w:t>
      </w:r>
      <w:r w:rsidR="00BB0EE6" w:rsidRPr="00883A1C">
        <w:rPr>
          <w:snapToGrid w:val="0"/>
          <w:kern w:val="22"/>
          <w:szCs w:val="22"/>
        </w:rPr>
        <w:t xml:space="preserve"> and </w:t>
      </w:r>
      <w:r w:rsidRPr="00883A1C">
        <w:rPr>
          <w:kern w:val="22"/>
          <w:szCs w:val="22"/>
        </w:rPr>
        <w:t>18 December</w:t>
      </w:r>
      <w:r w:rsidR="00BB0EE6" w:rsidRPr="00883A1C">
        <w:rPr>
          <w:snapToGrid w:val="0"/>
          <w:kern w:val="22"/>
          <w:szCs w:val="22"/>
        </w:rPr>
        <w:t>,</w:t>
      </w:r>
      <w:r w:rsidRPr="00883A1C">
        <w:rPr>
          <w:kern w:val="22"/>
          <w:szCs w:val="22"/>
        </w:rPr>
        <w:t xml:space="preserve"> and taking account of difficulties and bottlenecks to their implementation identified by the Secretariat. At the request of the Chair, each member identified five priority actions which were submitted to the Chair, who compiled the inputs with support from the Secretariat. The summary table of the results is available in annex </w:t>
      </w:r>
      <w:r w:rsidR="00BB0EE6" w:rsidRPr="00883A1C">
        <w:rPr>
          <w:snapToGrid w:val="0"/>
          <w:kern w:val="22"/>
          <w:szCs w:val="22"/>
        </w:rPr>
        <w:t>I</w:t>
      </w:r>
      <w:r w:rsidR="0002705B" w:rsidRPr="00883A1C">
        <w:rPr>
          <w:kern w:val="22"/>
          <w:szCs w:val="22"/>
        </w:rPr>
        <w:t xml:space="preserve"> </w:t>
      </w:r>
      <w:r w:rsidR="00715E54" w:rsidRPr="00883A1C">
        <w:rPr>
          <w:kern w:val="22"/>
          <w:szCs w:val="22"/>
        </w:rPr>
        <w:t>of the Group’s report</w:t>
      </w:r>
      <w:r w:rsidRPr="00883A1C">
        <w:rPr>
          <w:kern w:val="22"/>
          <w:szCs w:val="22"/>
        </w:rPr>
        <w:t>.</w:t>
      </w:r>
      <w:bookmarkStart w:id="3" w:name="_Ref516144830"/>
      <w:r w:rsidR="00BB0EE6" w:rsidRPr="00883A1C">
        <w:rPr>
          <w:rStyle w:val="FootnoteReference"/>
          <w:snapToGrid w:val="0"/>
          <w:kern w:val="22"/>
          <w:sz w:val="22"/>
          <w:szCs w:val="22"/>
          <w:u w:val="none"/>
          <w:vertAlign w:val="superscript"/>
        </w:rPr>
        <w:footnoteReference w:id="13"/>
      </w:r>
      <w:bookmarkEnd w:id="3"/>
    </w:p>
    <w:p w:rsidR="007D6BAB" w:rsidRPr="00883A1C" w:rsidRDefault="007D6BAB" w:rsidP="00883A1C">
      <w:pPr>
        <w:numPr>
          <w:ilvl w:val="0"/>
          <w:numId w:val="6"/>
        </w:numPr>
        <w:suppressLineNumbers/>
        <w:tabs>
          <w:tab w:val="clear" w:pos="720"/>
        </w:tabs>
        <w:suppressAutoHyphens/>
        <w:kinsoku w:val="0"/>
        <w:overflowPunct w:val="0"/>
        <w:autoSpaceDE w:val="0"/>
        <w:autoSpaceDN w:val="0"/>
        <w:adjustRightInd w:val="0"/>
        <w:snapToGrid w:val="0"/>
        <w:spacing w:before="120" w:after="120" w:line="238" w:lineRule="auto"/>
        <w:rPr>
          <w:kern w:val="22"/>
          <w:szCs w:val="22"/>
        </w:rPr>
      </w:pPr>
      <w:r w:rsidRPr="00883A1C">
        <w:rPr>
          <w:kern w:val="22"/>
          <w:szCs w:val="22"/>
        </w:rPr>
        <w:t xml:space="preserve">Following the prioritization exercise, the Group requested the Secretariat to formulate draft elements of possible advice to the </w:t>
      </w:r>
      <w:r w:rsidR="005E5829">
        <w:rPr>
          <w:kern w:val="22"/>
          <w:szCs w:val="22"/>
        </w:rPr>
        <w:t>Executive Secretary, the B</w:t>
      </w:r>
      <w:r w:rsidRPr="00883A1C">
        <w:rPr>
          <w:kern w:val="22"/>
          <w:szCs w:val="22"/>
        </w:rPr>
        <w:t>ureau and the Liaison Group of Biodiversity-related Conventions relevant to the implementation of the desirable key actions</w:t>
      </w:r>
      <w:r w:rsidR="00706F41" w:rsidRPr="00883A1C">
        <w:rPr>
          <w:kern w:val="22"/>
          <w:szCs w:val="22"/>
        </w:rPr>
        <w:t xml:space="preserve">, based </w:t>
      </w:r>
      <w:r w:rsidRPr="00883A1C">
        <w:rPr>
          <w:kern w:val="22"/>
          <w:szCs w:val="22"/>
        </w:rPr>
        <w:t xml:space="preserve">upon the observations and suggestions developed by the </w:t>
      </w:r>
      <w:r w:rsidR="00706F41" w:rsidRPr="00883A1C">
        <w:rPr>
          <w:kern w:val="22"/>
          <w:szCs w:val="22"/>
        </w:rPr>
        <w:t>Group</w:t>
      </w:r>
      <w:r w:rsidRPr="00883A1C">
        <w:rPr>
          <w:kern w:val="22"/>
          <w:szCs w:val="22"/>
        </w:rPr>
        <w:t xml:space="preserve"> and </w:t>
      </w:r>
      <w:r w:rsidR="00706F41" w:rsidRPr="00883A1C">
        <w:rPr>
          <w:kern w:val="22"/>
          <w:szCs w:val="22"/>
        </w:rPr>
        <w:t>addressing</w:t>
      </w:r>
      <w:r w:rsidRPr="00883A1C">
        <w:rPr>
          <w:kern w:val="22"/>
          <w:szCs w:val="22"/>
        </w:rPr>
        <w:t xml:space="preserve"> difficulties and bottlenecks to their implementation that were identified. The draft advice was reviewed by the Group at its fourth online meeting and by the task team</w:t>
      </w:r>
      <w:r w:rsidR="00CE5341" w:rsidRPr="00883A1C">
        <w:rPr>
          <w:kern w:val="22"/>
          <w:szCs w:val="22"/>
        </w:rPr>
        <w:t xml:space="preserve"> created to undertake remaining tasks</w:t>
      </w:r>
      <w:r w:rsidRPr="00883A1C">
        <w:rPr>
          <w:kern w:val="22"/>
          <w:szCs w:val="22"/>
        </w:rPr>
        <w:t xml:space="preserve"> at its meeting </w:t>
      </w:r>
      <w:r w:rsidR="0002705B" w:rsidRPr="00883A1C">
        <w:rPr>
          <w:kern w:val="22"/>
          <w:szCs w:val="22"/>
        </w:rPr>
        <w:t xml:space="preserve">on </w:t>
      </w:r>
      <w:r w:rsidRPr="00883A1C">
        <w:rPr>
          <w:kern w:val="22"/>
          <w:szCs w:val="22"/>
        </w:rPr>
        <w:t>7 May 2018</w:t>
      </w:r>
      <w:r w:rsidR="00585032" w:rsidRPr="00883A1C">
        <w:rPr>
          <w:kern w:val="22"/>
          <w:szCs w:val="22"/>
        </w:rPr>
        <w:t>. Based on the work and recommendations of the task team, a final formulation</w:t>
      </w:r>
      <w:r w:rsidR="00CE5341" w:rsidRPr="00883A1C">
        <w:rPr>
          <w:kern w:val="22"/>
          <w:szCs w:val="22"/>
        </w:rPr>
        <w:t xml:space="preserve"> of the advice was proposed by the Chair and circulated, together with a final draft of the report, for the review and agreement of the Group</w:t>
      </w:r>
      <w:r w:rsidR="00DC0264" w:rsidRPr="00883A1C">
        <w:rPr>
          <w:kern w:val="22"/>
          <w:szCs w:val="22"/>
        </w:rPr>
        <w:t>,</w:t>
      </w:r>
      <w:r w:rsidR="00CE5341" w:rsidRPr="00883A1C">
        <w:rPr>
          <w:kern w:val="22"/>
          <w:szCs w:val="22"/>
        </w:rPr>
        <w:t xml:space="preserve"> which was concluded on 8 June 2018.</w:t>
      </w:r>
    </w:p>
    <w:p w:rsidR="007D6BAB" w:rsidRPr="00883A1C" w:rsidRDefault="007D6BAB" w:rsidP="00883A1C">
      <w:pPr>
        <w:numPr>
          <w:ilvl w:val="0"/>
          <w:numId w:val="6"/>
        </w:numPr>
        <w:suppressLineNumbers/>
        <w:tabs>
          <w:tab w:val="clear" w:pos="720"/>
        </w:tabs>
        <w:suppressAutoHyphens/>
        <w:kinsoku w:val="0"/>
        <w:overflowPunct w:val="0"/>
        <w:autoSpaceDE w:val="0"/>
        <w:autoSpaceDN w:val="0"/>
        <w:adjustRightInd w:val="0"/>
        <w:snapToGrid w:val="0"/>
        <w:spacing w:before="120" w:after="120" w:line="238" w:lineRule="auto"/>
        <w:rPr>
          <w:kern w:val="22"/>
          <w:szCs w:val="22"/>
        </w:rPr>
      </w:pPr>
      <w:r w:rsidRPr="00883A1C">
        <w:rPr>
          <w:kern w:val="22"/>
          <w:szCs w:val="22"/>
        </w:rPr>
        <w:lastRenderedPageBreak/>
        <w:t xml:space="preserve">The outcome of the work undertaken by the Group on further prioritization and implementation of actions </w:t>
      </w:r>
      <w:r w:rsidR="00D71D74" w:rsidRPr="00883A1C">
        <w:rPr>
          <w:kern w:val="22"/>
          <w:szCs w:val="22"/>
        </w:rPr>
        <w:t xml:space="preserve">listed </w:t>
      </w:r>
      <w:r w:rsidRPr="00883A1C">
        <w:rPr>
          <w:kern w:val="22"/>
          <w:szCs w:val="22"/>
        </w:rPr>
        <w:t xml:space="preserve">in the table contained in annex II of decision XIII/24 is presented in </w:t>
      </w:r>
      <w:r w:rsidRPr="00883A1C">
        <w:rPr>
          <w:color w:val="000000" w:themeColor="text1"/>
          <w:kern w:val="22"/>
          <w:szCs w:val="22"/>
        </w:rPr>
        <w:t xml:space="preserve">the </w:t>
      </w:r>
      <w:r w:rsidR="00715E54" w:rsidRPr="00883A1C">
        <w:rPr>
          <w:color w:val="000000" w:themeColor="text1"/>
          <w:kern w:val="22"/>
          <w:szCs w:val="22"/>
        </w:rPr>
        <w:t>r</w:t>
      </w:r>
      <w:r w:rsidRPr="00883A1C">
        <w:rPr>
          <w:color w:val="000000" w:themeColor="text1"/>
          <w:kern w:val="22"/>
          <w:szCs w:val="22"/>
        </w:rPr>
        <w:t>eport</w:t>
      </w:r>
      <w:r w:rsidR="004B746F" w:rsidRPr="00883A1C">
        <w:rPr>
          <w:color w:val="000000" w:themeColor="text1"/>
          <w:kern w:val="22"/>
          <w:szCs w:val="22"/>
        </w:rPr>
        <w:t xml:space="preserve"> of the Group</w:t>
      </w:r>
      <w:r w:rsidRPr="00883A1C">
        <w:rPr>
          <w:snapToGrid w:val="0"/>
          <w:color w:val="000000" w:themeColor="text1"/>
          <w:kern w:val="22"/>
          <w:szCs w:val="22"/>
        </w:rPr>
        <w:t>.</w:t>
      </w:r>
      <w:r w:rsidR="00BB0EE6" w:rsidRPr="00883A1C">
        <w:rPr>
          <w:snapToGrid w:val="0"/>
          <w:color w:val="000000" w:themeColor="text1"/>
          <w:kern w:val="22"/>
          <w:szCs w:val="22"/>
          <w:vertAlign w:val="superscript"/>
        </w:rPr>
        <w:fldChar w:fldCharType="begin"/>
      </w:r>
      <w:r w:rsidR="00BB0EE6" w:rsidRPr="00883A1C">
        <w:rPr>
          <w:snapToGrid w:val="0"/>
          <w:color w:val="000000" w:themeColor="text1"/>
          <w:kern w:val="22"/>
          <w:szCs w:val="22"/>
          <w:vertAlign w:val="superscript"/>
        </w:rPr>
        <w:instrText xml:space="preserve"> NOTEREF _Ref516144830 \h  \* MERGEFORMAT </w:instrText>
      </w:r>
      <w:r w:rsidR="00BB0EE6" w:rsidRPr="00883A1C">
        <w:rPr>
          <w:snapToGrid w:val="0"/>
          <w:color w:val="000000" w:themeColor="text1"/>
          <w:kern w:val="22"/>
          <w:szCs w:val="22"/>
          <w:vertAlign w:val="superscript"/>
        </w:rPr>
      </w:r>
      <w:r w:rsidR="00BB0EE6" w:rsidRPr="00883A1C">
        <w:rPr>
          <w:snapToGrid w:val="0"/>
          <w:color w:val="000000" w:themeColor="text1"/>
          <w:kern w:val="22"/>
          <w:szCs w:val="22"/>
          <w:vertAlign w:val="superscript"/>
        </w:rPr>
        <w:fldChar w:fldCharType="separate"/>
      </w:r>
      <w:r w:rsidR="00BB0EE6" w:rsidRPr="00883A1C">
        <w:rPr>
          <w:snapToGrid w:val="0"/>
          <w:color w:val="000000" w:themeColor="text1"/>
          <w:kern w:val="22"/>
          <w:szCs w:val="22"/>
          <w:vertAlign w:val="superscript"/>
        </w:rPr>
        <w:t>13</w:t>
      </w:r>
      <w:r w:rsidR="00BB0EE6" w:rsidRPr="00883A1C">
        <w:rPr>
          <w:snapToGrid w:val="0"/>
          <w:color w:val="000000" w:themeColor="text1"/>
          <w:kern w:val="22"/>
          <w:szCs w:val="22"/>
          <w:vertAlign w:val="superscript"/>
        </w:rPr>
        <w:fldChar w:fldCharType="end"/>
      </w:r>
      <w:r w:rsidRPr="00883A1C">
        <w:rPr>
          <w:color w:val="000000" w:themeColor="text1"/>
          <w:kern w:val="22"/>
          <w:szCs w:val="22"/>
        </w:rPr>
        <w:t xml:space="preserve"> This includes a table that summarizes the Group’s notes and observations </w:t>
      </w:r>
      <w:r w:rsidR="00391F5D" w:rsidRPr="00883A1C">
        <w:rPr>
          <w:color w:val="000000" w:themeColor="text1"/>
          <w:kern w:val="22"/>
          <w:szCs w:val="22"/>
        </w:rPr>
        <w:t xml:space="preserve">in relation </w:t>
      </w:r>
      <w:r w:rsidRPr="00883A1C">
        <w:rPr>
          <w:color w:val="000000" w:themeColor="text1"/>
          <w:kern w:val="22"/>
          <w:szCs w:val="22"/>
        </w:rPr>
        <w:t>to</w:t>
      </w:r>
      <w:r w:rsidRPr="00883A1C">
        <w:rPr>
          <w:snapToGrid w:val="0"/>
          <w:color w:val="000000" w:themeColor="text1"/>
          <w:kern w:val="22"/>
          <w:szCs w:val="22"/>
        </w:rPr>
        <w:t xml:space="preserve"> </w:t>
      </w:r>
      <w:r w:rsidR="00BB0EE6" w:rsidRPr="00883A1C">
        <w:rPr>
          <w:snapToGrid w:val="0"/>
          <w:color w:val="000000" w:themeColor="text1"/>
          <w:kern w:val="22"/>
          <w:szCs w:val="22"/>
        </w:rPr>
        <w:t>the</w:t>
      </w:r>
      <w:r w:rsidR="00BB0EE6" w:rsidRPr="00883A1C">
        <w:rPr>
          <w:color w:val="000000" w:themeColor="text1"/>
          <w:kern w:val="22"/>
          <w:szCs w:val="22"/>
        </w:rPr>
        <w:t xml:space="preserve"> </w:t>
      </w:r>
      <w:r w:rsidRPr="00883A1C">
        <w:rPr>
          <w:color w:val="000000" w:themeColor="text1"/>
          <w:kern w:val="22"/>
          <w:szCs w:val="22"/>
        </w:rPr>
        <w:t>implementation of each of the desirable key actions</w:t>
      </w:r>
      <w:r w:rsidR="0099377D" w:rsidRPr="00883A1C">
        <w:rPr>
          <w:color w:val="000000" w:themeColor="text1"/>
          <w:kern w:val="22"/>
          <w:szCs w:val="22"/>
        </w:rPr>
        <w:t>,</w:t>
      </w:r>
      <w:r w:rsidRPr="00883A1C">
        <w:rPr>
          <w:color w:val="000000" w:themeColor="text1"/>
          <w:kern w:val="22"/>
          <w:szCs w:val="22"/>
        </w:rPr>
        <w:t xml:space="preserve"> the status of implementation and any bottlenecks and difficulties identified</w:t>
      </w:r>
      <w:r w:rsidR="0099377D" w:rsidRPr="00883A1C">
        <w:rPr>
          <w:color w:val="000000" w:themeColor="text1"/>
          <w:kern w:val="22"/>
          <w:szCs w:val="22"/>
        </w:rPr>
        <w:t>,</w:t>
      </w:r>
      <w:r w:rsidRPr="00883A1C">
        <w:rPr>
          <w:color w:val="000000" w:themeColor="text1"/>
          <w:kern w:val="22"/>
          <w:szCs w:val="22"/>
        </w:rPr>
        <w:t xml:space="preserve"> and the advice of the Group arising from </w:t>
      </w:r>
      <w:r w:rsidR="0002705B" w:rsidRPr="00883A1C">
        <w:rPr>
          <w:color w:val="000000" w:themeColor="text1"/>
          <w:kern w:val="22"/>
          <w:szCs w:val="22"/>
        </w:rPr>
        <w:t>consideration of these</w:t>
      </w:r>
      <w:r w:rsidRPr="00883A1C">
        <w:rPr>
          <w:color w:val="000000" w:themeColor="text1"/>
          <w:kern w:val="22"/>
          <w:szCs w:val="22"/>
        </w:rPr>
        <w:t>.</w:t>
      </w:r>
    </w:p>
    <w:p w:rsidR="007770D1" w:rsidRPr="00883A1C" w:rsidRDefault="007770D1" w:rsidP="00883A1C">
      <w:pPr>
        <w:keepNext/>
        <w:suppressLineNumbers/>
        <w:tabs>
          <w:tab w:val="left" w:pos="360"/>
        </w:tabs>
        <w:suppressAutoHyphens/>
        <w:kinsoku w:val="0"/>
        <w:overflowPunct w:val="0"/>
        <w:autoSpaceDE w:val="0"/>
        <w:autoSpaceDN w:val="0"/>
        <w:adjustRightInd w:val="0"/>
        <w:snapToGrid w:val="0"/>
        <w:spacing w:before="120" w:after="120" w:line="238" w:lineRule="auto"/>
        <w:jc w:val="center"/>
        <w:outlineLvl w:val="2"/>
        <w:rPr>
          <w:i/>
          <w:kern w:val="22"/>
          <w:szCs w:val="22"/>
        </w:rPr>
      </w:pPr>
      <w:r w:rsidRPr="00883A1C">
        <w:rPr>
          <w:i/>
          <w:kern w:val="22"/>
          <w:szCs w:val="22"/>
        </w:rPr>
        <w:t>3.</w:t>
      </w:r>
      <w:r w:rsidRPr="00883A1C">
        <w:rPr>
          <w:i/>
          <w:kern w:val="22"/>
          <w:szCs w:val="22"/>
        </w:rPr>
        <w:tab/>
        <w:t>Advice of the informal advisory group</w:t>
      </w:r>
    </w:p>
    <w:p w:rsidR="00DE3A6A" w:rsidRPr="00883A1C" w:rsidRDefault="00B17445" w:rsidP="00883A1C">
      <w:pPr>
        <w:numPr>
          <w:ilvl w:val="0"/>
          <w:numId w:val="6"/>
        </w:numPr>
        <w:suppressLineNumbers/>
        <w:tabs>
          <w:tab w:val="clear" w:pos="720"/>
        </w:tabs>
        <w:suppressAutoHyphens/>
        <w:kinsoku w:val="0"/>
        <w:overflowPunct w:val="0"/>
        <w:autoSpaceDE w:val="0"/>
        <w:autoSpaceDN w:val="0"/>
        <w:adjustRightInd w:val="0"/>
        <w:snapToGrid w:val="0"/>
        <w:spacing w:before="120" w:after="120" w:line="238" w:lineRule="auto"/>
        <w:rPr>
          <w:kern w:val="22"/>
          <w:szCs w:val="22"/>
        </w:rPr>
      </w:pPr>
      <w:r w:rsidRPr="00883A1C">
        <w:rPr>
          <w:kern w:val="22"/>
          <w:szCs w:val="22"/>
        </w:rPr>
        <w:t>T</w:t>
      </w:r>
      <w:r w:rsidR="00DE3A6A" w:rsidRPr="00883A1C">
        <w:rPr>
          <w:kern w:val="22"/>
          <w:szCs w:val="22"/>
        </w:rPr>
        <w:t xml:space="preserve">he advice of the informal advisory group to the Executive Secretary, </w:t>
      </w:r>
      <w:r w:rsidR="004070EA" w:rsidRPr="00883A1C">
        <w:rPr>
          <w:kern w:val="22"/>
          <w:szCs w:val="22"/>
        </w:rPr>
        <w:t xml:space="preserve">the </w:t>
      </w:r>
      <w:r w:rsidR="00BB0EE6" w:rsidRPr="00883A1C">
        <w:rPr>
          <w:snapToGrid w:val="0"/>
          <w:kern w:val="22"/>
          <w:szCs w:val="22"/>
        </w:rPr>
        <w:t>B</w:t>
      </w:r>
      <w:r w:rsidR="00DE3A6A" w:rsidRPr="00883A1C">
        <w:rPr>
          <w:kern w:val="22"/>
          <w:szCs w:val="22"/>
        </w:rPr>
        <w:t xml:space="preserve">ureau </w:t>
      </w:r>
      <w:r w:rsidR="0031644C" w:rsidRPr="00883A1C">
        <w:rPr>
          <w:kern w:val="22"/>
          <w:szCs w:val="22"/>
        </w:rPr>
        <w:t xml:space="preserve">of the thirteenth meeting of the Conference of the Parties, </w:t>
      </w:r>
      <w:r w:rsidR="00DE3A6A" w:rsidRPr="00883A1C">
        <w:rPr>
          <w:kern w:val="22"/>
          <w:szCs w:val="22"/>
        </w:rPr>
        <w:t>and the Liaison Group on Biodiversity-related Conventions on the implementation of the desirable key action</w:t>
      </w:r>
      <w:r w:rsidRPr="00883A1C">
        <w:rPr>
          <w:kern w:val="22"/>
          <w:szCs w:val="22"/>
        </w:rPr>
        <w:t>s of the road map</w:t>
      </w:r>
      <w:r w:rsidR="00DE3A6A" w:rsidRPr="00883A1C">
        <w:rPr>
          <w:kern w:val="22"/>
          <w:szCs w:val="22"/>
        </w:rPr>
        <w:t xml:space="preserve"> is presented in the Group’s report </w:t>
      </w:r>
      <w:r w:rsidR="0094289E" w:rsidRPr="00883A1C">
        <w:rPr>
          <w:kern w:val="22"/>
          <w:szCs w:val="22"/>
        </w:rPr>
        <w:t>to the Subsidiary Body on Implementation</w:t>
      </w:r>
      <w:r w:rsidR="00776BF9" w:rsidRPr="00883A1C">
        <w:rPr>
          <w:snapToGrid w:val="0"/>
          <w:kern w:val="22"/>
          <w:szCs w:val="22"/>
        </w:rPr>
        <w:t>.</w:t>
      </w:r>
      <w:r w:rsidR="00BB0EE6" w:rsidRPr="00883A1C">
        <w:rPr>
          <w:snapToGrid w:val="0"/>
          <w:kern w:val="22"/>
          <w:szCs w:val="22"/>
          <w:vertAlign w:val="superscript"/>
        </w:rPr>
        <w:fldChar w:fldCharType="begin"/>
      </w:r>
      <w:r w:rsidR="00BB0EE6" w:rsidRPr="00883A1C">
        <w:rPr>
          <w:snapToGrid w:val="0"/>
          <w:kern w:val="22"/>
          <w:szCs w:val="22"/>
          <w:vertAlign w:val="superscript"/>
        </w:rPr>
        <w:instrText xml:space="preserve"> NOTEREF _Ref516144830 \h  \* MERGEFORMAT </w:instrText>
      </w:r>
      <w:r w:rsidR="00BB0EE6" w:rsidRPr="00883A1C">
        <w:rPr>
          <w:snapToGrid w:val="0"/>
          <w:kern w:val="22"/>
          <w:szCs w:val="22"/>
          <w:vertAlign w:val="superscript"/>
        </w:rPr>
      </w:r>
      <w:r w:rsidR="00BB0EE6" w:rsidRPr="00883A1C">
        <w:rPr>
          <w:snapToGrid w:val="0"/>
          <w:kern w:val="22"/>
          <w:szCs w:val="22"/>
          <w:vertAlign w:val="superscript"/>
        </w:rPr>
        <w:fldChar w:fldCharType="separate"/>
      </w:r>
      <w:r w:rsidR="00BB0EE6" w:rsidRPr="00883A1C">
        <w:rPr>
          <w:snapToGrid w:val="0"/>
          <w:kern w:val="22"/>
          <w:szCs w:val="22"/>
          <w:vertAlign w:val="superscript"/>
        </w:rPr>
        <w:t>13</w:t>
      </w:r>
      <w:r w:rsidR="00BB0EE6" w:rsidRPr="00883A1C">
        <w:rPr>
          <w:snapToGrid w:val="0"/>
          <w:kern w:val="22"/>
          <w:szCs w:val="22"/>
          <w:vertAlign w:val="superscript"/>
        </w:rPr>
        <w:fldChar w:fldCharType="end"/>
      </w:r>
    </w:p>
    <w:p w:rsidR="008D70AA" w:rsidRPr="00883A1C" w:rsidRDefault="000A5034" w:rsidP="00883A1C">
      <w:pPr>
        <w:numPr>
          <w:ilvl w:val="0"/>
          <w:numId w:val="6"/>
        </w:numPr>
        <w:suppressLineNumbers/>
        <w:tabs>
          <w:tab w:val="clear" w:pos="720"/>
        </w:tabs>
        <w:suppressAutoHyphens/>
        <w:kinsoku w:val="0"/>
        <w:overflowPunct w:val="0"/>
        <w:autoSpaceDE w:val="0"/>
        <w:autoSpaceDN w:val="0"/>
        <w:adjustRightInd w:val="0"/>
        <w:snapToGrid w:val="0"/>
        <w:spacing w:before="120" w:after="120" w:line="238" w:lineRule="auto"/>
        <w:rPr>
          <w:kern w:val="22"/>
          <w:szCs w:val="22"/>
        </w:rPr>
      </w:pPr>
      <w:r w:rsidRPr="00883A1C">
        <w:rPr>
          <w:bCs/>
          <w:snapToGrid w:val="0"/>
          <w:szCs w:val="22"/>
        </w:rPr>
        <w:t>While the desirable key actions that received the highest scores during the Group’s prioritization exercise are identified</w:t>
      </w:r>
      <w:r w:rsidR="008D70AA" w:rsidRPr="00883A1C">
        <w:rPr>
          <w:kern w:val="22"/>
          <w:szCs w:val="22"/>
        </w:rPr>
        <w:t xml:space="preserve">, the Group considers that all </w:t>
      </w:r>
      <w:r w:rsidRPr="00883A1C">
        <w:rPr>
          <w:bCs/>
          <w:snapToGrid w:val="0"/>
          <w:szCs w:val="22"/>
        </w:rPr>
        <w:t>of them</w:t>
      </w:r>
      <w:r w:rsidR="008D70AA" w:rsidRPr="00883A1C">
        <w:rPr>
          <w:kern w:val="22"/>
          <w:szCs w:val="22"/>
        </w:rPr>
        <w:t xml:space="preserve"> are important </w:t>
      </w:r>
      <w:r w:rsidR="004070EA" w:rsidRPr="00883A1C">
        <w:rPr>
          <w:kern w:val="22"/>
          <w:szCs w:val="22"/>
        </w:rPr>
        <w:t xml:space="preserve">and </w:t>
      </w:r>
      <w:r w:rsidR="006A5D5D" w:rsidRPr="00883A1C">
        <w:rPr>
          <w:kern w:val="22"/>
          <w:szCs w:val="22"/>
        </w:rPr>
        <w:t xml:space="preserve">that all </w:t>
      </w:r>
      <w:r w:rsidR="008D70AA" w:rsidRPr="00883A1C">
        <w:rPr>
          <w:kern w:val="22"/>
          <w:szCs w:val="22"/>
        </w:rPr>
        <w:t>should be implemented.</w:t>
      </w:r>
      <w:r w:rsidR="00B17445" w:rsidRPr="00883A1C">
        <w:rPr>
          <w:kern w:val="22"/>
          <w:szCs w:val="22"/>
        </w:rPr>
        <w:t xml:space="preserve"> Advice has therefore been provided for </w:t>
      </w:r>
      <w:r w:rsidR="00A4732D" w:rsidRPr="00883A1C">
        <w:rPr>
          <w:kern w:val="22"/>
          <w:szCs w:val="22"/>
        </w:rPr>
        <w:t xml:space="preserve">the implementation of </w:t>
      </w:r>
      <w:r w:rsidR="00B17445" w:rsidRPr="00883A1C">
        <w:rPr>
          <w:kern w:val="22"/>
          <w:szCs w:val="22"/>
        </w:rPr>
        <w:t>each of the key actions</w:t>
      </w:r>
      <w:r w:rsidR="00776BF9" w:rsidRPr="00883A1C">
        <w:rPr>
          <w:kern w:val="22"/>
          <w:szCs w:val="22"/>
        </w:rPr>
        <w:t xml:space="preserve">, </w:t>
      </w:r>
      <w:r w:rsidR="00B17445" w:rsidRPr="00883A1C">
        <w:rPr>
          <w:kern w:val="22"/>
          <w:szCs w:val="22"/>
        </w:rPr>
        <w:t xml:space="preserve">rather than </w:t>
      </w:r>
      <w:r w:rsidR="00FB5F8E" w:rsidRPr="00883A1C">
        <w:rPr>
          <w:kern w:val="22"/>
          <w:szCs w:val="22"/>
        </w:rPr>
        <w:t>only</w:t>
      </w:r>
      <w:r w:rsidR="00B17445" w:rsidRPr="00883A1C">
        <w:rPr>
          <w:kern w:val="22"/>
          <w:szCs w:val="22"/>
        </w:rPr>
        <w:t xml:space="preserve"> </w:t>
      </w:r>
      <w:r w:rsidR="00E827E9" w:rsidRPr="00883A1C">
        <w:rPr>
          <w:kern w:val="22"/>
          <w:szCs w:val="22"/>
        </w:rPr>
        <w:t>for</w:t>
      </w:r>
      <w:r w:rsidR="00B17445" w:rsidRPr="00883A1C">
        <w:rPr>
          <w:kern w:val="22"/>
          <w:szCs w:val="22"/>
        </w:rPr>
        <w:t xml:space="preserve"> some that have been prioritized.</w:t>
      </w:r>
    </w:p>
    <w:p w:rsidR="008D70AA" w:rsidRPr="00883A1C" w:rsidRDefault="00C36D90" w:rsidP="00883A1C">
      <w:pPr>
        <w:numPr>
          <w:ilvl w:val="0"/>
          <w:numId w:val="6"/>
        </w:numPr>
        <w:suppressLineNumbers/>
        <w:tabs>
          <w:tab w:val="clear" w:pos="720"/>
        </w:tabs>
        <w:suppressAutoHyphens/>
        <w:kinsoku w:val="0"/>
        <w:overflowPunct w:val="0"/>
        <w:autoSpaceDE w:val="0"/>
        <w:autoSpaceDN w:val="0"/>
        <w:adjustRightInd w:val="0"/>
        <w:snapToGrid w:val="0"/>
        <w:spacing w:before="120" w:after="120" w:line="238" w:lineRule="auto"/>
        <w:rPr>
          <w:kern w:val="22"/>
          <w:szCs w:val="22"/>
        </w:rPr>
      </w:pPr>
      <w:r w:rsidRPr="00883A1C">
        <w:rPr>
          <w:kern w:val="22"/>
          <w:szCs w:val="22"/>
        </w:rPr>
        <w:t xml:space="preserve">The Group recognizes that a </w:t>
      </w:r>
      <w:r w:rsidR="00FC6AA2" w:rsidRPr="00883A1C">
        <w:rPr>
          <w:kern w:val="22"/>
          <w:szCs w:val="22"/>
        </w:rPr>
        <w:t xml:space="preserve">number of desirable key actions have been </w:t>
      </w:r>
      <w:r w:rsidR="00CC39C9" w:rsidRPr="00883A1C">
        <w:rPr>
          <w:kern w:val="22"/>
          <w:szCs w:val="22"/>
        </w:rPr>
        <w:t xml:space="preserve">either </w:t>
      </w:r>
      <w:r w:rsidR="00FC6AA2" w:rsidRPr="00883A1C">
        <w:rPr>
          <w:kern w:val="22"/>
          <w:szCs w:val="22"/>
        </w:rPr>
        <w:t>advanced</w:t>
      </w:r>
      <w:r w:rsidR="00CC39C9" w:rsidRPr="00883A1C">
        <w:rPr>
          <w:kern w:val="22"/>
          <w:szCs w:val="22"/>
        </w:rPr>
        <w:t xml:space="preserve"> or</w:t>
      </w:r>
      <w:r w:rsidR="00FC6AA2" w:rsidRPr="00883A1C">
        <w:rPr>
          <w:kern w:val="22"/>
          <w:szCs w:val="22"/>
        </w:rPr>
        <w:t xml:space="preserve"> completed or are ongoing, and</w:t>
      </w:r>
      <w:r w:rsidR="002C7CCD" w:rsidRPr="00883A1C">
        <w:rPr>
          <w:kern w:val="22"/>
          <w:szCs w:val="22"/>
        </w:rPr>
        <w:t>,</w:t>
      </w:r>
      <w:r w:rsidR="00FC6AA2" w:rsidRPr="00883A1C">
        <w:rPr>
          <w:kern w:val="22"/>
          <w:szCs w:val="22"/>
        </w:rPr>
        <w:t xml:space="preserve"> </w:t>
      </w:r>
      <w:r w:rsidR="00CA2B5F" w:rsidRPr="00883A1C">
        <w:rPr>
          <w:kern w:val="22"/>
          <w:szCs w:val="22"/>
        </w:rPr>
        <w:t xml:space="preserve">in </w:t>
      </w:r>
      <w:r w:rsidR="00EB4E44" w:rsidRPr="00883A1C">
        <w:rPr>
          <w:kern w:val="22"/>
          <w:szCs w:val="22"/>
        </w:rPr>
        <w:t>several such</w:t>
      </w:r>
      <w:r w:rsidR="00CA2B5F" w:rsidRPr="00883A1C">
        <w:rPr>
          <w:kern w:val="22"/>
          <w:szCs w:val="22"/>
        </w:rPr>
        <w:t xml:space="preserve"> cases</w:t>
      </w:r>
      <w:r w:rsidR="002C7CCD" w:rsidRPr="00883A1C">
        <w:rPr>
          <w:kern w:val="22"/>
          <w:szCs w:val="22"/>
        </w:rPr>
        <w:t>,</w:t>
      </w:r>
      <w:r w:rsidR="00CA2B5F" w:rsidRPr="00883A1C">
        <w:rPr>
          <w:kern w:val="22"/>
          <w:szCs w:val="22"/>
        </w:rPr>
        <w:t xml:space="preserve"> its advice </w:t>
      </w:r>
      <w:r w:rsidR="00FC6AA2" w:rsidRPr="00883A1C">
        <w:rPr>
          <w:kern w:val="22"/>
          <w:szCs w:val="22"/>
        </w:rPr>
        <w:t>provides suggestions on how to build on the results of these activities</w:t>
      </w:r>
      <w:r w:rsidR="00CA2B5F" w:rsidRPr="00883A1C">
        <w:rPr>
          <w:kern w:val="22"/>
          <w:szCs w:val="22"/>
        </w:rPr>
        <w:t>. In many cases</w:t>
      </w:r>
      <w:r w:rsidR="00BA3FAE" w:rsidRPr="00883A1C">
        <w:rPr>
          <w:kern w:val="22"/>
          <w:szCs w:val="22"/>
        </w:rPr>
        <w:t>,</w:t>
      </w:r>
      <w:r w:rsidR="00CA2B5F" w:rsidRPr="00883A1C">
        <w:rPr>
          <w:kern w:val="22"/>
          <w:szCs w:val="22"/>
        </w:rPr>
        <w:t xml:space="preserve"> these key actions have been advanced by the project executed by UNEP-WCMC supporting implementation of CBD decision XIII/24. In these cases, the </w:t>
      </w:r>
      <w:r w:rsidR="004070EA" w:rsidRPr="00883A1C">
        <w:rPr>
          <w:snapToGrid w:val="0"/>
          <w:color w:val="000000"/>
          <w:kern w:val="22"/>
          <w:szCs w:val="22"/>
        </w:rPr>
        <w:t xml:space="preserve">Group’s advice to the Executive Secretary and the Liaison Group </w:t>
      </w:r>
      <w:r w:rsidR="004239F4" w:rsidRPr="00883A1C">
        <w:rPr>
          <w:snapToGrid w:val="0"/>
          <w:color w:val="000000"/>
          <w:kern w:val="22"/>
          <w:szCs w:val="22"/>
        </w:rPr>
        <w:t>of</w:t>
      </w:r>
      <w:r w:rsidR="004070EA" w:rsidRPr="00883A1C">
        <w:rPr>
          <w:snapToGrid w:val="0"/>
          <w:color w:val="000000"/>
          <w:kern w:val="22"/>
          <w:szCs w:val="22"/>
        </w:rPr>
        <w:t xml:space="preserve"> Biodiversity-related Conventions </w:t>
      </w:r>
      <w:r w:rsidR="00F43B05" w:rsidRPr="00883A1C">
        <w:rPr>
          <w:snapToGrid w:val="0"/>
          <w:color w:val="000000"/>
          <w:kern w:val="22"/>
          <w:szCs w:val="22"/>
        </w:rPr>
        <w:t>includes a recommendation to build upon the outputs of this work.</w:t>
      </w:r>
    </w:p>
    <w:p w:rsidR="006A5D5D" w:rsidRPr="00883A1C" w:rsidRDefault="001B6195" w:rsidP="00883A1C">
      <w:pPr>
        <w:numPr>
          <w:ilvl w:val="0"/>
          <w:numId w:val="6"/>
        </w:numPr>
        <w:suppressLineNumbers/>
        <w:tabs>
          <w:tab w:val="clear" w:pos="720"/>
        </w:tabs>
        <w:suppressAutoHyphens/>
        <w:kinsoku w:val="0"/>
        <w:overflowPunct w:val="0"/>
        <w:autoSpaceDE w:val="0"/>
        <w:autoSpaceDN w:val="0"/>
        <w:adjustRightInd w:val="0"/>
        <w:snapToGrid w:val="0"/>
        <w:spacing w:before="120" w:after="120" w:line="238" w:lineRule="auto"/>
        <w:rPr>
          <w:kern w:val="22"/>
          <w:szCs w:val="22"/>
        </w:rPr>
      </w:pPr>
      <w:r w:rsidRPr="00883A1C">
        <w:rPr>
          <w:snapToGrid w:val="0"/>
          <w:color w:val="000000"/>
          <w:kern w:val="22"/>
          <w:szCs w:val="22"/>
        </w:rPr>
        <w:t xml:space="preserve">The implementation of several of the key actions </w:t>
      </w:r>
      <w:r w:rsidR="0094289E" w:rsidRPr="00883A1C">
        <w:rPr>
          <w:snapToGrid w:val="0"/>
          <w:color w:val="000000"/>
          <w:kern w:val="22"/>
          <w:szCs w:val="22"/>
        </w:rPr>
        <w:t>may</w:t>
      </w:r>
      <w:r w:rsidRPr="00883A1C">
        <w:rPr>
          <w:snapToGrid w:val="0"/>
          <w:color w:val="000000"/>
          <w:kern w:val="22"/>
          <w:szCs w:val="22"/>
        </w:rPr>
        <w:t xml:space="preserve"> require</w:t>
      </w:r>
      <w:r w:rsidR="00190F2A" w:rsidRPr="00883A1C">
        <w:rPr>
          <w:snapToGrid w:val="0"/>
          <w:color w:val="000000"/>
          <w:kern w:val="22"/>
          <w:szCs w:val="22"/>
        </w:rPr>
        <w:t xml:space="preserve"> a dedicated project or</w:t>
      </w:r>
      <w:r w:rsidR="00F43B05" w:rsidRPr="00883A1C">
        <w:rPr>
          <w:snapToGrid w:val="0"/>
          <w:color w:val="000000"/>
          <w:kern w:val="22"/>
          <w:szCs w:val="22"/>
        </w:rPr>
        <w:t xml:space="preserve"> initiative to support </w:t>
      </w:r>
      <w:r w:rsidR="00FB5F8E" w:rsidRPr="00883A1C">
        <w:rPr>
          <w:snapToGrid w:val="0"/>
          <w:color w:val="000000"/>
          <w:kern w:val="22"/>
          <w:szCs w:val="22"/>
        </w:rPr>
        <w:t>their advancement or completion</w:t>
      </w:r>
      <w:r w:rsidR="00190F2A" w:rsidRPr="00883A1C">
        <w:rPr>
          <w:snapToGrid w:val="0"/>
          <w:color w:val="000000"/>
          <w:kern w:val="22"/>
          <w:szCs w:val="22"/>
        </w:rPr>
        <w:t>.</w:t>
      </w:r>
      <w:r w:rsidR="0092022B" w:rsidRPr="00883A1C">
        <w:rPr>
          <w:snapToGrid w:val="0"/>
          <w:color w:val="000000"/>
          <w:kern w:val="22"/>
          <w:szCs w:val="22"/>
        </w:rPr>
        <w:t xml:space="preserve"> </w:t>
      </w:r>
      <w:r w:rsidR="0079373A" w:rsidRPr="00883A1C">
        <w:rPr>
          <w:snapToGrid w:val="0"/>
          <w:color w:val="000000"/>
          <w:kern w:val="22"/>
          <w:szCs w:val="22"/>
        </w:rPr>
        <w:t xml:space="preserve">This is particularly </w:t>
      </w:r>
      <w:r w:rsidR="00190F2A" w:rsidRPr="00883A1C">
        <w:rPr>
          <w:snapToGrid w:val="0"/>
          <w:color w:val="000000"/>
          <w:kern w:val="22"/>
          <w:szCs w:val="22"/>
        </w:rPr>
        <w:t>so</w:t>
      </w:r>
      <w:r w:rsidR="0079373A" w:rsidRPr="00883A1C">
        <w:rPr>
          <w:snapToGrid w:val="0"/>
          <w:color w:val="000000"/>
          <w:kern w:val="22"/>
          <w:szCs w:val="22"/>
        </w:rPr>
        <w:t xml:space="preserve"> with respect to key actions related to collaboration in the </w:t>
      </w:r>
      <w:r w:rsidR="0079373A" w:rsidRPr="00883A1C">
        <w:rPr>
          <w:bCs/>
          <w:snapToGrid w:val="0"/>
          <w:color w:val="000000"/>
          <w:kern w:val="22"/>
          <w:szCs w:val="22"/>
        </w:rPr>
        <w:t>management of information and knowledge and alignment in national data gathering, reporting, monitoring and indicators</w:t>
      </w:r>
      <w:r w:rsidR="004003D1" w:rsidRPr="00883A1C">
        <w:rPr>
          <w:bCs/>
          <w:snapToGrid w:val="0"/>
          <w:color w:val="000000"/>
          <w:kern w:val="22"/>
          <w:szCs w:val="22"/>
        </w:rPr>
        <w:t>.</w:t>
      </w:r>
      <w:r w:rsidR="00E827E9" w:rsidRPr="00883A1C">
        <w:rPr>
          <w:szCs w:val="22"/>
          <w:vertAlign w:val="superscript"/>
        </w:rPr>
        <w:footnoteReference w:id="14"/>
      </w:r>
      <w:r w:rsidR="0079373A" w:rsidRPr="00883A1C">
        <w:rPr>
          <w:bCs/>
          <w:snapToGrid w:val="0"/>
          <w:color w:val="000000"/>
          <w:kern w:val="22"/>
          <w:szCs w:val="22"/>
        </w:rPr>
        <w:t xml:space="preserve"> </w:t>
      </w:r>
      <w:r w:rsidR="0092022B" w:rsidRPr="00883A1C">
        <w:rPr>
          <w:snapToGrid w:val="0"/>
          <w:color w:val="000000"/>
          <w:kern w:val="22"/>
          <w:szCs w:val="22"/>
        </w:rPr>
        <w:t>For that reason</w:t>
      </w:r>
      <w:r w:rsidR="00190F2A" w:rsidRPr="00883A1C">
        <w:rPr>
          <w:snapToGrid w:val="0"/>
          <w:color w:val="000000"/>
          <w:kern w:val="22"/>
          <w:szCs w:val="22"/>
        </w:rPr>
        <w:t>,</w:t>
      </w:r>
      <w:r w:rsidR="0092022B" w:rsidRPr="00883A1C">
        <w:rPr>
          <w:snapToGrid w:val="0"/>
          <w:color w:val="000000"/>
          <w:kern w:val="22"/>
          <w:szCs w:val="22"/>
        </w:rPr>
        <w:t xml:space="preserve"> </w:t>
      </w:r>
      <w:r w:rsidR="00190F2A" w:rsidRPr="00883A1C">
        <w:rPr>
          <w:snapToGrid w:val="0"/>
          <w:color w:val="000000"/>
          <w:kern w:val="22"/>
          <w:szCs w:val="22"/>
        </w:rPr>
        <w:t xml:space="preserve">on such key actions, </w:t>
      </w:r>
      <w:r w:rsidR="0092022B" w:rsidRPr="00883A1C">
        <w:rPr>
          <w:snapToGrid w:val="0"/>
          <w:color w:val="000000"/>
          <w:kern w:val="22"/>
          <w:szCs w:val="22"/>
        </w:rPr>
        <w:t xml:space="preserve">the advice to the Executive Secretary and the Liaison Group </w:t>
      </w:r>
      <w:r w:rsidR="00551803" w:rsidRPr="00883A1C">
        <w:rPr>
          <w:snapToGrid w:val="0"/>
          <w:color w:val="000000"/>
          <w:kern w:val="22"/>
          <w:szCs w:val="22"/>
        </w:rPr>
        <w:t xml:space="preserve">of </w:t>
      </w:r>
      <w:r w:rsidR="0092022B" w:rsidRPr="00883A1C">
        <w:rPr>
          <w:snapToGrid w:val="0"/>
          <w:color w:val="000000"/>
          <w:kern w:val="22"/>
          <w:szCs w:val="22"/>
        </w:rPr>
        <w:t xml:space="preserve">Biodiversity-related Conventions includes a recommendation to catalyse funding and appropriate implementation arrangements for a project </w:t>
      </w:r>
      <w:r w:rsidR="0035643F" w:rsidRPr="00883A1C">
        <w:rPr>
          <w:snapToGrid w:val="0"/>
          <w:color w:val="000000"/>
          <w:kern w:val="22"/>
          <w:szCs w:val="22"/>
        </w:rPr>
        <w:t xml:space="preserve">or initiative </w:t>
      </w:r>
      <w:r w:rsidR="0092022B" w:rsidRPr="00883A1C">
        <w:rPr>
          <w:snapToGrid w:val="0"/>
          <w:color w:val="000000"/>
          <w:kern w:val="22"/>
          <w:szCs w:val="22"/>
        </w:rPr>
        <w:t>to undertake</w:t>
      </w:r>
      <w:r w:rsidR="00F43B05" w:rsidRPr="00883A1C">
        <w:rPr>
          <w:snapToGrid w:val="0"/>
          <w:color w:val="000000"/>
          <w:kern w:val="22"/>
          <w:szCs w:val="22"/>
        </w:rPr>
        <w:t xml:space="preserve"> the key action or related work. </w:t>
      </w:r>
      <w:r w:rsidR="0092022B" w:rsidRPr="00883A1C">
        <w:rPr>
          <w:snapToGrid w:val="0"/>
          <w:color w:val="000000"/>
          <w:kern w:val="22"/>
          <w:szCs w:val="22"/>
        </w:rPr>
        <w:t>In such cases,</w:t>
      </w:r>
      <w:r w:rsidR="006A5D5D" w:rsidRPr="00883A1C">
        <w:rPr>
          <w:snapToGrid w:val="0"/>
          <w:color w:val="000000"/>
          <w:kern w:val="22"/>
          <w:szCs w:val="22"/>
        </w:rPr>
        <w:t xml:space="preserve"> </w:t>
      </w:r>
      <w:r w:rsidR="0092022B" w:rsidRPr="00883A1C">
        <w:rPr>
          <w:snapToGrid w:val="0"/>
          <w:color w:val="000000"/>
          <w:kern w:val="22"/>
          <w:szCs w:val="22"/>
        </w:rPr>
        <w:t xml:space="preserve">the informal advisory group also advises the Executive Secretary to </w:t>
      </w:r>
      <w:r w:rsidR="0079373A" w:rsidRPr="00883A1C">
        <w:rPr>
          <w:snapToGrid w:val="0"/>
          <w:color w:val="000000"/>
          <w:kern w:val="22"/>
          <w:szCs w:val="22"/>
        </w:rPr>
        <w:t xml:space="preserve">consider including the action in the activities </w:t>
      </w:r>
      <w:r w:rsidR="00E827E9" w:rsidRPr="00883A1C">
        <w:rPr>
          <w:snapToGrid w:val="0"/>
          <w:color w:val="000000"/>
          <w:kern w:val="22"/>
          <w:szCs w:val="22"/>
        </w:rPr>
        <w:t xml:space="preserve">and associated voluntary budget </w:t>
      </w:r>
      <w:r w:rsidR="0079373A" w:rsidRPr="00883A1C">
        <w:rPr>
          <w:snapToGrid w:val="0"/>
          <w:color w:val="000000"/>
          <w:kern w:val="22"/>
          <w:szCs w:val="22"/>
        </w:rPr>
        <w:t xml:space="preserve">of the Convention </w:t>
      </w:r>
      <w:r w:rsidR="0094289E" w:rsidRPr="00883A1C">
        <w:rPr>
          <w:snapToGrid w:val="0"/>
          <w:color w:val="000000"/>
          <w:kern w:val="22"/>
          <w:szCs w:val="22"/>
        </w:rPr>
        <w:t xml:space="preserve">proposed </w:t>
      </w:r>
      <w:r w:rsidR="0079373A" w:rsidRPr="00883A1C">
        <w:rPr>
          <w:snapToGrid w:val="0"/>
          <w:color w:val="000000"/>
          <w:kern w:val="22"/>
          <w:szCs w:val="22"/>
        </w:rPr>
        <w:t xml:space="preserve">for the </w:t>
      </w:r>
      <w:r w:rsidR="00551803" w:rsidRPr="00883A1C">
        <w:rPr>
          <w:snapToGrid w:val="0"/>
          <w:color w:val="000000"/>
          <w:kern w:val="22"/>
          <w:szCs w:val="22"/>
        </w:rPr>
        <w:t xml:space="preserve">biennium </w:t>
      </w:r>
      <w:r w:rsidR="0079373A" w:rsidRPr="00883A1C">
        <w:rPr>
          <w:snapToGrid w:val="0"/>
          <w:color w:val="000000"/>
          <w:kern w:val="22"/>
          <w:szCs w:val="22"/>
        </w:rPr>
        <w:t xml:space="preserve">2019-2020 for the consideration of the </w:t>
      </w:r>
      <w:r w:rsidR="004003D1" w:rsidRPr="00883A1C">
        <w:rPr>
          <w:snapToGrid w:val="0"/>
          <w:color w:val="000000"/>
          <w:kern w:val="22"/>
          <w:szCs w:val="22"/>
        </w:rPr>
        <w:t xml:space="preserve">Conference of the Parties </w:t>
      </w:r>
      <w:r w:rsidR="0079373A" w:rsidRPr="00883A1C">
        <w:rPr>
          <w:snapToGrid w:val="0"/>
          <w:color w:val="000000"/>
          <w:kern w:val="22"/>
          <w:szCs w:val="22"/>
        </w:rPr>
        <w:t>at its fourteenth meeting.</w:t>
      </w:r>
    </w:p>
    <w:p w:rsidR="00B1448C" w:rsidRPr="00883A1C" w:rsidRDefault="00F234E3"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 xml:space="preserve">While </w:t>
      </w:r>
      <w:r w:rsidR="00B1448C" w:rsidRPr="00883A1C">
        <w:rPr>
          <w:kern w:val="22"/>
          <w:szCs w:val="22"/>
        </w:rPr>
        <w:t xml:space="preserve">the majority of its advice </w:t>
      </w:r>
      <w:r w:rsidR="00C85A4A" w:rsidRPr="00883A1C">
        <w:rPr>
          <w:kern w:val="22"/>
          <w:szCs w:val="22"/>
        </w:rPr>
        <w:t>is directed to</w:t>
      </w:r>
      <w:r w:rsidR="00B1448C" w:rsidRPr="00883A1C">
        <w:rPr>
          <w:kern w:val="22"/>
          <w:szCs w:val="22"/>
        </w:rPr>
        <w:t xml:space="preserve"> the Executive Secretary and members of the Liaison Group on Biodiversity-related Conventions</w:t>
      </w:r>
      <w:r w:rsidRPr="00883A1C">
        <w:rPr>
          <w:kern w:val="22"/>
          <w:szCs w:val="22"/>
        </w:rPr>
        <w:t xml:space="preserve">, the Group included one recommendation that is </w:t>
      </w:r>
      <w:r w:rsidR="00C85A4A" w:rsidRPr="00883A1C">
        <w:rPr>
          <w:kern w:val="22"/>
          <w:szCs w:val="22"/>
        </w:rPr>
        <w:t>directed</w:t>
      </w:r>
      <w:r w:rsidR="00B1448C" w:rsidRPr="00883A1C">
        <w:rPr>
          <w:kern w:val="22"/>
          <w:szCs w:val="22"/>
        </w:rPr>
        <w:t xml:space="preserve"> to the </w:t>
      </w:r>
      <w:r w:rsidRPr="00883A1C">
        <w:rPr>
          <w:kern w:val="22"/>
          <w:szCs w:val="22"/>
        </w:rPr>
        <w:t>CBD</w:t>
      </w:r>
      <w:r w:rsidR="004003D1" w:rsidRPr="00883A1C">
        <w:rPr>
          <w:kern w:val="22"/>
          <w:szCs w:val="22"/>
        </w:rPr>
        <w:t xml:space="preserve"> Bureau</w:t>
      </w:r>
      <w:r w:rsidR="00FC3EF7" w:rsidRPr="00883A1C">
        <w:rPr>
          <w:kern w:val="22"/>
          <w:szCs w:val="22"/>
        </w:rPr>
        <w:t>.</w:t>
      </w:r>
      <w:r w:rsidRPr="00883A1C">
        <w:rPr>
          <w:kern w:val="22"/>
          <w:szCs w:val="22"/>
        </w:rPr>
        <w:t xml:space="preserve"> This </w:t>
      </w:r>
      <w:r w:rsidR="007D6336" w:rsidRPr="00883A1C">
        <w:rPr>
          <w:kern w:val="22"/>
          <w:szCs w:val="22"/>
        </w:rPr>
        <w:t>is advice that</w:t>
      </w:r>
      <w:r w:rsidRPr="00883A1C">
        <w:rPr>
          <w:kern w:val="22"/>
          <w:szCs w:val="22"/>
        </w:rPr>
        <w:t xml:space="preserve"> the </w:t>
      </w:r>
      <w:r w:rsidR="004003D1" w:rsidRPr="00883A1C">
        <w:rPr>
          <w:kern w:val="22"/>
          <w:szCs w:val="22"/>
        </w:rPr>
        <w:t>B</w:t>
      </w:r>
      <w:r w:rsidRPr="00883A1C">
        <w:rPr>
          <w:kern w:val="22"/>
          <w:szCs w:val="22"/>
        </w:rPr>
        <w:t>ureau</w:t>
      </w:r>
      <w:r w:rsidR="00B1448C" w:rsidRPr="00883A1C">
        <w:rPr>
          <w:kern w:val="22"/>
          <w:szCs w:val="22"/>
        </w:rPr>
        <w:t xml:space="preserve"> consider ways for Parties to the conventions, </w:t>
      </w:r>
      <w:r w:rsidR="00C85A4A" w:rsidRPr="00883A1C">
        <w:rPr>
          <w:kern w:val="22"/>
          <w:szCs w:val="22"/>
        </w:rPr>
        <w:t>perhaps</w:t>
      </w:r>
      <w:r w:rsidR="00B1448C" w:rsidRPr="00883A1C">
        <w:rPr>
          <w:kern w:val="22"/>
          <w:szCs w:val="22"/>
        </w:rPr>
        <w:t xml:space="preserve"> through their bureaux, standing committees or equivalent bodies, or through other mechanisms, to </w:t>
      </w:r>
      <w:r w:rsidR="00FC3EF7" w:rsidRPr="00883A1C">
        <w:rPr>
          <w:kern w:val="22"/>
          <w:szCs w:val="22"/>
        </w:rPr>
        <w:t>liaise with</w:t>
      </w:r>
      <w:r w:rsidR="00B1448C" w:rsidRPr="00883A1C">
        <w:rPr>
          <w:kern w:val="22"/>
          <w:szCs w:val="22"/>
        </w:rPr>
        <w:t xml:space="preserve"> the Liaison Group on Biodiversity-related Conventions.</w:t>
      </w:r>
      <w:r w:rsidR="00C85A4A" w:rsidRPr="00883A1C">
        <w:rPr>
          <w:kern w:val="22"/>
          <w:szCs w:val="22"/>
        </w:rPr>
        <w:t xml:space="preserve"> The same advice is provided to the Liaison Group on Biodiversity-related Conventions.</w:t>
      </w:r>
    </w:p>
    <w:p w:rsidR="007D6BAB" w:rsidRPr="00883A1C" w:rsidRDefault="00F7499E" w:rsidP="00883A1C">
      <w:pPr>
        <w:numPr>
          <w:ilvl w:val="0"/>
          <w:numId w:val="6"/>
        </w:numPr>
        <w:suppressLineNumbers/>
        <w:tabs>
          <w:tab w:val="clear" w:pos="720"/>
        </w:tabs>
        <w:suppressAutoHyphens/>
        <w:kinsoku w:val="0"/>
        <w:overflowPunct w:val="0"/>
        <w:autoSpaceDE w:val="0"/>
        <w:autoSpaceDN w:val="0"/>
        <w:adjustRightInd w:val="0"/>
        <w:snapToGrid w:val="0"/>
        <w:spacing w:before="120" w:after="120" w:line="238" w:lineRule="auto"/>
        <w:rPr>
          <w:kern w:val="22"/>
          <w:szCs w:val="22"/>
        </w:rPr>
      </w:pPr>
      <w:r w:rsidRPr="00883A1C">
        <w:rPr>
          <w:kern w:val="22"/>
          <w:szCs w:val="22"/>
        </w:rPr>
        <w:t>A</w:t>
      </w:r>
      <w:r w:rsidR="007D6BAB" w:rsidRPr="00883A1C">
        <w:rPr>
          <w:kern w:val="22"/>
          <w:szCs w:val="22"/>
        </w:rPr>
        <w:t xml:space="preserve"> representative of the Group will present the Group’s advice to the Executive Secretary and </w:t>
      </w:r>
      <w:r w:rsidR="00E35B05" w:rsidRPr="00883A1C">
        <w:rPr>
          <w:snapToGrid w:val="0"/>
          <w:kern w:val="22"/>
          <w:szCs w:val="22"/>
        </w:rPr>
        <w:t xml:space="preserve">to </w:t>
      </w:r>
      <w:r w:rsidR="007D6BAB" w:rsidRPr="00883A1C">
        <w:rPr>
          <w:kern w:val="22"/>
          <w:szCs w:val="22"/>
        </w:rPr>
        <w:t xml:space="preserve">the </w:t>
      </w:r>
      <w:r w:rsidR="00CB06DA" w:rsidRPr="00883A1C">
        <w:rPr>
          <w:snapToGrid w:val="0"/>
          <w:kern w:val="22"/>
          <w:szCs w:val="22"/>
        </w:rPr>
        <w:t>B</w:t>
      </w:r>
      <w:r w:rsidR="005E5829">
        <w:rPr>
          <w:kern w:val="22"/>
          <w:szCs w:val="22"/>
        </w:rPr>
        <w:t>ureau at the meeting of the B</w:t>
      </w:r>
      <w:r w:rsidR="007D6BAB" w:rsidRPr="00883A1C">
        <w:rPr>
          <w:kern w:val="22"/>
          <w:szCs w:val="22"/>
        </w:rPr>
        <w:t xml:space="preserve">ureau to be held in July 2018 in Montreal, and will present its advice to the Liaison Group </w:t>
      </w:r>
      <w:r w:rsidR="00A70CDF" w:rsidRPr="00883A1C">
        <w:rPr>
          <w:kern w:val="22"/>
          <w:szCs w:val="22"/>
        </w:rPr>
        <w:t xml:space="preserve">of </w:t>
      </w:r>
      <w:r w:rsidR="007D6BAB" w:rsidRPr="00883A1C">
        <w:rPr>
          <w:kern w:val="22"/>
          <w:szCs w:val="22"/>
        </w:rPr>
        <w:t>Biodiversity-related Conventions at the next meeting of the Liaison Group, planned to be held in the fall of 2018</w:t>
      </w:r>
      <w:r w:rsidR="00A70CDF" w:rsidRPr="00883A1C">
        <w:rPr>
          <w:kern w:val="22"/>
          <w:szCs w:val="22"/>
        </w:rPr>
        <w:t>,</w:t>
      </w:r>
      <w:r w:rsidR="007D6BAB" w:rsidRPr="00883A1C">
        <w:rPr>
          <w:kern w:val="22"/>
          <w:szCs w:val="22"/>
        </w:rPr>
        <w:t xml:space="preserve"> prior to </w:t>
      </w:r>
      <w:r w:rsidR="00E35B05" w:rsidRPr="00883A1C">
        <w:rPr>
          <w:snapToGrid w:val="0"/>
          <w:kern w:val="22"/>
          <w:szCs w:val="22"/>
        </w:rPr>
        <w:t>the fourteenth meeting of the Conference of the Parties</w:t>
      </w:r>
      <w:r w:rsidR="007D6BAB" w:rsidRPr="00883A1C">
        <w:rPr>
          <w:kern w:val="22"/>
          <w:szCs w:val="22"/>
        </w:rPr>
        <w:t>.</w:t>
      </w:r>
    </w:p>
    <w:p w:rsidR="007770D1" w:rsidRPr="00883A1C" w:rsidRDefault="007770D1" w:rsidP="00883A1C">
      <w:pPr>
        <w:keepNext/>
        <w:suppressLineNumbers/>
        <w:tabs>
          <w:tab w:val="left" w:pos="360"/>
        </w:tabs>
        <w:suppressAutoHyphens/>
        <w:kinsoku w:val="0"/>
        <w:overflowPunct w:val="0"/>
        <w:autoSpaceDE w:val="0"/>
        <w:autoSpaceDN w:val="0"/>
        <w:adjustRightInd w:val="0"/>
        <w:snapToGrid w:val="0"/>
        <w:spacing w:before="120" w:after="120" w:line="238" w:lineRule="auto"/>
        <w:jc w:val="center"/>
        <w:outlineLvl w:val="2"/>
        <w:rPr>
          <w:i/>
          <w:kern w:val="22"/>
          <w:szCs w:val="22"/>
        </w:rPr>
      </w:pPr>
      <w:r w:rsidRPr="00883A1C">
        <w:rPr>
          <w:i/>
          <w:kern w:val="22"/>
          <w:szCs w:val="22"/>
        </w:rPr>
        <w:t>4.</w:t>
      </w:r>
      <w:r w:rsidRPr="00883A1C">
        <w:rPr>
          <w:i/>
          <w:kern w:val="22"/>
          <w:szCs w:val="22"/>
        </w:rPr>
        <w:tab/>
        <w:t>Additional recommendations of the informal advisory group</w:t>
      </w:r>
    </w:p>
    <w:p w:rsidR="007D6BAB" w:rsidRPr="00883A1C" w:rsidRDefault="007D6BAB" w:rsidP="00883A1C">
      <w:pPr>
        <w:numPr>
          <w:ilvl w:val="0"/>
          <w:numId w:val="6"/>
        </w:numPr>
        <w:suppressLineNumbers/>
        <w:tabs>
          <w:tab w:val="clear" w:pos="720"/>
        </w:tabs>
        <w:suppressAutoHyphens/>
        <w:kinsoku w:val="0"/>
        <w:overflowPunct w:val="0"/>
        <w:autoSpaceDE w:val="0"/>
        <w:autoSpaceDN w:val="0"/>
        <w:adjustRightInd w:val="0"/>
        <w:snapToGrid w:val="0"/>
        <w:spacing w:before="120" w:after="120" w:line="238" w:lineRule="auto"/>
        <w:rPr>
          <w:snapToGrid w:val="0"/>
          <w:color w:val="000000"/>
          <w:kern w:val="22"/>
          <w:szCs w:val="22"/>
        </w:rPr>
      </w:pPr>
      <w:r w:rsidRPr="00883A1C">
        <w:rPr>
          <w:kern w:val="22"/>
          <w:szCs w:val="22"/>
        </w:rPr>
        <w:t xml:space="preserve">In reviewing the desirable key actions in the road map 2017-2020, the informal advisory group also identified a number of additional actions that could contribute to enhancing coherent implementation and synergies among biodiversity-related conventions. These additional actions would be complementary to the desirable key actions </w:t>
      </w:r>
      <w:r w:rsidR="0062697F" w:rsidRPr="00883A1C">
        <w:rPr>
          <w:kern w:val="22"/>
          <w:szCs w:val="22"/>
        </w:rPr>
        <w:t xml:space="preserve">contained </w:t>
      </w:r>
      <w:r w:rsidRPr="00883A1C">
        <w:rPr>
          <w:kern w:val="22"/>
          <w:szCs w:val="22"/>
        </w:rPr>
        <w:t>in the table in annex II of decision XIII/24.</w:t>
      </w:r>
      <w:r w:rsidR="000F13AD" w:rsidRPr="00883A1C">
        <w:rPr>
          <w:kern w:val="22"/>
          <w:szCs w:val="22"/>
        </w:rPr>
        <w:t xml:space="preserve"> </w:t>
      </w:r>
      <w:r w:rsidRPr="00883A1C">
        <w:rPr>
          <w:kern w:val="22"/>
          <w:szCs w:val="22"/>
        </w:rPr>
        <w:t xml:space="preserve">A list of the additional desirable actions identified by the Group is presented in </w:t>
      </w:r>
      <w:r w:rsidR="00E35B05" w:rsidRPr="00883A1C">
        <w:rPr>
          <w:snapToGrid w:val="0"/>
          <w:kern w:val="22"/>
          <w:szCs w:val="22"/>
        </w:rPr>
        <w:t>its</w:t>
      </w:r>
      <w:r w:rsidRPr="00883A1C">
        <w:rPr>
          <w:snapToGrid w:val="0"/>
          <w:kern w:val="22"/>
          <w:szCs w:val="22"/>
        </w:rPr>
        <w:t xml:space="preserve"> </w:t>
      </w:r>
      <w:r w:rsidR="00E35B05" w:rsidRPr="00883A1C">
        <w:rPr>
          <w:snapToGrid w:val="0"/>
          <w:kern w:val="22"/>
          <w:szCs w:val="22"/>
        </w:rPr>
        <w:t>r</w:t>
      </w:r>
      <w:r w:rsidRPr="00883A1C">
        <w:rPr>
          <w:kern w:val="22"/>
          <w:szCs w:val="22"/>
        </w:rPr>
        <w:t>eport</w:t>
      </w:r>
      <w:r w:rsidRPr="00883A1C">
        <w:rPr>
          <w:snapToGrid w:val="0"/>
          <w:color w:val="000000"/>
          <w:kern w:val="22"/>
          <w:szCs w:val="22"/>
        </w:rPr>
        <w:t>.</w:t>
      </w:r>
      <w:r w:rsidR="00171E3D" w:rsidRPr="00883A1C">
        <w:rPr>
          <w:snapToGrid w:val="0"/>
          <w:color w:val="000000"/>
          <w:kern w:val="22"/>
          <w:szCs w:val="22"/>
        </w:rPr>
        <w:t xml:space="preserve"> The Group recommends that the </w:t>
      </w:r>
      <w:r w:rsidR="000F13AD" w:rsidRPr="00883A1C">
        <w:rPr>
          <w:snapToGrid w:val="0"/>
          <w:color w:val="000000"/>
          <w:kern w:val="22"/>
          <w:szCs w:val="22"/>
        </w:rPr>
        <w:lastRenderedPageBreak/>
        <w:t xml:space="preserve">Executive Secretary and the </w:t>
      </w:r>
      <w:r w:rsidR="00171E3D" w:rsidRPr="00883A1C">
        <w:rPr>
          <w:snapToGrid w:val="0"/>
          <w:color w:val="000000"/>
          <w:kern w:val="22"/>
          <w:szCs w:val="22"/>
        </w:rPr>
        <w:t xml:space="preserve">Liaison Group of Biodiversity-related Conventions review </w:t>
      </w:r>
      <w:r w:rsidR="000F13AD" w:rsidRPr="00883A1C">
        <w:rPr>
          <w:snapToGrid w:val="0"/>
          <w:color w:val="000000"/>
          <w:kern w:val="22"/>
          <w:szCs w:val="22"/>
        </w:rPr>
        <w:t>these additional actions with a view to taking some of them forward, as appropriate.</w:t>
      </w:r>
    </w:p>
    <w:p w:rsidR="000376EE" w:rsidRPr="00883A1C" w:rsidRDefault="0061303E" w:rsidP="00883A1C">
      <w:pPr>
        <w:numPr>
          <w:ilvl w:val="0"/>
          <w:numId w:val="6"/>
        </w:numPr>
        <w:suppressLineNumbers/>
        <w:tabs>
          <w:tab w:val="clear" w:pos="720"/>
        </w:tabs>
        <w:suppressAutoHyphens/>
        <w:kinsoku w:val="0"/>
        <w:overflowPunct w:val="0"/>
        <w:autoSpaceDE w:val="0"/>
        <w:autoSpaceDN w:val="0"/>
        <w:adjustRightInd w:val="0"/>
        <w:snapToGrid w:val="0"/>
        <w:spacing w:before="120" w:after="120" w:line="238" w:lineRule="auto"/>
        <w:rPr>
          <w:snapToGrid w:val="0"/>
          <w:color w:val="000000"/>
          <w:kern w:val="22"/>
          <w:szCs w:val="22"/>
        </w:rPr>
      </w:pPr>
      <w:r w:rsidRPr="00883A1C">
        <w:rPr>
          <w:snapToGrid w:val="0"/>
          <w:color w:val="000000"/>
          <w:kern w:val="22"/>
          <w:szCs w:val="22"/>
        </w:rPr>
        <w:t xml:space="preserve">The Group </w:t>
      </w:r>
      <w:r w:rsidR="00AD0FE0" w:rsidRPr="00883A1C">
        <w:rPr>
          <w:snapToGrid w:val="0"/>
          <w:color w:val="000000"/>
          <w:kern w:val="22"/>
          <w:szCs w:val="22"/>
        </w:rPr>
        <w:t xml:space="preserve">also </w:t>
      </w:r>
      <w:r w:rsidRPr="00883A1C">
        <w:rPr>
          <w:snapToGrid w:val="0"/>
          <w:color w:val="000000"/>
          <w:kern w:val="22"/>
          <w:szCs w:val="22"/>
        </w:rPr>
        <w:t xml:space="preserve">recommends that the Executive Secretary and the members of the Liaison Group of Biodiversity-related Conventions review the recommendations </w:t>
      </w:r>
      <w:r w:rsidR="000F13AD" w:rsidRPr="00883A1C">
        <w:rPr>
          <w:snapToGrid w:val="0"/>
          <w:color w:val="000000"/>
          <w:kern w:val="22"/>
          <w:szCs w:val="22"/>
        </w:rPr>
        <w:t xml:space="preserve">that were </w:t>
      </w:r>
      <w:r w:rsidR="00171E3D" w:rsidRPr="00883A1C">
        <w:rPr>
          <w:snapToGrid w:val="0"/>
          <w:color w:val="000000"/>
          <w:kern w:val="22"/>
          <w:szCs w:val="22"/>
        </w:rPr>
        <w:t xml:space="preserve">prepared as an output of the project supporting implementation of decision XIII/24, as contained in the project’s </w:t>
      </w:r>
      <w:r w:rsidR="00171E3D" w:rsidRPr="00883A1C">
        <w:rPr>
          <w:bCs/>
          <w:snapToGrid w:val="0"/>
          <w:color w:val="000000"/>
          <w:kern w:val="22"/>
          <w:szCs w:val="22"/>
        </w:rPr>
        <w:t>report entitled “Recommendations on possible next steps and activities to enhance cooperation and collaboration among the biodiversity-related conventions, and delivering on COP decision XIII/24” (CBD/SBI/2/INF/13),</w:t>
      </w:r>
      <w:r w:rsidRPr="00883A1C">
        <w:rPr>
          <w:snapToGrid w:val="0"/>
          <w:color w:val="000000"/>
          <w:kern w:val="22"/>
          <w:szCs w:val="22"/>
        </w:rPr>
        <w:t xml:space="preserve"> with a view to their </w:t>
      </w:r>
      <w:r w:rsidR="0094289E" w:rsidRPr="00883A1C">
        <w:rPr>
          <w:snapToGrid w:val="0"/>
          <w:color w:val="000000"/>
          <w:kern w:val="22"/>
          <w:szCs w:val="22"/>
        </w:rPr>
        <w:t xml:space="preserve">potential </w:t>
      </w:r>
      <w:r w:rsidRPr="00883A1C">
        <w:rPr>
          <w:snapToGrid w:val="0"/>
          <w:color w:val="000000"/>
          <w:kern w:val="22"/>
          <w:szCs w:val="22"/>
        </w:rPr>
        <w:t>follow-up and implementation.</w:t>
      </w:r>
    </w:p>
    <w:p w:rsidR="0062697F" w:rsidRPr="00883A1C" w:rsidRDefault="000F13AD" w:rsidP="00883A1C">
      <w:pPr>
        <w:numPr>
          <w:ilvl w:val="0"/>
          <w:numId w:val="6"/>
        </w:numPr>
        <w:suppressLineNumbers/>
        <w:tabs>
          <w:tab w:val="clear" w:pos="720"/>
        </w:tabs>
        <w:suppressAutoHyphens/>
        <w:kinsoku w:val="0"/>
        <w:overflowPunct w:val="0"/>
        <w:autoSpaceDE w:val="0"/>
        <w:autoSpaceDN w:val="0"/>
        <w:adjustRightInd w:val="0"/>
        <w:snapToGrid w:val="0"/>
        <w:spacing w:before="120" w:after="120" w:line="238" w:lineRule="auto"/>
        <w:rPr>
          <w:snapToGrid w:val="0"/>
          <w:color w:val="000000"/>
          <w:kern w:val="22"/>
          <w:szCs w:val="22"/>
        </w:rPr>
      </w:pPr>
      <w:r w:rsidRPr="00883A1C">
        <w:rPr>
          <w:snapToGrid w:val="0"/>
          <w:color w:val="000000"/>
          <w:kern w:val="22"/>
          <w:szCs w:val="22"/>
        </w:rPr>
        <w:t>In addition, i</w:t>
      </w:r>
      <w:r w:rsidR="005825A3" w:rsidRPr="00883A1C">
        <w:rPr>
          <w:snapToGrid w:val="0"/>
          <w:color w:val="000000"/>
          <w:kern w:val="22"/>
          <w:szCs w:val="22"/>
        </w:rPr>
        <w:t>n the event that the Conference of the Parties decide</w:t>
      </w:r>
      <w:r w:rsidR="0006136E" w:rsidRPr="00883A1C">
        <w:rPr>
          <w:snapToGrid w:val="0"/>
          <w:color w:val="000000"/>
          <w:kern w:val="22"/>
          <w:szCs w:val="22"/>
        </w:rPr>
        <w:t>s</w:t>
      </w:r>
      <w:r w:rsidR="005825A3" w:rsidRPr="00883A1C">
        <w:rPr>
          <w:snapToGrid w:val="0"/>
          <w:color w:val="000000"/>
          <w:kern w:val="22"/>
          <w:szCs w:val="22"/>
        </w:rPr>
        <w:t xml:space="preserve"> to extend </w:t>
      </w:r>
      <w:r w:rsidR="008D471D" w:rsidRPr="00883A1C">
        <w:rPr>
          <w:snapToGrid w:val="0"/>
          <w:color w:val="000000"/>
          <w:kern w:val="22"/>
          <w:szCs w:val="22"/>
        </w:rPr>
        <w:t>the Group’s</w:t>
      </w:r>
      <w:r w:rsidR="005825A3" w:rsidRPr="00883A1C">
        <w:rPr>
          <w:snapToGrid w:val="0"/>
          <w:color w:val="000000"/>
          <w:kern w:val="22"/>
          <w:szCs w:val="22"/>
        </w:rPr>
        <w:t xml:space="preserve"> mandate, </w:t>
      </w:r>
      <w:r w:rsidR="00AD0FE0" w:rsidRPr="00883A1C">
        <w:rPr>
          <w:snapToGrid w:val="0"/>
          <w:color w:val="000000"/>
          <w:kern w:val="22"/>
          <w:szCs w:val="22"/>
        </w:rPr>
        <w:t>t</w:t>
      </w:r>
      <w:r w:rsidR="0062697F" w:rsidRPr="00883A1C">
        <w:rPr>
          <w:snapToGrid w:val="0"/>
          <w:color w:val="000000"/>
          <w:kern w:val="22"/>
          <w:szCs w:val="22"/>
        </w:rPr>
        <w:t xml:space="preserve">he Group </w:t>
      </w:r>
      <w:r w:rsidR="005825A3" w:rsidRPr="00883A1C">
        <w:rPr>
          <w:snapToGrid w:val="0"/>
          <w:color w:val="000000"/>
          <w:kern w:val="22"/>
          <w:szCs w:val="22"/>
        </w:rPr>
        <w:t xml:space="preserve">recommends that opportunities be provided </w:t>
      </w:r>
      <w:r w:rsidR="000C68F9" w:rsidRPr="00883A1C">
        <w:rPr>
          <w:snapToGrid w:val="0"/>
          <w:color w:val="000000"/>
          <w:kern w:val="22"/>
          <w:szCs w:val="22"/>
        </w:rPr>
        <w:t xml:space="preserve">to strengthen cooperation and consultation </w:t>
      </w:r>
      <w:r w:rsidR="005825A3" w:rsidRPr="00883A1C">
        <w:rPr>
          <w:snapToGrid w:val="0"/>
          <w:color w:val="000000"/>
          <w:kern w:val="22"/>
          <w:szCs w:val="22"/>
        </w:rPr>
        <w:t xml:space="preserve">between the </w:t>
      </w:r>
      <w:r w:rsidR="0062697F" w:rsidRPr="00883A1C">
        <w:rPr>
          <w:snapToGrid w:val="0"/>
          <w:color w:val="000000"/>
          <w:kern w:val="22"/>
          <w:szCs w:val="22"/>
        </w:rPr>
        <w:t xml:space="preserve">Liaison Group </w:t>
      </w:r>
      <w:r w:rsidR="00C450BF" w:rsidRPr="00883A1C">
        <w:rPr>
          <w:snapToGrid w:val="0"/>
          <w:color w:val="000000"/>
          <w:kern w:val="22"/>
          <w:szCs w:val="22"/>
        </w:rPr>
        <w:t xml:space="preserve">of </w:t>
      </w:r>
      <w:r w:rsidR="0062697F" w:rsidRPr="00883A1C">
        <w:rPr>
          <w:snapToGrid w:val="0"/>
          <w:color w:val="000000"/>
          <w:kern w:val="22"/>
          <w:szCs w:val="22"/>
        </w:rPr>
        <w:t>Biodiversity-related Conventions and the informal advisory group on synergies</w:t>
      </w:r>
      <w:r w:rsidR="000C68F9" w:rsidRPr="00883A1C">
        <w:rPr>
          <w:snapToGrid w:val="0"/>
          <w:color w:val="000000"/>
          <w:kern w:val="22"/>
          <w:szCs w:val="22"/>
        </w:rPr>
        <w:t xml:space="preserve">. Such consultation could contribute to </w:t>
      </w:r>
      <w:r w:rsidR="005825A3" w:rsidRPr="00883A1C">
        <w:rPr>
          <w:snapToGrid w:val="0"/>
          <w:color w:val="000000"/>
          <w:kern w:val="22"/>
          <w:szCs w:val="22"/>
        </w:rPr>
        <w:t xml:space="preserve">actions </w:t>
      </w:r>
      <w:r w:rsidR="000C68F9" w:rsidRPr="00883A1C">
        <w:rPr>
          <w:snapToGrid w:val="0"/>
          <w:color w:val="000000"/>
          <w:kern w:val="22"/>
          <w:szCs w:val="22"/>
        </w:rPr>
        <w:t xml:space="preserve">that the Liaison Group </w:t>
      </w:r>
      <w:r w:rsidR="00632A12" w:rsidRPr="00883A1C">
        <w:rPr>
          <w:snapToGrid w:val="0"/>
          <w:color w:val="000000"/>
          <w:kern w:val="22"/>
          <w:szCs w:val="22"/>
        </w:rPr>
        <w:t xml:space="preserve">of </w:t>
      </w:r>
      <w:r w:rsidR="000C68F9" w:rsidRPr="00883A1C">
        <w:rPr>
          <w:snapToGrid w:val="0"/>
          <w:color w:val="000000"/>
          <w:kern w:val="22"/>
          <w:szCs w:val="22"/>
        </w:rPr>
        <w:t xml:space="preserve">Biodiversity-related Conventions may take </w:t>
      </w:r>
      <w:r w:rsidR="005825A3" w:rsidRPr="00883A1C">
        <w:rPr>
          <w:snapToGrid w:val="0"/>
          <w:color w:val="000000"/>
          <w:kern w:val="22"/>
          <w:szCs w:val="22"/>
        </w:rPr>
        <w:t>to enhance the efficiency of the work and processes of the Liaison Group,</w:t>
      </w:r>
      <w:r w:rsidR="0094289E" w:rsidRPr="00883A1C">
        <w:rPr>
          <w:snapToGrid w:val="0"/>
          <w:color w:val="000000"/>
          <w:kern w:val="22"/>
          <w:szCs w:val="22"/>
        </w:rPr>
        <w:t xml:space="preserve"> as outlined in the road map,</w:t>
      </w:r>
      <w:r w:rsidR="005825A3" w:rsidRPr="00883A1C">
        <w:rPr>
          <w:snapToGrid w:val="0"/>
          <w:color w:val="000000"/>
          <w:kern w:val="22"/>
          <w:szCs w:val="22"/>
        </w:rPr>
        <w:t xml:space="preserve"> </w:t>
      </w:r>
      <w:r w:rsidR="001B6195" w:rsidRPr="00883A1C">
        <w:rPr>
          <w:snapToGrid w:val="0"/>
          <w:color w:val="000000"/>
          <w:kern w:val="22"/>
          <w:szCs w:val="22"/>
        </w:rPr>
        <w:t xml:space="preserve">such as </w:t>
      </w:r>
      <w:r w:rsidR="000C68F9" w:rsidRPr="00883A1C">
        <w:rPr>
          <w:snapToGrid w:val="0"/>
          <w:color w:val="000000"/>
          <w:kern w:val="22"/>
          <w:szCs w:val="22"/>
        </w:rPr>
        <w:t xml:space="preserve">actions </w:t>
      </w:r>
      <w:r w:rsidR="00E519CC" w:rsidRPr="00883A1C">
        <w:rPr>
          <w:snapToGrid w:val="0"/>
          <w:color w:val="000000"/>
          <w:kern w:val="22"/>
          <w:szCs w:val="22"/>
        </w:rPr>
        <w:t>to strengthen</w:t>
      </w:r>
      <w:r w:rsidR="001B6195" w:rsidRPr="00883A1C">
        <w:rPr>
          <w:snapToGrid w:val="0"/>
          <w:color w:val="000000"/>
          <w:kern w:val="22"/>
          <w:szCs w:val="22"/>
        </w:rPr>
        <w:t xml:space="preserve"> </w:t>
      </w:r>
      <w:r w:rsidR="00E519CC" w:rsidRPr="00883A1C">
        <w:rPr>
          <w:snapToGrid w:val="0"/>
          <w:color w:val="000000"/>
          <w:kern w:val="22"/>
          <w:szCs w:val="22"/>
        </w:rPr>
        <w:t>collaborative work of their counterpart staff in</w:t>
      </w:r>
      <w:r w:rsidR="001B6195" w:rsidRPr="00883A1C">
        <w:rPr>
          <w:snapToGrid w:val="0"/>
          <w:color w:val="000000"/>
          <w:kern w:val="22"/>
          <w:szCs w:val="22"/>
        </w:rPr>
        <w:t xml:space="preserve"> specific</w:t>
      </w:r>
      <w:r w:rsidR="00E519CC" w:rsidRPr="00883A1C">
        <w:rPr>
          <w:snapToGrid w:val="0"/>
          <w:color w:val="000000"/>
          <w:kern w:val="22"/>
          <w:szCs w:val="22"/>
        </w:rPr>
        <w:t xml:space="preserve"> thematic areas</w:t>
      </w:r>
      <w:r w:rsidR="000C68F9" w:rsidRPr="00883A1C">
        <w:rPr>
          <w:snapToGrid w:val="0"/>
          <w:color w:val="000000"/>
          <w:kern w:val="22"/>
          <w:szCs w:val="22"/>
        </w:rPr>
        <w:t xml:space="preserve">, </w:t>
      </w:r>
      <w:r w:rsidR="001B6195" w:rsidRPr="00883A1C">
        <w:rPr>
          <w:snapToGrid w:val="0"/>
          <w:color w:val="000000"/>
          <w:kern w:val="22"/>
          <w:szCs w:val="22"/>
        </w:rPr>
        <w:t>actions to involve other relevant organization</w:t>
      </w:r>
      <w:r w:rsidR="000C68F9" w:rsidRPr="00883A1C">
        <w:rPr>
          <w:snapToGrid w:val="0"/>
          <w:color w:val="000000"/>
          <w:kern w:val="22"/>
          <w:szCs w:val="22"/>
        </w:rPr>
        <w:t>s in its work and discussions,</w:t>
      </w:r>
      <w:r w:rsidR="001B6195" w:rsidRPr="00883A1C">
        <w:rPr>
          <w:snapToGrid w:val="0"/>
          <w:color w:val="000000"/>
          <w:kern w:val="22"/>
          <w:szCs w:val="22"/>
        </w:rPr>
        <w:t xml:space="preserve"> and actions to facilitate the </w:t>
      </w:r>
      <w:r w:rsidR="000C68F9" w:rsidRPr="00883A1C">
        <w:rPr>
          <w:snapToGrid w:val="0"/>
          <w:color w:val="000000"/>
          <w:kern w:val="22"/>
          <w:szCs w:val="22"/>
        </w:rPr>
        <w:t xml:space="preserve">consultative mechanism of the </w:t>
      </w:r>
      <w:r w:rsidR="001B6195" w:rsidRPr="00883A1C">
        <w:rPr>
          <w:snapToGrid w:val="0"/>
          <w:color w:val="000000"/>
          <w:kern w:val="22"/>
          <w:szCs w:val="22"/>
        </w:rPr>
        <w:t>Chairs of the Scientific Advisory Bodies of Biodiversity-related Conventions.</w:t>
      </w:r>
    </w:p>
    <w:p w:rsidR="00797393" w:rsidRPr="00883A1C" w:rsidRDefault="000F13AD" w:rsidP="00883A1C">
      <w:pPr>
        <w:numPr>
          <w:ilvl w:val="0"/>
          <w:numId w:val="6"/>
        </w:numPr>
        <w:suppressLineNumbers/>
        <w:tabs>
          <w:tab w:val="clear" w:pos="720"/>
        </w:tabs>
        <w:suppressAutoHyphens/>
        <w:kinsoku w:val="0"/>
        <w:overflowPunct w:val="0"/>
        <w:autoSpaceDE w:val="0"/>
        <w:autoSpaceDN w:val="0"/>
        <w:adjustRightInd w:val="0"/>
        <w:snapToGrid w:val="0"/>
        <w:spacing w:before="120" w:after="120" w:line="238" w:lineRule="auto"/>
        <w:rPr>
          <w:snapToGrid w:val="0"/>
          <w:color w:val="000000"/>
          <w:kern w:val="22"/>
          <w:szCs w:val="22"/>
        </w:rPr>
      </w:pPr>
      <w:r w:rsidRPr="00883A1C">
        <w:rPr>
          <w:snapToGrid w:val="0"/>
          <w:color w:val="000000"/>
          <w:kern w:val="22"/>
          <w:szCs w:val="22"/>
        </w:rPr>
        <w:t>G</w:t>
      </w:r>
      <w:r w:rsidR="00797393" w:rsidRPr="00883A1C">
        <w:rPr>
          <w:snapToGrid w:val="0"/>
          <w:color w:val="000000"/>
          <w:kern w:val="22"/>
          <w:szCs w:val="22"/>
        </w:rPr>
        <w:t xml:space="preserve">iven that many of the key actions of the road map would be undertaken </w:t>
      </w:r>
      <w:r w:rsidRPr="00883A1C">
        <w:rPr>
          <w:snapToGrid w:val="0"/>
          <w:color w:val="000000"/>
          <w:kern w:val="22"/>
          <w:szCs w:val="22"/>
        </w:rPr>
        <w:t xml:space="preserve">in collaboration with </w:t>
      </w:r>
      <w:r w:rsidR="00797393" w:rsidRPr="00883A1C">
        <w:rPr>
          <w:snapToGrid w:val="0"/>
          <w:color w:val="000000"/>
          <w:kern w:val="22"/>
          <w:szCs w:val="22"/>
        </w:rPr>
        <w:t xml:space="preserve">other relevant organizations, </w:t>
      </w:r>
      <w:r w:rsidRPr="00883A1C">
        <w:rPr>
          <w:snapToGrid w:val="0"/>
          <w:color w:val="000000"/>
          <w:kern w:val="22"/>
          <w:szCs w:val="22"/>
        </w:rPr>
        <w:t xml:space="preserve">the Group also recommends </w:t>
      </w:r>
      <w:r w:rsidR="00797393" w:rsidRPr="00883A1C">
        <w:rPr>
          <w:snapToGrid w:val="0"/>
          <w:color w:val="000000"/>
          <w:kern w:val="22"/>
          <w:szCs w:val="22"/>
        </w:rPr>
        <w:t xml:space="preserve">that the advice it has provided to the Executive Secretary, the </w:t>
      </w:r>
      <w:r w:rsidR="00E35B05" w:rsidRPr="00883A1C">
        <w:rPr>
          <w:snapToGrid w:val="0"/>
          <w:color w:val="000000"/>
          <w:kern w:val="22"/>
          <w:szCs w:val="22"/>
        </w:rPr>
        <w:t>B</w:t>
      </w:r>
      <w:r w:rsidR="00797393" w:rsidRPr="00883A1C">
        <w:rPr>
          <w:snapToGrid w:val="0"/>
          <w:color w:val="000000"/>
          <w:kern w:val="22"/>
          <w:szCs w:val="22"/>
        </w:rPr>
        <w:t>ureau</w:t>
      </w:r>
      <w:r w:rsidR="00E900FC" w:rsidRPr="00883A1C">
        <w:rPr>
          <w:snapToGrid w:val="0"/>
          <w:color w:val="000000"/>
          <w:kern w:val="22"/>
          <w:szCs w:val="22"/>
        </w:rPr>
        <w:t xml:space="preserve"> of the thirteenth meeting of the Conference of the Parties,</w:t>
      </w:r>
      <w:r w:rsidR="00797393" w:rsidRPr="00883A1C">
        <w:rPr>
          <w:snapToGrid w:val="0"/>
          <w:color w:val="000000"/>
          <w:kern w:val="22"/>
          <w:szCs w:val="22"/>
        </w:rPr>
        <w:t xml:space="preserve"> and the Liaison Group </w:t>
      </w:r>
      <w:r w:rsidR="00E900FC" w:rsidRPr="00883A1C">
        <w:rPr>
          <w:snapToGrid w:val="0"/>
          <w:color w:val="000000"/>
          <w:kern w:val="22"/>
          <w:szCs w:val="22"/>
        </w:rPr>
        <w:t xml:space="preserve">of </w:t>
      </w:r>
      <w:r w:rsidR="00797393" w:rsidRPr="00883A1C">
        <w:rPr>
          <w:snapToGrid w:val="0"/>
          <w:color w:val="000000"/>
          <w:kern w:val="22"/>
          <w:szCs w:val="22"/>
        </w:rPr>
        <w:t>Biodiversity-related Conventions, should also be shared with other relevant organizations.</w:t>
      </w:r>
    </w:p>
    <w:p w:rsidR="007D6BAB" w:rsidRPr="00883A1C" w:rsidRDefault="007D6BAB" w:rsidP="00883A1C">
      <w:pPr>
        <w:numPr>
          <w:ilvl w:val="0"/>
          <w:numId w:val="6"/>
        </w:numPr>
        <w:suppressLineNumbers/>
        <w:tabs>
          <w:tab w:val="clear" w:pos="720"/>
        </w:tabs>
        <w:suppressAutoHyphens/>
        <w:kinsoku w:val="0"/>
        <w:overflowPunct w:val="0"/>
        <w:autoSpaceDE w:val="0"/>
        <w:autoSpaceDN w:val="0"/>
        <w:adjustRightInd w:val="0"/>
        <w:snapToGrid w:val="0"/>
        <w:spacing w:before="120" w:after="120" w:line="238" w:lineRule="auto"/>
        <w:rPr>
          <w:snapToGrid w:val="0"/>
          <w:color w:val="000000"/>
          <w:kern w:val="22"/>
          <w:szCs w:val="22"/>
        </w:rPr>
      </w:pPr>
      <w:r w:rsidRPr="00883A1C">
        <w:rPr>
          <w:snapToGrid w:val="0"/>
          <w:color w:val="000000"/>
          <w:kern w:val="22"/>
          <w:szCs w:val="22"/>
        </w:rPr>
        <w:t xml:space="preserve">The informal advisory group also contributed to the formulation of the draft recommendations related to its work that are presented for the consideration of the Subsidiary Body on Implementation at its second meeting </w:t>
      </w:r>
      <w:r w:rsidR="00172FBE" w:rsidRPr="00883A1C">
        <w:rPr>
          <w:snapToGrid w:val="0"/>
          <w:color w:val="000000"/>
          <w:kern w:val="22"/>
          <w:szCs w:val="22"/>
        </w:rPr>
        <w:t>(</w:t>
      </w:r>
      <w:r w:rsidRPr="00883A1C">
        <w:rPr>
          <w:snapToGrid w:val="0"/>
          <w:color w:val="000000"/>
          <w:kern w:val="22"/>
          <w:szCs w:val="22"/>
        </w:rPr>
        <w:t>CBD/SBI/2/10</w:t>
      </w:r>
      <w:r w:rsidR="00172FBE" w:rsidRPr="00883A1C">
        <w:rPr>
          <w:snapToGrid w:val="0"/>
          <w:color w:val="000000"/>
          <w:kern w:val="22"/>
          <w:szCs w:val="22"/>
        </w:rPr>
        <w:t>)</w:t>
      </w:r>
      <w:r w:rsidRPr="00883A1C">
        <w:rPr>
          <w:snapToGrid w:val="0"/>
          <w:color w:val="000000"/>
          <w:kern w:val="22"/>
          <w:szCs w:val="22"/>
        </w:rPr>
        <w:t>.</w:t>
      </w:r>
    </w:p>
    <w:p w:rsidR="007F3FB5" w:rsidRPr="00883A1C" w:rsidRDefault="007F3FB5" w:rsidP="00883A1C">
      <w:pPr>
        <w:keepNext/>
        <w:numPr>
          <w:ilvl w:val="0"/>
          <w:numId w:val="37"/>
        </w:numPr>
        <w:suppressLineNumbers/>
        <w:tabs>
          <w:tab w:val="left" w:pos="360"/>
        </w:tabs>
        <w:suppressAutoHyphens/>
        <w:kinsoku w:val="0"/>
        <w:overflowPunct w:val="0"/>
        <w:autoSpaceDE w:val="0"/>
        <w:autoSpaceDN w:val="0"/>
        <w:adjustRightInd w:val="0"/>
        <w:snapToGrid w:val="0"/>
        <w:spacing w:before="120" w:after="120" w:line="238" w:lineRule="auto"/>
        <w:ind w:left="0" w:firstLine="0"/>
        <w:jc w:val="center"/>
        <w:outlineLvl w:val="0"/>
        <w:rPr>
          <w:b/>
          <w:caps/>
          <w:kern w:val="22"/>
          <w:szCs w:val="22"/>
        </w:rPr>
      </w:pPr>
      <w:r w:rsidRPr="00883A1C">
        <w:rPr>
          <w:b/>
          <w:caps/>
          <w:kern w:val="22"/>
          <w:szCs w:val="22"/>
        </w:rPr>
        <w:t>Possible further work</w:t>
      </w:r>
    </w:p>
    <w:p w:rsidR="0094289E" w:rsidRPr="00883A1C" w:rsidRDefault="007F3FB5"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 xml:space="preserve">The </w:t>
      </w:r>
      <w:r w:rsidR="0094289E" w:rsidRPr="00883A1C">
        <w:rPr>
          <w:kern w:val="22"/>
          <w:szCs w:val="22"/>
        </w:rPr>
        <w:t xml:space="preserve">Conference of the Parties </w:t>
      </w:r>
      <w:r w:rsidRPr="00883A1C">
        <w:rPr>
          <w:kern w:val="22"/>
          <w:szCs w:val="22"/>
        </w:rPr>
        <w:t>has also emphasized the important role of Parties in promoting coherence across the governance of related conventions and organizations, for example by coordinating their national positions among the various conventions and other international forums in which they are involved and establishing close collaboration between focal points to develop coherent and synergistic approaches across the conventions.</w:t>
      </w:r>
      <w:r w:rsidRPr="00883A1C">
        <w:rPr>
          <w:rStyle w:val="FootnoteReference"/>
          <w:kern w:val="22"/>
          <w:sz w:val="22"/>
          <w:szCs w:val="22"/>
          <w:u w:val="none"/>
          <w:vertAlign w:val="superscript"/>
        </w:rPr>
        <w:footnoteReference w:id="15"/>
      </w:r>
    </w:p>
    <w:p w:rsidR="007F3FB5" w:rsidRPr="00883A1C" w:rsidRDefault="007F3FB5"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 xml:space="preserve">Further consideration could be given to the potential benefit and viability of a mechanism, such as a joint informal committee </w:t>
      </w:r>
      <w:r w:rsidR="00BE1213" w:rsidRPr="00883A1C">
        <w:rPr>
          <w:kern w:val="22"/>
          <w:szCs w:val="22"/>
        </w:rPr>
        <w:t xml:space="preserve">of all </w:t>
      </w:r>
      <w:r w:rsidRPr="00883A1C">
        <w:rPr>
          <w:kern w:val="22"/>
          <w:szCs w:val="22"/>
        </w:rPr>
        <w:t xml:space="preserve">the biodiversity-related conventions, to serve in an advisory capacity, which would provide </w:t>
      </w:r>
      <w:r w:rsidR="00B34131" w:rsidRPr="00883A1C">
        <w:rPr>
          <w:kern w:val="22"/>
          <w:szCs w:val="22"/>
        </w:rPr>
        <w:t xml:space="preserve">an </w:t>
      </w:r>
      <w:r w:rsidRPr="00883A1C">
        <w:rPr>
          <w:kern w:val="22"/>
          <w:szCs w:val="22"/>
        </w:rPr>
        <w:t>opportunity for direct liaison by Parties across the governing bodies of the conventions</w:t>
      </w:r>
      <w:r w:rsidR="00172FBE" w:rsidRPr="00883A1C">
        <w:rPr>
          <w:kern w:val="22"/>
          <w:szCs w:val="22"/>
        </w:rPr>
        <w:t>.</w:t>
      </w:r>
      <w:r w:rsidRPr="00883A1C">
        <w:rPr>
          <w:rStyle w:val="FootnoteReference"/>
          <w:kern w:val="22"/>
          <w:sz w:val="22"/>
          <w:szCs w:val="22"/>
          <w:u w:val="none"/>
          <w:vertAlign w:val="superscript"/>
        </w:rPr>
        <w:footnoteReference w:id="16"/>
      </w:r>
    </w:p>
    <w:p w:rsidR="007F3FB5" w:rsidRPr="00883A1C" w:rsidRDefault="007F3FB5" w:rsidP="00883A1C">
      <w:pPr>
        <w:pStyle w:val="Para1"/>
        <w:suppressLineNumbers/>
        <w:tabs>
          <w:tab w:val="clear" w:pos="720"/>
        </w:tabs>
        <w:suppressAutoHyphens/>
        <w:kinsoku w:val="0"/>
        <w:overflowPunct w:val="0"/>
        <w:autoSpaceDE w:val="0"/>
        <w:autoSpaceDN w:val="0"/>
        <w:adjustRightInd w:val="0"/>
        <w:snapToGrid w:val="0"/>
        <w:spacing w:line="238" w:lineRule="auto"/>
        <w:rPr>
          <w:kern w:val="22"/>
          <w:szCs w:val="22"/>
        </w:rPr>
      </w:pPr>
      <w:r w:rsidRPr="00883A1C">
        <w:rPr>
          <w:kern w:val="22"/>
          <w:szCs w:val="22"/>
        </w:rPr>
        <w:t xml:space="preserve">In addition, with regard to national implementation, the </w:t>
      </w:r>
      <w:r w:rsidR="00172FBE" w:rsidRPr="00883A1C">
        <w:rPr>
          <w:kern w:val="22"/>
          <w:szCs w:val="22"/>
        </w:rPr>
        <w:t xml:space="preserve">Conference of the Parties </w:t>
      </w:r>
      <w:r w:rsidRPr="00883A1C">
        <w:rPr>
          <w:kern w:val="22"/>
          <w:szCs w:val="22"/>
        </w:rPr>
        <w:t xml:space="preserve">has frequently requested Parties to promote coordination among the national focal points for </w:t>
      </w:r>
      <w:r w:rsidR="00172FBE" w:rsidRPr="00883A1C">
        <w:rPr>
          <w:kern w:val="22"/>
          <w:szCs w:val="22"/>
        </w:rPr>
        <w:t xml:space="preserve">the Convention on Biological Diversity </w:t>
      </w:r>
      <w:r w:rsidRPr="00883A1C">
        <w:rPr>
          <w:kern w:val="22"/>
          <w:szCs w:val="22"/>
        </w:rPr>
        <w:t xml:space="preserve">and other relevant conventions with a view to achieving synergies on common and cross-cutting issues and enhancing national implementation of the conventions and efficiencies </w:t>
      </w:r>
      <w:r w:rsidR="0094289E" w:rsidRPr="00883A1C">
        <w:rPr>
          <w:kern w:val="22"/>
          <w:szCs w:val="22"/>
        </w:rPr>
        <w:t xml:space="preserve">and effectiveness </w:t>
      </w:r>
      <w:r w:rsidRPr="00883A1C">
        <w:rPr>
          <w:kern w:val="22"/>
          <w:szCs w:val="22"/>
        </w:rPr>
        <w:t>among them.</w:t>
      </w:r>
      <w:r w:rsidRPr="00883A1C">
        <w:rPr>
          <w:rStyle w:val="FootnoteReference"/>
          <w:kern w:val="22"/>
          <w:sz w:val="22"/>
          <w:szCs w:val="22"/>
          <w:u w:val="none"/>
          <w:vertAlign w:val="superscript"/>
        </w:rPr>
        <w:footnoteReference w:id="17"/>
      </w:r>
      <w:r w:rsidRPr="00883A1C">
        <w:rPr>
          <w:kern w:val="22"/>
          <w:szCs w:val="22"/>
        </w:rPr>
        <w:t xml:space="preserve"> Consideration could be given to mechanisms at the international level that could provide support to the development</w:t>
      </w:r>
      <w:r w:rsidR="0094289E" w:rsidRPr="00883A1C">
        <w:rPr>
          <w:kern w:val="22"/>
          <w:szCs w:val="22"/>
        </w:rPr>
        <w:t xml:space="preserve"> or strengthening and implementation </w:t>
      </w:r>
      <w:r w:rsidRPr="00883A1C">
        <w:rPr>
          <w:kern w:val="22"/>
          <w:szCs w:val="22"/>
        </w:rPr>
        <w:t xml:space="preserve">of such national coordination and </w:t>
      </w:r>
      <w:r w:rsidR="0094289E" w:rsidRPr="00883A1C">
        <w:rPr>
          <w:kern w:val="22"/>
          <w:szCs w:val="22"/>
        </w:rPr>
        <w:t xml:space="preserve">relevant </w:t>
      </w:r>
      <w:r w:rsidRPr="00883A1C">
        <w:rPr>
          <w:kern w:val="22"/>
          <w:szCs w:val="22"/>
        </w:rPr>
        <w:t xml:space="preserve">institutional mechanisms at the national level, </w:t>
      </w:r>
      <w:r w:rsidR="0094289E" w:rsidRPr="00883A1C">
        <w:rPr>
          <w:kern w:val="22"/>
          <w:szCs w:val="22"/>
        </w:rPr>
        <w:t>including</w:t>
      </w:r>
      <w:r w:rsidRPr="00883A1C">
        <w:rPr>
          <w:kern w:val="22"/>
          <w:szCs w:val="22"/>
        </w:rPr>
        <w:t xml:space="preserve"> through the </w:t>
      </w:r>
      <w:r w:rsidRPr="00883A1C">
        <w:rPr>
          <w:kern w:val="22"/>
          <w:szCs w:val="22"/>
        </w:rPr>
        <w:lastRenderedPageBreak/>
        <w:t>implementation of relevant key actions of the road map for enhancing synergies among the biodiversity-related conventions at the international level 2017-2020.</w:t>
      </w:r>
    </w:p>
    <w:p w:rsidR="00D15589" w:rsidRPr="00883A1C" w:rsidRDefault="00CA6B87" w:rsidP="00883A1C">
      <w:pPr>
        <w:suppressLineNumbers/>
        <w:suppressAutoHyphens/>
        <w:kinsoku w:val="0"/>
        <w:overflowPunct w:val="0"/>
        <w:autoSpaceDE w:val="0"/>
        <w:autoSpaceDN w:val="0"/>
        <w:adjustRightInd w:val="0"/>
        <w:snapToGrid w:val="0"/>
        <w:spacing w:before="120" w:after="120" w:line="238" w:lineRule="auto"/>
        <w:jc w:val="center"/>
        <w:rPr>
          <w:snapToGrid w:val="0"/>
          <w:kern w:val="22"/>
          <w:szCs w:val="22"/>
        </w:rPr>
      </w:pPr>
      <w:r w:rsidRPr="00883A1C">
        <w:rPr>
          <w:snapToGrid w:val="0"/>
          <w:kern w:val="22"/>
          <w:szCs w:val="22"/>
        </w:rPr>
        <w:t>__________</w:t>
      </w:r>
    </w:p>
    <w:p w:rsidR="00794E11" w:rsidRPr="00883A1C" w:rsidRDefault="00794E11" w:rsidP="00883A1C">
      <w:pPr>
        <w:suppressLineNumbers/>
        <w:suppressAutoHyphens/>
        <w:kinsoku w:val="0"/>
        <w:overflowPunct w:val="0"/>
        <w:autoSpaceDE w:val="0"/>
        <w:autoSpaceDN w:val="0"/>
        <w:adjustRightInd w:val="0"/>
        <w:snapToGrid w:val="0"/>
        <w:spacing w:before="120" w:after="120" w:line="238" w:lineRule="auto"/>
        <w:jc w:val="left"/>
        <w:rPr>
          <w:kern w:val="22"/>
          <w:szCs w:val="22"/>
        </w:rPr>
      </w:pPr>
    </w:p>
    <w:p w:rsidR="0034689D" w:rsidRPr="00883A1C" w:rsidRDefault="0034689D" w:rsidP="00883A1C">
      <w:pPr>
        <w:suppressLineNumbers/>
        <w:tabs>
          <w:tab w:val="left" w:pos="720"/>
        </w:tabs>
        <w:suppressAutoHyphens/>
        <w:kinsoku w:val="0"/>
        <w:overflowPunct w:val="0"/>
        <w:autoSpaceDE w:val="0"/>
        <w:autoSpaceDN w:val="0"/>
        <w:adjustRightInd w:val="0"/>
        <w:snapToGrid w:val="0"/>
        <w:spacing w:line="238" w:lineRule="auto"/>
        <w:rPr>
          <w:kern w:val="22"/>
          <w:szCs w:val="22"/>
        </w:rPr>
      </w:pPr>
    </w:p>
    <w:sectPr w:rsidR="0034689D" w:rsidRPr="00883A1C" w:rsidSect="00CA1572">
      <w:headerReference w:type="even" r:id="rId18"/>
      <w:headerReference w:type="default" r:id="rId19"/>
      <w:footerReference w:type="even" r:id="rId20"/>
      <w:headerReference w:type="first" r:id="rId21"/>
      <w:footerReference w:type="first" r:id="rId22"/>
      <w:pgSz w:w="12240" w:h="15840" w:code="1"/>
      <w:pgMar w:top="567" w:right="1440" w:bottom="1134" w:left="1440" w:header="454"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B29" w:rsidRDefault="00E44B29">
      <w:r>
        <w:separator/>
      </w:r>
    </w:p>
  </w:endnote>
  <w:endnote w:type="continuationSeparator" w:id="0">
    <w:p w:rsidR="00E44B29" w:rsidRDefault="00E44B29">
      <w:r>
        <w:continuationSeparator/>
      </w:r>
    </w:p>
  </w:endnote>
  <w:endnote w:type="continuationNotice" w:id="1">
    <w:p w:rsidR="00E44B29" w:rsidRDefault="00E44B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Univers">
    <w:altName w:val="Univers"/>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ABF" w:rsidRDefault="00F81ABF" w:rsidP="00883A1C">
    <w:pPr>
      <w:pStyle w:val="Footer"/>
      <w:tabs>
        <w:tab w:val="clear" w:pos="4320"/>
        <w:tab w:val="clear" w:pos="8640"/>
      </w:tabs>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ABF" w:rsidRDefault="00F81ABF" w:rsidP="00883A1C">
    <w:pPr>
      <w:pStyle w:val="Footer"/>
      <w:tabs>
        <w:tab w:val="clear" w:pos="4320"/>
        <w:tab w:val="clear" w:pos="8640"/>
      </w:tabs>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B29" w:rsidRDefault="00E44B29">
      <w:r>
        <w:separator/>
      </w:r>
    </w:p>
  </w:footnote>
  <w:footnote w:type="continuationSeparator" w:id="0">
    <w:p w:rsidR="00E44B29" w:rsidRDefault="00E44B29">
      <w:r>
        <w:continuationSeparator/>
      </w:r>
    </w:p>
  </w:footnote>
  <w:footnote w:type="continuationNotice" w:id="1">
    <w:p w:rsidR="00E44B29" w:rsidRDefault="00E44B29"/>
  </w:footnote>
  <w:footnote w:id="2">
    <w:p w:rsidR="00F81ABF" w:rsidRPr="00883A1C" w:rsidRDefault="00F81ABF" w:rsidP="00883A1C">
      <w:pPr>
        <w:pStyle w:val="FootnoteText"/>
        <w:kinsoku w:val="0"/>
        <w:overflowPunct w:val="0"/>
        <w:autoSpaceDE w:val="0"/>
        <w:autoSpaceDN w:val="0"/>
        <w:adjustRightInd w:val="0"/>
        <w:snapToGrid w:val="0"/>
        <w:ind w:firstLine="0"/>
        <w:jc w:val="left"/>
        <w:rPr>
          <w:snapToGrid w:val="0"/>
          <w:kern w:val="18"/>
        </w:rPr>
      </w:pPr>
      <w:r w:rsidRPr="00883A1C">
        <w:rPr>
          <w:rStyle w:val="FootnoteReference"/>
          <w:snapToGrid w:val="0"/>
          <w:kern w:val="18"/>
          <w:u w:val="none"/>
        </w:rPr>
        <w:t>*</w:t>
      </w:r>
      <w:r w:rsidRPr="00883A1C">
        <w:rPr>
          <w:snapToGrid w:val="0"/>
          <w:kern w:val="18"/>
        </w:rPr>
        <w:t xml:space="preserve"> </w:t>
      </w:r>
      <w:hyperlink r:id="rId1" w:history="1">
        <w:proofErr w:type="gramStart"/>
        <w:r w:rsidRPr="00883A1C">
          <w:rPr>
            <w:rStyle w:val="Hyperlink"/>
            <w:snapToGrid w:val="0"/>
            <w:kern w:val="18"/>
          </w:rPr>
          <w:t>CBD/SBI/2/1</w:t>
        </w:r>
      </w:hyperlink>
      <w:r w:rsidRPr="00883A1C">
        <w:rPr>
          <w:snapToGrid w:val="0"/>
          <w:kern w:val="18"/>
        </w:rPr>
        <w:t>.</w:t>
      </w:r>
      <w:proofErr w:type="gramEnd"/>
    </w:p>
  </w:footnote>
  <w:footnote w:id="3">
    <w:p w:rsidR="00121CC8" w:rsidRPr="00883A1C" w:rsidRDefault="00121CC8" w:rsidP="00877657">
      <w:pPr>
        <w:pStyle w:val="FootnoteText"/>
        <w:kinsoku w:val="0"/>
        <w:overflowPunct w:val="0"/>
        <w:autoSpaceDE w:val="0"/>
        <w:autoSpaceDN w:val="0"/>
        <w:adjustRightInd w:val="0"/>
        <w:snapToGrid w:val="0"/>
        <w:ind w:firstLine="0"/>
        <w:jc w:val="left"/>
        <w:rPr>
          <w:snapToGrid w:val="0"/>
          <w:kern w:val="18"/>
          <w:lang w:val="en-US"/>
        </w:rPr>
      </w:pPr>
      <w:r w:rsidRPr="00E61273">
        <w:rPr>
          <w:rStyle w:val="FootnoteReference"/>
          <w:snapToGrid w:val="0"/>
          <w:kern w:val="18"/>
          <w:u w:val="none"/>
          <w:vertAlign w:val="superscript"/>
        </w:rPr>
        <w:footnoteRef/>
      </w:r>
      <w:r w:rsidRPr="00E61273">
        <w:rPr>
          <w:snapToGrid w:val="0"/>
          <w:kern w:val="18"/>
        </w:rPr>
        <w:t xml:space="preserve"> </w:t>
      </w:r>
      <w:r w:rsidR="00543C00" w:rsidRPr="00883A1C">
        <w:rPr>
          <w:snapToGrid w:val="0"/>
          <w:kern w:val="18"/>
        </w:rPr>
        <w:t xml:space="preserve">See </w:t>
      </w:r>
      <w:hyperlink r:id="rId2" w:history="1">
        <w:r w:rsidR="00877657" w:rsidRPr="00715095">
          <w:rPr>
            <w:rStyle w:val="Hyperlink"/>
            <w:snapToGrid w:val="0"/>
            <w:kern w:val="18"/>
          </w:rPr>
          <w:t>https://www.ramsar.org/sites/default/files/documents/library/sc53_decisions_e.pdf</w:t>
        </w:r>
      </w:hyperlink>
      <w:bookmarkStart w:id="1" w:name="_GoBack"/>
      <w:bookmarkEnd w:id="1"/>
    </w:p>
  </w:footnote>
  <w:footnote w:id="4">
    <w:p w:rsidR="00F81ABF" w:rsidRPr="00883A1C" w:rsidRDefault="00F81ABF" w:rsidP="00883A1C">
      <w:pPr>
        <w:pStyle w:val="FootnoteText"/>
        <w:kinsoku w:val="0"/>
        <w:overflowPunct w:val="0"/>
        <w:autoSpaceDE w:val="0"/>
        <w:autoSpaceDN w:val="0"/>
        <w:adjustRightInd w:val="0"/>
        <w:snapToGrid w:val="0"/>
        <w:ind w:firstLine="0"/>
        <w:jc w:val="left"/>
        <w:rPr>
          <w:snapToGrid w:val="0"/>
          <w:kern w:val="18"/>
        </w:rPr>
      </w:pPr>
      <w:r w:rsidRPr="00883A1C">
        <w:rPr>
          <w:rStyle w:val="FootnoteReference"/>
          <w:snapToGrid w:val="0"/>
          <w:kern w:val="18"/>
          <w:u w:val="none"/>
          <w:vertAlign w:val="superscript"/>
        </w:rPr>
        <w:footnoteRef/>
      </w:r>
      <w:r w:rsidRPr="00883A1C">
        <w:rPr>
          <w:snapToGrid w:val="0"/>
          <w:kern w:val="18"/>
        </w:rPr>
        <w:t xml:space="preserve"> CITES-CMS Joint Work Programme 2015-2020: </w:t>
      </w:r>
      <w:hyperlink r:id="rId3" w:history="1">
        <w:r w:rsidRPr="00883A1C">
          <w:rPr>
            <w:rStyle w:val="Hyperlink"/>
            <w:snapToGrid w:val="0"/>
            <w:kern w:val="18"/>
          </w:rPr>
          <w:t>https://cites.org/sites/default/files/common/disc/sec/CITES-CMS-wp-en.pdf</w:t>
        </w:r>
      </w:hyperlink>
      <w:r w:rsidRPr="00883A1C">
        <w:rPr>
          <w:snapToGrid w:val="0"/>
          <w:kern w:val="18"/>
        </w:rPr>
        <w:t xml:space="preserve"> </w:t>
      </w:r>
    </w:p>
  </w:footnote>
  <w:footnote w:id="5">
    <w:p w:rsidR="00F81ABF" w:rsidRPr="00883A1C" w:rsidRDefault="00F81ABF" w:rsidP="00883A1C">
      <w:pPr>
        <w:pStyle w:val="FootnoteText"/>
        <w:kinsoku w:val="0"/>
        <w:overflowPunct w:val="0"/>
        <w:autoSpaceDE w:val="0"/>
        <w:autoSpaceDN w:val="0"/>
        <w:adjustRightInd w:val="0"/>
        <w:snapToGrid w:val="0"/>
        <w:ind w:firstLine="0"/>
        <w:jc w:val="left"/>
        <w:rPr>
          <w:snapToGrid w:val="0"/>
          <w:kern w:val="18"/>
        </w:rPr>
      </w:pPr>
      <w:r w:rsidRPr="00883A1C">
        <w:rPr>
          <w:rStyle w:val="FootnoteReference"/>
          <w:snapToGrid w:val="0"/>
          <w:kern w:val="18"/>
          <w:u w:val="none"/>
          <w:vertAlign w:val="superscript"/>
        </w:rPr>
        <w:footnoteRef/>
      </w:r>
      <w:r w:rsidRPr="00883A1C">
        <w:rPr>
          <w:snapToGrid w:val="0"/>
          <w:kern w:val="18"/>
        </w:rPr>
        <w:t xml:space="preserve"> </w:t>
      </w:r>
      <w:proofErr w:type="spellStart"/>
      <w:proofErr w:type="gramStart"/>
      <w:r w:rsidRPr="00883A1C">
        <w:rPr>
          <w:snapToGrid w:val="0"/>
          <w:kern w:val="18"/>
        </w:rPr>
        <w:t>McInnes</w:t>
      </w:r>
      <w:proofErr w:type="spellEnd"/>
      <w:r w:rsidRPr="00883A1C">
        <w:rPr>
          <w:snapToGrid w:val="0"/>
          <w:kern w:val="18"/>
        </w:rPr>
        <w:t xml:space="preserve"> R., Ali M. and Pritchard D. (2017).</w:t>
      </w:r>
      <w:proofErr w:type="gramEnd"/>
      <w:r w:rsidRPr="00883A1C" w:rsidDel="00BD7294">
        <w:rPr>
          <w:snapToGrid w:val="0"/>
          <w:kern w:val="18"/>
        </w:rPr>
        <w:t xml:space="preserve"> </w:t>
      </w:r>
      <w:hyperlink r:id="rId4" w:history="1">
        <w:proofErr w:type="spellStart"/>
        <w:proofErr w:type="gramStart"/>
        <w:r w:rsidRPr="00883A1C">
          <w:rPr>
            <w:rStyle w:val="Hyperlink"/>
            <w:i/>
            <w:iCs/>
            <w:snapToGrid w:val="0"/>
            <w:kern w:val="18"/>
          </w:rPr>
          <w:t>Ramsar</w:t>
        </w:r>
        <w:proofErr w:type="spellEnd"/>
        <w:r w:rsidRPr="00883A1C">
          <w:rPr>
            <w:rStyle w:val="Hyperlink"/>
            <w:i/>
            <w:iCs/>
            <w:snapToGrid w:val="0"/>
            <w:kern w:val="18"/>
          </w:rPr>
          <w:t xml:space="preserve"> and World Heritage Conventions Converging towards Success</w:t>
        </w:r>
      </w:hyperlink>
      <w:r w:rsidRPr="00883A1C">
        <w:rPr>
          <w:snapToGrid w:val="0"/>
          <w:kern w:val="18"/>
        </w:rPr>
        <w:t>.</w:t>
      </w:r>
      <w:proofErr w:type="gramEnd"/>
      <w:r w:rsidRPr="00883A1C">
        <w:rPr>
          <w:snapToGrid w:val="0"/>
          <w:kern w:val="18"/>
        </w:rPr>
        <w:t xml:space="preserve"> </w:t>
      </w:r>
      <w:proofErr w:type="spellStart"/>
      <w:proofErr w:type="gramStart"/>
      <w:r w:rsidRPr="00883A1C">
        <w:rPr>
          <w:snapToGrid w:val="0"/>
          <w:kern w:val="18"/>
        </w:rPr>
        <w:t>Ramsar</w:t>
      </w:r>
      <w:proofErr w:type="spellEnd"/>
      <w:r w:rsidRPr="00883A1C">
        <w:rPr>
          <w:snapToGrid w:val="0"/>
          <w:kern w:val="18"/>
        </w:rPr>
        <w:t xml:space="preserve"> Convention Secretariat.</w:t>
      </w:r>
      <w:proofErr w:type="gramEnd"/>
    </w:p>
  </w:footnote>
  <w:footnote w:id="6">
    <w:p w:rsidR="00F81ABF" w:rsidRPr="00883A1C" w:rsidRDefault="00F81ABF" w:rsidP="00883A1C">
      <w:pPr>
        <w:pStyle w:val="FootnoteText"/>
        <w:kinsoku w:val="0"/>
        <w:overflowPunct w:val="0"/>
        <w:autoSpaceDE w:val="0"/>
        <w:autoSpaceDN w:val="0"/>
        <w:adjustRightInd w:val="0"/>
        <w:snapToGrid w:val="0"/>
        <w:ind w:firstLine="0"/>
        <w:jc w:val="left"/>
        <w:rPr>
          <w:snapToGrid w:val="0"/>
          <w:kern w:val="18"/>
        </w:rPr>
      </w:pPr>
      <w:r w:rsidRPr="00883A1C">
        <w:rPr>
          <w:rStyle w:val="FootnoteReference"/>
          <w:snapToGrid w:val="0"/>
          <w:kern w:val="18"/>
          <w:u w:val="none"/>
          <w:vertAlign w:val="superscript"/>
        </w:rPr>
        <w:footnoteRef/>
      </w:r>
      <w:r w:rsidRPr="00883A1C">
        <w:rPr>
          <w:snapToGrid w:val="0"/>
          <w:kern w:val="18"/>
        </w:rPr>
        <w:t xml:space="preserve"> WHC website: </w:t>
      </w:r>
      <w:hyperlink r:id="rId5" w:history="1">
        <w:r w:rsidRPr="00883A1C">
          <w:rPr>
            <w:rStyle w:val="Hyperlink"/>
            <w:snapToGrid w:val="0"/>
            <w:kern w:val="18"/>
          </w:rPr>
          <w:t>http://whc.unesco.org/en/activities/920</w:t>
        </w:r>
      </w:hyperlink>
    </w:p>
  </w:footnote>
  <w:footnote w:id="7">
    <w:p w:rsidR="00F81ABF" w:rsidRPr="00883A1C" w:rsidRDefault="00F81ABF" w:rsidP="00883A1C">
      <w:pPr>
        <w:pStyle w:val="FootnoteText"/>
        <w:kinsoku w:val="0"/>
        <w:overflowPunct w:val="0"/>
        <w:autoSpaceDE w:val="0"/>
        <w:autoSpaceDN w:val="0"/>
        <w:adjustRightInd w:val="0"/>
        <w:snapToGrid w:val="0"/>
        <w:ind w:firstLine="0"/>
        <w:jc w:val="left"/>
        <w:rPr>
          <w:snapToGrid w:val="0"/>
          <w:kern w:val="18"/>
        </w:rPr>
      </w:pPr>
      <w:r w:rsidRPr="00883A1C">
        <w:rPr>
          <w:rStyle w:val="FootnoteReference"/>
          <w:snapToGrid w:val="0"/>
          <w:kern w:val="18"/>
          <w:u w:val="none"/>
          <w:vertAlign w:val="superscript"/>
        </w:rPr>
        <w:footnoteRef/>
      </w:r>
      <w:r w:rsidRPr="00883A1C">
        <w:rPr>
          <w:snapToGrid w:val="0"/>
          <w:kern w:val="18"/>
        </w:rPr>
        <w:t xml:space="preserve"> See </w:t>
      </w:r>
      <w:hyperlink r:id="rId6" w:history="1">
        <w:r w:rsidRPr="00883A1C">
          <w:rPr>
            <w:rStyle w:val="Hyperlink"/>
            <w:snapToGrid w:val="0"/>
            <w:kern w:val="18"/>
          </w:rPr>
          <w:t>http://whc.unesco.org/en/news/1550</w:t>
        </w:r>
      </w:hyperlink>
    </w:p>
  </w:footnote>
  <w:footnote w:id="8">
    <w:p w:rsidR="00F81ABF" w:rsidRPr="00883A1C" w:rsidRDefault="00F81ABF" w:rsidP="00883A1C">
      <w:pPr>
        <w:pStyle w:val="FootnoteText"/>
        <w:kinsoku w:val="0"/>
        <w:overflowPunct w:val="0"/>
        <w:autoSpaceDE w:val="0"/>
        <w:autoSpaceDN w:val="0"/>
        <w:adjustRightInd w:val="0"/>
        <w:snapToGrid w:val="0"/>
        <w:ind w:firstLine="0"/>
        <w:jc w:val="left"/>
        <w:rPr>
          <w:snapToGrid w:val="0"/>
          <w:kern w:val="18"/>
        </w:rPr>
      </w:pPr>
      <w:r w:rsidRPr="00883A1C">
        <w:rPr>
          <w:rStyle w:val="FootnoteReference"/>
          <w:snapToGrid w:val="0"/>
          <w:kern w:val="18"/>
          <w:u w:val="none"/>
          <w:vertAlign w:val="superscript"/>
        </w:rPr>
        <w:footnoteRef/>
      </w:r>
      <w:r w:rsidRPr="00883A1C">
        <w:rPr>
          <w:snapToGrid w:val="0"/>
          <w:kern w:val="18"/>
        </w:rPr>
        <w:t xml:space="preserve"> Twelfth session of the Commission on Phytosanitary Measures, Incheon, Republic of Korea, 5-11 April 2017: Report from the Secretariat of the Convention on Biological Diversity (CPM 2017/CRP/03); International Cooperation - IPPC Secretariat cooperation with relevant organizations (CPM 2017/30). Thirteenth session of the Commission on Phytosanitary Measures, Rome, 16-20 April 2018: Report of the Secretariat of the Convention on Biological Diversity (CPM 2018/CRP/09); Report from the IPPC Secretariat - Report on the International Cooperation (CPM 2018/31).</w:t>
      </w:r>
    </w:p>
  </w:footnote>
  <w:footnote w:id="9">
    <w:p w:rsidR="00F81ABF" w:rsidRPr="00883A1C" w:rsidRDefault="00F81ABF" w:rsidP="00883A1C">
      <w:pPr>
        <w:pStyle w:val="FootnoteText"/>
        <w:kinsoku w:val="0"/>
        <w:overflowPunct w:val="0"/>
        <w:autoSpaceDE w:val="0"/>
        <w:autoSpaceDN w:val="0"/>
        <w:adjustRightInd w:val="0"/>
        <w:snapToGrid w:val="0"/>
        <w:ind w:firstLine="0"/>
        <w:jc w:val="left"/>
        <w:rPr>
          <w:snapToGrid w:val="0"/>
          <w:kern w:val="18"/>
        </w:rPr>
      </w:pPr>
      <w:r w:rsidRPr="00883A1C">
        <w:rPr>
          <w:rStyle w:val="FootnoteReference"/>
          <w:snapToGrid w:val="0"/>
          <w:kern w:val="18"/>
          <w:u w:val="none"/>
          <w:vertAlign w:val="superscript"/>
        </w:rPr>
        <w:footnoteRef/>
      </w:r>
      <w:r w:rsidRPr="00883A1C">
        <w:rPr>
          <w:snapToGrid w:val="0"/>
          <w:kern w:val="18"/>
        </w:rPr>
        <w:t xml:space="preserve"> </w:t>
      </w:r>
      <w:proofErr w:type="gramStart"/>
      <w:r w:rsidRPr="00883A1C">
        <w:rPr>
          <w:snapToGrid w:val="0"/>
          <w:kern w:val="18"/>
        </w:rPr>
        <w:t>IT/GB-7/17/19 (</w:t>
      </w:r>
      <w:hyperlink r:id="rId7" w:history="1">
        <w:r w:rsidR="001079D6" w:rsidRPr="00883A1C">
          <w:rPr>
            <w:rStyle w:val="Hyperlink"/>
            <w:snapToGrid w:val="0"/>
            <w:kern w:val="18"/>
          </w:rPr>
          <w:t>http://www.fao.org/3/a-mu388e.pdf</w:t>
        </w:r>
      </w:hyperlink>
      <w:r w:rsidRPr="00883A1C">
        <w:rPr>
          <w:snapToGrid w:val="0"/>
          <w:kern w:val="18"/>
        </w:rPr>
        <w:t>).</w:t>
      </w:r>
      <w:proofErr w:type="gramEnd"/>
    </w:p>
  </w:footnote>
  <w:footnote w:id="10">
    <w:p w:rsidR="00F81ABF" w:rsidRPr="00883A1C" w:rsidRDefault="00F81ABF" w:rsidP="00883A1C">
      <w:pPr>
        <w:pStyle w:val="FootnoteText"/>
        <w:kinsoku w:val="0"/>
        <w:overflowPunct w:val="0"/>
        <w:autoSpaceDE w:val="0"/>
        <w:autoSpaceDN w:val="0"/>
        <w:adjustRightInd w:val="0"/>
        <w:snapToGrid w:val="0"/>
        <w:ind w:firstLine="0"/>
        <w:jc w:val="left"/>
        <w:rPr>
          <w:snapToGrid w:val="0"/>
          <w:kern w:val="18"/>
        </w:rPr>
      </w:pPr>
      <w:r w:rsidRPr="00883A1C">
        <w:rPr>
          <w:rStyle w:val="FootnoteReference"/>
          <w:snapToGrid w:val="0"/>
          <w:kern w:val="18"/>
          <w:u w:val="none"/>
          <w:vertAlign w:val="superscript"/>
        </w:rPr>
        <w:footnoteRef/>
      </w:r>
      <w:r w:rsidRPr="00883A1C">
        <w:rPr>
          <w:snapToGrid w:val="0"/>
          <w:kern w:val="18"/>
        </w:rPr>
        <w:t xml:space="preserve"> IT/GB-7/17/Inf.14 (</w:t>
      </w:r>
      <w:hyperlink r:id="rId8" w:history="1">
        <w:r w:rsidR="001079D6" w:rsidRPr="00883A1C">
          <w:rPr>
            <w:rStyle w:val="Hyperlink"/>
            <w:snapToGrid w:val="0"/>
            <w:kern w:val="18"/>
          </w:rPr>
          <w:t>http://www.fao.org/3/a-bs781e.pdf</w:t>
        </w:r>
      </w:hyperlink>
      <w:r w:rsidRPr="00883A1C">
        <w:rPr>
          <w:snapToGrid w:val="0"/>
          <w:kern w:val="18"/>
        </w:rPr>
        <w:t>).</w:t>
      </w:r>
    </w:p>
  </w:footnote>
  <w:footnote w:id="11">
    <w:p w:rsidR="00F81ABF" w:rsidRPr="00883A1C" w:rsidRDefault="00F81ABF" w:rsidP="00883A1C">
      <w:pPr>
        <w:pStyle w:val="FootnoteText"/>
        <w:kinsoku w:val="0"/>
        <w:overflowPunct w:val="0"/>
        <w:autoSpaceDE w:val="0"/>
        <w:autoSpaceDN w:val="0"/>
        <w:adjustRightInd w:val="0"/>
        <w:snapToGrid w:val="0"/>
        <w:ind w:firstLine="0"/>
        <w:jc w:val="left"/>
        <w:rPr>
          <w:snapToGrid w:val="0"/>
          <w:kern w:val="18"/>
        </w:rPr>
      </w:pPr>
      <w:r w:rsidRPr="00883A1C">
        <w:rPr>
          <w:rStyle w:val="FootnoteReference"/>
          <w:snapToGrid w:val="0"/>
          <w:kern w:val="18"/>
          <w:u w:val="none"/>
          <w:vertAlign w:val="superscript"/>
        </w:rPr>
        <w:footnoteRef/>
      </w:r>
      <w:r w:rsidRPr="00883A1C">
        <w:rPr>
          <w:snapToGrid w:val="0"/>
          <w:kern w:val="18"/>
        </w:rPr>
        <w:t xml:space="preserve"> </w:t>
      </w:r>
      <w:r w:rsidRPr="00883A1C">
        <w:rPr>
          <w:snapToGrid w:val="0"/>
          <w:spacing w:val="-2"/>
          <w:kern w:val="18"/>
        </w:rPr>
        <w:t>Notification 2017-081</w:t>
      </w:r>
      <w:r w:rsidRPr="00883A1C">
        <w:rPr>
          <w:snapToGrid w:val="0"/>
          <w:spacing w:val="-2"/>
          <w:kern w:val="18"/>
          <w:szCs w:val="22"/>
        </w:rPr>
        <w:t>, 28 August 2017,</w:t>
      </w:r>
      <w:r w:rsidRPr="00883A1C">
        <w:rPr>
          <w:snapToGrid w:val="0"/>
          <w:spacing w:val="-2"/>
          <w:kern w:val="18"/>
        </w:rPr>
        <w:t xml:space="preserve"> available at: </w:t>
      </w:r>
      <w:hyperlink r:id="rId9" w:history="1">
        <w:r w:rsidRPr="00883A1C">
          <w:rPr>
            <w:rStyle w:val="Hyperlink"/>
            <w:snapToGrid w:val="0"/>
            <w:spacing w:val="-2"/>
            <w:kern w:val="18"/>
          </w:rPr>
          <w:t>https://www.cbd.int/doc/notifications/2017/ntf-2017-081-cooperation-en.pdf</w:t>
        </w:r>
      </w:hyperlink>
    </w:p>
  </w:footnote>
  <w:footnote w:id="12">
    <w:p w:rsidR="00F81ABF" w:rsidRPr="00883A1C" w:rsidRDefault="00F81ABF" w:rsidP="00883A1C">
      <w:pPr>
        <w:pStyle w:val="FootnoteText"/>
        <w:kinsoku w:val="0"/>
        <w:overflowPunct w:val="0"/>
        <w:autoSpaceDE w:val="0"/>
        <w:autoSpaceDN w:val="0"/>
        <w:adjustRightInd w:val="0"/>
        <w:snapToGrid w:val="0"/>
        <w:ind w:firstLine="0"/>
        <w:jc w:val="left"/>
        <w:rPr>
          <w:snapToGrid w:val="0"/>
          <w:kern w:val="18"/>
        </w:rPr>
      </w:pPr>
      <w:r w:rsidRPr="00883A1C">
        <w:rPr>
          <w:rStyle w:val="FootnoteReference"/>
          <w:snapToGrid w:val="0"/>
          <w:kern w:val="18"/>
          <w:u w:val="none"/>
          <w:vertAlign w:val="superscript"/>
        </w:rPr>
        <w:footnoteRef/>
      </w:r>
      <w:r w:rsidRPr="00883A1C">
        <w:rPr>
          <w:rStyle w:val="FootnoteReference"/>
          <w:snapToGrid w:val="0"/>
          <w:kern w:val="18"/>
          <w:u w:val="none"/>
          <w:vertAlign w:val="superscript"/>
        </w:rPr>
        <w:t xml:space="preserve"> </w:t>
      </w:r>
      <w:r w:rsidRPr="00883A1C">
        <w:rPr>
          <w:snapToGrid w:val="0"/>
          <w:kern w:val="18"/>
        </w:rPr>
        <w:t xml:space="preserve">Notification 2017-114 available at: </w:t>
      </w:r>
      <w:hyperlink r:id="rId10" w:history="1">
        <w:r w:rsidRPr="00883A1C">
          <w:rPr>
            <w:rStyle w:val="Hyperlink"/>
            <w:snapToGrid w:val="0"/>
            <w:kern w:val="18"/>
          </w:rPr>
          <w:t>https://www.cbd.int/doc/notifications/2017/ntf-2017-114-iag-en.pdf</w:t>
        </w:r>
      </w:hyperlink>
    </w:p>
  </w:footnote>
  <w:footnote w:id="13">
    <w:p w:rsidR="00F81ABF" w:rsidRPr="00883A1C" w:rsidRDefault="00F81ABF" w:rsidP="00883A1C">
      <w:pPr>
        <w:pStyle w:val="FootnoteText"/>
        <w:kinsoku w:val="0"/>
        <w:overflowPunct w:val="0"/>
        <w:autoSpaceDE w:val="0"/>
        <w:autoSpaceDN w:val="0"/>
        <w:adjustRightInd w:val="0"/>
        <w:snapToGrid w:val="0"/>
        <w:ind w:firstLine="0"/>
        <w:jc w:val="left"/>
        <w:rPr>
          <w:snapToGrid w:val="0"/>
          <w:kern w:val="18"/>
        </w:rPr>
      </w:pPr>
      <w:r w:rsidRPr="00883A1C">
        <w:rPr>
          <w:rStyle w:val="FootnoteReference"/>
          <w:snapToGrid w:val="0"/>
          <w:kern w:val="18"/>
          <w:u w:val="none"/>
          <w:vertAlign w:val="superscript"/>
        </w:rPr>
        <w:footnoteRef/>
      </w:r>
      <w:r w:rsidRPr="00883A1C">
        <w:rPr>
          <w:snapToGrid w:val="0"/>
          <w:kern w:val="18"/>
        </w:rPr>
        <w:t xml:space="preserve"> </w:t>
      </w:r>
      <w:proofErr w:type="gramStart"/>
      <w:r w:rsidRPr="00883A1C">
        <w:rPr>
          <w:snapToGrid w:val="0"/>
          <w:color w:val="000000" w:themeColor="text1"/>
          <w:kern w:val="18"/>
          <w:szCs w:val="18"/>
        </w:rPr>
        <w:t>CBD/SBI/2/INF/14.</w:t>
      </w:r>
      <w:proofErr w:type="gramEnd"/>
    </w:p>
  </w:footnote>
  <w:footnote w:id="14">
    <w:p w:rsidR="00F81ABF" w:rsidRPr="00883A1C" w:rsidRDefault="00F81ABF" w:rsidP="00883A1C">
      <w:pPr>
        <w:pStyle w:val="FootnoteText"/>
        <w:kinsoku w:val="0"/>
        <w:overflowPunct w:val="0"/>
        <w:autoSpaceDE w:val="0"/>
        <w:autoSpaceDN w:val="0"/>
        <w:adjustRightInd w:val="0"/>
        <w:snapToGrid w:val="0"/>
        <w:ind w:firstLine="0"/>
        <w:jc w:val="left"/>
        <w:rPr>
          <w:snapToGrid w:val="0"/>
          <w:kern w:val="18"/>
        </w:rPr>
      </w:pPr>
      <w:r w:rsidRPr="00883A1C">
        <w:rPr>
          <w:rStyle w:val="FootnoteReference"/>
          <w:snapToGrid w:val="0"/>
          <w:kern w:val="18"/>
          <w:u w:val="none"/>
          <w:vertAlign w:val="superscript"/>
        </w:rPr>
        <w:footnoteRef/>
      </w:r>
      <w:r w:rsidRPr="00883A1C">
        <w:rPr>
          <w:snapToGrid w:val="0"/>
          <w:kern w:val="18"/>
        </w:rPr>
        <w:t xml:space="preserve"> </w:t>
      </w:r>
      <w:proofErr w:type="gramStart"/>
      <w:r w:rsidRPr="00883A1C">
        <w:rPr>
          <w:snapToGrid w:val="0"/>
          <w:kern w:val="18"/>
        </w:rPr>
        <w:t>Activity 2.1 of the road map</w:t>
      </w:r>
      <w:r w:rsidRPr="00883A1C">
        <w:rPr>
          <w:bCs/>
          <w:snapToGrid w:val="0"/>
          <w:kern w:val="18"/>
        </w:rPr>
        <w:t>.</w:t>
      </w:r>
      <w:proofErr w:type="gramEnd"/>
    </w:p>
  </w:footnote>
  <w:footnote w:id="15">
    <w:p w:rsidR="00F81ABF" w:rsidRPr="00883A1C" w:rsidRDefault="00F81ABF" w:rsidP="00883A1C">
      <w:pPr>
        <w:pStyle w:val="FootnoteText"/>
        <w:kinsoku w:val="0"/>
        <w:overflowPunct w:val="0"/>
        <w:autoSpaceDE w:val="0"/>
        <w:autoSpaceDN w:val="0"/>
        <w:adjustRightInd w:val="0"/>
        <w:snapToGrid w:val="0"/>
        <w:ind w:firstLine="0"/>
        <w:jc w:val="left"/>
        <w:rPr>
          <w:snapToGrid w:val="0"/>
          <w:kern w:val="18"/>
        </w:rPr>
      </w:pPr>
      <w:r w:rsidRPr="00883A1C">
        <w:rPr>
          <w:rStyle w:val="FootnoteReference"/>
          <w:snapToGrid w:val="0"/>
          <w:kern w:val="18"/>
          <w:u w:val="none"/>
          <w:vertAlign w:val="superscript"/>
        </w:rPr>
        <w:footnoteRef/>
      </w:r>
      <w:r w:rsidRPr="00883A1C">
        <w:rPr>
          <w:snapToGrid w:val="0"/>
          <w:kern w:val="18"/>
        </w:rPr>
        <w:t xml:space="preserve"> </w:t>
      </w:r>
      <w:proofErr w:type="gramStart"/>
      <w:r w:rsidRPr="00883A1C">
        <w:rPr>
          <w:snapToGrid w:val="0"/>
          <w:kern w:val="18"/>
        </w:rPr>
        <w:t>Decision VIII/16, para 1; Decision IX/27, para 12.</w:t>
      </w:r>
      <w:proofErr w:type="gramEnd"/>
    </w:p>
  </w:footnote>
  <w:footnote w:id="16">
    <w:p w:rsidR="00F81ABF" w:rsidRPr="00883A1C" w:rsidRDefault="00F81ABF" w:rsidP="00883A1C">
      <w:pPr>
        <w:pStyle w:val="FootnoteText"/>
        <w:kinsoku w:val="0"/>
        <w:overflowPunct w:val="0"/>
        <w:autoSpaceDE w:val="0"/>
        <w:autoSpaceDN w:val="0"/>
        <w:adjustRightInd w:val="0"/>
        <w:snapToGrid w:val="0"/>
        <w:ind w:firstLine="0"/>
        <w:jc w:val="left"/>
        <w:rPr>
          <w:snapToGrid w:val="0"/>
          <w:kern w:val="18"/>
        </w:rPr>
      </w:pPr>
      <w:r w:rsidRPr="00883A1C">
        <w:rPr>
          <w:rStyle w:val="FootnoteReference"/>
          <w:snapToGrid w:val="0"/>
          <w:kern w:val="18"/>
          <w:u w:val="none"/>
          <w:vertAlign w:val="superscript"/>
        </w:rPr>
        <w:footnoteRef/>
      </w:r>
      <w:r w:rsidRPr="00883A1C">
        <w:rPr>
          <w:snapToGrid w:val="0"/>
          <w:kern w:val="18"/>
        </w:rPr>
        <w:t xml:space="preserve"> For example, initiation of a joint informal committee across the conventions, to serve in an advisory capacity, which would build on experience gained through a workshop organized in 2016 in response to decision XII/6, which convened representation of the Parties to each of seven global biodiversity</w:t>
      </w:r>
      <w:r w:rsidRPr="00883A1C">
        <w:rPr>
          <w:snapToGrid w:val="0"/>
          <w:kern w:val="18"/>
        </w:rPr>
        <w:noBreakHyphen/>
        <w:t>related conventions, drawn from among their bureaux, standing committees or equivalent bodies (UNEP/CBD/COP/13/15).</w:t>
      </w:r>
    </w:p>
  </w:footnote>
  <w:footnote w:id="17">
    <w:p w:rsidR="00F81ABF" w:rsidRPr="00883A1C" w:rsidRDefault="00F81ABF" w:rsidP="00883A1C">
      <w:pPr>
        <w:pStyle w:val="FootnoteText"/>
        <w:kinsoku w:val="0"/>
        <w:overflowPunct w:val="0"/>
        <w:autoSpaceDE w:val="0"/>
        <w:autoSpaceDN w:val="0"/>
        <w:adjustRightInd w:val="0"/>
        <w:snapToGrid w:val="0"/>
        <w:ind w:firstLine="0"/>
        <w:jc w:val="left"/>
        <w:rPr>
          <w:snapToGrid w:val="0"/>
          <w:kern w:val="18"/>
        </w:rPr>
      </w:pPr>
      <w:r w:rsidRPr="00883A1C">
        <w:rPr>
          <w:rStyle w:val="FootnoteReference"/>
          <w:snapToGrid w:val="0"/>
          <w:kern w:val="18"/>
          <w:u w:val="none"/>
          <w:vertAlign w:val="superscript"/>
        </w:rPr>
        <w:footnoteRef/>
      </w:r>
      <w:r w:rsidRPr="00883A1C">
        <w:rPr>
          <w:snapToGrid w:val="0"/>
          <w:kern w:val="18"/>
        </w:rPr>
        <w:t xml:space="preserve"> Decision VIII/16, para 2; decision X/20, para 5; decision XI/6, para 10; decision XIII/24, para 11. This has been emphasized in the options for enhancing synergies among the biodiversity-related conventions at the national level contained in annex I of decision XIII/24.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435956939"/>
      <w:dataBinding w:prefixMappings="xmlns:ns0='http://purl.org/dc/elements/1.1/' xmlns:ns1='http://schemas.openxmlformats.org/package/2006/metadata/core-properties' " w:xpath="/ns1:coreProperties[1]/ns0:subject[1]" w:storeItemID="{6C3C8BC8-F283-45AE-878A-BAB7291924A1}"/>
      <w:text/>
    </w:sdtPr>
    <w:sdtEndPr/>
    <w:sdtContent>
      <w:p w:rsidR="00F81ABF" w:rsidRPr="008A2A48" w:rsidRDefault="00F81ABF" w:rsidP="00883A1C">
        <w:pPr>
          <w:pStyle w:val="Header"/>
          <w:tabs>
            <w:tab w:val="clear" w:pos="4320"/>
            <w:tab w:val="clear" w:pos="8640"/>
          </w:tabs>
          <w:kinsoku w:val="0"/>
          <w:overflowPunct w:val="0"/>
          <w:autoSpaceDE w:val="0"/>
          <w:autoSpaceDN w:val="0"/>
          <w:adjustRightInd w:val="0"/>
          <w:snapToGrid w:val="0"/>
          <w:jc w:val="left"/>
          <w:rPr>
            <w:noProof/>
            <w:kern w:val="22"/>
          </w:rPr>
        </w:pPr>
        <w:r w:rsidRPr="008A2A48">
          <w:rPr>
            <w:noProof/>
            <w:kern w:val="22"/>
          </w:rPr>
          <w:t>CBD/SBI/2/10/Add.1</w:t>
        </w:r>
      </w:p>
    </w:sdtContent>
  </w:sdt>
  <w:p w:rsidR="00F81ABF" w:rsidRPr="008A2A48" w:rsidRDefault="00F81ABF" w:rsidP="00883A1C">
    <w:pPr>
      <w:pStyle w:val="Header"/>
      <w:tabs>
        <w:tab w:val="clear" w:pos="4320"/>
        <w:tab w:val="clear" w:pos="8640"/>
      </w:tabs>
      <w:kinsoku w:val="0"/>
      <w:overflowPunct w:val="0"/>
      <w:autoSpaceDE w:val="0"/>
      <w:autoSpaceDN w:val="0"/>
      <w:adjustRightInd w:val="0"/>
      <w:snapToGrid w:val="0"/>
      <w:jc w:val="left"/>
      <w:rPr>
        <w:noProof/>
        <w:kern w:val="22"/>
      </w:rPr>
    </w:pPr>
    <w:r w:rsidRPr="008A2A48">
      <w:rPr>
        <w:noProof/>
        <w:kern w:val="22"/>
      </w:rPr>
      <w:t xml:space="preserve">Page </w:t>
    </w:r>
    <w:r w:rsidRPr="008A2A48">
      <w:rPr>
        <w:noProof/>
        <w:kern w:val="22"/>
      </w:rPr>
      <w:fldChar w:fldCharType="begin"/>
    </w:r>
    <w:r w:rsidRPr="008A2A48">
      <w:rPr>
        <w:noProof/>
        <w:kern w:val="22"/>
      </w:rPr>
      <w:instrText xml:space="preserve"> PAGE   \* MERGEFORMAT </w:instrText>
    </w:r>
    <w:r w:rsidRPr="008A2A48">
      <w:rPr>
        <w:noProof/>
        <w:kern w:val="22"/>
      </w:rPr>
      <w:fldChar w:fldCharType="separate"/>
    </w:r>
    <w:r w:rsidR="00877657">
      <w:rPr>
        <w:noProof/>
        <w:kern w:val="22"/>
      </w:rPr>
      <w:t>2</w:t>
    </w:r>
    <w:r w:rsidRPr="008A2A48">
      <w:rPr>
        <w:noProof/>
        <w:kern w:val="22"/>
      </w:rPr>
      <w:fldChar w:fldCharType="end"/>
    </w:r>
  </w:p>
  <w:p w:rsidR="00F81ABF" w:rsidRPr="00036A2C" w:rsidRDefault="00F81ABF" w:rsidP="00883A1C">
    <w:pPr>
      <w:kinsoku w:val="0"/>
      <w:overflowPunct w:val="0"/>
      <w:autoSpaceDE w:val="0"/>
      <w:autoSpaceDN w:val="0"/>
      <w:adjustRightInd w:val="0"/>
      <w:snapToGrid w:val="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599458323"/>
      <w:dataBinding w:prefixMappings="xmlns:ns0='http://purl.org/dc/elements/1.1/' xmlns:ns1='http://schemas.openxmlformats.org/package/2006/metadata/core-properties' " w:xpath="/ns1:coreProperties[1]/ns0:subject[1]" w:storeItemID="{6C3C8BC8-F283-45AE-878A-BAB7291924A1}"/>
      <w:text/>
    </w:sdtPr>
    <w:sdtEndPr/>
    <w:sdtContent>
      <w:p w:rsidR="00F81ABF" w:rsidRPr="005440A6" w:rsidRDefault="00F81ABF" w:rsidP="00883A1C">
        <w:pPr>
          <w:pStyle w:val="Header"/>
          <w:tabs>
            <w:tab w:val="clear" w:pos="4320"/>
            <w:tab w:val="clear" w:pos="8640"/>
          </w:tabs>
          <w:kinsoku w:val="0"/>
          <w:overflowPunct w:val="0"/>
          <w:autoSpaceDE w:val="0"/>
          <w:autoSpaceDN w:val="0"/>
          <w:adjustRightInd w:val="0"/>
          <w:snapToGrid w:val="0"/>
          <w:jc w:val="right"/>
          <w:rPr>
            <w:noProof/>
            <w:kern w:val="22"/>
          </w:rPr>
        </w:pPr>
        <w:r>
          <w:rPr>
            <w:noProof/>
            <w:kern w:val="22"/>
            <w:lang w:val="en-US"/>
          </w:rPr>
          <w:t>CBD/SBI/2/10/Add.1</w:t>
        </w:r>
      </w:p>
    </w:sdtContent>
  </w:sdt>
  <w:p w:rsidR="00F81ABF" w:rsidRPr="005440A6" w:rsidRDefault="00F81ABF" w:rsidP="00883A1C">
    <w:pPr>
      <w:pStyle w:val="Header"/>
      <w:tabs>
        <w:tab w:val="clear" w:pos="4320"/>
        <w:tab w:val="clear" w:pos="8640"/>
      </w:tabs>
      <w:kinsoku w:val="0"/>
      <w:overflowPunct w:val="0"/>
      <w:autoSpaceDE w:val="0"/>
      <w:autoSpaceDN w:val="0"/>
      <w:adjustRightInd w:val="0"/>
      <w:snapToGrid w:val="0"/>
      <w:jc w:val="right"/>
      <w:rPr>
        <w:noProof/>
        <w:kern w:val="22"/>
      </w:rPr>
    </w:pPr>
    <w:r w:rsidRPr="005440A6">
      <w:rPr>
        <w:noProof/>
        <w:kern w:val="22"/>
      </w:rPr>
      <w:t xml:space="preserve">Page </w:t>
    </w:r>
    <w:r w:rsidRPr="005440A6">
      <w:rPr>
        <w:noProof/>
        <w:kern w:val="22"/>
      </w:rPr>
      <w:fldChar w:fldCharType="begin"/>
    </w:r>
    <w:r w:rsidRPr="005440A6">
      <w:rPr>
        <w:noProof/>
        <w:kern w:val="22"/>
      </w:rPr>
      <w:instrText xml:space="preserve"> PAGE   \* MERGEFORMAT </w:instrText>
    </w:r>
    <w:r w:rsidRPr="005440A6">
      <w:rPr>
        <w:noProof/>
        <w:kern w:val="22"/>
      </w:rPr>
      <w:fldChar w:fldCharType="separate"/>
    </w:r>
    <w:r w:rsidR="00877657">
      <w:rPr>
        <w:noProof/>
        <w:kern w:val="22"/>
      </w:rPr>
      <w:t>3</w:t>
    </w:r>
    <w:r w:rsidRPr="005440A6">
      <w:rPr>
        <w:noProof/>
        <w:kern w:val="22"/>
      </w:rPr>
      <w:fldChar w:fldCharType="end"/>
    </w:r>
  </w:p>
  <w:p w:rsidR="00F81ABF" w:rsidRDefault="00F81ABF" w:rsidP="00883A1C">
    <w:pPr>
      <w:kinsoku w:val="0"/>
      <w:overflowPunct w:val="0"/>
      <w:autoSpaceDE w:val="0"/>
      <w:autoSpaceDN w:val="0"/>
      <w:adjustRightInd w:val="0"/>
      <w:snapToGrid w:val="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ABF" w:rsidRDefault="00F81ABF" w:rsidP="00883A1C">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81.35pt;height:409.05pt;visibility:visible" o:bullet="t">
        <v:imagedata r:id="rId1" o:title=""/>
      </v:shape>
    </w:pict>
  </w:numPicBullet>
  <w:abstractNum w:abstractNumId="0">
    <w:nsid w:val="FFFFFF1D"/>
    <w:multiLevelType w:val="multilevel"/>
    <w:tmpl w:val="84763D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21455"/>
    <w:multiLevelType w:val="hybridMultilevel"/>
    <w:tmpl w:val="FA46F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B8063F"/>
    <w:multiLevelType w:val="hybridMultilevel"/>
    <w:tmpl w:val="FF5C2D9C"/>
    <w:lvl w:ilvl="0" w:tplc="402C42D2">
      <w:start w:val="15"/>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EB16A7"/>
    <w:multiLevelType w:val="hybridMultilevel"/>
    <w:tmpl w:val="01B037B6"/>
    <w:lvl w:ilvl="0" w:tplc="08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373710D"/>
    <w:multiLevelType w:val="multilevel"/>
    <w:tmpl w:val="E3AA74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72E229B"/>
    <w:multiLevelType w:val="hybridMultilevel"/>
    <w:tmpl w:val="A1BAD62E"/>
    <w:lvl w:ilvl="0" w:tplc="CAB40D4C">
      <w:start w:val="1"/>
      <w:numFmt w:val="lowerLetter"/>
      <w:lvlText w:val="(%1)"/>
      <w:lvlJc w:val="left"/>
      <w:pPr>
        <w:ind w:left="720" w:hanging="360"/>
      </w:pPr>
      <w:rPr>
        <w:rFonts w:hint="default"/>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nsid w:val="0E8D7B7F"/>
    <w:multiLevelType w:val="hybridMultilevel"/>
    <w:tmpl w:val="DE0AD37E"/>
    <w:lvl w:ilvl="0" w:tplc="F6BC1D0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0ECE3861"/>
    <w:multiLevelType w:val="hybridMultilevel"/>
    <w:tmpl w:val="5B985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114F0E"/>
    <w:multiLevelType w:val="hybridMultilevel"/>
    <w:tmpl w:val="5B985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717AE2"/>
    <w:multiLevelType w:val="hybridMultilevel"/>
    <w:tmpl w:val="49FA716C"/>
    <w:lvl w:ilvl="0" w:tplc="9BD276D6">
      <w:start w:val="1"/>
      <w:numFmt w:val="lowerLetter"/>
      <w:lvlText w:val="%1)"/>
      <w:lvlJc w:val="left"/>
      <w:pPr>
        <w:ind w:left="1374" w:hanging="360"/>
      </w:pPr>
      <w:rPr>
        <w:rFonts w:hint="default"/>
      </w:rPr>
    </w:lvl>
    <w:lvl w:ilvl="1" w:tplc="10090019" w:tentative="1">
      <w:start w:val="1"/>
      <w:numFmt w:val="lowerLetter"/>
      <w:lvlText w:val="%2."/>
      <w:lvlJc w:val="left"/>
      <w:pPr>
        <w:ind w:left="2094" w:hanging="360"/>
      </w:pPr>
    </w:lvl>
    <w:lvl w:ilvl="2" w:tplc="1009001B" w:tentative="1">
      <w:start w:val="1"/>
      <w:numFmt w:val="lowerRoman"/>
      <w:lvlText w:val="%3."/>
      <w:lvlJc w:val="right"/>
      <w:pPr>
        <w:ind w:left="2814" w:hanging="180"/>
      </w:pPr>
    </w:lvl>
    <w:lvl w:ilvl="3" w:tplc="1009000F" w:tentative="1">
      <w:start w:val="1"/>
      <w:numFmt w:val="decimal"/>
      <w:lvlText w:val="%4."/>
      <w:lvlJc w:val="left"/>
      <w:pPr>
        <w:ind w:left="3534" w:hanging="360"/>
      </w:pPr>
    </w:lvl>
    <w:lvl w:ilvl="4" w:tplc="10090019" w:tentative="1">
      <w:start w:val="1"/>
      <w:numFmt w:val="lowerLetter"/>
      <w:lvlText w:val="%5."/>
      <w:lvlJc w:val="left"/>
      <w:pPr>
        <w:ind w:left="4254" w:hanging="360"/>
      </w:pPr>
    </w:lvl>
    <w:lvl w:ilvl="5" w:tplc="1009001B" w:tentative="1">
      <w:start w:val="1"/>
      <w:numFmt w:val="lowerRoman"/>
      <w:lvlText w:val="%6."/>
      <w:lvlJc w:val="right"/>
      <w:pPr>
        <w:ind w:left="4974" w:hanging="180"/>
      </w:pPr>
    </w:lvl>
    <w:lvl w:ilvl="6" w:tplc="1009000F" w:tentative="1">
      <w:start w:val="1"/>
      <w:numFmt w:val="decimal"/>
      <w:lvlText w:val="%7."/>
      <w:lvlJc w:val="left"/>
      <w:pPr>
        <w:ind w:left="5694" w:hanging="360"/>
      </w:pPr>
    </w:lvl>
    <w:lvl w:ilvl="7" w:tplc="10090019" w:tentative="1">
      <w:start w:val="1"/>
      <w:numFmt w:val="lowerLetter"/>
      <w:lvlText w:val="%8."/>
      <w:lvlJc w:val="left"/>
      <w:pPr>
        <w:ind w:left="6414" w:hanging="360"/>
      </w:pPr>
    </w:lvl>
    <w:lvl w:ilvl="8" w:tplc="1009001B" w:tentative="1">
      <w:start w:val="1"/>
      <w:numFmt w:val="lowerRoman"/>
      <w:lvlText w:val="%9."/>
      <w:lvlJc w:val="right"/>
      <w:pPr>
        <w:ind w:left="7134" w:hanging="180"/>
      </w:pPr>
    </w:lvl>
  </w:abstractNum>
  <w:abstractNum w:abstractNumId="10">
    <w:nsid w:val="181939AA"/>
    <w:multiLevelType w:val="hybridMultilevel"/>
    <w:tmpl w:val="3FA87BA2"/>
    <w:lvl w:ilvl="0" w:tplc="DAFC9F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D42DBC"/>
    <w:multiLevelType w:val="hybridMultilevel"/>
    <w:tmpl w:val="364080C6"/>
    <w:lvl w:ilvl="0" w:tplc="E07A4D8A">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6E7FAB"/>
    <w:multiLevelType w:val="hybridMultilevel"/>
    <w:tmpl w:val="DE90C014"/>
    <w:lvl w:ilvl="0" w:tplc="877AD062">
      <w:start w:val="1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674565"/>
    <w:multiLevelType w:val="hybridMultilevel"/>
    <w:tmpl w:val="E38CF422"/>
    <w:lvl w:ilvl="0" w:tplc="65026076">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2018A3"/>
    <w:multiLevelType w:val="hybridMultilevel"/>
    <w:tmpl w:val="98D0F8D6"/>
    <w:lvl w:ilvl="0" w:tplc="FFFFFFFF">
      <w:start w:val="2"/>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5">
    <w:nsid w:val="28B14839"/>
    <w:multiLevelType w:val="hybridMultilevel"/>
    <w:tmpl w:val="FA46F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531962"/>
    <w:multiLevelType w:val="hybridMultilevel"/>
    <w:tmpl w:val="F342ADE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2C92250A"/>
    <w:multiLevelType w:val="hybridMultilevel"/>
    <w:tmpl w:val="FCECA4E6"/>
    <w:lvl w:ilvl="0" w:tplc="B136D1EE">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CD110F9"/>
    <w:multiLevelType w:val="hybridMultilevel"/>
    <w:tmpl w:val="2690DB40"/>
    <w:lvl w:ilvl="0" w:tplc="10090017">
      <w:start w:val="1"/>
      <w:numFmt w:val="lowerLetter"/>
      <w:lvlText w:val="%1)"/>
      <w:lvlJc w:val="left"/>
      <w:pPr>
        <w:ind w:left="4593" w:hanging="360"/>
      </w:pPr>
    </w:lvl>
    <w:lvl w:ilvl="1" w:tplc="10090019" w:tentative="1">
      <w:start w:val="1"/>
      <w:numFmt w:val="lowerLetter"/>
      <w:lvlText w:val="%2."/>
      <w:lvlJc w:val="left"/>
      <w:pPr>
        <w:ind w:left="5313" w:hanging="360"/>
      </w:pPr>
    </w:lvl>
    <w:lvl w:ilvl="2" w:tplc="1009001B" w:tentative="1">
      <w:start w:val="1"/>
      <w:numFmt w:val="lowerRoman"/>
      <w:lvlText w:val="%3."/>
      <w:lvlJc w:val="right"/>
      <w:pPr>
        <w:ind w:left="6033" w:hanging="180"/>
      </w:pPr>
    </w:lvl>
    <w:lvl w:ilvl="3" w:tplc="1009000F" w:tentative="1">
      <w:start w:val="1"/>
      <w:numFmt w:val="decimal"/>
      <w:lvlText w:val="%4."/>
      <w:lvlJc w:val="left"/>
      <w:pPr>
        <w:ind w:left="6753" w:hanging="360"/>
      </w:pPr>
    </w:lvl>
    <w:lvl w:ilvl="4" w:tplc="10090019" w:tentative="1">
      <w:start w:val="1"/>
      <w:numFmt w:val="lowerLetter"/>
      <w:lvlText w:val="%5."/>
      <w:lvlJc w:val="left"/>
      <w:pPr>
        <w:ind w:left="7473" w:hanging="360"/>
      </w:pPr>
    </w:lvl>
    <w:lvl w:ilvl="5" w:tplc="1009001B" w:tentative="1">
      <w:start w:val="1"/>
      <w:numFmt w:val="lowerRoman"/>
      <w:lvlText w:val="%6."/>
      <w:lvlJc w:val="right"/>
      <w:pPr>
        <w:ind w:left="8193" w:hanging="180"/>
      </w:pPr>
    </w:lvl>
    <w:lvl w:ilvl="6" w:tplc="1009000F" w:tentative="1">
      <w:start w:val="1"/>
      <w:numFmt w:val="decimal"/>
      <w:lvlText w:val="%7."/>
      <w:lvlJc w:val="left"/>
      <w:pPr>
        <w:ind w:left="8913" w:hanging="360"/>
      </w:pPr>
    </w:lvl>
    <w:lvl w:ilvl="7" w:tplc="10090019" w:tentative="1">
      <w:start w:val="1"/>
      <w:numFmt w:val="lowerLetter"/>
      <w:lvlText w:val="%8."/>
      <w:lvlJc w:val="left"/>
      <w:pPr>
        <w:ind w:left="9633" w:hanging="360"/>
      </w:pPr>
    </w:lvl>
    <w:lvl w:ilvl="8" w:tplc="1009001B" w:tentative="1">
      <w:start w:val="1"/>
      <w:numFmt w:val="lowerRoman"/>
      <w:lvlText w:val="%9."/>
      <w:lvlJc w:val="right"/>
      <w:pPr>
        <w:ind w:left="10353" w:hanging="180"/>
      </w:pPr>
    </w:lvl>
  </w:abstractNum>
  <w:abstractNum w:abstractNumId="19">
    <w:nsid w:val="2D2F11A0"/>
    <w:multiLevelType w:val="hybridMultilevel"/>
    <w:tmpl w:val="8368943E"/>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DB318A"/>
    <w:multiLevelType w:val="hybridMultilevel"/>
    <w:tmpl w:val="940E8760"/>
    <w:lvl w:ilvl="0" w:tplc="E266F2B0">
      <w:start w:val="1"/>
      <w:numFmt w:val="lowerLetter"/>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nsid w:val="30987444"/>
    <w:multiLevelType w:val="hybridMultilevel"/>
    <w:tmpl w:val="2690DB40"/>
    <w:lvl w:ilvl="0" w:tplc="10090017">
      <w:start w:val="1"/>
      <w:numFmt w:val="lowerLetter"/>
      <w:lvlText w:val="%1)"/>
      <w:lvlJc w:val="left"/>
      <w:pPr>
        <w:ind w:left="4593" w:hanging="360"/>
      </w:pPr>
    </w:lvl>
    <w:lvl w:ilvl="1" w:tplc="10090019" w:tentative="1">
      <w:start w:val="1"/>
      <w:numFmt w:val="lowerLetter"/>
      <w:lvlText w:val="%2."/>
      <w:lvlJc w:val="left"/>
      <w:pPr>
        <w:ind w:left="5313" w:hanging="360"/>
      </w:pPr>
    </w:lvl>
    <w:lvl w:ilvl="2" w:tplc="1009001B" w:tentative="1">
      <w:start w:val="1"/>
      <w:numFmt w:val="lowerRoman"/>
      <w:lvlText w:val="%3."/>
      <w:lvlJc w:val="right"/>
      <w:pPr>
        <w:ind w:left="6033" w:hanging="180"/>
      </w:pPr>
    </w:lvl>
    <w:lvl w:ilvl="3" w:tplc="1009000F" w:tentative="1">
      <w:start w:val="1"/>
      <w:numFmt w:val="decimal"/>
      <w:lvlText w:val="%4."/>
      <w:lvlJc w:val="left"/>
      <w:pPr>
        <w:ind w:left="6753" w:hanging="360"/>
      </w:pPr>
    </w:lvl>
    <w:lvl w:ilvl="4" w:tplc="10090019" w:tentative="1">
      <w:start w:val="1"/>
      <w:numFmt w:val="lowerLetter"/>
      <w:lvlText w:val="%5."/>
      <w:lvlJc w:val="left"/>
      <w:pPr>
        <w:ind w:left="7473" w:hanging="360"/>
      </w:pPr>
    </w:lvl>
    <w:lvl w:ilvl="5" w:tplc="1009001B" w:tentative="1">
      <w:start w:val="1"/>
      <w:numFmt w:val="lowerRoman"/>
      <w:lvlText w:val="%6."/>
      <w:lvlJc w:val="right"/>
      <w:pPr>
        <w:ind w:left="8193" w:hanging="180"/>
      </w:pPr>
    </w:lvl>
    <w:lvl w:ilvl="6" w:tplc="1009000F" w:tentative="1">
      <w:start w:val="1"/>
      <w:numFmt w:val="decimal"/>
      <w:lvlText w:val="%7."/>
      <w:lvlJc w:val="left"/>
      <w:pPr>
        <w:ind w:left="8913" w:hanging="360"/>
      </w:pPr>
    </w:lvl>
    <w:lvl w:ilvl="7" w:tplc="10090019" w:tentative="1">
      <w:start w:val="1"/>
      <w:numFmt w:val="lowerLetter"/>
      <w:lvlText w:val="%8."/>
      <w:lvlJc w:val="left"/>
      <w:pPr>
        <w:ind w:left="9633" w:hanging="360"/>
      </w:pPr>
    </w:lvl>
    <w:lvl w:ilvl="8" w:tplc="1009001B" w:tentative="1">
      <w:start w:val="1"/>
      <w:numFmt w:val="lowerRoman"/>
      <w:lvlText w:val="%9."/>
      <w:lvlJc w:val="right"/>
      <w:pPr>
        <w:ind w:left="10353" w:hanging="180"/>
      </w:pPr>
    </w:lvl>
  </w:abstractNum>
  <w:abstractNum w:abstractNumId="23">
    <w:nsid w:val="34FE4430"/>
    <w:multiLevelType w:val="hybridMultilevel"/>
    <w:tmpl w:val="542EC2FA"/>
    <w:lvl w:ilvl="0" w:tplc="10090017">
      <w:start w:val="1"/>
      <w:numFmt w:val="lowerLetter"/>
      <w:lvlText w:val="%1)"/>
      <w:lvlJc w:val="left"/>
      <w:pPr>
        <w:ind w:left="4593" w:hanging="360"/>
      </w:pPr>
    </w:lvl>
    <w:lvl w:ilvl="1" w:tplc="10090019" w:tentative="1">
      <w:start w:val="1"/>
      <w:numFmt w:val="lowerLetter"/>
      <w:lvlText w:val="%2."/>
      <w:lvlJc w:val="left"/>
      <w:pPr>
        <w:ind w:left="5313" w:hanging="360"/>
      </w:pPr>
    </w:lvl>
    <w:lvl w:ilvl="2" w:tplc="1009001B" w:tentative="1">
      <w:start w:val="1"/>
      <w:numFmt w:val="lowerRoman"/>
      <w:lvlText w:val="%3."/>
      <w:lvlJc w:val="right"/>
      <w:pPr>
        <w:ind w:left="6033" w:hanging="180"/>
      </w:pPr>
    </w:lvl>
    <w:lvl w:ilvl="3" w:tplc="1009000F" w:tentative="1">
      <w:start w:val="1"/>
      <w:numFmt w:val="decimal"/>
      <w:lvlText w:val="%4."/>
      <w:lvlJc w:val="left"/>
      <w:pPr>
        <w:ind w:left="6753" w:hanging="360"/>
      </w:pPr>
    </w:lvl>
    <w:lvl w:ilvl="4" w:tplc="10090019" w:tentative="1">
      <w:start w:val="1"/>
      <w:numFmt w:val="lowerLetter"/>
      <w:lvlText w:val="%5."/>
      <w:lvlJc w:val="left"/>
      <w:pPr>
        <w:ind w:left="7473" w:hanging="360"/>
      </w:pPr>
    </w:lvl>
    <w:lvl w:ilvl="5" w:tplc="1009001B" w:tentative="1">
      <w:start w:val="1"/>
      <w:numFmt w:val="lowerRoman"/>
      <w:lvlText w:val="%6."/>
      <w:lvlJc w:val="right"/>
      <w:pPr>
        <w:ind w:left="8193" w:hanging="180"/>
      </w:pPr>
    </w:lvl>
    <w:lvl w:ilvl="6" w:tplc="1009000F" w:tentative="1">
      <w:start w:val="1"/>
      <w:numFmt w:val="decimal"/>
      <w:lvlText w:val="%7."/>
      <w:lvlJc w:val="left"/>
      <w:pPr>
        <w:ind w:left="8913" w:hanging="360"/>
      </w:pPr>
    </w:lvl>
    <w:lvl w:ilvl="7" w:tplc="10090019" w:tentative="1">
      <w:start w:val="1"/>
      <w:numFmt w:val="lowerLetter"/>
      <w:lvlText w:val="%8."/>
      <w:lvlJc w:val="left"/>
      <w:pPr>
        <w:ind w:left="9633" w:hanging="360"/>
      </w:pPr>
    </w:lvl>
    <w:lvl w:ilvl="8" w:tplc="1009001B" w:tentative="1">
      <w:start w:val="1"/>
      <w:numFmt w:val="lowerRoman"/>
      <w:lvlText w:val="%9."/>
      <w:lvlJc w:val="right"/>
      <w:pPr>
        <w:ind w:left="10353" w:hanging="180"/>
      </w:pPr>
    </w:lvl>
  </w:abstractNum>
  <w:abstractNum w:abstractNumId="24">
    <w:nsid w:val="35AB2191"/>
    <w:multiLevelType w:val="hybridMultilevel"/>
    <w:tmpl w:val="49FA716C"/>
    <w:lvl w:ilvl="0" w:tplc="9BD276D6">
      <w:start w:val="1"/>
      <w:numFmt w:val="lowerLetter"/>
      <w:lvlText w:val="%1)"/>
      <w:lvlJc w:val="left"/>
      <w:pPr>
        <w:ind w:left="1374" w:hanging="360"/>
      </w:pPr>
      <w:rPr>
        <w:rFonts w:hint="default"/>
      </w:rPr>
    </w:lvl>
    <w:lvl w:ilvl="1" w:tplc="10090019" w:tentative="1">
      <w:start w:val="1"/>
      <w:numFmt w:val="lowerLetter"/>
      <w:lvlText w:val="%2."/>
      <w:lvlJc w:val="left"/>
      <w:pPr>
        <w:ind w:left="2094" w:hanging="360"/>
      </w:pPr>
    </w:lvl>
    <w:lvl w:ilvl="2" w:tplc="1009001B" w:tentative="1">
      <w:start w:val="1"/>
      <w:numFmt w:val="lowerRoman"/>
      <w:lvlText w:val="%3."/>
      <w:lvlJc w:val="right"/>
      <w:pPr>
        <w:ind w:left="2814" w:hanging="180"/>
      </w:pPr>
    </w:lvl>
    <w:lvl w:ilvl="3" w:tplc="1009000F" w:tentative="1">
      <w:start w:val="1"/>
      <w:numFmt w:val="decimal"/>
      <w:lvlText w:val="%4."/>
      <w:lvlJc w:val="left"/>
      <w:pPr>
        <w:ind w:left="3534" w:hanging="360"/>
      </w:pPr>
    </w:lvl>
    <w:lvl w:ilvl="4" w:tplc="10090019" w:tentative="1">
      <w:start w:val="1"/>
      <w:numFmt w:val="lowerLetter"/>
      <w:lvlText w:val="%5."/>
      <w:lvlJc w:val="left"/>
      <w:pPr>
        <w:ind w:left="4254" w:hanging="360"/>
      </w:pPr>
    </w:lvl>
    <w:lvl w:ilvl="5" w:tplc="1009001B" w:tentative="1">
      <w:start w:val="1"/>
      <w:numFmt w:val="lowerRoman"/>
      <w:lvlText w:val="%6."/>
      <w:lvlJc w:val="right"/>
      <w:pPr>
        <w:ind w:left="4974" w:hanging="180"/>
      </w:pPr>
    </w:lvl>
    <w:lvl w:ilvl="6" w:tplc="1009000F" w:tentative="1">
      <w:start w:val="1"/>
      <w:numFmt w:val="decimal"/>
      <w:lvlText w:val="%7."/>
      <w:lvlJc w:val="left"/>
      <w:pPr>
        <w:ind w:left="5694" w:hanging="360"/>
      </w:pPr>
    </w:lvl>
    <w:lvl w:ilvl="7" w:tplc="10090019" w:tentative="1">
      <w:start w:val="1"/>
      <w:numFmt w:val="lowerLetter"/>
      <w:lvlText w:val="%8."/>
      <w:lvlJc w:val="left"/>
      <w:pPr>
        <w:ind w:left="6414" w:hanging="360"/>
      </w:pPr>
    </w:lvl>
    <w:lvl w:ilvl="8" w:tplc="1009001B" w:tentative="1">
      <w:start w:val="1"/>
      <w:numFmt w:val="lowerRoman"/>
      <w:lvlText w:val="%9."/>
      <w:lvlJc w:val="right"/>
      <w:pPr>
        <w:ind w:left="7134" w:hanging="180"/>
      </w:pPr>
    </w:lvl>
  </w:abstractNum>
  <w:abstractNum w:abstractNumId="25">
    <w:nsid w:val="375C7577"/>
    <w:multiLevelType w:val="hybridMultilevel"/>
    <w:tmpl w:val="64EAC75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385D7A99"/>
    <w:multiLevelType w:val="multilevel"/>
    <w:tmpl w:val="2B9A29F8"/>
    <w:lvl w:ilvl="0">
      <w:start w:val="1"/>
      <w:numFmt w:val="lowerLetter"/>
      <w:lvlText w:val="(%1)"/>
      <w:lvlJc w:val="left"/>
      <w:pPr>
        <w:tabs>
          <w:tab w:val="num" w:pos="1800"/>
        </w:tabs>
        <w:ind w:left="1440" w:firstLine="0"/>
      </w:pPr>
      <w:rPr>
        <w:rFonts w:eastAsia="MS Mincho" w:hint="default"/>
        <w:b w:val="0"/>
        <w:i w:val="0"/>
        <w:sz w:val="22"/>
      </w:rPr>
    </w:lvl>
    <w:lvl w:ilvl="1">
      <w:start w:val="1"/>
      <w:numFmt w:val="lowerLetter"/>
      <w:lvlText w:val="(%2)"/>
      <w:lvlJc w:val="left"/>
      <w:pPr>
        <w:tabs>
          <w:tab w:val="num" w:pos="2880"/>
        </w:tabs>
        <w:ind w:left="1440" w:firstLine="720"/>
      </w:pPr>
      <w:rPr>
        <w:rFonts w:hint="default"/>
        <w:b w:val="0"/>
        <w:i w:val="0"/>
      </w:rPr>
    </w:lvl>
    <w:lvl w:ilvl="2">
      <w:start w:val="1"/>
      <w:numFmt w:val="lowerRoman"/>
      <w:lvlText w:val="(%3)"/>
      <w:lvlJc w:val="right"/>
      <w:pPr>
        <w:tabs>
          <w:tab w:val="num" w:pos="2880"/>
        </w:tabs>
        <w:ind w:left="2880" w:hanging="360"/>
      </w:pPr>
      <w:rPr>
        <w:rFonts w:hint="default"/>
      </w:rPr>
    </w:lvl>
    <w:lvl w:ilvl="3">
      <w:start w:val="1"/>
      <w:numFmt w:val="bullet"/>
      <w:lvlText w:val=""/>
      <w:lvlJc w:val="left"/>
      <w:pPr>
        <w:tabs>
          <w:tab w:val="num" w:pos="3600"/>
        </w:tabs>
        <w:ind w:left="3600" w:hanging="720"/>
      </w:pPr>
      <w:rPr>
        <w:rFonts w:ascii="Symbol" w:hAnsi="Symbol" w:hint="default"/>
        <w:color w:val="auto"/>
        <w:sz w:val="28"/>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27">
    <w:nsid w:val="388E6B29"/>
    <w:multiLevelType w:val="hybridMultilevel"/>
    <w:tmpl w:val="2690DB40"/>
    <w:lvl w:ilvl="0" w:tplc="10090017">
      <w:start w:val="1"/>
      <w:numFmt w:val="lowerLetter"/>
      <w:lvlText w:val="%1)"/>
      <w:lvlJc w:val="left"/>
      <w:pPr>
        <w:ind w:left="4593" w:hanging="360"/>
      </w:pPr>
    </w:lvl>
    <w:lvl w:ilvl="1" w:tplc="10090019" w:tentative="1">
      <w:start w:val="1"/>
      <w:numFmt w:val="lowerLetter"/>
      <w:lvlText w:val="%2."/>
      <w:lvlJc w:val="left"/>
      <w:pPr>
        <w:ind w:left="5313" w:hanging="360"/>
      </w:pPr>
    </w:lvl>
    <w:lvl w:ilvl="2" w:tplc="1009001B" w:tentative="1">
      <w:start w:val="1"/>
      <w:numFmt w:val="lowerRoman"/>
      <w:lvlText w:val="%3."/>
      <w:lvlJc w:val="right"/>
      <w:pPr>
        <w:ind w:left="6033" w:hanging="180"/>
      </w:pPr>
    </w:lvl>
    <w:lvl w:ilvl="3" w:tplc="1009000F" w:tentative="1">
      <w:start w:val="1"/>
      <w:numFmt w:val="decimal"/>
      <w:lvlText w:val="%4."/>
      <w:lvlJc w:val="left"/>
      <w:pPr>
        <w:ind w:left="6753" w:hanging="360"/>
      </w:pPr>
    </w:lvl>
    <w:lvl w:ilvl="4" w:tplc="10090019" w:tentative="1">
      <w:start w:val="1"/>
      <w:numFmt w:val="lowerLetter"/>
      <w:lvlText w:val="%5."/>
      <w:lvlJc w:val="left"/>
      <w:pPr>
        <w:ind w:left="7473" w:hanging="360"/>
      </w:pPr>
    </w:lvl>
    <w:lvl w:ilvl="5" w:tplc="1009001B" w:tentative="1">
      <w:start w:val="1"/>
      <w:numFmt w:val="lowerRoman"/>
      <w:lvlText w:val="%6."/>
      <w:lvlJc w:val="right"/>
      <w:pPr>
        <w:ind w:left="8193" w:hanging="180"/>
      </w:pPr>
    </w:lvl>
    <w:lvl w:ilvl="6" w:tplc="1009000F" w:tentative="1">
      <w:start w:val="1"/>
      <w:numFmt w:val="decimal"/>
      <w:lvlText w:val="%7."/>
      <w:lvlJc w:val="left"/>
      <w:pPr>
        <w:ind w:left="8913" w:hanging="360"/>
      </w:pPr>
    </w:lvl>
    <w:lvl w:ilvl="7" w:tplc="10090019" w:tentative="1">
      <w:start w:val="1"/>
      <w:numFmt w:val="lowerLetter"/>
      <w:lvlText w:val="%8."/>
      <w:lvlJc w:val="left"/>
      <w:pPr>
        <w:ind w:left="9633" w:hanging="360"/>
      </w:pPr>
    </w:lvl>
    <w:lvl w:ilvl="8" w:tplc="1009001B" w:tentative="1">
      <w:start w:val="1"/>
      <w:numFmt w:val="lowerRoman"/>
      <w:lvlText w:val="%9."/>
      <w:lvlJc w:val="right"/>
      <w:pPr>
        <w:ind w:left="10353" w:hanging="180"/>
      </w:pPr>
    </w:lvl>
  </w:abstractNum>
  <w:abstractNum w:abstractNumId="28">
    <w:nsid w:val="3AEB0B1E"/>
    <w:multiLevelType w:val="multilevel"/>
    <w:tmpl w:val="151C492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2016"/>
        </w:tabs>
        <w:ind w:left="2016" w:hanging="432"/>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CE43C91"/>
    <w:multiLevelType w:val="singleLevel"/>
    <w:tmpl w:val="7174E9C0"/>
    <w:lvl w:ilvl="0">
      <w:start w:val="1"/>
      <w:numFmt w:val="decimal"/>
      <w:lvlText w:val="%1."/>
      <w:lvlJc w:val="left"/>
      <w:pPr>
        <w:tabs>
          <w:tab w:val="num" w:pos="360"/>
        </w:tabs>
        <w:ind w:left="0" w:firstLine="0"/>
      </w:pPr>
    </w:lvl>
  </w:abstractNum>
  <w:abstractNum w:abstractNumId="3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469C0FCD"/>
    <w:multiLevelType w:val="hybridMultilevel"/>
    <w:tmpl w:val="839ED9B2"/>
    <w:lvl w:ilvl="0" w:tplc="FFFFFFFF">
      <w:start w:val="22"/>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2">
    <w:nsid w:val="4762318C"/>
    <w:multiLevelType w:val="multilevel"/>
    <w:tmpl w:val="F9AC009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4A833650"/>
    <w:multiLevelType w:val="hybridMultilevel"/>
    <w:tmpl w:val="CFC2E4B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5">
    <w:nsid w:val="4B6D66A8"/>
    <w:multiLevelType w:val="hybridMultilevel"/>
    <w:tmpl w:val="C794350E"/>
    <w:lvl w:ilvl="0" w:tplc="E74028C6">
      <w:start w:val="1"/>
      <w:numFmt w:val="decimal"/>
      <w:lvlText w:val="%1."/>
      <w:lvlJc w:val="left"/>
      <w:pPr>
        <w:ind w:left="1364"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E0442B4"/>
    <w:multiLevelType w:val="multilevel"/>
    <w:tmpl w:val="4DD2F37C"/>
    <w:lvl w:ilvl="0">
      <w:start w:val="1"/>
      <w:numFmt w:val="decimal"/>
      <w:pStyle w:val="Para1"/>
      <w:lvlText w:val="%1."/>
      <w:lvlJc w:val="left"/>
      <w:pPr>
        <w:tabs>
          <w:tab w:val="num" w:pos="72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52FA0D9A"/>
    <w:multiLevelType w:val="multilevel"/>
    <w:tmpl w:val="187822A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598E646C"/>
    <w:multiLevelType w:val="multilevel"/>
    <w:tmpl w:val="2D3CD64E"/>
    <w:lvl w:ilvl="0">
      <w:start w:val="1"/>
      <w:numFmt w:val="decimal"/>
      <w:lvlText w:val="%1."/>
      <w:lvlJc w:val="left"/>
      <w:pPr>
        <w:tabs>
          <w:tab w:val="num" w:pos="72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b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5B1C1616"/>
    <w:multiLevelType w:val="hybridMultilevel"/>
    <w:tmpl w:val="DE0AD37E"/>
    <w:lvl w:ilvl="0" w:tplc="F6BC1D0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5BDA15C7"/>
    <w:multiLevelType w:val="hybridMultilevel"/>
    <w:tmpl w:val="0A9A1A24"/>
    <w:lvl w:ilvl="0" w:tplc="7CC8A896">
      <w:start w:val="10"/>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C3B1385"/>
    <w:multiLevelType w:val="hybridMultilevel"/>
    <w:tmpl w:val="34C25D3C"/>
    <w:lvl w:ilvl="0" w:tplc="10090017">
      <w:start w:val="1"/>
      <w:numFmt w:val="lowerLetter"/>
      <w:lvlText w:val="%1)"/>
      <w:lvlJc w:val="left"/>
      <w:pPr>
        <w:ind w:left="1713" w:hanging="360"/>
      </w:pPr>
    </w:lvl>
    <w:lvl w:ilvl="1" w:tplc="10090019" w:tentative="1">
      <w:start w:val="1"/>
      <w:numFmt w:val="lowerLetter"/>
      <w:lvlText w:val="%2."/>
      <w:lvlJc w:val="left"/>
      <w:pPr>
        <w:ind w:left="2433" w:hanging="360"/>
      </w:pPr>
    </w:lvl>
    <w:lvl w:ilvl="2" w:tplc="1009001B" w:tentative="1">
      <w:start w:val="1"/>
      <w:numFmt w:val="lowerRoman"/>
      <w:lvlText w:val="%3."/>
      <w:lvlJc w:val="right"/>
      <w:pPr>
        <w:ind w:left="3153" w:hanging="180"/>
      </w:pPr>
    </w:lvl>
    <w:lvl w:ilvl="3" w:tplc="1009000F" w:tentative="1">
      <w:start w:val="1"/>
      <w:numFmt w:val="decimal"/>
      <w:lvlText w:val="%4."/>
      <w:lvlJc w:val="left"/>
      <w:pPr>
        <w:ind w:left="3873" w:hanging="360"/>
      </w:pPr>
    </w:lvl>
    <w:lvl w:ilvl="4" w:tplc="10090017">
      <w:start w:val="1"/>
      <w:numFmt w:val="lowerLetter"/>
      <w:lvlText w:val="%5)"/>
      <w:lvlJc w:val="left"/>
      <w:pPr>
        <w:ind w:left="4593" w:hanging="360"/>
      </w:pPr>
    </w:lvl>
    <w:lvl w:ilvl="5" w:tplc="1009001B" w:tentative="1">
      <w:start w:val="1"/>
      <w:numFmt w:val="lowerRoman"/>
      <w:lvlText w:val="%6."/>
      <w:lvlJc w:val="right"/>
      <w:pPr>
        <w:ind w:left="5313" w:hanging="180"/>
      </w:pPr>
    </w:lvl>
    <w:lvl w:ilvl="6" w:tplc="1009000F" w:tentative="1">
      <w:start w:val="1"/>
      <w:numFmt w:val="decimal"/>
      <w:lvlText w:val="%7."/>
      <w:lvlJc w:val="left"/>
      <w:pPr>
        <w:ind w:left="6033" w:hanging="360"/>
      </w:pPr>
    </w:lvl>
    <w:lvl w:ilvl="7" w:tplc="10090019" w:tentative="1">
      <w:start w:val="1"/>
      <w:numFmt w:val="lowerLetter"/>
      <w:lvlText w:val="%8."/>
      <w:lvlJc w:val="left"/>
      <w:pPr>
        <w:ind w:left="6753" w:hanging="360"/>
      </w:pPr>
    </w:lvl>
    <w:lvl w:ilvl="8" w:tplc="1009001B" w:tentative="1">
      <w:start w:val="1"/>
      <w:numFmt w:val="lowerRoman"/>
      <w:lvlText w:val="%9."/>
      <w:lvlJc w:val="right"/>
      <w:pPr>
        <w:ind w:left="7473" w:hanging="180"/>
      </w:pPr>
    </w:lvl>
  </w:abstractNum>
  <w:abstractNum w:abstractNumId="42">
    <w:nsid w:val="5CC009D4"/>
    <w:multiLevelType w:val="multilevel"/>
    <w:tmpl w:val="66CADF4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5D3F71C9"/>
    <w:multiLevelType w:val="hybridMultilevel"/>
    <w:tmpl w:val="DCE4A288"/>
    <w:lvl w:ilvl="0" w:tplc="C0786CE8">
      <w:start w:val="1"/>
      <w:numFmt w:val="bullet"/>
      <w:lvlText w:val=""/>
      <w:lvlPicBulletId w:val="0"/>
      <w:lvlJc w:val="left"/>
      <w:pPr>
        <w:tabs>
          <w:tab w:val="num" w:pos="720"/>
        </w:tabs>
        <w:ind w:left="720" w:hanging="360"/>
      </w:pPr>
      <w:rPr>
        <w:rFonts w:ascii="Symbol" w:hAnsi="Symbol" w:hint="default"/>
      </w:rPr>
    </w:lvl>
    <w:lvl w:ilvl="1" w:tplc="92EE5C64" w:tentative="1">
      <w:start w:val="1"/>
      <w:numFmt w:val="bullet"/>
      <w:lvlText w:val=""/>
      <w:lvlJc w:val="left"/>
      <w:pPr>
        <w:tabs>
          <w:tab w:val="num" w:pos="1440"/>
        </w:tabs>
        <w:ind w:left="1440" w:hanging="360"/>
      </w:pPr>
      <w:rPr>
        <w:rFonts w:ascii="Symbol" w:hAnsi="Symbol" w:hint="default"/>
      </w:rPr>
    </w:lvl>
    <w:lvl w:ilvl="2" w:tplc="D130A87A" w:tentative="1">
      <w:start w:val="1"/>
      <w:numFmt w:val="bullet"/>
      <w:lvlText w:val=""/>
      <w:lvlJc w:val="left"/>
      <w:pPr>
        <w:tabs>
          <w:tab w:val="num" w:pos="2160"/>
        </w:tabs>
        <w:ind w:left="2160" w:hanging="360"/>
      </w:pPr>
      <w:rPr>
        <w:rFonts w:ascii="Symbol" w:hAnsi="Symbol" w:hint="default"/>
      </w:rPr>
    </w:lvl>
    <w:lvl w:ilvl="3" w:tplc="F45AB0A4" w:tentative="1">
      <w:start w:val="1"/>
      <w:numFmt w:val="bullet"/>
      <w:lvlText w:val=""/>
      <w:lvlJc w:val="left"/>
      <w:pPr>
        <w:tabs>
          <w:tab w:val="num" w:pos="2880"/>
        </w:tabs>
        <w:ind w:left="2880" w:hanging="360"/>
      </w:pPr>
      <w:rPr>
        <w:rFonts w:ascii="Symbol" w:hAnsi="Symbol" w:hint="default"/>
      </w:rPr>
    </w:lvl>
    <w:lvl w:ilvl="4" w:tplc="222403E4" w:tentative="1">
      <w:start w:val="1"/>
      <w:numFmt w:val="bullet"/>
      <w:lvlText w:val=""/>
      <w:lvlJc w:val="left"/>
      <w:pPr>
        <w:tabs>
          <w:tab w:val="num" w:pos="3600"/>
        </w:tabs>
        <w:ind w:left="3600" w:hanging="360"/>
      </w:pPr>
      <w:rPr>
        <w:rFonts w:ascii="Symbol" w:hAnsi="Symbol" w:hint="default"/>
      </w:rPr>
    </w:lvl>
    <w:lvl w:ilvl="5" w:tplc="C486EF36" w:tentative="1">
      <w:start w:val="1"/>
      <w:numFmt w:val="bullet"/>
      <w:lvlText w:val=""/>
      <w:lvlJc w:val="left"/>
      <w:pPr>
        <w:tabs>
          <w:tab w:val="num" w:pos="4320"/>
        </w:tabs>
        <w:ind w:left="4320" w:hanging="360"/>
      </w:pPr>
      <w:rPr>
        <w:rFonts w:ascii="Symbol" w:hAnsi="Symbol" w:hint="default"/>
      </w:rPr>
    </w:lvl>
    <w:lvl w:ilvl="6" w:tplc="7AE65F96" w:tentative="1">
      <w:start w:val="1"/>
      <w:numFmt w:val="bullet"/>
      <w:lvlText w:val=""/>
      <w:lvlJc w:val="left"/>
      <w:pPr>
        <w:tabs>
          <w:tab w:val="num" w:pos="5040"/>
        </w:tabs>
        <w:ind w:left="5040" w:hanging="360"/>
      </w:pPr>
      <w:rPr>
        <w:rFonts w:ascii="Symbol" w:hAnsi="Symbol" w:hint="default"/>
      </w:rPr>
    </w:lvl>
    <w:lvl w:ilvl="7" w:tplc="538C7674" w:tentative="1">
      <w:start w:val="1"/>
      <w:numFmt w:val="bullet"/>
      <w:lvlText w:val=""/>
      <w:lvlJc w:val="left"/>
      <w:pPr>
        <w:tabs>
          <w:tab w:val="num" w:pos="5760"/>
        </w:tabs>
        <w:ind w:left="5760" w:hanging="360"/>
      </w:pPr>
      <w:rPr>
        <w:rFonts w:ascii="Symbol" w:hAnsi="Symbol" w:hint="default"/>
      </w:rPr>
    </w:lvl>
    <w:lvl w:ilvl="8" w:tplc="D4AC8160" w:tentative="1">
      <w:start w:val="1"/>
      <w:numFmt w:val="bullet"/>
      <w:lvlText w:val=""/>
      <w:lvlJc w:val="left"/>
      <w:pPr>
        <w:tabs>
          <w:tab w:val="num" w:pos="6480"/>
        </w:tabs>
        <w:ind w:left="6480" w:hanging="360"/>
      </w:pPr>
      <w:rPr>
        <w:rFonts w:ascii="Symbol" w:hAnsi="Symbol" w:hint="default"/>
      </w:rPr>
    </w:lvl>
  </w:abstractNum>
  <w:abstractNum w:abstractNumId="44">
    <w:nsid w:val="5EA118F9"/>
    <w:multiLevelType w:val="hybridMultilevel"/>
    <w:tmpl w:val="DE0AD37E"/>
    <w:lvl w:ilvl="0" w:tplc="F6BC1D0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60747D10"/>
    <w:multiLevelType w:val="hybridMultilevel"/>
    <w:tmpl w:val="DE0AD37E"/>
    <w:lvl w:ilvl="0" w:tplc="F6BC1D0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nsid w:val="614608C6"/>
    <w:multiLevelType w:val="hybridMultilevel"/>
    <w:tmpl w:val="BC6CFBDC"/>
    <w:lvl w:ilvl="0" w:tplc="81F04CD4">
      <w:start w:val="6"/>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1874089"/>
    <w:multiLevelType w:val="hybridMultilevel"/>
    <w:tmpl w:val="048E3084"/>
    <w:lvl w:ilvl="0" w:tplc="10090001">
      <w:start w:val="1"/>
      <w:numFmt w:val="bullet"/>
      <w:lvlText w:val=""/>
      <w:lvlJc w:val="left"/>
      <w:pPr>
        <w:ind w:left="720" w:hanging="360"/>
      </w:pPr>
      <w:rPr>
        <w:rFonts w:ascii="Symbol" w:hAnsi="Symbol" w:hint="default"/>
      </w:rPr>
    </w:lvl>
    <w:lvl w:ilvl="1" w:tplc="1009001B">
      <w:start w:val="1"/>
      <w:numFmt w:val="lowerRoman"/>
      <w:lvlText w:val="%2."/>
      <w:lvlJc w:val="righ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8">
    <w:nsid w:val="65814BD9"/>
    <w:multiLevelType w:val="hybridMultilevel"/>
    <w:tmpl w:val="4A5E6682"/>
    <w:lvl w:ilvl="0" w:tplc="3808F944">
      <w:start w:val="6"/>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A7C6E6F"/>
    <w:multiLevelType w:val="hybridMultilevel"/>
    <w:tmpl w:val="FA46F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C36F5F"/>
    <w:multiLevelType w:val="hybridMultilevel"/>
    <w:tmpl w:val="FA46F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D355956"/>
    <w:multiLevelType w:val="hybridMultilevel"/>
    <w:tmpl w:val="1D1C2626"/>
    <w:lvl w:ilvl="0" w:tplc="10090017">
      <w:start w:val="1"/>
      <w:numFmt w:val="lowerLetter"/>
      <w:lvlText w:val="%1)"/>
      <w:lvlJc w:val="left"/>
      <w:pPr>
        <w:ind w:left="1713" w:hanging="360"/>
      </w:pPr>
    </w:lvl>
    <w:lvl w:ilvl="1" w:tplc="10090019" w:tentative="1">
      <w:start w:val="1"/>
      <w:numFmt w:val="lowerLetter"/>
      <w:lvlText w:val="%2."/>
      <w:lvlJc w:val="left"/>
      <w:pPr>
        <w:ind w:left="2433" w:hanging="360"/>
      </w:pPr>
    </w:lvl>
    <w:lvl w:ilvl="2" w:tplc="1009001B" w:tentative="1">
      <w:start w:val="1"/>
      <w:numFmt w:val="lowerRoman"/>
      <w:lvlText w:val="%3."/>
      <w:lvlJc w:val="right"/>
      <w:pPr>
        <w:ind w:left="3153" w:hanging="180"/>
      </w:pPr>
    </w:lvl>
    <w:lvl w:ilvl="3" w:tplc="1009000F" w:tentative="1">
      <w:start w:val="1"/>
      <w:numFmt w:val="decimal"/>
      <w:lvlText w:val="%4."/>
      <w:lvlJc w:val="left"/>
      <w:pPr>
        <w:ind w:left="3873" w:hanging="360"/>
      </w:pPr>
    </w:lvl>
    <w:lvl w:ilvl="4" w:tplc="10090019" w:tentative="1">
      <w:start w:val="1"/>
      <w:numFmt w:val="lowerLetter"/>
      <w:lvlText w:val="%5."/>
      <w:lvlJc w:val="left"/>
      <w:pPr>
        <w:ind w:left="4593" w:hanging="360"/>
      </w:pPr>
    </w:lvl>
    <w:lvl w:ilvl="5" w:tplc="1009001B" w:tentative="1">
      <w:start w:val="1"/>
      <w:numFmt w:val="lowerRoman"/>
      <w:lvlText w:val="%6."/>
      <w:lvlJc w:val="right"/>
      <w:pPr>
        <w:ind w:left="5313" w:hanging="180"/>
      </w:pPr>
    </w:lvl>
    <w:lvl w:ilvl="6" w:tplc="1009000F" w:tentative="1">
      <w:start w:val="1"/>
      <w:numFmt w:val="decimal"/>
      <w:lvlText w:val="%7."/>
      <w:lvlJc w:val="left"/>
      <w:pPr>
        <w:ind w:left="6033" w:hanging="360"/>
      </w:pPr>
    </w:lvl>
    <w:lvl w:ilvl="7" w:tplc="10090019" w:tentative="1">
      <w:start w:val="1"/>
      <w:numFmt w:val="lowerLetter"/>
      <w:lvlText w:val="%8."/>
      <w:lvlJc w:val="left"/>
      <w:pPr>
        <w:ind w:left="6753" w:hanging="360"/>
      </w:pPr>
    </w:lvl>
    <w:lvl w:ilvl="8" w:tplc="1009001B" w:tentative="1">
      <w:start w:val="1"/>
      <w:numFmt w:val="lowerRoman"/>
      <w:lvlText w:val="%9."/>
      <w:lvlJc w:val="right"/>
      <w:pPr>
        <w:ind w:left="7473" w:hanging="180"/>
      </w:pPr>
    </w:lvl>
  </w:abstractNum>
  <w:abstractNum w:abstractNumId="52">
    <w:nsid w:val="6F60025E"/>
    <w:multiLevelType w:val="hybridMultilevel"/>
    <w:tmpl w:val="FA46F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30A2A3B"/>
    <w:multiLevelType w:val="hybridMultilevel"/>
    <w:tmpl w:val="541C3456"/>
    <w:lvl w:ilvl="0" w:tplc="AC5CB2AC">
      <w:start w:val="1"/>
      <w:numFmt w:val="decimal"/>
      <w:lvlText w:val="%1."/>
      <w:lvlJc w:val="left"/>
      <w:pPr>
        <w:tabs>
          <w:tab w:val="num" w:pos="576"/>
        </w:tabs>
        <w:ind w:left="576" w:hanging="576"/>
      </w:pPr>
      <w:rPr>
        <w:rFonts w:hint="default"/>
      </w:rPr>
    </w:lvl>
    <w:lvl w:ilvl="1" w:tplc="E7C89700">
      <w:start w:val="1"/>
      <w:numFmt w:val="lowerLetter"/>
      <w:lvlText w:val="(%2)"/>
      <w:lvlJc w:val="left"/>
      <w:pPr>
        <w:tabs>
          <w:tab w:val="num" w:pos="1287"/>
        </w:tabs>
        <w:ind w:left="0" w:firstLine="567"/>
      </w:pPr>
      <w:rPr>
        <w:rFonts w:hint="default"/>
      </w:rPr>
    </w:lvl>
    <w:lvl w:ilvl="2" w:tplc="EC168E4E">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3583F81"/>
    <w:multiLevelType w:val="hybridMultilevel"/>
    <w:tmpl w:val="FA46F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EC637CE"/>
    <w:multiLevelType w:val="hybridMultilevel"/>
    <w:tmpl w:val="E28240F6"/>
    <w:lvl w:ilvl="0" w:tplc="E90E797A">
      <w:start w:val="18"/>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0"/>
  </w:num>
  <w:num w:numId="3">
    <w:abstractNumId w:val="17"/>
  </w:num>
  <w:num w:numId="4">
    <w:abstractNumId w:val="53"/>
  </w:num>
  <w:num w:numId="5">
    <w:abstractNumId w:val="21"/>
  </w:num>
  <w:num w:numId="6">
    <w:abstractNumId w:val="36"/>
  </w:num>
  <w:num w:numId="7">
    <w:abstractNumId w:val="30"/>
  </w:num>
  <w:num w:numId="8">
    <w:abstractNumId w:val="28"/>
  </w:num>
  <w:num w:numId="9">
    <w:abstractNumId w:val="36"/>
  </w:num>
  <w:num w:numId="10">
    <w:abstractNumId w:val="33"/>
  </w:num>
  <w:num w:numId="11">
    <w:abstractNumId w:val="29"/>
  </w:num>
  <w:num w:numId="12">
    <w:abstractNumId w:val="13"/>
  </w:num>
  <w:num w:numId="13">
    <w:abstractNumId w:val="32"/>
  </w:num>
  <w:num w:numId="14">
    <w:abstractNumId w:val="2"/>
  </w:num>
  <w:num w:numId="15">
    <w:abstractNumId w:val="55"/>
  </w:num>
  <w:num w:numId="16">
    <w:abstractNumId w:val="40"/>
  </w:num>
  <w:num w:numId="17">
    <w:abstractNumId w:val="12"/>
  </w:num>
  <w:num w:numId="18">
    <w:abstractNumId w:val="36"/>
    <w:lvlOverride w:ilvl="0">
      <w:startOverride w:val="1"/>
    </w:lvlOverride>
    <w:lvlOverride w:ilvl="1">
      <w:startOverride w:val="1"/>
    </w:lvlOverride>
    <w:lvlOverride w:ilvl="2">
      <w:startOverride w:val="2"/>
    </w:lvlOverride>
  </w:num>
  <w:num w:numId="19">
    <w:abstractNumId w:val="36"/>
    <w:lvlOverride w:ilvl="0">
      <w:startOverride w:val="1"/>
    </w:lvlOverride>
    <w:lvlOverride w:ilvl="1">
      <w:startOverride w:val="1"/>
    </w:lvlOverride>
    <w:lvlOverride w:ilvl="2">
      <w:startOverride w:val="3"/>
    </w:lvlOverride>
  </w:num>
  <w:num w:numId="20">
    <w:abstractNumId w:val="11"/>
  </w:num>
  <w:num w:numId="21">
    <w:abstractNumId w:val="42"/>
  </w:num>
  <w:num w:numId="22">
    <w:abstractNumId w:val="37"/>
  </w:num>
  <w:num w:numId="23">
    <w:abstractNumId w:val="14"/>
  </w:num>
  <w:num w:numId="24">
    <w:abstractNumId w:val="46"/>
  </w:num>
  <w:num w:numId="25">
    <w:abstractNumId w:val="48"/>
  </w:num>
  <w:num w:numId="26">
    <w:abstractNumId w:val="31"/>
  </w:num>
  <w:num w:numId="27">
    <w:abstractNumId w:val="36"/>
  </w:num>
  <w:num w:numId="28">
    <w:abstractNumId w:val="36"/>
  </w:num>
  <w:num w:numId="29">
    <w:abstractNumId w:val="36"/>
  </w:num>
  <w:num w:numId="30">
    <w:abstractNumId w:val="36"/>
  </w:num>
  <w:num w:numId="31">
    <w:abstractNumId w:val="4"/>
  </w:num>
  <w:num w:numId="32">
    <w:abstractNumId w:val="7"/>
  </w:num>
  <w:num w:numId="33">
    <w:abstractNumId w:val="8"/>
  </w:num>
  <w:num w:numId="34">
    <w:abstractNumId w:val="0"/>
  </w:num>
  <w:num w:numId="35">
    <w:abstractNumId w:val="43"/>
  </w:num>
  <w:num w:numId="36">
    <w:abstractNumId w:val="52"/>
  </w:num>
  <w:num w:numId="37">
    <w:abstractNumId w:val="10"/>
  </w:num>
  <w:num w:numId="38">
    <w:abstractNumId w:val="3"/>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26"/>
  </w:num>
  <w:num w:numId="43">
    <w:abstractNumId w:val="47"/>
  </w:num>
  <w:num w:numId="44">
    <w:abstractNumId w:val="41"/>
  </w:num>
  <w:num w:numId="45">
    <w:abstractNumId w:val="27"/>
  </w:num>
  <w:num w:numId="46">
    <w:abstractNumId w:val="18"/>
  </w:num>
  <w:num w:numId="47">
    <w:abstractNumId w:val="22"/>
  </w:num>
  <w:num w:numId="48">
    <w:abstractNumId w:val="23"/>
  </w:num>
  <w:num w:numId="49">
    <w:abstractNumId w:val="24"/>
  </w:num>
  <w:num w:numId="50">
    <w:abstractNumId w:val="9"/>
  </w:num>
  <w:num w:numId="51">
    <w:abstractNumId w:val="45"/>
  </w:num>
  <w:num w:numId="52">
    <w:abstractNumId w:val="6"/>
  </w:num>
  <w:num w:numId="53">
    <w:abstractNumId w:val="44"/>
  </w:num>
  <w:num w:numId="54">
    <w:abstractNumId w:val="39"/>
  </w:num>
  <w:num w:numId="55">
    <w:abstractNumId w:val="16"/>
  </w:num>
  <w:num w:numId="56">
    <w:abstractNumId w:val="25"/>
  </w:num>
  <w:num w:numId="57">
    <w:abstractNumId w:val="51"/>
  </w:num>
  <w:num w:numId="58">
    <w:abstractNumId w:val="36"/>
  </w:num>
  <w:num w:numId="59">
    <w:abstractNumId w:val="35"/>
  </w:num>
  <w:num w:numId="60">
    <w:abstractNumId w:val="15"/>
  </w:num>
  <w:num w:numId="61">
    <w:abstractNumId w:val="49"/>
  </w:num>
  <w:num w:numId="62">
    <w:abstractNumId w:val="50"/>
  </w:num>
  <w:num w:numId="63">
    <w:abstractNumId w:val="1"/>
  </w:num>
  <w:num w:numId="64">
    <w:abstractNumId w:val="38"/>
  </w:num>
  <w:num w:numId="65">
    <w:abstractNumId w:val="5"/>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ronique lefebvre">
    <w15:presenceInfo w15:providerId="AD" w15:userId="S-1-5-21-2142909598-1823411812-1512734326-3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inkAnnotations="0"/>
  <w:styleLockTheme/>
  <w:styleLockQFSet/>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B3B"/>
    <w:rsid w:val="0000751C"/>
    <w:rsid w:val="000134A1"/>
    <w:rsid w:val="000135FD"/>
    <w:rsid w:val="000219AC"/>
    <w:rsid w:val="00021E0B"/>
    <w:rsid w:val="0002705B"/>
    <w:rsid w:val="00031D24"/>
    <w:rsid w:val="00036A2C"/>
    <w:rsid w:val="000376EE"/>
    <w:rsid w:val="00037873"/>
    <w:rsid w:val="0004114D"/>
    <w:rsid w:val="00041574"/>
    <w:rsid w:val="000512D2"/>
    <w:rsid w:val="00054381"/>
    <w:rsid w:val="00057708"/>
    <w:rsid w:val="0006136E"/>
    <w:rsid w:val="000656B8"/>
    <w:rsid w:val="000711E1"/>
    <w:rsid w:val="000712A5"/>
    <w:rsid w:val="00072AD5"/>
    <w:rsid w:val="000733C7"/>
    <w:rsid w:val="00073708"/>
    <w:rsid w:val="00083934"/>
    <w:rsid w:val="000857E0"/>
    <w:rsid w:val="00092B48"/>
    <w:rsid w:val="00093EFC"/>
    <w:rsid w:val="000A5034"/>
    <w:rsid w:val="000B7AFA"/>
    <w:rsid w:val="000C2430"/>
    <w:rsid w:val="000C68F9"/>
    <w:rsid w:val="000D052B"/>
    <w:rsid w:val="000D5D5F"/>
    <w:rsid w:val="000E484A"/>
    <w:rsid w:val="000E637D"/>
    <w:rsid w:val="000E7E6A"/>
    <w:rsid w:val="000F13AD"/>
    <w:rsid w:val="000F63AB"/>
    <w:rsid w:val="000F756F"/>
    <w:rsid w:val="00105E84"/>
    <w:rsid w:val="001079D6"/>
    <w:rsid w:val="00121CC8"/>
    <w:rsid w:val="0012214B"/>
    <w:rsid w:val="00133987"/>
    <w:rsid w:val="00134613"/>
    <w:rsid w:val="0014545D"/>
    <w:rsid w:val="00164E63"/>
    <w:rsid w:val="00166367"/>
    <w:rsid w:val="00167AD4"/>
    <w:rsid w:val="00170DB3"/>
    <w:rsid w:val="00171E3D"/>
    <w:rsid w:val="00172FBE"/>
    <w:rsid w:val="0017604B"/>
    <w:rsid w:val="00181B6B"/>
    <w:rsid w:val="00186BAC"/>
    <w:rsid w:val="001909D2"/>
    <w:rsid w:val="00190F2A"/>
    <w:rsid w:val="00192E06"/>
    <w:rsid w:val="001931FD"/>
    <w:rsid w:val="001974D7"/>
    <w:rsid w:val="001A201A"/>
    <w:rsid w:val="001A5072"/>
    <w:rsid w:val="001B6195"/>
    <w:rsid w:val="001B7AA4"/>
    <w:rsid w:val="001C436E"/>
    <w:rsid w:val="001D1ECB"/>
    <w:rsid w:val="001D6685"/>
    <w:rsid w:val="001D6A2D"/>
    <w:rsid w:val="001E126A"/>
    <w:rsid w:val="001E2741"/>
    <w:rsid w:val="001E669D"/>
    <w:rsid w:val="001F51FB"/>
    <w:rsid w:val="001F5236"/>
    <w:rsid w:val="001F6379"/>
    <w:rsid w:val="0020030D"/>
    <w:rsid w:val="00204415"/>
    <w:rsid w:val="00207A6E"/>
    <w:rsid w:val="00210B77"/>
    <w:rsid w:val="00210EB1"/>
    <w:rsid w:val="002144DE"/>
    <w:rsid w:val="00214ADF"/>
    <w:rsid w:val="00221D21"/>
    <w:rsid w:val="002232AE"/>
    <w:rsid w:val="00224B92"/>
    <w:rsid w:val="00227F3A"/>
    <w:rsid w:val="00232B07"/>
    <w:rsid w:val="002357E1"/>
    <w:rsid w:val="00242651"/>
    <w:rsid w:val="00252897"/>
    <w:rsid w:val="00256281"/>
    <w:rsid w:val="00257B50"/>
    <w:rsid w:val="00261546"/>
    <w:rsid w:val="00262DBC"/>
    <w:rsid w:val="00282833"/>
    <w:rsid w:val="00294B52"/>
    <w:rsid w:val="002B0942"/>
    <w:rsid w:val="002B25C9"/>
    <w:rsid w:val="002B6BC8"/>
    <w:rsid w:val="002C4BDB"/>
    <w:rsid w:val="002C7CCD"/>
    <w:rsid w:val="002E0627"/>
    <w:rsid w:val="002E6C7F"/>
    <w:rsid w:val="002E7D5F"/>
    <w:rsid w:val="00300596"/>
    <w:rsid w:val="00302EBF"/>
    <w:rsid w:val="00306EDA"/>
    <w:rsid w:val="0031333B"/>
    <w:rsid w:val="0031482F"/>
    <w:rsid w:val="0031644C"/>
    <w:rsid w:val="003169A5"/>
    <w:rsid w:val="003210FF"/>
    <w:rsid w:val="00325DE3"/>
    <w:rsid w:val="00333549"/>
    <w:rsid w:val="00336766"/>
    <w:rsid w:val="00343CDB"/>
    <w:rsid w:val="0034689D"/>
    <w:rsid w:val="0035643F"/>
    <w:rsid w:val="003760B3"/>
    <w:rsid w:val="00376471"/>
    <w:rsid w:val="00376598"/>
    <w:rsid w:val="00376FC2"/>
    <w:rsid w:val="00380641"/>
    <w:rsid w:val="00391F5D"/>
    <w:rsid w:val="00392381"/>
    <w:rsid w:val="003951E0"/>
    <w:rsid w:val="003A4178"/>
    <w:rsid w:val="003B10B9"/>
    <w:rsid w:val="003B4C7E"/>
    <w:rsid w:val="003C113F"/>
    <w:rsid w:val="003C541C"/>
    <w:rsid w:val="003C652E"/>
    <w:rsid w:val="003E0CF5"/>
    <w:rsid w:val="003E1F1E"/>
    <w:rsid w:val="003E2DAE"/>
    <w:rsid w:val="003F2024"/>
    <w:rsid w:val="003F2FCE"/>
    <w:rsid w:val="003F6E44"/>
    <w:rsid w:val="004003D1"/>
    <w:rsid w:val="0040102B"/>
    <w:rsid w:val="00406BC6"/>
    <w:rsid w:val="004070EA"/>
    <w:rsid w:val="00414F1E"/>
    <w:rsid w:val="0041733E"/>
    <w:rsid w:val="004227D7"/>
    <w:rsid w:val="004239F4"/>
    <w:rsid w:val="00423CD5"/>
    <w:rsid w:val="00427B76"/>
    <w:rsid w:val="004347B1"/>
    <w:rsid w:val="004369D2"/>
    <w:rsid w:val="0044424E"/>
    <w:rsid w:val="00445DD1"/>
    <w:rsid w:val="004502B6"/>
    <w:rsid w:val="00455B3B"/>
    <w:rsid w:val="0045665D"/>
    <w:rsid w:val="00476074"/>
    <w:rsid w:val="004805FB"/>
    <w:rsid w:val="004806BF"/>
    <w:rsid w:val="004918DC"/>
    <w:rsid w:val="004A2933"/>
    <w:rsid w:val="004B0798"/>
    <w:rsid w:val="004B597A"/>
    <w:rsid w:val="004B746F"/>
    <w:rsid w:val="004C2BBE"/>
    <w:rsid w:val="004E22FB"/>
    <w:rsid w:val="004E4E83"/>
    <w:rsid w:val="004E7AEA"/>
    <w:rsid w:val="004F0105"/>
    <w:rsid w:val="004F1EB8"/>
    <w:rsid w:val="004F2C2B"/>
    <w:rsid w:val="004F34CE"/>
    <w:rsid w:val="004F7114"/>
    <w:rsid w:val="00500530"/>
    <w:rsid w:val="005032C9"/>
    <w:rsid w:val="005053D8"/>
    <w:rsid w:val="00516C26"/>
    <w:rsid w:val="00516CB8"/>
    <w:rsid w:val="005178AB"/>
    <w:rsid w:val="00531AF4"/>
    <w:rsid w:val="00543C00"/>
    <w:rsid w:val="005440A6"/>
    <w:rsid w:val="00551803"/>
    <w:rsid w:val="0056218C"/>
    <w:rsid w:val="00572279"/>
    <w:rsid w:val="00574EB3"/>
    <w:rsid w:val="00581AC6"/>
    <w:rsid w:val="005825A3"/>
    <w:rsid w:val="0058437E"/>
    <w:rsid w:val="00585032"/>
    <w:rsid w:val="00591CD9"/>
    <w:rsid w:val="005955D2"/>
    <w:rsid w:val="00596B60"/>
    <w:rsid w:val="005A1701"/>
    <w:rsid w:val="005A4284"/>
    <w:rsid w:val="005D139C"/>
    <w:rsid w:val="005E522A"/>
    <w:rsid w:val="005E5829"/>
    <w:rsid w:val="005F17BC"/>
    <w:rsid w:val="005F4284"/>
    <w:rsid w:val="005F4C74"/>
    <w:rsid w:val="00602DB5"/>
    <w:rsid w:val="00603B90"/>
    <w:rsid w:val="00604DFF"/>
    <w:rsid w:val="00604FE3"/>
    <w:rsid w:val="00612616"/>
    <w:rsid w:val="0061303E"/>
    <w:rsid w:val="00613485"/>
    <w:rsid w:val="00616A66"/>
    <w:rsid w:val="006260D5"/>
    <w:rsid w:val="0062697F"/>
    <w:rsid w:val="00632A12"/>
    <w:rsid w:val="006363C8"/>
    <w:rsid w:val="00644242"/>
    <w:rsid w:val="006463D7"/>
    <w:rsid w:val="006507F2"/>
    <w:rsid w:val="00652194"/>
    <w:rsid w:val="00656127"/>
    <w:rsid w:val="00657C9C"/>
    <w:rsid w:val="00661B2B"/>
    <w:rsid w:val="0066397F"/>
    <w:rsid w:val="00687E19"/>
    <w:rsid w:val="00690847"/>
    <w:rsid w:val="00691E77"/>
    <w:rsid w:val="00692CE0"/>
    <w:rsid w:val="00695BEE"/>
    <w:rsid w:val="00697170"/>
    <w:rsid w:val="006A5D5D"/>
    <w:rsid w:val="006B074E"/>
    <w:rsid w:val="006B0D4C"/>
    <w:rsid w:val="006B2BD5"/>
    <w:rsid w:val="006B3095"/>
    <w:rsid w:val="006C4EDA"/>
    <w:rsid w:val="006D0E3D"/>
    <w:rsid w:val="006D1026"/>
    <w:rsid w:val="006E76D2"/>
    <w:rsid w:val="006F284C"/>
    <w:rsid w:val="006F7227"/>
    <w:rsid w:val="00702366"/>
    <w:rsid w:val="00705D0C"/>
    <w:rsid w:val="00706F41"/>
    <w:rsid w:val="007114CA"/>
    <w:rsid w:val="00715E54"/>
    <w:rsid w:val="007163BC"/>
    <w:rsid w:val="00717449"/>
    <w:rsid w:val="00727D71"/>
    <w:rsid w:val="00730AE3"/>
    <w:rsid w:val="00732666"/>
    <w:rsid w:val="00732DF8"/>
    <w:rsid w:val="00736BC2"/>
    <w:rsid w:val="00736C10"/>
    <w:rsid w:val="007448E4"/>
    <w:rsid w:val="00746576"/>
    <w:rsid w:val="007470B8"/>
    <w:rsid w:val="00754D46"/>
    <w:rsid w:val="007569D9"/>
    <w:rsid w:val="00757672"/>
    <w:rsid w:val="00761DFB"/>
    <w:rsid w:val="007653F1"/>
    <w:rsid w:val="00773D4E"/>
    <w:rsid w:val="00776BF9"/>
    <w:rsid w:val="007770D1"/>
    <w:rsid w:val="00784784"/>
    <w:rsid w:val="0079325E"/>
    <w:rsid w:val="0079373A"/>
    <w:rsid w:val="00794E11"/>
    <w:rsid w:val="00797393"/>
    <w:rsid w:val="007978AF"/>
    <w:rsid w:val="007B1587"/>
    <w:rsid w:val="007B2413"/>
    <w:rsid w:val="007B342D"/>
    <w:rsid w:val="007B4B82"/>
    <w:rsid w:val="007C5285"/>
    <w:rsid w:val="007C6239"/>
    <w:rsid w:val="007C633B"/>
    <w:rsid w:val="007D3182"/>
    <w:rsid w:val="007D6336"/>
    <w:rsid w:val="007D6BAB"/>
    <w:rsid w:val="007D6DC1"/>
    <w:rsid w:val="007E352E"/>
    <w:rsid w:val="007E3937"/>
    <w:rsid w:val="007E6EE3"/>
    <w:rsid w:val="007F3FB5"/>
    <w:rsid w:val="0081198D"/>
    <w:rsid w:val="00814624"/>
    <w:rsid w:val="00816DCD"/>
    <w:rsid w:val="00824FCA"/>
    <w:rsid w:val="00825524"/>
    <w:rsid w:val="008320DF"/>
    <w:rsid w:val="0083211E"/>
    <w:rsid w:val="00836154"/>
    <w:rsid w:val="00843FF1"/>
    <w:rsid w:val="00855928"/>
    <w:rsid w:val="008611B0"/>
    <w:rsid w:val="008625FA"/>
    <w:rsid w:val="008667C9"/>
    <w:rsid w:val="00867462"/>
    <w:rsid w:val="00870D40"/>
    <w:rsid w:val="00877657"/>
    <w:rsid w:val="00882425"/>
    <w:rsid w:val="0088304C"/>
    <w:rsid w:val="00883A1C"/>
    <w:rsid w:val="008A2A48"/>
    <w:rsid w:val="008A4659"/>
    <w:rsid w:val="008B78DB"/>
    <w:rsid w:val="008C013C"/>
    <w:rsid w:val="008C1E35"/>
    <w:rsid w:val="008C72B4"/>
    <w:rsid w:val="008D3A32"/>
    <w:rsid w:val="008D471D"/>
    <w:rsid w:val="008D5AA2"/>
    <w:rsid w:val="008D70AA"/>
    <w:rsid w:val="008E0FD0"/>
    <w:rsid w:val="008E2092"/>
    <w:rsid w:val="008E5F84"/>
    <w:rsid w:val="008E7500"/>
    <w:rsid w:val="008F26E1"/>
    <w:rsid w:val="008F650F"/>
    <w:rsid w:val="008F71F2"/>
    <w:rsid w:val="009020F4"/>
    <w:rsid w:val="00903E6D"/>
    <w:rsid w:val="009067F8"/>
    <w:rsid w:val="009109A3"/>
    <w:rsid w:val="009115C0"/>
    <w:rsid w:val="009134B0"/>
    <w:rsid w:val="0092022B"/>
    <w:rsid w:val="00922EAD"/>
    <w:rsid w:val="0092794B"/>
    <w:rsid w:val="009405B0"/>
    <w:rsid w:val="00941594"/>
    <w:rsid w:val="0094289E"/>
    <w:rsid w:val="00953856"/>
    <w:rsid w:val="009554D5"/>
    <w:rsid w:val="00964EA0"/>
    <w:rsid w:val="00966D95"/>
    <w:rsid w:val="00973BB0"/>
    <w:rsid w:val="00983E36"/>
    <w:rsid w:val="00987F2B"/>
    <w:rsid w:val="009902B9"/>
    <w:rsid w:val="0099377D"/>
    <w:rsid w:val="0099531D"/>
    <w:rsid w:val="0099648B"/>
    <w:rsid w:val="009A5040"/>
    <w:rsid w:val="009A516E"/>
    <w:rsid w:val="009B5BE6"/>
    <w:rsid w:val="009B5E1D"/>
    <w:rsid w:val="009B7CA5"/>
    <w:rsid w:val="009C1B75"/>
    <w:rsid w:val="009C5F0E"/>
    <w:rsid w:val="009D01B3"/>
    <w:rsid w:val="009D2F92"/>
    <w:rsid w:val="009D3740"/>
    <w:rsid w:val="009E1780"/>
    <w:rsid w:val="009E2B79"/>
    <w:rsid w:val="009E2F4A"/>
    <w:rsid w:val="009F2188"/>
    <w:rsid w:val="009F31B9"/>
    <w:rsid w:val="009F4D48"/>
    <w:rsid w:val="00A03557"/>
    <w:rsid w:val="00A049D5"/>
    <w:rsid w:val="00A10051"/>
    <w:rsid w:val="00A1392A"/>
    <w:rsid w:val="00A20F36"/>
    <w:rsid w:val="00A229F5"/>
    <w:rsid w:val="00A2324A"/>
    <w:rsid w:val="00A254E1"/>
    <w:rsid w:val="00A26980"/>
    <w:rsid w:val="00A30A96"/>
    <w:rsid w:val="00A30DAD"/>
    <w:rsid w:val="00A4732D"/>
    <w:rsid w:val="00A5194D"/>
    <w:rsid w:val="00A52987"/>
    <w:rsid w:val="00A53AE8"/>
    <w:rsid w:val="00A56A01"/>
    <w:rsid w:val="00A616E3"/>
    <w:rsid w:val="00A61BB8"/>
    <w:rsid w:val="00A61C21"/>
    <w:rsid w:val="00A6561C"/>
    <w:rsid w:val="00A70CDF"/>
    <w:rsid w:val="00AA014E"/>
    <w:rsid w:val="00AA126C"/>
    <w:rsid w:val="00AA3D4F"/>
    <w:rsid w:val="00AB20B6"/>
    <w:rsid w:val="00AC0D38"/>
    <w:rsid w:val="00AC1E69"/>
    <w:rsid w:val="00AC207F"/>
    <w:rsid w:val="00AD0FE0"/>
    <w:rsid w:val="00AD7419"/>
    <w:rsid w:val="00AE1989"/>
    <w:rsid w:val="00AE3E4D"/>
    <w:rsid w:val="00AE6157"/>
    <w:rsid w:val="00AE701F"/>
    <w:rsid w:val="00AF6F3F"/>
    <w:rsid w:val="00B06BF5"/>
    <w:rsid w:val="00B0768D"/>
    <w:rsid w:val="00B1448C"/>
    <w:rsid w:val="00B17445"/>
    <w:rsid w:val="00B271A0"/>
    <w:rsid w:val="00B3299A"/>
    <w:rsid w:val="00B34131"/>
    <w:rsid w:val="00B36287"/>
    <w:rsid w:val="00B42CBE"/>
    <w:rsid w:val="00B4485A"/>
    <w:rsid w:val="00B44C21"/>
    <w:rsid w:val="00B476A9"/>
    <w:rsid w:val="00B53743"/>
    <w:rsid w:val="00B54853"/>
    <w:rsid w:val="00B56B11"/>
    <w:rsid w:val="00B6336D"/>
    <w:rsid w:val="00B64398"/>
    <w:rsid w:val="00B72547"/>
    <w:rsid w:val="00B73C13"/>
    <w:rsid w:val="00B75858"/>
    <w:rsid w:val="00B85CDA"/>
    <w:rsid w:val="00B85F9B"/>
    <w:rsid w:val="00B91A84"/>
    <w:rsid w:val="00BA1498"/>
    <w:rsid w:val="00BA3233"/>
    <w:rsid w:val="00BA3FAE"/>
    <w:rsid w:val="00BA695B"/>
    <w:rsid w:val="00BB0EE6"/>
    <w:rsid w:val="00BB3463"/>
    <w:rsid w:val="00BD7294"/>
    <w:rsid w:val="00BE1213"/>
    <w:rsid w:val="00BE37A4"/>
    <w:rsid w:val="00BE45DE"/>
    <w:rsid w:val="00BE66B4"/>
    <w:rsid w:val="00BE7B36"/>
    <w:rsid w:val="00BE7B56"/>
    <w:rsid w:val="00BF6A91"/>
    <w:rsid w:val="00BF73CD"/>
    <w:rsid w:val="00C02AD9"/>
    <w:rsid w:val="00C05456"/>
    <w:rsid w:val="00C076A9"/>
    <w:rsid w:val="00C147E0"/>
    <w:rsid w:val="00C15BBB"/>
    <w:rsid w:val="00C27436"/>
    <w:rsid w:val="00C31FC0"/>
    <w:rsid w:val="00C36D90"/>
    <w:rsid w:val="00C37FF1"/>
    <w:rsid w:val="00C40250"/>
    <w:rsid w:val="00C41C55"/>
    <w:rsid w:val="00C450BF"/>
    <w:rsid w:val="00C507CD"/>
    <w:rsid w:val="00C514AC"/>
    <w:rsid w:val="00C515B0"/>
    <w:rsid w:val="00C54A3D"/>
    <w:rsid w:val="00C64624"/>
    <w:rsid w:val="00C66A5A"/>
    <w:rsid w:val="00C76087"/>
    <w:rsid w:val="00C76CD2"/>
    <w:rsid w:val="00C775F1"/>
    <w:rsid w:val="00C85A4A"/>
    <w:rsid w:val="00C85EA4"/>
    <w:rsid w:val="00C860B4"/>
    <w:rsid w:val="00C86F09"/>
    <w:rsid w:val="00C912FE"/>
    <w:rsid w:val="00C95ABE"/>
    <w:rsid w:val="00CA1572"/>
    <w:rsid w:val="00CA2B5F"/>
    <w:rsid w:val="00CA5220"/>
    <w:rsid w:val="00CA6B87"/>
    <w:rsid w:val="00CB06DA"/>
    <w:rsid w:val="00CC2031"/>
    <w:rsid w:val="00CC39C9"/>
    <w:rsid w:val="00CD26CC"/>
    <w:rsid w:val="00CE51C3"/>
    <w:rsid w:val="00CE5341"/>
    <w:rsid w:val="00CF4F69"/>
    <w:rsid w:val="00D0218C"/>
    <w:rsid w:val="00D02FDF"/>
    <w:rsid w:val="00D03A7C"/>
    <w:rsid w:val="00D0585E"/>
    <w:rsid w:val="00D06408"/>
    <w:rsid w:val="00D11C69"/>
    <w:rsid w:val="00D14985"/>
    <w:rsid w:val="00D15589"/>
    <w:rsid w:val="00D21A01"/>
    <w:rsid w:val="00D22AE8"/>
    <w:rsid w:val="00D37855"/>
    <w:rsid w:val="00D42D76"/>
    <w:rsid w:val="00D432AD"/>
    <w:rsid w:val="00D500C6"/>
    <w:rsid w:val="00D51069"/>
    <w:rsid w:val="00D529A9"/>
    <w:rsid w:val="00D5690E"/>
    <w:rsid w:val="00D617D1"/>
    <w:rsid w:val="00D648EB"/>
    <w:rsid w:val="00D71220"/>
    <w:rsid w:val="00D71D74"/>
    <w:rsid w:val="00D770B5"/>
    <w:rsid w:val="00D933E5"/>
    <w:rsid w:val="00D95363"/>
    <w:rsid w:val="00D9537D"/>
    <w:rsid w:val="00DA05ED"/>
    <w:rsid w:val="00DA7E4D"/>
    <w:rsid w:val="00DB0A37"/>
    <w:rsid w:val="00DB68A3"/>
    <w:rsid w:val="00DC0264"/>
    <w:rsid w:val="00DC73D8"/>
    <w:rsid w:val="00DD52CC"/>
    <w:rsid w:val="00DE308B"/>
    <w:rsid w:val="00DE3A6A"/>
    <w:rsid w:val="00DF03A4"/>
    <w:rsid w:val="00DF1CDE"/>
    <w:rsid w:val="00E022DC"/>
    <w:rsid w:val="00E151FC"/>
    <w:rsid w:val="00E32F84"/>
    <w:rsid w:val="00E35B05"/>
    <w:rsid w:val="00E37A7A"/>
    <w:rsid w:val="00E44B29"/>
    <w:rsid w:val="00E451BC"/>
    <w:rsid w:val="00E46C3E"/>
    <w:rsid w:val="00E47630"/>
    <w:rsid w:val="00E519CC"/>
    <w:rsid w:val="00E55B3B"/>
    <w:rsid w:val="00E55E91"/>
    <w:rsid w:val="00E61273"/>
    <w:rsid w:val="00E62F60"/>
    <w:rsid w:val="00E7776B"/>
    <w:rsid w:val="00E77A10"/>
    <w:rsid w:val="00E77D29"/>
    <w:rsid w:val="00E827E9"/>
    <w:rsid w:val="00E82CEB"/>
    <w:rsid w:val="00E834B8"/>
    <w:rsid w:val="00E85989"/>
    <w:rsid w:val="00E900FC"/>
    <w:rsid w:val="00E91F75"/>
    <w:rsid w:val="00E96961"/>
    <w:rsid w:val="00EA7525"/>
    <w:rsid w:val="00EB12E9"/>
    <w:rsid w:val="00EB4E44"/>
    <w:rsid w:val="00EB7999"/>
    <w:rsid w:val="00EC0891"/>
    <w:rsid w:val="00ED7098"/>
    <w:rsid w:val="00EE080A"/>
    <w:rsid w:val="00EE51DB"/>
    <w:rsid w:val="00F039D8"/>
    <w:rsid w:val="00F13DC0"/>
    <w:rsid w:val="00F14485"/>
    <w:rsid w:val="00F169F1"/>
    <w:rsid w:val="00F16F02"/>
    <w:rsid w:val="00F234E3"/>
    <w:rsid w:val="00F26A60"/>
    <w:rsid w:val="00F34F93"/>
    <w:rsid w:val="00F43A1A"/>
    <w:rsid w:val="00F43B05"/>
    <w:rsid w:val="00F465B6"/>
    <w:rsid w:val="00F5104D"/>
    <w:rsid w:val="00F64CB9"/>
    <w:rsid w:val="00F67181"/>
    <w:rsid w:val="00F7499E"/>
    <w:rsid w:val="00F77628"/>
    <w:rsid w:val="00F80DC6"/>
    <w:rsid w:val="00F81ABF"/>
    <w:rsid w:val="00F838DD"/>
    <w:rsid w:val="00F91808"/>
    <w:rsid w:val="00FA0BF9"/>
    <w:rsid w:val="00FA15DA"/>
    <w:rsid w:val="00FA2959"/>
    <w:rsid w:val="00FA5456"/>
    <w:rsid w:val="00FB3B70"/>
    <w:rsid w:val="00FB597E"/>
    <w:rsid w:val="00FB5F8E"/>
    <w:rsid w:val="00FC0410"/>
    <w:rsid w:val="00FC1A34"/>
    <w:rsid w:val="00FC3EF7"/>
    <w:rsid w:val="00FC4B9F"/>
    <w:rsid w:val="00FC59A3"/>
    <w:rsid w:val="00FC6159"/>
    <w:rsid w:val="00FC6AA2"/>
    <w:rsid w:val="00FD061C"/>
    <w:rsid w:val="00FD4EBA"/>
    <w:rsid w:val="00FF7EB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2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498"/>
    <w:pPr>
      <w:jc w:val="both"/>
    </w:pPr>
    <w:rPr>
      <w:sz w:val="22"/>
      <w:szCs w:val="24"/>
      <w:lang w:val="en-GB"/>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5"/>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link w:val="Para1Char1"/>
    <w:rsid w:val="00F13DC0"/>
    <w:pPr>
      <w:numPr>
        <w:numId w:val="6"/>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pPr>
      <w:keepLines/>
      <w:spacing w:after="60"/>
      <w:ind w:firstLine="720"/>
    </w:pPr>
    <w:rPr>
      <w:sz w:val="18"/>
    </w:rPr>
  </w:style>
  <w:style w:type="paragraph" w:styleId="BodyText">
    <w:name w:val="Body Text"/>
    <w:basedOn w:val="Normal"/>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qFormat/>
    <w:rPr>
      <w:sz w:val="18"/>
      <w:u w:val="single"/>
      <w:vertAlign w:val="baseline"/>
    </w:rPr>
  </w:style>
  <w:style w:type="paragraph" w:styleId="BodyTextIndent">
    <w:name w:val="Body Text Indent"/>
    <w:basedOn w:val="Normal"/>
    <w:pPr>
      <w:spacing w:before="120" w:after="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10"/>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6"/>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semiHidden/>
    <w:pPr>
      <w:spacing w:before="120" w:after="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7"/>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67"/>
    <w:rsid w:val="00073708"/>
    <w:rPr>
      <w:color w:val="808080"/>
    </w:rPr>
  </w:style>
  <w:style w:type="paragraph" w:styleId="ListParagraph">
    <w:name w:val="List Paragraph"/>
    <w:basedOn w:val="Normal"/>
    <w:uiPriority w:val="72"/>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5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0">
    <w:name w:val="para2"/>
    <w:basedOn w:val="para2a"/>
    <w:rsid w:val="00D5690E"/>
  </w:style>
  <w:style w:type="paragraph" w:customStyle="1" w:styleId="para2a">
    <w:name w:val="para 2 (a)"/>
    <w:basedOn w:val="Normal"/>
    <w:qFormat/>
    <w:rsid w:val="00D5690E"/>
    <w:pPr>
      <w:spacing w:after="120"/>
      <w:ind w:firstLine="763"/>
    </w:pPr>
    <w:rPr>
      <w:rFonts w:eastAsia="MS Mincho" w:cs="Angsana New"/>
      <w:snapToGrid w:val="0"/>
      <w:szCs w:val="18"/>
    </w:rPr>
  </w:style>
  <w:style w:type="character" w:customStyle="1" w:styleId="Para1Char1">
    <w:name w:val="Para1 Char1"/>
    <w:link w:val="Para1"/>
    <w:locked/>
    <w:rsid w:val="007F3FB5"/>
    <w:rPr>
      <w:snapToGrid w:val="0"/>
      <w:sz w:val="22"/>
      <w:szCs w:val="18"/>
      <w:lang w:val="en-GB"/>
    </w:rPr>
  </w:style>
  <w:style w:type="character" w:customStyle="1" w:styleId="UnresolvedMention">
    <w:name w:val="Unresolved Mention"/>
    <w:basedOn w:val="DefaultParagraphFont"/>
    <w:uiPriority w:val="99"/>
    <w:semiHidden/>
    <w:unhideWhenUsed/>
    <w:rsid w:val="006D102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498"/>
    <w:pPr>
      <w:jc w:val="both"/>
    </w:pPr>
    <w:rPr>
      <w:sz w:val="22"/>
      <w:szCs w:val="24"/>
      <w:lang w:val="en-GB"/>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5"/>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link w:val="Para1Char1"/>
    <w:rsid w:val="00F13DC0"/>
    <w:pPr>
      <w:numPr>
        <w:numId w:val="6"/>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pPr>
      <w:keepLines/>
      <w:spacing w:after="60"/>
      <w:ind w:firstLine="720"/>
    </w:pPr>
    <w:rPr>
      <w:sz w:val="18"/>
    </w:rPr>
  </w:style>
  <w:style w:type="paragraph" w:styleId="BodyText">
    <w:name w:val="Body Text"/>
    <w:basedOn w:val="Normal"/>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qFormat/>
    <w:rPr>
      <w:sz w:val="18"/>
      <w:u w:val="single"/>
      <w:vertAlign w:val="baseline"/>
    </w:rPr>
  </w:style>
  <w:style w:type="paragraph" w:styleId="BodyTextIndent">
    <w:name w:val="Body Text Indent"/>
    <w:basedOn w:val="Normal"/>
    <w:pPr>
      <w:spacing w:before="120" w:after="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10"/>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6"/>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semiHidden/>
    <w:pPr>
      <w:spacing w:before="120" w:after="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7"/>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67"/>
    <w:rsid w:val="00073708"/>
    <w:rPr>
      <w:color w:val="808080"/>
    </w:rPr>
  </w:style>
  <w:style w:type="paragraph" w:styleId="ListParagraph">
    <w:name w:val="List Paragraph"/>
    <w:basedOn w:val="Normal"/>
    <w:uiPriority w:val="72"/>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5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0">
    <w:name w:val="para2"/>
    <w:basedOn w:val="para2a"/>
    <w:rsid w:val="00D5690E"/>
  </w:style>
  <w:style w:type="paragraph" w:customStyle="1" w:styleId="para2a">
    <w:name w:val="para 2 (a)"/>
    <w:basedOn w:val="Normal"/>
    <w:qFormat/>
    <w:rsid w:val="00D5690E"/>
    <w:pPr>
      <w:spacing w:after="120"/>
      <w:ind w:firstLine="763"/>
    </w:pPr>
    <w:rPr>
      <w:rFonts w:eastAsia="MS Mincho" w:cs="Angsana New"/>
      <w:snapToGrid w:val="0"/>
      <w:szCs w:val="18"/>
    </w:rPr>
  </w:style>
  <w:style w:type="character" w:customStyle="1" w:styleId="Para1Char1">
    <w:name w:val="Para1 Char1"/>
    <w:link w:val="Para1"/>
    <w:locked/>
    <w:rsid w:val="007F3FB5"/>
    <w:rPr>
      <w:snapToGrid w:val="0"/>
      <w:sz w:val="22"/>
      <w:szCs w:val="18"/>
      <w:lang w:val="en-GB"/>
    </w:rPr>
  </w:style>
  <w:style w:type="character" w:customStyle="1" w:styleId="UnresolvedMention">
    <w:name w:val="Unresolved Mention"/>
    <w:basedOn w:val="DefaultParagraphFont"/>
    <w:uiPriority w:val="99"/>
    <w:semiHidden/>
    <w:unhideWhenUsed/>
    <w:rsid w:val="006D10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535230">
      <w:bodyDiv w:val="1"/>
      <w:marLeft w:val="0"/>
      <w:marRight w:val="0"/>
      <w:marTop w:val="0"/>
      <w:marBottom w:val="0"/>
      <w:divBdr>
        <w:top w:val="none" w:sz="0" w:space="0" w:color="auto"/>
        <w:left w:val="none" w:sz="0" w:space="0" w:color="auto"/>
        <w:bottom w:val="none" w:sz="0" w:space="0" w:color="auto"/>
        <w:right w:val="none" w:sz="0" w:space="0" w:color="auto"/>
      </w:divBdr>
      <w:divsChild>
        <w:div w:id="300380567">
          <w:marLeft w:val="0"/>
          <w:marRight w:val="0"/>
          <w:marTop w:val="0"/>
          <w:marBottom w:val="0"/>
          <w:divBdr>
            <w:top w:val="none" w:sz="0" w:space="0" w:color="auto"/>
            <w:left w:val="none" w:sz="0" w:space="0" w:color="auto"/>
            <w:bottom w:val="none" w:sz="0" w:space="0" w:color="auto"/>
            <w:right w:val="none" w:sz="0" w:space="0" w:color="auto"/>
          </w:divBdr>
        </w:div>
        <w:div w:id="18768432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c/002d/02f5/1717e04625301e2aadff1c11/sbi-02-10-en.pdf"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cbd.int/doc/decisions/cop-13/cop-13-dec-24-en.pdf" TargetMode="External"/><Relationship Id="rId17" Type="http://schemas.openxmlformats.org/officeDocument/2006/relationships/hyperlink" Target="https://www.cbd.int/decision/cop/default.shtml?id=711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ao.org/3/a-mv091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www.fao.org/3/a-mv088e.pdf" TargetMode="Externa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https://www.cms.int/sites/default/files/document/cms_cop12_res.11.10%28rev.cop12%29_e.pdf"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fao.org/3/a-bs781e.pdf" TargetMode="External"/><Relationship Id="rId3" Type="http://schemas.openxmlformats.org/officeDocument/2006/relationships/hyperlink" Target="https://cites.org/sites/default/files/common/disc/sec/CITES-CMS-wp-en.pdf" TargetMode="External"/><Relationship Id="rId7" Type="http://schemas.openxmlformats.org/officeDocument/2006/relationships/hyperlink" Target="http://www.fao.org/3/a-mu388e.pdf" TargetMode="External"/><Relationship Id="rId2" Type="http://schemas.openxmlformats.org/officeDocument/2006/relationships/hyperlink" Target="https://www.ramsar.org/sites/default/files/documents/library/sc53_decisions_e.pdf" TargetMode="External"/><Relationship Id="rId1" Type="http://schemas.openxmlformats.org/officeDocument/2006/relationships/hyperlink" Target="https://www.cbd.int/doc/c/6ce5/878e/5ffa49887c20c19961fe040a/sbi-02-01-en.pdf" TargetMode="External"/><Relationship Id="rId6" Type="http://schemas.openxmlformats.org/officeDocument/2006/relationships/hyperlink" Target="http://whc.unesco.org/en/news/1550" TargetMode="External"/><Relationship Id="rId5" Type="http://schemas.openxmlformats.org/officeDocument/2006/relationships/hyperlink" Target="http://whc.unesco.org/en/activities/920" TargetMode="External"/><Relationship Id="rId10" Type="http://schemas.openxmlformats.org/officeDocument/2006/relationships/hyperlink" Target="https://www.cbd.int/doc/notifications/2017/ntf-2017-114-iag-en.pdf" TargetMode="External"/><Relationship Id="rId4" Type="http://schemas.openxmlformats.org/officeDocument/2006/relationships/hyperlink" Target="http://whc.unesco.org/en/news/1709" TargetMode="External"/><Relationship Id="rId9" Type="http://schemas.openxmlformats.org/officeDocument/2006/relationships/hyperlink" Target="https://www.cbd.int/doc/notifications/2017/ntf-2017-081-cooperation-en.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References&amp;Tools\Templates\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9ABB9F55644AE3BB8290E8CB7F8968"/>
        <w:category>
          <w:name w:val="General"/>
          <w:gallery w:val="placeholder"/>
        </w:category>
        <w:types>
          <w:type w:val="bbPlcHdr"/>
        </w:types>
        <w:behaviors>
          <w:behavior w:val="content"/>
        </w:behaviors>
        <w:guid w:val="{148D9D33-A538-4B93-A316-BD0AD88243B2}"/>
      </w:docPartPr>
      <w:docPartBody>
        <w:p w:rsidR="0037757D" w:rsidRDefault="001B29AF">
          <w:r w:rsidRPr="00B903A7">
            <w:rPr>
              <w:rStyle w:val="PlaceholderText"/>
            </w:rPr>
            <w:t>[Title]</w:t>
          </w:r>
        </w:p>
      </w:docPartBody>
    </w:docPart>
    <w:docPart>
      <w:docPartPr>
        <w:name w:val="126C0E10A71F4EFDB18FEF1D2C7A7ABF"/>
        <w:category>
          <w:name w:val="General"/>
          <w:gallery w:val="placeholder"/>
        </w:category>
        <w:types>
          <w:type w:val="bbPlcHdr"/>
        </w:types>
        <w:behaviors>
          <w:behavior w:val="content"/>
        </w:behaviors>
        <w:guid w:val="{A2182327-EA3C-4375-8E82-83438B32D90C}"/>
      </w:docPartPr>
      <w:docPartBody>
        <w:p w:rsidR="007E501A" w:rsidRDefault="004A69EC" w:rsidP="004A69EC">
          <w:pPr>
            <w:pStyle w:val="126C0E10A71F4EFDB18FEF1D2C7A7ABF"/>
          </w:pPr>
          <w:r w:rsidRPr="00B903A7">
            <w:rPr>
              <w:rStyle w:val="PlaceholderText"/>
            </w:rPr>
            <w:t>[Subject]</w:t>
          </w:r>
        </w:p>
      </w:docPartBody>
    </w:docPart>
    <w:docPart>
      <w:docPartPr>
        <w:name w:val="DefaultPlaceholder_1082065158"/>
        <w:category>
          <w:name w:val="General"/>
          <w:gallery w:val="placeholder"/>
        </w:category>
        <w:types>
          <w:type w:val="bbPlcHdr"/>
        </w:types>
        <w:behaviors>
          <w:behavior w:val="content"/>
        </w:behaviors>
        <w:guid w:val="{B3C7E780-0CB4-4E4C-8A86-B91D13ADBF45}"/>
      </w:docPartPr>
      <w:docPartBody>
        <w:p w:rsidR="00D5481D" w:rsidRDefault="00015BC6">
          <w:r w:rsidRPr="00AB60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Univers">
    <w:altName w:val="Univers"/>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9AF"/>
    <w:rsid w:val="00015BC6"/>
    <w:rsid w:val="0015616C"/>
    <w:rsid w:val="001B29AF"/>
    <w:rsid w:val="00275EC5"/>
    <w:rsid w:val="0037757D"/>
    <w:rsid w:val="003B72A6"/>
    <w:rsid w:val="004A69EC"/>
    <w:rsid w:val="004C578C"/>
    <w:rsid w:val="005479EB"/>
    <w:rsid w:val="00614AE6"/>
    <w:rsid w:val="006171AE"/>
    <w:rsid w:val="006D6529"/>
    <w:rsid w:val="007958DF"/>
    <w:rsid w:val="007E501A"/>
    <w:rsid w:val="008155E2"/>
    <w:rsid w:val="0083264A"/>
    <w:rsid w:val="00960CE5"/>
    <w:rsid w:val="00A27574"/>
    <w:rsid w:val="00AF17F7"/>
    <w:rsid w:val="00B36C7B"/>
    <w:rsid w:val="00BB2CFE"/>
    <w:rsid w:val="00BE43B5"/>
    <w:rsid w:val="00D531A0"/>
    <w:rsid w:val="00D5481D"/>
    <w:rsid w:val="00EB0687"/>
    <w:rsid w:val="00EC17B5"/>
    <w:rsid w:val="00F247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015BC6"/>
    <w:rPr>
      <w:color w:val="808080"/>
    </w:rPr>
  </w:style>
  <w:style w:type="paragraph" w:customStyle="1" w:styleId="126C0E10A71F4EFDB18FEF1D2C7A7ABF">
    <w:name w:val="126C0E10A71F4EFDB18FEF1D2C7A7ABF"/>
    <w:rsid w:val="004A69EC"/>
    <w:rPr>
      <w:lang w:val="en-CA" w:eastAsia="en-CA"/>
    </w:rPr>
  </w:style>
  <w:style w:type="paragraph" w:customStyle="1" w:styleId="5A9C21BBCAA647059709D265EABAD2F3">
    <w:name w:val="5A9C21BBCAA647059709D265EABAD2F3"/>
    <w:rsid w:val="004A69EC"/>
    <w:rPr>
      <w:lang w:val="en-CA" w:eastAsia="en-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015BC6"/>
    <w:rPr>
      <w:color w:val="808080"/>
    </w:rPr>
  </w:style>
  <w:style w:type="paragraph" w:customStyle="1" w:styleId="126C0E10A71F4EFDB18FEF1D2C7A7ABF">
    <w:name w:val="126C0E10A71F4EFDB18FEF1D2C7A7ABF"/>
    <w:rsid w:val="004A69EC"/>
    <w:rPr>
      <w:lang w:val="en-CA" w:eastAsia="en-CA"/>
    </w:rPr>
  </w:style>
  <w:style w:type="paragraph" w:customStyle="1" w:styleId="5A9C21BBCAA647059709D265EABAD2F3">
    <w:name w:val="5A9C21BBCAA647059709D265EABAD2F3"/>
    <w:rsid w:val="004A69EC"/>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C8134-2DB1-4768-82A3-9ABF80987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6</TotalTime>
  <Pages>12</Pages>
  <Words>6999</Words>
  <Characters>39897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Implementation of options to enhance synergies among the biodiversity-related conventions</vt:lpstr>
    </vt:vector>
  </TitlesOfParts>
  <Company>Biodiversity</Company>
  <LinksUpToDate>false</LinksUpToDate>
  <CharactersWithSpaces>46803</CharactersWithSpaces>
  <SharedDoc>false</SharedDoc>
  <HyperlinkBase/>
  <HLinks>
    <vt:vector size="42" baseType="variant">
      <vt:variant>
        <vt:i4>2621451</vt:i4>
      </vt:variant>
      <vt:variant>
        <vt:i4>18</vt:i4>
      </vt:variant>
      <vt:variant>
        <vt:i4>0</vt:i4>
      </vt:variant>
      <vt:variant>
        <vt:i4>5</vt:i4>
      </vt:variant>
      <vt:variant>
        <vt:lpwstr>http://www.unep.org/about/sgb/cpr_portal/Portals/50152/2-17/K1607209_UNEPEA2_RES17E.docx</vt:lpwstr>
      </vt:variant>
      <vt:variant>
        <vt:lpwstr/>
      </vt:variant>
      <vt:variant>
        <vt:i4>196699</vt:i4>
      </vt:variant>
      <vt:variant>
        <vt:i4>15</vt:i4>
      </vt:variant>
      <vt:variant>
        <vt:i4>0</vt:i4>
      </vt:variant>
      <vt:variant>
        <vt:i4>5</vt:i4>
      </vt:variant>
      <vt:variant>
        <vt:lpwstr>https://www.cbd.int/doc/decisions/cop-12/cop-12-dec-31-en.doc</vt:lpwstr>
      </vt:variant>
      <vt:variant>
        <vt:lpwstr/>
      </vt:variant>
      <vt:variant>
        <vt:i4>5767251</vt:i4>
      </vt:variant>
      <vt:variant>
        <vt:i4>12</vt:i4>
      </vt:variant>
      <vt:variant>
        <vt:i4>0</vt:i4>
      </vt:variant>
      <vt:variant>
        <vt:i4>5</vt:i4>
      </vt:variant>
      <vt:variant>
        <vt:lpwstr>http://www.fao.org/3/a-i5033e.pdf</vt:lpwstr>
      </vt:variant>
      <vt:variant>
        <vt:lpwstr/>
      </vt:variant>
      <vt:variant>
        <vt:i4>89</vt:i4>
      </vt:variant>
      <vt:variant>
        <vt:i4>9</vt:i4>
      </vt:variant>
      <vt:variant>
        <vt:i4>0</vt:i4>
      </vt:variant>
      <vt:variant>
        <vt:i4>5</vt:i4>
      </vt:variant>
      <vt:variant>
        <vt:lpwstr>https://www.cbd.int/doc/decisions/cop-12/cop-12-dec-12-en.doc</vt:lpwstr>
      </vt:variant>
      <vt:variant>
        <vt:lpwstr/>
      </vt:variant>
      <vt:variant>
        <vt:i4>3801170</vt:i4>
      </vt:variant>
      <vt:variant>
        <vt:i4>6</vt:i4>
      </vt:variant>
      <vt:variant>
        <vt:i4>0</vt:i4>
      </vt:variant>
      <vt:variant>
        <vt:i4>5</vt:i4>
      </vt:variant>
      <vt:variant>
        <vt:lpwstr>http://www.un.org/en/ga/search/view_doc.asp?symbol=A/RES/70/1</vt:lpwstr>
      </vt:variant>
      <vt:variant>
        <vt:lpwstr/>
      </vt:variant>
      <vt:variant>
        <vt:i4>5832708</vt:i4>
      </vt:variant>
      <vt:variant>
        <vt:i4>3</vt:i4>
      </vt:variant>
      <vt:variant>
        <vt:i4>0</vt:i4>
      </vt:variant>
      <vt:variant>
        <vt:i4>5</vt:i4>
      </vt:variant>
      <vt:variant>
        <vt:lpwstr>https://www.cbd.int/doc/meetings/sbi/sbi-01/information/sbi-01-inf-33-en.pdf</vt:lpwstr>
      </vt:variant>
      <vt:variant>
        <vt:lpwstr/>
      </vt:variant>
      <vt:variant>
        <vt:i4>4718606</vt:i4>
      </vt:variant>
      <vt:variant>
        <vt:i4>0</vt:i4>
      </vt:variant>
      <vt:variant>
        <vt:i4>0</vt:i4>
      </vt:variant>
      <vt:variant>
        <vt:i4>5</vt:i4>
      </vt:variant>
      <vt:variant>
        <vt:lpwstr>https://www.cbd.int/doc/meetings/sbi/sbi-01/information/sbi-01-inf-32-en.doc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options to enhance synergies among the biodiversity-related conventions</dc:title>
  <dc:subject>CBD/SBI/2/10/Add.1</dc:subject>
  <dc:creator>SCBD</dc:creator>
  <cp:lastModifiedBy>Orestes Plasencia</cp:lastModifiedBy>
  <cp:revision>7</cp:revision>
  <cp:lastPrinted>2018-05-30T18:43:00Z</cp:lastPrinted>
  <dcterms:created xsi:type="dcterms:W3CDTF">2018-06-11T16:16:00Z</dcterms:created>
  <dcterms:modified xsi:type="dcterms:W3CDTF">2018-06-11T16:22:00Z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SUBSIDIARY BODY ON IMPLEMENTATION</vt:lpwstr>
  </property>
</Properties>
</file>